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3C90D" w14:textId="77777777" w:rsidR="00766627" w:rsidRPr="002830AD" w:rsidRDefault="00766627" w:rsidP="00B43928">
      <w:pPr>
        <w:spacing w:line="240" w:lineRule="auto"/>
        <w:jc w:val="both"/>
        <w:rPr>
          <w:rFonts w:ascii="Corbel" w:hAnsi="Corbel"/>
          <w:b/>
          <w:bCs/>
          <w:sz w:val="32"/>
          <w:szCs w:val="32"/>
          <w:lang w:val="en-US"/>
        </w:rPr>
      </w:pPr>
      <w:bookmarkStart w:id="0" w:name="_GoBack"/>
      <w:bookmarkEnd w:id="0"/>
    </w:p>
    <w:p w14:paraId="3DC4C13A" w14:textId="77777777" w:rsidR="00766627" w:rsidRPr="002830AD" w:rsidRDefault="00766627" w:rsidP="00766627">
      <w:pPr>
        <w:pStyle w:val="Heading1"/>
        <w:spacing w:before="0" w:after="0" w:line="240" w:lineRule="auto"/>
        <w:rPr>
          <w:rFonts w:ascii="Corbel" w:hAnsi="Corbel"/>
          <w:lang w:val="en-US"/>
        </w:rPr>
      </w:pPr>
      <w:r w:rsidRPr="002830AD">
        <w:rPr>
          <w:rFonts w:ascii="Corbel" w:hAnsi="Corbel"/>
          <w:lang w:val="en-US"/>
        </w:rPr>
        <w:t>Effect of Environment, Social and Governance (ESG) Disclosure</w:t>
      </w:r>
    </w:p>
    <w:p w14:paraId="4035AF2D" w14:textId="41A1D76A" w:rsidR="00766627" w:rsidRPr="002830AD" w:rsidRDefault="00043A33" w:rsidP="00766627">
      <w:pPr>
        <w:spacing w:line="240" w:lineRule="auto"/>
        <w:jc w:val="both"/>
        <w:rPr>
          <w:rFonts w:ascii="Corbel" w:hAnsi="Corbel"/>
          <w:b/>
          <w:bCs/>
          <w:sz w:val="32"/>
          <w:szCs w:val="32"/>
          <w:lang w:val="en-US"/>
        </w:rPr>
      </w:pPr>
      <w:r>
        <w:rPr>
          <w:rFonts w:ascii="Corbel" w:hAnsi="Corbel"/>
          <w:b/>
          <w:sz w:val="32"/>
          <w:szCs w:val="32"/>
          <w:lang w:val="en-US"/>
        </w:rPr>
        <w:t>on</w:t>
      </w:r>
      <w:r w:rsidR="00766627" w:rsidRPr="002830AD">
        <w:rPr>
          <w:rFonts w:ascii="Corbel" w:hAnsi="Corbel"/>
          <w:b/>
          <w:sz w:val="32"/>
          <w:szCs w:val="32"/>
          <w:lang w:val="en-US"/>
        </w:rPr>
        <w:t xml:space="preserve"> </w:t>
      </w:r>
      <w:r>
        <w:rPr>
          <w:rFonts w:ascii="Corbel" w:hAnsi="Corbel"/>
          <w:b/>
          <w:sz w:val="32"/>
          <w:szCs w:val="32"/>
          <w:lang w:val="en-US"/>
        </w:rPr>
        <w:t>Firm</w:t>
      </w:r>
      <w:r w:rsidR="00766627" w:rsidRPr="002830AD">
        <w:rPr>
          <w:rFonts w:ascii="Corbel" w:hAnsi="Corbel"/>
          <w:b/>
          <w:sz w:val="32"/>
          <w:szCs w:val="32"/>
          <w:lang w:val="en-US"/>
        </w:rPr>
        <w:t xml:space="preserve"> Value</w:t>
      </w:r>
    </w:p>
    <w:p w14:paraId="668E3AC5" w14:textId="4848A804" w:rsidR="00766627" w:rsidRPr="002830AD" w:rsidRDefault="00766627" w:rsidP="00766627">
      <w:pPr>
        <w:spacing w:after="0" w:line="240" w:lineRule="auto"/>
        <w:contextualSpacing/>
        <w:rPr>
          <w:rFonts w:ascii="Bootiqui" w:hAnsi="Bootiqui"/>
          <w:sz w:val="24"/>
          <w:szCs w:val="24"/>
          <w:vertAlign w:val="superscript"/>
          <w:lang w:val="en-US"/>
        </w:rPr>
      </w:pPr>
      <w:proofErr w:type="spellStart"/>
      <w:r w:rsidRPr="002830AD">
        <w:rPr>
          <w:rFonts w:ascii="Bootiqui" w:hAnsi="Bootiqui"/>
          <w:b/>
          <w:sz w:val="24"/>
          <w:szCs w:val="24"/>
          <w:lang w:val="en-US"/>
        </w:rPr>
        <w:t>Faradilla</w:t>
      </w:r>
      <w:proofErr w:type="spellEnd"/>
      <w:r w:rsidRPr="002830AD">
        <w:rPr>
          <w:rFonts w:ascii="Bootiqui" w:hAnsi="Bootiqui"/>
          <w:b/>
          <w:sz w:val="24"/>
          <w:szCs w:val="24"/>
          <w:lang w:val="en-US"/>
        </w:rPr>
        <w:t xml:space="preserve"> Suretno</w:t>
      </w:r>
      <w:r w:rsidRPr="002830AD">
        <w:rPr>
          <w:rFonts w:ascii="Bootiqui" w:hAnsi="Bootiqui"/>
          <w:b/>
          <w:sz w:val="24"/>
          <w:szCs w:val="24"/>
          <w:vertAlign w:val="superscript"/>
          <w:lang w:val="en-US"/>
        </w:rPr>
        <w:t>1*</w:t>
      </w:r>
      <w:r w:rsidRPr="002830AD">
        <w:rPr>
          <w:rFonts w:ascii="Bootiqui" w:hAnsi="Bootiqui"/>
          <w:b/>
          <w:sz w:val="24"/>
          <w:szCs w:val="24"/>
          <w:lang w:val="en-US"/>
        </w:rPr>
        <w:t xml:space="preserve">, </w:t>
      </w:r>
      <w:proofErr w:type="spellStart"/>
      <w:r w:rsidRPr="002830AD">
        <w:rPr>
          <w:rFonts w:ascii="Bootiqui" w:hAnsi="Bootiqui"/>
          <w:b/>
          <w:sz w:val="24"/>
          <w:szCs w:val="24"/>
          <w:lang w:val="en-US"/>
        </w:rPr>
        <w:t>Fajri</w:t>
      </w:r>
      <w:proofErr w:type="spellEnd"/>
      <w:r w:rsidRPr="002830AD">
        <w:rPr>
          <w:rFonts w:ascii="Bootiqui" w:hAnsi="Bootiqui"/>
          <w:b/>
          <w:sz w:val="24"/>
          <w:szCs w:val="24"/>
          <w:lang w:val="en-US"/>
        </w:rPr>
        <w:t xml:space="preserve"> Adrianto</w:t>
      </w:r>
      <w:r w:rsidRPr="002830AD">
        <w:rPr>
          <w:rFonts w:ascii="Bootiqui" w:hAnsi="Bootiqui"/>
          <w:b/>
          <w:sz w:val="24"/>
          <w:szCs w:val="24"/>
          <w:vertAlign w:val="superscript"/>
          <w:lang w:val="en-US"/>
        </w:rPr>
        <w:t>2</w:t>
      </w:r>
      <w:r w:rsidRPr="002830AD">
        <w:rPr>
          <w:rFonts w:ascii="Bootiqui" w:hAnsi="Bootiqui"/>
          <w:b/>
          <w:sz w:val="24"/>
          <w:szCs w:val="24"/>
          <w:lang w:val="en-US"/>
        </w:rPr>
        <w:t xml:space="preserve">, </w:t>
      </w:r>
      <w:proofErr w:type="spellStart"/>
      <w:r w:rsidRPr="002830AD">
        <w:rPr>
          <w:rFonts w:ascii="Bootiqui" w:hAnsi="Bootiqui"/>
          <w:b/>
          <w:sz w:val="24"/>
          <w:szCs w:val="24"/>
          <w:lang w:val="en-US"/>
        </w:rPr>
        <w:t>Fany</w:t>
      </w:r>
      <w:proofErr w:type="spellEnd"/>
      <w:r w:rsidRPr="002830AD">
        <w:rPr>
          <w:rFonts w:ascii="Bootiqui" w:hAnsi="Bootiqui"/>
          <w:b/>
          <w:sz w:val="24"/>
          <w:szCs w:val="24"/>
          <w:lang w:val="en-US"/>
        </w:rPr>
        <w:t xml:space="preserve"> Alfarisi</w:t>
      </w:r>
      <w:r w:rsidRPr="002830AD">
        <w:rPr>
          <w:rFonts w:ascii="Bootiqui" w:hAnsi="Bootiqui"/>
          <w:b/>
          <w:sz w:val="24"/>
          <w:szCs w:val="24"/>
          <w:vertAlign w:val="superscript"/>
          <w:lang w:val="en-US"/>
        </w:rPr>
        <w:t>3</w:t>
      </w:r>
    </w:p>
    <w:p w14:paraId="79718735" w14:textId="0F84ABDF" w:rsidR="00766627" w:rsidRPr="002830AD" w:rsidRDefault="00B43928" w:rsidP="00766627">
      <w:pPr>
        <w:spacing w:after="0" w:line="240" w:lineRule="auto"/>
        <w:contextualSpacing/>
        <w:rPr>
          <w:rFonts w:ascii="Times New Roman" w:hAnsi="Times New Roman"/>
          <w:lang w:val="en-US"/>
        </w:rPr>
      </w:pPr>
      <w:r w:rsidRPr="002830AD">
        <w:rPr>
          <w:rFonts w:ascii="Arial" w:eastAsia="Book Antiqua" w:hAnsi="Arial" w:cs="Arial"/>
          <w:sz w:val="20"/>
          <w:szCs w:val="20"/>
          <w:lang w:val="en-US"/>
        </w:rPr>
        <w:t>Author correspondent:</w:t>
      </w:r>
      <w:r w:rsidRPr="002830AD">
        <w:rPr>
          <w:rFonts w:ascii="Arial" w:eastAsia="Book Antiqua" w:hAnsi="Arial" w:cs="Arial"/>
          <w:b/>
          <w:sz w:val="20"/>
          <w:szCs w:val="20"/>
          <w:vertAlign w:val="superscript"/>
          <w:lang w:val="en-US"/>
        </w:rPr>
        <w:t xml:space="preserve"> </w:t>
      </w:r>
      <w:r w:rsidRPr="002830AD">
        <w:rPr>
          <w:rFonts w:ascii="Arial" w:eastAsia="Book Antiqua" w:hAnsi="Arial" w:cs="Arial"/>
          <w:sz w:val="20"/>
          <w:szCs w:val="20"/>
          <w:lang w:val="en-US"/>
        </w:rPr>
        <w:t xml:space="preserve">e-mail </w:t>
      </w:r>
      <w:hyperlink r:id="rId6" w:history="1">
        <w:r w:rsidR="00766627" w:rsidRPr="002830AD">
          <w:rPr>
            <w:rStyle w:val="Hyperlink"/>
            <w:rFonts w:ascii="Times New Roman" w:hAnsi="Times New Roman"/>
            <w:sz w:val="20"/>
            <w:szCs w:val="20"/>
            <w:lang w:val="en-US"/>
          </w:rPr>
          <w:t>faradillasrtn@gmail.com</w:t>
        </w:r>
      </w:hyperlink>
    </w:p>
    <w:p w14:paraId="135CEED3" w14:textId="77777777" w:rsidR="00B43928" w:rsidRPr="002830AD" w:rsidRDefault="00B43928" w:rsidP="00B43928">
      <w:pPr>
        <w:spacing w:after="0" w:line="240" w:lineRule="auto"/>
        <w:jc w:val="both"/>
        <w:rPr>
          <w:rFonts w:ascii="Arial" w:eastAsia="Book Antiqua" w:hAnsi="Arial" w:cs="Arial"/>
          <w:sz w:val="20"/>
          <w:szCs w:val="20"/>
          <w:lang w:val="en-US"/>
        </w:rPr>
      </w:pPr>
    </w:p>
    <w:p w14:paraId="6F42BDC9" w14:textId="3620485B" w:rsidR="009C615D" w:rsidRPr="002830AD" w:rsidRDefault="009C615D" w:rsidP="00766627">
      <w:pPr>
        <w:spacing w:after="0" w:line="240" w:lineRule="auto"/>
        <w:jc w:val="both"/>
        <w:rPr>
          <w:rFonts w:ascii="Book Antiqua" w:eastAsia="Book Antiqua" w:hAnsi="Book Antiqua" w:cs="Book Antiqua"/>
          <w:sz w:val="20"/>
          <w:szCs w:val="20"/>
          <w:lang w:val="en-US"/>
        </w:rPr>
      </w:pPr>
      <w:r w:rsidRPr="002830AD">
        <w:rPr>
          <w:rFonts w:ascii="Book Antiqua" w:eastAsia="Book Antiqua" w:hAnsi="Book Antiqua" w:cs="Book Antiqua"/>
          <w:sz w:val="20"/>
          <w:szCs w:val="20"/>
          <w:lang w:val="en-US"/>
        </w:rPr>
        <w:t xml:space="preserve">Master of Management, Faculty of Economics, </w:t>
      </w:r>
      <w:proofErr w:type="spellStart"/>
      <w:r w:rsidRPr="002830AD">
        <w:rPr>
          <w:rFonts w:ascii="Book Antiqua" w:eastAsia="Book Antiqua" w:hAnsi="Book Antiqua" w:cs="Book Antiqua"/>
          <w:sz w:val="20"/>
          <w:szCs w:val="20"/>
          <w:lang w:val="en-US"/>
        </w:rPr>
        <w:t>Andalas</w:t>
      </w:r>
      <w:proofErr w:type="spellEnd"/>
      <w:r w:rsidRPr="002830AD">
        <w:rPr>
          <w:rFonts w:ascii="Book Antiqua" w:eastAsia="Book Antiqua" w:hAnsi="Book Antiqua" w:cs="Book Antiqua"/>
          <w:sz w:val="20"/>
          <w:szCs w:val="20"/>
          <w:lang w:val="en-US"/>
        </w:rPr>
        <w:t xml:space="preserve"> University</w:t>
      </w:r>
    </w:p>
    <w:tbl>
      <w:tblPr>
        <w:tblW w:w="9073" w:type="dxa"/>
        <w:jc w:val="center"/>
        <w:tblBorders>
          <w:top w:val="single" w:sz="4" w:space="0" w:color="auto"/>
          <w:bottom w:val="single" w:sz="4" w:space="0" w:color="auto"/>
        </w:tblBorders>
        <w:tblLook w:val="04A0" w:firstRow="1" w:lastRow="0" w:firstColumn="1" w:lastColumn="0" w:noHBand="0" w:noVBand="1"/>
      </w:tblPr>
      <w:tblGrid>
        <w:gridCol w:w="1985"/>
        <w:gridCol w:w="284"/>
        <w:gridCol w:w="6804"/>
      </w:tblGrid>
      <w:tr w:rsidR="00B43928" w:rsidRPr="002830AD" w14:paraId="3EA796A7" w14:textId="77777777" w:rsidTr="00B43928">
        <w:trPr>
          <w:jc w:val="center"/>
        </w:trPr>
        <w:tc>
          <w:tcPr>
            <w:tcW w:w="1985" w:type="dxa"/>
            <w:tcBorders>
              <w:top w:val="single" w:sz="4" w:space="0" w:color="auto"/>
              <w:left w:val="nil"/>
              <w:bottom w:val="single" w:sz="4" w:space="0" w:color="auto"/>
              <w:right w:val="nil"/>
            </w:tcBorders>
          </w:tcPr>
          <w:p w14:paraId="6E77BD81" w14:textId="77777777" w:rsidR="00B43928" w:rsidRPr="002830AD" w:rsidRDefault="00B43928" w:rsidP="00B831FA">
            <w:pPr>
              <w:spacing w:after="0" w:line="240" w:lineRule="auto"/>
              <w:contextualSpacing/>
              <w:rPr>
                <w:rFonts w:ascii="Aparajita" w:hAnsi="Aparajita" w:cs="Aparajita"/>
                <w:b/>
                <w:color w:val="000000"/>
                <w:sz w:val="6"/>
                <w:szCs w:val="6"/>
                <w:lang w:val="en-US"/>
              </w:rPr>
            </w:pPr>
          </w:p>
          <w:p w14:paraId="02ADF6E0" w14:textId="77777777" w:rsidR="00B43928" w:rsidRPr="002830AD" w:rsidRDefault="00B43928" w:rsidP="00B831FA">
            <w:pPr>
              <w:spacing w:after="0" w:line="240" w:lineRule="auto"/>
              <w:contextualSpacing/>
              <w:rPr>
                <w:rFonts w:ascii="Aparajita" w:hAnsi="Aparajita" w:cs="Aparajita"/>
                <w:b/>
                <w:color w:val="000000"/>
                <w:sz w:val="16"/>
                <w:szCs w:val="16"/>
                <w:lang w:val="en-US"/>
              </w:rPr>
            </w:pPr>
            <w:r w:rsidRPr="002830AD">
              <w:rPr>
                <w:rFonts w:ascii="Aparajita" w:hAnsi="Aparajita" w:cs="Aparajita"/>
                <w:b/>
                <w:color w:val="000000"/>
                <w:sz w:val="16"/>
                <w:szCs w:val="16"/>
                <w:lang w:val="en-US"/>
              </w:rPr>
              <w:t>INDEXING</w:t>
            </w:r>
          </w:p>
        </w:tc>
        <w:tc>
          <w:tcPr>
            <w:tcW w:w="284" w:type="dxa"/>
            <w:tcBorders>
              <w:top w:val="nil"/>
              <w:left w:val="nil"/>
              <w:bottom w:val="nil"/>
              <w:right w:val="nil"/>
            </w:tcBorders>
          </w:tcPr>
          <w:p w14:paraId="66E4B056" w14:textId="77777777" w:rsidR="00B43928" w:rsidRPr="002830AD" w:rsidRDefault="00B43928" w:rsidP="00B831FA">
            <w:pPr>
              <w:spacing w:after="0" w:line="240" w:lineRule="auto"/>
              <w:contextualSpacing/>
              <w:rPr>
                <w:rFonts w:ascii="Aparajita" w:hAnsi="Aparajita" w:cs="Aparajita"/>
                <w:b/>
                <w:color w:val="000000"/>
                <w:sz w:val="16"/>
                <w:szCs w:val="16"/>
                <w:lang w:val="en-US"/>
              </w:rPr>
            </w:pPr>
          </w:p>
        </w:tc>
        <w:tc>
          <w:tcPr>
            <w:tcW w:w="6804" w:type="dxa"/>
            <w:tcBorders>
              <w:top w:val="single" w:sz="4" w:space="0" w:color="auto"/>
              <w:left w:val="nil"/>
              <w:bottom w:val="single" w:sz="4" w:space="0" w:color="auto"/>
              <w:right w:val="nil"/>
            </w:tcBorders>
          </w:tcPr>
          <w:p w14:paraId="6E4DBF97" w14:textId="77777777" w:rsidR="00B43928" w:rsidRPr="002830AD" w:rsidRDefault="00B43928" w:rsidP="00B831FA">
            <w:pPr>
              <w:spacing w:after="0" w:line="240" w:lineRule="auto"/>
              <w:contextualSpacing/>
              <w:rPr>
                <w:rFonts w:ascii="Aparajita" w:hAnsi="Aparajita" w:cs="Aparajita"/>
                <w:b/>
                <w:color w:val="000000"/>
                <w:sz w:val="6"/>
                <w:szCs w:val="6"/>
                <w:lang w:val="en-US"/>
              </w:rPr>
            </w:pPr>
          </w:p>
          <w:p w14:paraId="37BBE75C" w14:textId="77777777" w:rsidR="00B43928" w:rsidRPr="002830AD" w:rsidRDefault="00B43928" w:rsidP="00B831FA">
            <w:pPr>
              <w:spacing w:after="0" w:line="240" w:lineRule="auto"/>
              <w:contextualSpacing/>
              <w:rPr>
                <w:rFonts w:ascii="Aparajita" w:hAnsi="Aparajita" w:cs="Aparajita"/>
                <w:b/>
                <w:color w:val="000000"/>
                <w:sz w:val="16"/>
                <w:szCs w:val="16"/>
                <w:lang w:val="en-US"/>
              </w:rPr>
            </w:pPr>
            <w:r w:rsidRPr="002830AD">
              <w:rPr>
                <w:rFonts w:ascii="Aparajita" w:hAnsi="Aparajita" w:cs="Aparajita"/>
                <w:b/>
                <w:color w:val="000000"/>
                <w:sz w:val="16"/>
                <w:szCs w:val="16"/>
                <w:lang w:val="en-US"/>
              </w:rPr>
              <w:t>ABSTR AC T</w:t>
            </w:r>
          </w:p>
        </w:tc>
      </w:tr>
      <w:tr w:rsidR="00B43928" w:rsidRPr="002830AD" w14:paraId="0A691EF7" w14:textId="77777777" w:rsidTr="00B43928">
        <w:trPr>
          <w:jc w:val="center"/>
        </w:trPr>
        <w:tc>
          <w:tcPr>
            <w:tcW w:w="1985" w:type="dxa"/>
            <w:vMerge w:val="restart"/>
            <w:tcBorders>
              <w:top w:val="single" w:sz="4" w:space="0" w:color="auto"/>
            </w:tcBorders>
          </w:tcPr>
          <w:p w14:paraId="3E4B6387" w14:textId="77777777" w:rsidR="00B43928" w:rsidRPr="00EF26FF" w:rsidRDefault="00B43928" w:rsidP="00B831FA">
            <w:pPr>
              <w:suppressAutoHyphens/>
              <w:spacing w:after="0" w:line="240" w:lineRule="auto"/>
              <w:outlineLvl w:val="1"/>
              <w:rPr>
                <w:rFonts w:asciiTheme="majorHAnsi" w:eastAsia="MS Mincho" w:hAnsiTheme="majorHAnsi" w:cs="Aparajita"/>
                <w:b/>
                <w:i/>
                <w:iCs/>
                <w:color w:val="000000"/>
                <w:sz w:val="18"/>
                <w:szCs w:val="20"/>
                <w:lang w:val="en-US" w:eastAsia="ar-SA"/>
              </w:rPr>
            </w:pPr>
            <w:r w:rsidRPr="00EF26FF">
              <w:rPr>
                <w:rFonts w:asciiTheme="majorHAnsi" w:eastAsia="MS Mincho" w:hAnsiTheme="majorHAnsi" w:cs="Aparajita"/>
                <w:b/>
                <w:i/>
                <w:iCs/>
                <w:color w:val="000000"/>
                <w:sz w:val="18"/>
                <w:szCs w:val="20"/>
                <w:lang w:val="en-US" w:eastAsia="ar-SA"/>
              </w:rPr>
              <w:t>Keywords:</w:t>
            </w:r>
          </w:p>
          <w:p w14:paraId="6D360A3B" w14:textId="77777777" w:rsidR="00B43928" w:rsidRPr="00EF26FF" w:rsidRDefault="00766627" w:rsidP="00B831FA">
            <w:pPr>
              <w:spacing w:after="0" w:line="240" w:lineRule="auto"/>
              <w:jc w:val="both"/>
              <w:rPr>
                <w:rFonts w:ascii="Cambria" w:eastAsia="Times New Roman" w:hAnsi="Cambria" w:cs="Times New Roman"/>
                <w:i/>
                <w:iCs/>
                <w:color w:val="000000"/>
                <w:sz w:val="18"/>
                <w:szCs w:val="18"/>
                <w:lang w:val="en-US"/>
              </w:rPr>
            </w:pPr>
            <w:r w:rsidRPr="00EF26FF">
              <w:rPr>
                <w:rFonts w:ascii="Times New Roman" w:hAnsi="Times New Roman"/>
                <w:bCs/>
                <w:i/>
                <w:iCs/>
                <w:sz w:val="20"/>
                <w:szCs w:val="20"/>
                <w:lang w:val="en-US"/>
              </w:rPr>
              <w:t>Environment, social, governance, firm value</w:t>
            </w:r>
          </w:p>
          <w:p w14:paraId="4D33719E" w14:textId="77777777" w:rsidR="00B43928" w:rsidRPr="00EF26FF" w:rsidRDefault="00B43928" w:rsidP="00B831FA">
            <w:pPr>
              <w:spacing w:after="0" w:line="240" w:lineRule="auto"/>
              <w:jc w:val="both"/>
              <w:rPr>
                <w:rFonts w:ascii="Cambria" w:eastAsia="Times New Roman" w:hAnsi="Cambria" w:cs="Times New Roman"/>
                <w:i/>
                <w:iCs/>
                <w:color w:val="000000"/>
                <w:sz w:val="18"/>
                <w:szCs w:val="18"/>
                <w:lang w:val="en-US"/>
              </w:rPr>
            </w:pPr>
          </w:p>
          <w:p w14:paraId="499AA1B9" w14:textId="77777777" w:rsidR="00B43928" w:rsidRPr="00EF26FF" w:rsidRDefault="00B43928" w:rsidP="00B831FA">
            <w:pPr>
              <w:spacing w:after="0" w:line="240" w:lineRule="auto"/>
              <w:jc w:val="both"/>
              <w:rPr>
                <w:rFonts w:ascii="Cambria" w:eastAsia="Times New Roman" w:hAnsi="Cambria" w:cs="Times New Roman"/>
                <w:i/>
                <w:iCs/>
                <w:color w:val="000000"/>
                <w:sz w:val="18"/>
                <w:szCs w:val="18"/>
                <w:lang w:val="en-US"/>
              </w:rPr>
            </w:pPr>
          </w:p>
          <w:p w14:paraId="4C3B228E" w14:textId="77777777" w:rsidR="00B43928" w:rsidRPr="00EF26FF" w:rsidRDefault="00B43928" w:rsidP="00B831FA">
            <w:pPr>
              <w:spacing w:after="0" w:line="240" w:lineRule="auto"/>
              <w:jc w:val="both"/>
              <w:rPr>
                <w:rFonts w:ascii="Cambria" w:eastAsia="Times New Roman" w:hAnsi="Cambria" w:cs="Times New Roman"/>
                <w:i/>
                <w:iCs/>
                <w:color w:val="000000"/>
                <w:sz w:val="18"/>
                <w:szCs w:val="18"/>
                <w:lang w:val="en-US"/>
              </w:rPr>
            </w:pPr>
          </w:p>
          <w:p w14:paraId="13A96E17" w14:textId="77777777" w:rsidR="00B43928" w:rsidRPr="00EF26FF" w:rsidRDefault="00B43928" w:rsidP="00B831FA">
            <w:pPr>
              <w:spacing w:after="0" w:line="240" w:lineRule="auto"/>
              <w:jc w:val="both"/>
              <w:rPr>
                <w:rFonts w:ascii="Cambria" w:eastAsia="Times New Roman" w:hAnsi="Cambria" w:cs="Times New Roman"/>
                <w:i/>
                <w:iCs/>
                <w:color w:val="000000"/>
                <w:sz w:val="18"/>
                <w:szCs w:val="18"/>
                <w:lang w:val="en-US"/>
              </w:rPr>
            </w:pPr>
          </w:p>
          <w:p w14:paraId="65F12D4A" w14:textId="77777777" w:rsidR="00B43928" w:rsidRPr="00EF26FF" w:rsidRDefault="00B43928" w:rsidP="00B831FA">
            <w:pPr>
              <w:spacing w:after="0" w:line="240" w:lineRule="auto"/>
              <w:jc w:val="both"/>
              <w:rPr>
                <w:rFonts w:ascii="Cambria" w:eastAsia="Times New Roman" w:hAnsi="Cambria" w:cs="Times New Roman"/>
                <w:i/>
                <w:iCs/>
                <w:color w:val="000000"/>
                <w:sz w:val="18"/>
                <w:szCs w:val="18"/>
                <w:lang w:val="en-US"/>
              </w:rPr>
            </w:pPr>
          </w:p>
          <w:p w14:paraId="70634DEA" w14:textId="77777777" w:rsidR="00B43928" w:rsidRPr="00EF26FF" w:rsidRDefault="00B43928" w:rsidP="00B831FA">
            <w:pPr>
              <w:spacing w:after="0" w:line="240" w:lineRule="auto"/>
              <w:jc w:val="both"/>
              <w:rPr>
                <w:rFonts w:ascii="Cambria" w:eastAsia="Times New Roman" w:hAnsi="Cambria" w:cs="Times New Roman"/>
                <w:i/>
                <w:iCs/>
                <w:color w:val="000000"/>
                <w:sz w:val="18"/>
                <w:szCs w:val="18"/>
                <w:lang w:val="en-US"/>
              </w:rPr>
            </w:pPr>
          </w:p>
          <w:p w14:paraId="2CB108A3" w14:textId="77777777" w:rsidR="00B43928" w:rsidRPr="00EF26FF" w:rsidRDefault="00B43928" w:rsidP="00B831FA">
            <w:pPr>
              <w:spacing w:after="0" w:line="240" w:lineRule="auto"/>
              <w:jc w:val="both"/>
              <w:rPr>
                <w:rFonts w:ascii="Cambria" w:eastAsia="Times New Roman" w:hAnsi="Cambria" w:cs="Times New Roman"/>
                <w:i/>
                <w:iCs/>
                <w:color w:val="000000"/>
                <w:sz w:val="18"/>
                <w:szCs w:val="18"/>
                <w:lang w:val="en-US"/>
              </w:rPr>
            </w:pPr>
          </w:p>
          <w:p w14:paraId="1EA52E28" w14:textId="77777777" w:rsidR="00B43928" w:rsidRPr="00EF26FF" w:rsidRDefault="00B43928" w:rsidP="00B831FA">
            <w:pPr>
              <w:suppressAutoHyphens/>
              <w:spacing w:after="0" w:line="240" w:lineRule="auto"/>
              <w:outlineLvl w:val="1"/>
              <w:rPr>
                <w:rFonts w:asciiTheme="majorHAnsi" w:eastAsia="MS Mincho" w:hAnsiTheme="majorHAnsi" w:cs="Aparajita"/>
                <w:b/>
                <w:i/>
                <w:iCs/>
                <w:color w:val="000000"/>
                <w:sz w:val="18"/>
                <w:szCs w:val="20"/>
                <w:lang w:val="en-US" w:eastAsia="ar-SA"/>
              </w:rPr>
            </w:pPr>
            <w:r w:rsidRPr="00EF26FF">
              <w:rPr>
                <w:rFonts w:asciiTheme="majorHAnsi" w:eastAsia="MS Mincho" w:hAnsiTheme="majorHAnsi" w:cs="Aparajita"/>
                <w:b/>
                <w:i/>
                <w:iCs/>
                <w:color w:val="000000"/>
                <w:sz w:val="18"/>
                <w:szCs w:val="20"/>
                <w:lang w:val="en-US" w:eastAsia="ar-SA"/>
              </w:rPr>
              <w:t>Keywords:</w:t>
            </w:r>
          </w:p>
          <w:p w14:paraId="41E87F4F" w14:textId="77777777" w:rsidR="00766627" w:rsidRPr="00EF26FF" w:rsidRDefault="00766627" w:rsidP="00B831FA">
            <w:pPr>
              <w:suppressAutoHyphens/>
              <w:spacing w:after="0" w:line="240" w:lineRule="auto"/>
              <w:outlineLvl w:val="1"/>
              <w:rPr>
                <w:rFonts w:asciiTheme="majorHAnsi" w:eastAsia="MS Mincho" w:hAnsiTheme="majorHAnsi" w:cs="Aparajita"/>
                <w:b/>
                <w:i/>
                <w:iCs/>
                <w:color w:val="000000"/>
                <w:sz w:val="18"/>
                <w:szCs w:val="20"/>
                <w:lang w:val="en-US" w:eastAsia="ar-SA"/>
              </w:rPr>
            </w:pPr>
          </w:p>
          <w:p w14:paraId="0F68DE2E" w14:textId="0B9629EA" w:rsidR="00B43928" w:rsidRPr="002830AD" w:rsidRDefault="00766627" w:rsidP="00B831FA">
            <w:pPr>
              <w:spacing w:after="0" w:line="240" w:lineRule="auto"/>
              <w:jc w:val="both"/>
              <w:rPr>
                <w:rFonts w:asciiTheme="majorHAnsi" w:hAnsiTheme="majorHAnsi" w:cs="Aparajita"/>
                <w:sz w:val="18"/>
                <w:szCs w:val="20"/>
                <w:lang w:val="en-US"/>
              </w:rPr>
            </w:pPr>
            <w:r w:rsidRPr="00EF26FF">
              <w:rPr>
                <w:rFonts w:ascii="Times New Roman" w:hAnsi="Times New Roman"/>
                <w:i/>
                <w:iCs/>
                <w:sz w:val="20"/>
                <w:szCs w:val="20"/>
                <w:lang w:val="en-US"/>
              </w:rPr>
              <w:t xml:space="preserve">Environment, social, governance, </w:t>
            </w:r>
            <w:proofErr w:type="spellStart"/>
            <w:r w:rsidR="005E59EE" w:rsidRPr="00EF26FF">
              <w:rPr>
                <w:rFonts w:ascii="Times New Roman" w:hAnsi="Times New Roman"/>
                <w:i/>
                <w:iCs/>
                <w:sz w:val="20"/>
                <w:szCs w:val="20"/>
                <w:lang w:val="en-US"/>
              </w:rPr>
              <w:t>nilai</w:t>
            </w:r>
            <w:proofErr w:type="spellEnd"/>
            <w:r w:rsidR="005E59EE" w:rsidRPr="00EF26FF">
              <w:rPr>
                <w:rFonts w:ascii="Times New Roman" w:hAnsi="Times New Roman"/>
                <w:i/>
                <w:iCs/>
                <w:sz w:val="20"/>
                <w:szCs w:val="20"/>
                <w:lang w:val="en-US"/>
              </w:rPr>
              <w:t xml:space="preserve"> </w:t>
            </w:r>
            <w:proofErr w:type="spellStart"/>
            <w:r w:rsidR="005E59EE" w:rsidRPr="00EF26FF">
              <w:rPr>
                <w:rFonts w:ascii="Times New Roman" w:hAnsi="Times New Roman"/>
                <w:i/>
                <w:iCs/>
                <w:sz w:val="20"/>
                <w:szCs w:val="20"/>
                <w:lang w:val="en-US"/>
              </w:rPr>
              <w:t>perusahaan</w:t>
            </w:r>
            <w:proofErr w:type="spellEnd"/>
            <w:r w:rsidR="00B43928" w:rsidRPr="00EF26FF">
              <w:rPr>
                <w:rFonts w:asciiTheme="majorHAnsi" w:hAnsiTheme="majorHAnsi" w:cs="Aparajita"/>
                <w:i/>
                <w:iCs/>
                <w:sz w:val="18"/>
                <w:szCs w:val="20"/>
                <w:lang w:val="en-US"/>
              </w:rPr>
              <w:t>.</w:t>
            </w:r>
          </w:p>
        </w:tc>
        <w:tc>
          <w:tcPr>
            <w:tcW w:w="284" w:type="dxa"/>
            <w:tcBorders>
              <w:top w:val="nil"/>
              <w:bottom w:val="nil"/>
            </w:tcBorders>
          </w:tcPr>
          <w:p w14:paraId="45205471" w14:textId="77777777" w:rsidR="00B43928" w:rsidRPr="002830AD" w:rsidRDefault="00B43928" w:rsidP="00B831FA">
            <w:pPr>
              <w:spacing w:after="0" w:line="240" w:lineRule="auto"/>
              <w:contextualSpacing/>
              <w:rPr>
                <w:rFonts w:asciiTheme="majorHAnsi" w:hAnsiTheme="majorHAnsi" w:cs="Aparajita"/>
                <w:color w:val="000000"/>
                <w:sz w:val="20"/>
                <w:szCs w:val="20"/>
                <w:lang w:val="en-US"/>
              </w:rPr>
            </w:pPr>
          </w:p>
        </w:tc>
        <w:tc>
          <w:tcPr>
            <w:tcW w:w="6804" w:type="dxa"/>
            <w:vMerge w:val="restart"/>
            <w:tcBorders>
              <w:top w:val="nil"/>
            </w:tcBorders>
          </w:tcPr>
          <w:p w14:paraId="045442B4" w14:textId="77777777" w:rsidR="00766627" w:rsidRPr="002830AD" w:rsidRDefault="00766627" w:rsidP="00B43928">
            <w:pPr>
              <w:spacing w:after="0" w:line="240" w:lineRule="auto"/>
              <w:jc w:val="both"/>
              <w:rPr>
                <w:rFonts w:ascii="Cambria" w:eastAsia="Times New Roman" w:hAnsi="Cambria" w:cs="Times New Roman"/>
                <w:color w:val="000000"/>
                <w:sz w:val="18"/>
                <w:szCs w:val="18"/>
                <w:lang w:val="en-US"/>
              </w:rPr>
            </w:pPr>
          </w:p>
          <w:p w14:paraId="2F8FAA17" w14:textId="77777777" w:rsidR="00766627" w:rsidRPr="002830AD" w:rsidRDefault="00766627" w:rsidP="00766627">
            <w:pPr>
              <w:spacing w:after="0" w:line="240" w:lineRule="auto"/>
              <w:jc w:val="both"/>
              <w:rPr>
                <w:rFonts w:ascii="Times New Roman" w:hAnsi="Times New Roman"/>
                <w:sz w:val="20"/>
                <w:szCs w:val="20"/>
                <w:lang w:val="en-US"/>
              </w:rPr>
            </w:pPr>
            <w:r w:rsidRPr="002830AD">
              <w:rPr>
                <w:rFonts w:ascii="Times New Roman" w:hAnsi="Times New Roman"/>
                <w:sz w:val="20"/>
                <w:szCs w:val="20"/>
                <w:lang w:val="en-US"/>
              </w:rPr>
              <w:t>This study aims to determine the effect of environment, social, and governance (ESG) disclosure on firm value. The sample used is all companies listed on the Indonesia Stock Exchange for the 2016-2020 period as many as 27 companies were selected using the purposive sampling technique. This study uses panel data regression analysis. The results showed that the environment and social disclosure positively and significantly affected firm value. Meanwhile, governance disclosure has a negative and significant effect on firm value. Tested with control variables, the firm size variable has a significant negative effect on firm value, while leverage and profitability variables significantly affect firm value.</w:t>
            </w:r>
          </w:p>
          <w:p w14:paraId="357CFEC3" w14:textId="77777777" w:rsidR="00766627" w:rsidRPr="002830AD" w:rsidRDefault="00766627" w:rsidP="00766627">
            <w:pPr>
              <w:spacing w:after="0" w:line="240" w:lineRule="auto"/>
              <w:jc w:val="both"/>
              <w:rPr>
                <w:rFonts w:ascii="Times New Roman" w:hAnsi="Times New Roman"/>
                <w:b/>
                <w:sz w:val="20"/>
                <w:szCs w:val="20"/>
                <w:lang w:val="en-US"/>
              </w:rPr>
            </w:pPr>
          </w:p>
          <w:p w14:paraId="1746407B" w14:textId="77777777" w:rsidR="00766627" w:rsidRPr="00EF26FF" w:rsidRDefault="00766627" w:rsidP="00766627">
            <w:pPr>
              <w:spacing w:after="0" w:line="240" w:lineRule="auto"/>
              <w:jc w:val="both"/>
              <w:rPr>
                <w:rFonts w:ascii="Times New Roman" w:hAnsi="Times New Roman"/>
                <w:bCs/>
                <w:i/>
                <w:iCs/>
                <w:sz w:val="20"/>
                <w:szCs w:val="20"/>
                <w:lang w:val="en-US"/>
              </w:rPr>
            </w:pPr>
            <w:r w:rsidRPr="00EF26FF">
              <w:rPr>
                <w:rFonts w:ascii="Times New Roman" w:hAnsi="Times New Roman"/>
                <w:bCs/>
                <w:i/>
                <w:iCs/>
                <w:sz w:val="20"/>
                <w:szCs w:val="20"/>
                <w:lang w:val="en-US"/>
              </w:rPr>
              <w:t>Keywords: Environment, social, governance, firm value</w:t>
            </w:r>
          </w:p>
          <w:p w14:paraId="7D2466A7" w14:textId="77777777" w:rsidR="00B43928" w:rsidRPr="002830AD" w:rsidRDefault="00B43928" w:rsidP="00B831FA">
            <w:pPr>
              <w:widowControl w:val="0"/>
              <w:spacing w:after="0" w:line="240" w:lineRule="auto"/>
              <w:jc w:val="both"/>
              <w:rPr>
                <w:rFonts w:asciiTheme="majorHAnsi" w:hAnsiTheme="majorHAnsi" w:cs="Aparajita"/>
                <w:szCs w:val="20"/>
                <w:lang w:val="en-US"/>
              </w:rPr>
            </w:pPr>
          </w:p>
          <w:p w14:paraId="788308CE" w14:textId="5D3826F5" w:rsidR="00766627" w:rsidRPr="002830AD" w:rsidRDefault="005E59EE" w:rsidP="00766627">
            <w:pPr>
              <w:pStyle w:val="AbstractTitle"/>
              <w:ind w:right="31"/>
              <w:jc w:val="both"/>
              <w:rPr>
                <w:lang w:val="en-US"/>
              </w:rPr>
            </w:pPr>
            <w:proofErr w:type="spellStart"/>
            <w:r w:rsidRPr="002830AD">
              <w:rPr>
                <w:b w:val="0"/>
                <w:lang w:val="en-US"/>
              </w:rPr>
              <w:t>Penelitian</w:t>
            </w:r>
            <w:proofErr w:type="spellEnd"/>
            <w:r w:rsidRPr="002830AD">
              <w:rPr>
                <w:b w:val="0"/>
                <w:lang w:val="en-US"/>
              </w:rPr>
              <w:t xml:space="preserve"> </w:t>
            </w:r>
            <w:proofErr w:type="spellStart"/>
            <w:r w:rsidRPr="002830AD">
              <w:rPr>
                <w:b w:val="0"/>
                <w:lang w:val="en-US"/>
              </w:rPr>
              <w:t>ini</w:t>
            </w:r>
            <w:proofErr w:type="spellEnd"/>
            <w:r w:rsidRPr="002830AD">
              <w:rPr>
                <w:b w:val="0"/>
                <w:lang w:val="en-US"/>
              </w:rPr>
              <w:t xml:space="preserve"> </w:t>
            </w:r>
            <w:proofErr w:type="spellStart"/>
            <w:r w:rsidRPr="002830AD">
              <w:rPr>
                <w:b w:val="0"/>
                <w:lang w:val="en-US"/>
              </w:rPr>
              <w:t>dilakukan</w:t>
            </w:r>
            <w:proofErr w:type="spellEnd"/>
            <w:r w:rsidRPr="002830AD">
              <w:rPr>
                <w:b w:val="0"/>
                <w:lang w:val="en-US"/>
              </w:rPr>
              <w:t xml:space="preserve"> </w:t>
            </w:r>
            <w:proofErr w:type="spellStart"/>
            <w:r w:rsidRPr="002830AD">
              <w:rPr>
                <w:b w:val="0"/>
                <w:lang w:val="en-US"/>
              </w:rPr>
              <w:t>bertujuan</w:t>
            </w:r>
            <w:proofErr w:type="spellEnd"/>
            <w:r w:rsidRPr="002830AD">
              <w:rPr>
                <w:b w:val="0"/>
                <w:lang w:val="en-US"/>
              </w:rPr>
              <w:t xml:space="preserve"> </w:t>
            </w:r>
            <w:proofErr w:type="spellStart"/>
            <w:r w:rsidRPr="002830AD">
              <w:rPr>
                <w:b w:val="0"/>
                <w:lang w:val="en-US"/>
              </w:rPr>
              <w:t>untuk</w:t>
            </w:r>
            <w:proofErr w:type="spellEnd"/>
            <w:r w:rsidRPr="002830AD">
              <w:rPr>
                <w:b w:val="0"/>
                <w:lang w:val="en-US"/>
              </w:rPr>
              <w:t xml:space="preserve"> </w:t>
            </w:r>
            <w:proofErr w:type="spellStart"/>
            <w:r w:rsidRPr="002830AD">
              <w:rPr>
                <w:b w:val="0"/>
                <w:lang w:val="en-US"/>
              </w:rPr>
              <w:t>mengetahui</w:t>
            </w:r>
            <w:proofErr w:type="spellEnd"/>
            <w:r w:rsidRPr="002830AD">
              <w:rPr>
                <w:b w:val="0"/>
                <w:lang w:val="en-US"/>
              </w:rPr>
              <w:t xml:space="preserve"> </w:t>
            </w:r>
            <w:proofErr w:type="spellStart"/>
            <w:r w:rsidRPr="002830AD">
              <w:rPr>
                <w:b w:val="0"/>
                <w:lang w:val="en-US"/>
              </w:rPr>
              <w:t>pengaruh</w:t>
            </w:r>
            <w:proofErr w:type="spellEnd"/>
            <w:r w:rsidRPr="002830AD">
              <w:rPr>
                <w:b w:val="0"/>
                <w:lang w:val="en-US"/>
              </w:rPr>
              <w:t xml:space="preserve"> environment, social dan governance (ESG) disclosure </w:t>
            </w:r>
            <w:proofErr w:type="spellStart"/>
            <w:r w:rsidRPr="002830AD">
              <w:rPr>
                <w:b w:val="0"/>
                <w:lang w:val="en-US"/>
              </w:rPr>
              <w:t>terhadap</w:t>
            </w:r>
            <w:proofErr w:type="spellEnd"/>
            <w:r w:rsidRPr="002830AD">
              <w:rPr>
                <w:b w:val="0"/>
                <w:lang w:val="en-US"/>
              </w:rPr>
              <w:t xml:space="preserve"> </w:t>
            </w:r>
            <w:proofErr w:type="spellStart"/>
            <w:r w:rsidRPr="002830AD">
              <w:rPr>
                <w:b w:val="0"/>
                <w:lang w:val="en-US"/>
              </w:rPr>
              <w:t>nilai</w:t>
            </w:r>
            <w:proofErr w:type="spellEnd"/>
            <w:r w:rsidRPr="002830AD">
              <w:rPr>
                <w:b w:val="0"/>
                <w:lang w:val="en-US"/>
              </w:rPr>
              <w:t xml:space="preserve"> </w:t>
            </w:r>
            <w:proofErr w:type="spellStart"/>
            <w:r w:rsidRPr="002830AD">
              <w:rPr>
                <w:b w:val="0"/>
                <w:lang w:val="en-US"/>
              </w:rPr>
              <w:t>perusahaan</w:t>
            </w:r>
            <w:proofErr w:type="spellEnd"/>
            <w:r w:rsidRPr="002830AD">
              <w:rPr>
                <w:b w:val="0"/>
                <w:lang w:val="en-US"/>
              </w:rPr>
              <w:t xml:space="preserve">. </w:t>
            </w:r>
            <w:proofErr w:type="spellStart"/>
            <w:r w:rsidRPr="002830AD">
              <w:rPr>
                <w:b w:val="0"/>
                <w:lang w:val="en-US"/>
              </w:rPr>
              <w:t>Sampel</w:t>
            </w:r>
            <w:proofErr w:type="spellEnd"/>
            <w:r w:rsidRPr="002830AD">
              <w:rPr>
                <w:b w:val="0"/>
                <w:lang w:val="en-US"/>
              </w:rPr>
              <w:t xml:space="preserve"> yang </w:t>
            </w:r>
            <w:proofErr w:type="spellStart"/>
            <w:r w:rsidRPr="002830AD">
              <w:rPr>
                <w:b w:val="0"/>
                <w:lang w:val="en-US"/>
              </w:rPr>
              <w:t>digunakan</w:t>
            </w:r>
            <w:proofErr w:type="spellEnd"/>
            <w:r w:rsidRPr="002830AD">
              <w:rPr>
                <w:b w:val="0"/>
                <w:lang w:val="en-US"/>
              </w:rPr>
              <w:t xml:space="preserve"> </w:t>
            </w:r>
            <w:proofErr w:type="spellStart"/>
            <w:r w:rsidRPr="002830AD">
              <w:rPr>
                <w:b w:val="0"/>
                <w:lang w:val="en-US"/>
              </w:rPr>
              <w:t>adalah</w:t>
            </w:r>
            <w:proofErr w:type="spellEnd"/>
            <w:r w:rsidRPr="002830AD">
              <w:rPr>
                <w:b w:val="0"/>
                <w:lang w:val="en-US"/>
              </w:rPr>
              <w:t xml:space="preserve"> </w:t>
            </w:r>
            <w:proofErr w:type="spellStart"/>
            <w:r w:rsidRPr="002830AD">
              <w:rPr>
                <w:b w:val="0"/>
                <w:lang w:val="en-US"/>
              </w:rPr>
              <w:t>semua</w:t>
            </w:r>
            <w:proofErr w:type="spellEnd"/>
            <w:r w:rsidRPr="002830AD">
              <w:rPr>
                <w:b w:val="0"/>
                <w:lang w:val="en-US"/>
              </w:rPr>
              <w:t xml:space="preserve"> </w:t>
            </w:r>
            <w:proofErr w:type="spellStart"/>
            <w:r w:rsidRPr="002830AD">
              <w:rPr>
                <w:b w:val="0"/>
                <w:lang w:val="en-US"/>
              </w:rPr>
              <w:t>perusahaan</w:t>
            </w:r>
            <w:proofErr w:type="spellEnd"/>
            <w:r w:rsidRPr="002830AD">
              <w:rPr>
                <w:b w:val="0"/>
                <w:lang w:val="en-US"/>
              </w:rPr>
              <w:t xml:space="preserve"> yang </w:t>
            </w:r>
            <w:proofErr w:type="spellStart"/>
            <w:r w:rsidRPr="002830AD">
              <w:rPr>
                <w:b w:val="0"/>
                <w:lang w:val="en-US"/>
              </w:rPr>
              <w:t>terdaftar</w:t>
            </w:r>
            <w:proofErr w:type="spellEnd"/>
            <w:r w:rsidRPr="002830AD">
              <w:rPr>
                <w:b w:val="0"/>
                <w:lang w:val="en-US"/>
              </w:rPr>
              <w:t xml:space="preserve"> di Bursa </w:t>
            </w:r>
            <w:proofErr w:type="spellStart"/>
            <w:r w:rsidRPr="002830AD">
              <w:rPr>
                <w:b w:val="0"/>
                <w:lang w:val="en-US"/>
              </w:rPr>
              <w:t>Efek</w:t>
            </w:r>
            <w:proofErr w:type="spellEnd"/>
            <w:r w:rsidRPr="002830AD">
              <w:rPr>
                <w:b w:val="0"/>
                <w:lang w:val="en-US"/>
              </w:rPr>
              <w:t xml:space="preserve"> Indonesia </w:t>
            </w:r>
            <w:proofErr w:type="spellStart"/>
            <w:r w:rsidRPr="002830AD">
              <w:rPr>
                <w:b w:val="0"/>
                <w:lang w:val="en-US"/>
              </w:rPr>
              <w:t>periode</w:t>
            </w:r>
            <w:proofErr w:type="spellEnd"/>
            <w:r w:rsidRPr="002830AD">
              <w:rPr>
                <w:b w:val="0"/>
                <w:lang w:val="en-US"/>
              </w:rPr>
              <w:t xml:space="preserve"> 2016-2020 </w:t>
            </w:r>
            <w:proofErr w:type="spellStart"/>
            <w:r w:rsidRPr="002830AD">
              <w:rPr>
                <w:b w:val="0"/>
                <w:lang w:val="en-US"/>
              </w:rPr>
              <w:t>sebanyak</w:t>
            </w:r>
            <w:proofErr w:type="spellEnd"/>
            <w:r w:rsidRPr="002830AD">
              <w:rPr>
                <w:b w:val="0"/>
                <w:lang w:val="en-US"/>
              </w:rPr>
              <w:t xml:space="preserve"> 27 </w:t>
            </w:r>
            <w:proofErr w:type="spellStart"/>
            <w:r w:rsidRPr="002830AD">
              <w:rPr>
                <w:b w:val="0"/>
                <w:lang w:val="en-US"/>
              </w:rPr>
              <w:t>perusahaan</w:t>
            </w:r>
            <w:proofErr w:type="spellEnd"/>
            <w:r w:rsidRPr="002830AD">
              <w:rPr>
                <w:b w:val="0"/>
                <w:lang w:val="en-US"/>
              </w:rPr>
              <w:t xml:space="preserve"> yang </w:t>
            </w:r>
            <w:proofErr w:type="spellStart"/>
            <w:r w:rsidRPr="002830AD">
              <w:rPr>
                <w:b w:val="0"/>
                <w:lang w:val="en-US"/>
              </w:rPr>
              <w:t>dipilih</w:t>
            </w:r>
            <w:proofErr w:type="spellEnd"/>
            <w:r w:rsidRPr="002830AD">
              <w:rPr>
                <w:b w:val="0"/>
                <w:lang w:val="en-US"/>
              </w:rPr>
              <w:t xml:space="preserve"> </w:t>
            </w:r>
            <w:proofErr w:type="spellStart"/>
            <w:r w:rsidRPr="002830AD">
              <w:rPr>
                <w:b w:val="0"/>
                <w:lang w:val="en-US"/>
              </w:rPr>
              <w:t>dengan</w:t>
            </w:r>
            <w:proofErr w:type="spellEnd"/>
            <w:r w:rsidRPr="002830AD">
              <w:rPr>
                <w:b w:val="0"/>
                <w:lang w:val="en-US"/>
              </w:rPr>
              <w:t xml:space="preserve"> </w:t>
            </w:r>
            <w:proofErr w:type="spellStart"/>
            <w:r w:rsidRPr="002830AD">
              <w:rPr>
                <w:b w:val="0"/>
                <w:lang w:val="en-US"/>
              </w:rPr>
              <w:t>menggunakan</w:t>
            </w:r>
            <w:proofErr w:type="spellEnd"/>
            <w:r w:rsidRPr="002830AD">
              <w:rPr>
                <w:b w:val="0"/>
                <w:lang w:val="en-US"/>
              </w:rPr>
              <w:t xml:space="preserve"> </w:t>
            </w:r>
            <w:proofErr w:type="spellStart"/>
            <w:r w:rsidRPr="002830AD">
              <w:rPr>
                <w:b w:val="0"/>
                <w:lang w:val="en-US"/>
              </w:rPr>
              <w:t>teknik</w:t>
            </w:r>
            <w:proofErr w:type="spellEnd"/>
            <w:r w:rsidRPr="002830AD">
              <w:rPr>
                <w:b w:val="0"/>
                <w:lang w:val="en-US"/>
              </w:rPr>
              <w:t xml:space="preserve"> purposive sampling. </w:t>
            </w:r>
            <w:proofErr w:type="spellStart"/>
            <w:r w:rsidRPr="002830AD">
              <w:rPr>
                <w:b w:val="0"/>
                <w:lang w:val="en-US"/>
              </w:rPr>
              <w:t>Penelitian</w:t>
            </w:r>
            <w:proofErr w:type="spellEnd"/>
            <w:r w:rsidRPr="002830AD">
              <w:rPr>
                <w:b w:val="0"/>
                <w:lang w:val="en-US"/>
              </w:rPr>
              <w:t xml:space="preserve"> </w:t>
            </w:r>
            <w:proofErr w:type="spellStart"/>
            <w:r w:rsidRPr="002830AD">
              <w:rPr>
                <w:b w:val="0"/>
                <w:lang w:val="en-US"/>
              </w:rPr>
              <w:t>ini</w:t>
            </w:r>
            <w:proofErr w:type="spellEnd"/>
            <w:r w:rsidRPr="002830AD">
              <w:rPr>
                <w:b w:val="0"/>
                <w:lang w:val="en-US"/>
              </w:rPr>
              <w:t xml:space="preserve"> </w:t>
            </w:r>
            <w:proofErr w:type="spellStart"/>
            <w:r w:rsidRPr="002830AD">
              <w:rPr>
                <w:b w:val="0"/>
                <w:lang w:val="en-US"/>
              </w:rPr>
              <w:t>menggunakan</w:t>
            </w:r>
            <w:proofErr w:type="spellEnd"/>
            <w:r w:rsidRPr="002830AD">
              <w:rPr>
                <w:b w:val="0"/>
                <w:lang w:val="en-US"/>
              </w:rPr>
              <w:t xml:space="preserve"> </w:t>
            </w:r>
            <w:proofErr w:type="spellStart"/>
            <w:r w:rsidRPr="002830AD">
              <w:rPr>
                <w:b w:val="0"/>
                <w:lang w:val="en-US"/>
              </w:rPr>
              <w:t>analisis</w:t>
            </w:r>
            <w:proofErr w:type="spellEnd"/>
            <w:r w:rsidRPr="002830AD">
              <w:rPr>
                <w:b w:val="0"/>
                <w:lang w:val="en-US"/>
              </w:rPr>
              <w:t xml:space="preserve"> </w:t>
            </w:r>
            <w:proofErr w:type="spellStart"/>
            <w:r w:rsidRPr="002830AD">
              <w:rPr>
                <w:b w:val="0"/>
                <w:lang w:val="en-US"/>
              </w:rPr>
              <w:t>regresi</w:t>
            </w:r>
            <w:proofErr w:type="spellEnd"/>
            <w:r w:rsidRPr="002830AD">
              <w:rPr>
                <w:b w:val="0"/>
                <w:lang w:val="en-US"/>
              </w:rPr>
              <w:t xml:space="preserve"> data panel. </w:t>
            </w:r>
            <w:proofErr w:type="spellStart"/>
            <w:r w:rsidRPr="002830AD">
              <w:rPr>
                <w:b w:val="0"/>
                <w:lang w:val="en-US"/>
              </w:rPr>
              <w:t>Hasil</w:t>
            </w:r>
            <w:proofErr w:type="spellEnd"/>
            <w:r w:rsidRPr="002830AD">
              <w:rPr>
                <w:b w:val="0"/>
                <w:lang w:val="en-US"/>
              </w:rPr>
              <w:t xml:space="preserve"> </w:t>
            </w:r>
            <w:proofErr w:type="spellStart"/>
            <w:r w:rsidRPr="002830AD">
              <w:rPr>
                <w:b w:val="0"/>
                <w:lang w:val="en-US"/>
              </w:rPr>
              <w:t>penelitian</w:t>
            </w:r>
            <w:proofErr w:type="spellEnd"/>
            <w:r w:rsidRPr="002830AD">
              <w:rPr>
                <w:b w:val="0"/>
                <w:lang w:val="en-US"/>
              </w:rPr>
              <w:t xml:space="preserve"> </w:t>
            </w:r>
            <w:proofErr w:type="spellStart"/>
            <w:r w:rsidRPr="002830AD">
              <w:rPr>
                <w:b w:val="0"/>
                <w:lang w:val="en-US"/>
              </w:rPr>
              <w:t>menunjukkan</w:t>
            </w:r>
            <w:proofErr w:type="spellEnd"/>
            <w:r w:rsidRPr="002830AD">
              <w:rPr>
                <w:b w:val="0"/>
                <w:lang w:val="en-US"/>
              </w:rPr>
              <w:t xml:space="preserve"> </w:t>
            </w:r>
            <w:proofErr w:type="spellStart"/>
            <w:r w:rsidRPr="002830AD">
              <w:rPr>
                <w:b w:val="0"/>
                <w:lang w:val="en-US"/>
              </w:rPr>
              <w:t>bahwa</w:t>
            </w:r>
            <w:proofErr w:type="spellEnd"/>
            <w:r w:rsidRPr="002830AD">
              <w:rPr>
                <w:b w:val="0"/>
                <w:lang w:val="en-US"/>
              </w:rPr>
              <w:t xml:space="preserve"> environment </w:t>
            </w:r>
            <w:proofErr w:type="spellStart"/>
            <w:r w:rsidRPr="002830AD">
              <w:rPr>
                <w:b w:val="0"/>
                <w:lang w:val="en-US"/>
              </w:rPr>
              <w:t>dan</w:t>
            </w:r>
            <w:proofErr w:type="spellEnd"/>
            <w:r w:rsidRPr="002830AD">
              <w:rPr>
                <w:b w:val="0"/>
                <w:lang w:val="en-US"/>
              </w:rPr>
              <w:t xml:space="preserve"> social disclosure </w:t>
            </w:r>
            <w:proofErr w:type="spellStart"/>
            <w:r w:rsidRPr="002830AD">
              <w:rPr>
                <w:b w:val="0"/>
                <w:lang w:val="en-US"/>
              </w:rPr>
              <w:t>berpengaruh</w:t>
            </w:r>
            <w:proofErr w:type="spellEnd"/>
            <w:r w:rsidRPr="002830AD">
              <w:rPr>
                <w:b w:val="0"/>
                <w:lang w:val="en-US"/>
              </w:rPr>
              <w:t xml:space="preserve"> </w:t>
            </w:r>
            <w:proofErr w:type="spellStart"/>
            <w:r w:rsidRPr="002830AD">
              <w:rPr>
                <w:b w:val="0"/>
                <w:lang w:val="en-US"/>
              </w:rPr>
              <w:t>positif</w:t>
            </w:r>
            <w:proofErr w:type="spellEnd"/>
            <w:r w:rsidRPr="002830AD">
              <w:rPr>
                <w:b w:val="0"/>
                <w:lang w:val="en-US"/>
              </w:rPr>
              <w:t xml:space="preserve"> </w:t>
            </w:r>
            <w:proofErr w:type="spellStart"/>
            <w:r w:rsidRPr="002830AD">
              <w:rPr>
                <w:b w:val="0"/>
                <w:lang w:val="en-US"/>
              </w:rPr>
              <w:t>dan</w:t>
            </w:r>
            <w:proofErr w:type="spellEnd"/>
            <w:r w:rsidRPr="002830AD">
              <w:rPr>
                <w:b w:val="0"/>
                <w:lang w:val="en-US"/>
              </w:rPr>
              <w:t xml:space="preserve"> </w:t>
            </w:r>
            <w:proofErr w:type="spellStart"/>
            <w:r w:rsidRPr="002830AD">
              <w:rPr>
                <w:b w:val="0"/>
                <w:lang w:val="en-US"/>
              </w:rPr>
              <w:t>signifikan</w:t>
            </w:r>
            <w:proofErr w:type="spellEnd"/>
            <w:r w:rsidRPr="002830AD">
              <w:rPr>
                <w:b w:val="0"/>
                <w:lang w:val="en-US"/>
              </w:rPr>
              <w:t xml:space="preserve"> </w:t>
            </w:r>
            <w:proofErr w:type="spellStart"/>
            <w:r w:rsidRPr="002830AD">
              <w:rPr>
                <w:b w:val="0"/>
                <w:lang w:val="en-US"/>
              </w:rPr>
              <w:t>terhadap</w:t>
            </w:r>
            <w:proofErr w:type="spellEnd"/>
            <w:r w:rsidRPr="002830AD">
              <w:rPr>
                <w:b w:val="0"/>
                <w:lang w:val="en-US"/>
              </w:rPr>
              <w:t xml:space="preserve"> </w:t>
            </w:r>
            <w:proofErr w:type="spellStart"/>
            <w:r w:rsidRPr="002830AD">
              <w:rPr>
                <w:b w:val="0"/>
                <w:lang w:val="en-US"/>
              </w:rPr>
              <w:t>nilai</w:t>
            </w:r>
            <w:proofErr w:type="spellEnd"/>
            <w:r w:rsidRPr="002830AD">
              <w:rPr>
                <w:b w:val="0"/>
                <w:lang w:val="en-US"/>
              </w:rPr>
              <w:t xml:space="preserve"> </w:t>
            </w:r>
            <w:proofErr w:type="spellStart"/>
            <w:r w:rsidRPr="002830AD">
              <w:rPr>
                <w:b w:val="0"/>
                <w:lang w:val="en-US"/>
              </w:rPr>
              <w:t>perusahaan</w:t>
            </w:r>
            <w:proofErr w:type="spellEnd"/>
            <w:r w:rsidRPr="002830AD">
              <w:rPr>
                <w:b w:val="0"/>
                <w:lang w:val="en-US"/>
              </w:rPr>
              <w:t xml:space="preserve">. </w:t>
            </w:r>
            <w:proofErr w:type="spellStart"/>
            <w:r w:rsidRPr="002830AD">
              <w:rPr>
                <w:b w:val="0"/>
                <w:lang w:val="en-US"/>
              </w:rPr>
              <w:t>Sedangkan</w:t>
            </w:r>
            <w:proofErr w:type="spellEnd"/>
            <w:r w:rsidRPr="002830AD">
              <w:rPr>
                <w:b w:val="0"/>
                <w:lang w:val="en-US"/>
              </w:rPr>
              <w:t xml:space="preserve"> governance disclosure </w:t>
            </w:r>
            <w:proofErr w:type="spellStart"/>
            <w:r w:rsidRPr="002830AD">
              <w:rPr>
                <w:b w:val="0"/>
                <w:lang w:val="en-US"/>
              </w:rPr>
              <w:t>berpengaruh</w:t>
            </w:r>
            <w:proofErr w:type="spellEnd"/>
            <w:r w:rsidRPr="002830AD">
              <w:rPr>
                <w:b w:val="0"/>
                <w:lang w:val="en-US"/>
              </w:rPr>
              <w:t xml:space="preserve"> </w:t>
            </w:r>
            <w:proofErr w:type="spellStart"/>
            <w:r w:rsidRPr="002830AD">
              <w:rPr>
                <w:b w:val="0"/>
                <w:lang w:val="en-US"/>
              </w:rPr>
              <w:t>negatif</w:t>
            </w:r>
            <w:proofErr w:type="spellEnd"/>
            <w:r w:rsidRPr="002830AD">
              <w:rPr>
                <w:b w:val="0"/>
                <w:lang w:val="en-US"/>
              </w:rPr>
              <w:t xml:space="preserve"> </w:t>
            </w:r>
            <w:proofErr w:type="spellStart"/>
            <w:r w:rsidRPr="002830AD">
              <w:rPr>
                <w:b w:val="0"/>
                <w:lang w:val="en-US"/>
              </w:rPr>
              <w:t>dan</w:t>
            </w:r>
            <w:proofErr w:type="spellEnd"/>
            <w:r w:rsidRPr="002830AD">
              <w:rPr>
                <w:b w:val="0"/>
                <w:lang w:val="en-US"/>
              </w:rPr>
              <w:t xml:space="preserve"> </w:t>
            </w:r>
            <w:proofErr w:type="spellStart"/>
            <w:r w:rsidRPr="002830AD">
              <w:rPr>
                <w:b w:val="0"/>
                <w:lang w:val="en-US"/>
              </w:rPr>
              <w:t>signifikan</w:t>
            </w:r>
            <w:proofErr w:type="spellEnd"/>
            <w:r w:rsidRPr="002830AD">
              <w:rPr>
                <w:b w:val="0"/>
                <w:lang w:val="en-US"/>
              </w:rPr>
              <w:t xml:space="preserve"> </w:t>
            </w:r>
            <w:proofErr w:type="spellStart"/>
            <w:r w:rsidRPr="002830AD">
              <w:rPr>
                <w:b w:val="0"/>
                <w:lang w:val="en-US"/>
              </w:rPr>
              <w:t>terhadap</w:t>
            </w:r>
            <w:proofErr w:type="spellEnd"/>
            <w:r w:rsidRPr="002830AD">
              <w:rPr>
                <w:b w:val="0"/>
                <w:lang w:val="en-US"/>
              </w:rPr>
              <w:t xml:space="preserve"> </w:t>
            </w:r>
            <w:proofErr w:type="spellStart"/>
            <w:r w:rsidRPr="002830AD">
              <w:rPr>
                <w:b w:val="0"/>
                <w:lang w:val="en-US"/>
              </w:rPr>
              <w:t>nilai</w:t>
            </w:r>
            <w:proofErr w:type="spellEnd"/>
            <w:r w:rsidRPr="002830AD">
              <w:rPr>
                <w:b w:val="0"/>
                <w:lang w:val="en-US"/>
              </w:rPr>
              <w:t xml:space="preserve"> </w:t>
            </w:r>
            <w:proofErr w:type="spellStart"/>
            <w:r w:rsidRPr="002830AD">
              <w:rPr>
                <w:b w:val="0"/>
                <w:lang w:val="en-US"/>
              </w:rPr>
              <w:t>perusahaan</w:t>
            </w:r>
            <w:proofErr w:type="spellEnd"/>
            <w:r w:rsidRPr="002830AD">
              <w:rPr>
                <w:b w:val="0"/>
                <w:lang w:val="en-US"/>
              </w:rPr>
              <w:t xml:space="preserve">. </w:t>
            </w:r>
            <w:proofErr w:type="spellStart"/>
            <w:r w:rsidRPr="002830AD">
              <w:rPr>
                <w:b w:val="0"/>
                <w:lang w:val="en-US"/>
              </w:rPr>
              <w:t>Pengujian</w:t>
            </w:r>
            <w:proofErr w:type="spellEnd"/>
            <w:r w:rsidRPr="002830AD">
              <w:rPr>
                <w:b w:val="0"/>
                <w:lang w:val="en-US"/>
              </w:rPr>
              <w:t xml:space="preserve"> </w:t>
            </w:r>
            <w:proofErr w:type="spellStart"/>
            <w:r w:rsidRPr="002830AD">
              <w:rPr>
                <w:b w:val="0"/>
                <w:lang w:val="en-US"/>
              </w:rPr>
              <w:t>dengan</w:t>
            </w:r>
            <w:proofErr w:type="spellEnd"/>
            <w:r w:rsidRPr="002830AD">
              <w:rPr>
                <w:b w:val="0"/>
                <w:lang w:val="en-US"/>
              </w:rPr>
              <w:t xml:space="preserve"> </w:t>
            </w:r>
            <w:proofErr w:type="spellStart"/>
            <w:r w:rsidRPr="002830AD">
              <w:rPr>
                <w:b w:val="0"/>
                <w:lang w:val="en-US"/>
              </w:rPr>
              <w:t>variabel</w:t>
            </w:r>
            <w:proofErr w:type="spellEnd"/>
            <w:r w:rsidRPr="002830AD">
              <w:rPr>
                <w:b w:val="0"/>
                <w:lang w:val="en-US"/>
              </w:rPr>
              <w:t xml:space="preserve"> </w:t>
            </w:r>
            <w:proofErr w:type="spellStart"/>
            <w:r w:rsidRPr="002830AD">
              <w:rPr>
                <w:b w:val="0"/>
                <w:lang w:val="en-US"/>
              </w:rPr>
              <w:t>kontrol</w:t>
            </w:r>
            <w:proofErr w:type="spellEnd"/>
            <w:r w:rsidRPr="002830AD">
              <w:rPr>
                <w:b w:val="0"/>
                <w:lang w:val="en-US"/>
              </w:rPr>
              <w:t xml:space="preserve"> </w:t>
            </w:r>
            <w:proofErr w:type="spellStart"/>
            <w:r w:rsidRPr="002830AD">
              <w:rPr>
                <w:b w:val="0"/>
                <w:lang w:val="en-US"/>
              </w:rPr>
              <w:t>yaitu</w:t>
            </w:r>
            <w:proofErr w:type="spellEnd"/>
            <w:r w:rsidRPr="002830AD">
              <w:rPr>
                <w:b w:val="0"/>
                <w:lang w:val="en-US"/>
              </w:rPr>
              <w:t xml:space="preserve"> </w:t>
            </w:r>
            <w:proofErr w:type="spellStart"/>
            <w:r w:rsidRPr="002830AD">
              <w:rPr>
                <w:b w:val="0"/>
                <w:lang w:val="en-US"/>
              </w:rPr>
              <w:t>ukuran</w:t>
            </w:r>
            <w:proofErr w:type="spellEnd"/>
            <w:r w:rsidRPr="002830AD">
              <w:rPr>
                <w:b w:val="0"/>
                <w:lang w:val="en-US"/>
              </w:rPr>
              <w:t xml:space="preserve"> </w:t>
            </w:r>
            <w:proofErr w:type="spellStart"/>
            <w:r w:rsidRPr="002830AD">
              <w:rPr>
                <w:b w:val="0"/>
                <w:lang w:val="en-US"/>
              </w:rPr>
              <w:t>perusahaan</w:t>
            </w:r>
            <w:proofErr w:type="spellEnd"/>
            <w:r w:rsidRPr="002830AD">
              <w:rPr>
                <w:b w:val="0"/>
                <w:lang w:val="en-US"/>
              </w:rPr>
              <w:t xml:space="preserve"> </w:t>
            </w:r>
            <w:proofErr w:type="spellStart"/>
            <w:r w:rsidRPr="002830AD">
              <w:rPr>
                <w:b w:val="0"/>
                <w:lang w:val="en-US"/>
              </w:rPr>
              <w:t>secara</w:t>
            </w:r>
            <w:proofErr w:type="spellEnd"/>
            <w:r w:rsidRPr="002830AD">
              <w:rPr>
                <w:b w:val="0"/>
                <w:lang w:val="en-US"/>
              </w:rPr>
              <w:t xml:space="preserve"> </w:t>
            </w:r>
            <w:proofErr w:type="spellStart"/>
            <w:r w:rsidRPr="002830AD">
              <w:rPr>
                <w:b w:val="0"/>
                <w:lang w:val="en-US"/>
              </w:rPr>
              <w:t>parsial</w:t>
            </w:r>
            <w:proofErr w:type="spellEnd"/>
            <w:r w:rsidRPr="002830AD">
              <w:rPr>
                <w:b w:val="0"/>
                <w:lang w:val="en-US"/>
              </w:rPr>
              <w:t xml:space="preserve"> </w:t>
            </w:r>
            <w:proofErr w:type="spellStart"/>
            <w:r w:rsidRPr="002830AD">
              <w:rPr>
                <w:b w:val="0"/>
                <w:lang w:val="en-US"/>
              </w:rPr>
              <w:t>berpengaruh</w:t>
            </w:r>
            <w:proofErr w:type="spellEnd"/>
            <w:r w:rsidRPr="002830AD">
              <w:rPr>
                <w:b w:val="0"/>
                <w:lang w:val="en-US"/>
              </w:rPr>
              <w:t xml:space="preserve"> </w:t>
            </w:r>
            <w:proofErr w:type="spellStart"/>
            <w:r w:rsidRPr="002830AD">
              <w:rPr>
                <w:b w:val="0"/>
                <w:lang w:val="en-US"/>
              </w:rPr>
              <w:t>negatif</w:t>
            </w:r>
            <w:proofErr w:type="spellEnd"/>
            <w:r w:rsidRPr="002830AD">
              <w:rPr>
                <w:b w:val="0"/>
                <w:lang w:val="en-US"/>
              </w:rPr>
              <w:t xml:space="preserve"> </w:t>
            </w:r>
            <w:proofErr w:type="spellStart"/>
            <w:r w:rsidRPr="002830AD">
              <w:rPr>
                <w:b w:val="0"/>
                <w:lang w:val="en-US"/>
              </w:rPr>
              <w:t>signifikan</w:t>
            </w:r>
            <w:proofErr w:type="spellEnd"/>
            <w:r w:rsidRPr="002830AD">
              <w:rPr>
                <w:b w:val="0"/>
                <w:lang w:val="en-US"/>
              </w:rPr>
              <w:t xml:space="preserve"> </w:t>
            </w:r>
            <w:proofErr w:type="spellStart"/>
            <w:r w:rsidRPr="002830AD">
              <w:rPr>
                <w:b w:val="0"/>
                <w:lang w:val="en-US"/>
              </w:rPr>
              <w:t>terhadap</w:t>
            </w:r>
            <w:proofErr w:type="spellEnd"/>
            <w:r w:rsidRPr="002830AD">
              <w:rPr>
                <w:b w:val="0"/>
                <w:lang w:val="en-US"/>
              </w:rPr>
              <w:t xml:space="preserve"> </w:t>
            </w:r>
            <w:proofErr w:type="spellStart"/>
            <w:r w:rsidRPr="002830AD">
              <w:rPr>
                <w:b w:val="0"/>
                <w:lang w:val="en-US"/>
              </w:rPr>
              <w:t>nilai</w:t>
            </w:r>
            <w:proofErr w:type="spellEnd"/>
            <w:r w:rsidRPr="002830AD">
              <w:rPr>
                <w:b w:val="0"/>
                <w:lang w:val="en-US"/>
              </w:rPr>
              <w:t xml:space="preserve"> </w:t>
            </w:r>
            <w:proofErr w:type="spellStart"/>
            <w:r w:rsidRPr="002830AD">
              <w:rPr>
                <w:b w:val="0"/>
                <w:lang w:val="en-US"/>
              </w:rPr>
              <w:t>perusahaan</w:t>
            </w:r>
            <w:proofErr w:type="spellEnd"/>
            <w:r w:rsidRPr="002830AD">
              <w:rPr>
                <w:b w:val="0"/>
                <w:lang w:val="en-US"/>
              </w:rPr>
              <w:t xml:space="preserve">, </w:t>
            </w:r>
            <w:proofErr w:type="spellStart"/>
            <w:r w:rsidRPr="002830AD">
              <w:rPr>
                <w:b w:val="0"/>
                <w:lang w:val="en-US"/>
              </w:rPr>
              <w:t>sedangkan</w:t>
            </w:r>
            <w:proofErr w:type="spellEnd"/>
            <w:r w:rsidRPr="002830AD">
              <w:rPr>
                <w:b w:val="0"/>
                <w:lang w:val="en-US"/>
              </w:rPr>
              <w:t xml:space="preserve"> leverage </w:t>
            </w:r>
            <w:proofErr w:type="spellStart"/>
            <w:r w:rsidRPr="002830AD">
              <w:rPr>
                <w:b w:val="0"/>
                <w:lang w:val="en-US"/>
              </w:rPr>
              <w:t>dan</w:t>
            </w:r>
            <w:proofErr w:type="spellEnd"/>
            <w:r w:rsidRPr="002830AD">
              <w:rPr>
                <w:b w:val="0"/>
                <w:lang w:val="en-US"/>
              </w:rPr>
              <w:t xml:space="preserve"> </w:t>
            </w:r>
            <w:proofErr w:type="spellStart"/>
            <w:r w:rsidRPr="002830AD">
              <w:rPr>
                <w:b w:val="0"/>
                <w:lang w:val="en-US"/>
              </w:rPr>
              <w:t>profitabilitas</w:t>
            </w:r>
            <w:proofErr w:type="spellEnd"/>
            <w:r w:rsidRPr="002830AD">
              <w:rPr>
                <w:b w:val="0"/>
                <w:lang w:val="en-US"/>
              </w:rPr>
              <w:t xml:space="preserve"> </w:t>
            </w:r>
            <w:proofErr w:type="spellStart"/>
            <w:r w:rsidRPr="002830AD">
              <w:rPr>
                <w:b w:val="0"/>
                <w:lang w:val="en-US"/>
              </w:rPr>
              <w:t>secara</w:t>
            </w:r>
            <w:proofErr w:type="spellEnd"/>
            <w:r w:rsidRPr="002830AD">
              <w:rPr>
                <w:b w:val="0"/>
                <w:lang w:val="en-US"/>
              </w:rPr>
              <w:t xml:space="preserve"> </w:t>
            </w:r>
            <w:proofErr w:type="spellStart"/>
            <w:r w:rsidRPr="002830AD">
              <w:rPr>
                <w:b w:val="0"/>
                <w:lang w:val="en-US"/>
              </w:rPr>
              <w:t>parsial</w:t>
            </w:r>
            <w:proofErr w:type="spellEnd"/>
            <w:r w:rsidRPr="002830AD">
              <w:rPr>
                <w:b w:val="0"/>
                <w:lang w:val="en-US"/>
              </w:rPr>
              <w:t xml:space="preserve"> </w:t>
            </w:r>
            <w:proofErr w:type="spellStart"/>
            <w:r w:rsidRPr="002830AD">
              <w:rPr>
                <w:b w:val="0"/>
                <w:lang w:val="en-US"/>
              </w:rPr>
              <w:t>berpengaruh</w:t>
            </w:r>
            <w:proofErr w:type="spellEnd"/>
            <w:r w:rsidRPr="002830AD">
              <w:rPr>
                <w:b w:val="0"/>
                <w:lang w:val="en-US"/>
              </w:rPr>
              <w:t xml:space="preserve"> </w:t>
            </w:r>
            <w:proofErr w:type="spellStart"/>
            <w:r w:rsidRPr="002830AD">
              <w:rPr>
                <w:b w:val="0"/>
                <w:lang w:val="en-US"/>
              </w:rPr>
              <w:t>signifikan</w:t>
            </w:r>
            <w:proofErr w:type="spellEnd"/>
            <w:r w:rsidRPr="002830AD">
              <w:rPr>
                <w:b w:val="0"/>
                <w:lang w:val="en-US"/>
              </w:rPr>
              <w:t xml:space="preserve"> </w:t>
            </w:r>
            <w:proofErr w:type="spellStart"/>
            <w:r w:rsidRPr="002830AD">
              <w:rPr>
                <w:b w:val="0"/>
                <w:lang w:val="en-US"/>
              </w:rPr>
              <w:t>terhadap</w:t>
            </w:r>
            <w:proofErr w:type="spellEnd"/>
            <w:r w:rsidRPr="002830AD">
              <w:rPr>
                <w:b w:val="0"/>
                <w:lang w:val="en-US"/>
              </w:rPr>
              <w:t xml:space="preserve"> </w:t>
            </w:r>
            <w:proofErr w:type="spellStart"/>
            <w:r w:rsidRPr="002830AD">
              <w:rPr>
                <w:b w:val="0"/>
                <w:lang w:val="en-US"/>
              </w:rPr>
              <w:t>nilai</w:t>
            </w:r>
            <w:proofErr w:type="spellEnd"/>
            <w:r w:rsidRPr="002830AD">
              <w:rPr>
                <w:b w:val="0"/>
                <w:lang w:val="en-US"/>
              </w:rPr>
              <w:t xml:space="preserve"> </w:t>
            </w:r>
            <w:proofErr w:type="spellStart"/>
            <w:r w:rsidRPr="002830AD">
              <w:rPr>
                <w:b w:val="0"/>
                <w:lang w:val="en-US"/>
              </w:rPr>
              <w:t>perusahaan</w:t>
            </w:r>
            <w:proofErr w:type="spellEnd"/>
            <w:r w:rsidRPr="002830AD">
              <w:rPr>
                <w:b w:val="0"/>
                <w:lang w:val="en-US"/>
              </w:rPr>
              <w:t>.</w:t>
            </w:r>
          </w:p>
          <w:p w14:paraId="55F5B5A7" w14:textId="77777777" w:rsidR="00766627" w:rsidRPr="002830AD" w:rsidRDefault="00766627" w:rsidP="00766627">
            <w:pPr>
              <w:spacing w:after="0" w:line="240" w:lineRule="auto"/>
              <w:ind w:right="-1"/>
              <w:jc w:val="both"/>
              <w:rPr>
                <w:rFonts w:ascii="Times New Roman" w:hAnsi="Times New Roman"/>
                <w:b/>
                <w:sz w:val="18"/>
                <w:szCs w:val="18"/>
                <w:lang w:val="en-US"/>
              </w:rPr>
            </w:pPr>
          </w:p>
          <w:p w14:paraId="4E46BA62" w14:textId="77777777" w:rsidR="00B43928" w:rsidRPr="002830AD" w:rsidRDefault="00B43928" w:rsidP="00B831FA">
            <w:pPr>
              <w:widowControl w:val="0"/>
              <w:spacing w:after="0" w:line="240" w:lineRule="auto"/>
              <w:jc w:val="right"/>
              <w:rPr>
                <w:rFonts w:ascii="Aparajita" w:hAnsi="Aparajita" w:cs="Aparajita"/>
                <w:sz w:val="20"/>
                <w:szCs w:val="20"/>
                <w:lang w:val="en-US"/>
              </w:rPr>
            </w:pPr>
            <w:r w:rsidRPr="002830AD">
              <w:rPr>
                <w:rFonts w:ascii="Aparajita" w:hAnsi="Aparajita" w:cs="Aparajita"/>
                <w:bCs/>
                <w:color w:val="000000"/>
                <w:sz w:val="16"/>
                <w:szCs w:val="20"/>
                <w:lang w:val="en-US"/>
              </w:rPr>
              <w:t>d</w:t>
            </w:r>
          </w:p>
        </w:tc>
      </w:tr>
      <w:tr w:rsidR="00B43928" w:rsidRPr="002830AD" w14:paraId="1997905E" w14:textId="77777777" w:rsidTr="00B43928">
        <w:trPr>
          <w:trHeight w:val="2572"/>
          <w:jc w:val="center"/>
        </w:trPr>
        <w:tc>
          <w:tcPr>
            <w:tcW w:w="1985" w:type="dxa"/>
            <w:vMerge/>
            <w:tcBorders>
              <w:bottom w:val="single" w:sz="4" w:space="0" w:color="auto"/>
            </w:tcBorders>
          </w:tcPr>
          <w:p w14:paraId="7DD5A9A4" w14:textId="77777777" w:rsidR="00B43928" w:rsidRPr="002830AD" w:rsidRDefault="00B43928" w:rsidP="00B831FA">
            <w:pPr>
              <w:spacing w:after="0" w:line="240" w:lineRule="auto"/>
              <w:rPr>
                <w:rFonts w:ascii="Aparajita" w:eastAsia="MS Mincho" w:hAnsi="Aparajita" w:cs="Aparajita"/>
                <w:color w:val="000000"/>
                <w:sz w:val="18"/>
                <w:szCs w:val="18"/>
                <w:lang w:val="en-US" w:eastAsia="ar-SA"/>
              </w:rPr>
            </w:pPr>
          </w:p>
        </w:tc>
        <w:tc>
          <w:tcPr>
            <w:tcW w:w="284" w:type="dxa"/>
            <w:tcBorders>
              <w:top w:val="nil"/>
              <w:bottom w:val="nil"/>
            </w:tcBorders>
          </w:tcPr>
          <w:p w14:paraId="08D9F676" w14:textId="77777777" w:rsidR="00B43928" w:rsidRPr="002830AD" w:rsidRDefault="00B43928" w:rsidP="00B831FA">
            <w:pPr>
              <w:spacing w:after="0" w:line="240" w:lineRule="auto"/>
              <w:contextualSpacing/>
              <w:rPr>
                <w:rFonts w:ascii="Aparajita" w:hAnsi="Aparajita" w:cs="Aparajita"/>
                <w:color w:val="000000"/>
                <w:sz w:val="18"/>
                <w:szCs w:val="18"/>
                <w:lang w:val="en-US"/>
              </w:rPr>
            </w:pPr>
          </w:p>
          <w:p w14:paraId="2CD0C657" w14:textId="77777777" w:rsidR="00B43928" w:rsidRPr="002830AD" w:rsidRDefault="00B43928" w:rsidP="00B831FA">
            <w:pPr>
              <w:spacing w:after="0" w:line="240" w:lineRule="auto"/>
              <w:contextualSpacing/>
              <w:rPr>
                <w:rFonts w:ascii="Aparajita" w:hAnsi="Aparajita" w:cs="Aparajita"/>
                <w:color w:val="000000"/>
                <w:sz w:val="18"/>
                <w:szCs w:val="18"/>
                <w:lang w:val="en-US"/>
              </w:rPr>
            </w:pPr>
          </w:p>
          <w:p w14:paraId="6055B74B" w14:textId="77777777" w:rsidR="00B43928" w:rsidRPr="002830AD" w:rsidRDefault="00B43928" w:rsidP="00B831FA">
            <w:pPr>
              <w:spacing w:after="0" w:line="240" w:lineRule="auto"/>
              <w:contextualSpacing/>
              <w:rPr>
                <w:rFonts w:ascii="Aparajita" w:hAnsi="Aparajita" w:cs="Aparajita"/>
                <w:color w:val="000000"/>
                <w:sz w:val="18"/>
                <w:szCs w:val="18"/>
                <w:lang w:val="en-US"/>
              </w:rPr>
            </w:pPr>
          </w:p>
          <w:p w14:paraId="5365A138" w14:textId="77777777" w:rsidR="00B43928" w:rsidRPr="002830AD" w:rsidRDefault="00B43928" w:rsidP="00B831FA">
            <w:pPr>
              <w:spacing w:after="0" w:line="240" w:lineRule="auto"/>
              <w:contextualSpacing/>
              <w:rPr>
                <w:rFonts w:ascii="Aparajita" w:hAnsi="Aparajita" w:cs="Aparajita"/>
                <w:color w:val="000000"/>
                <w:sz w:val="18"/>
                <w:szCs w:val="18"/>
                <w:lang w:val="en-US"/>
              </w:rPr>
            </w:pPr>
          </w:p>
          <w:p w14:paraId="7CE6CD89" w14:textId="77777777" w:rsidR="00B43928" w:rsidRPr="002830AD" w:rsidRDefault="00B43928" w:rsidP="00B831FA">
            <w:pPr>
              <w:spacing w:after="0" w:line="240" w:lineRule="auto"/>
              <w:contextualSpacing/>
              <w:rPr>
                <w:rFonts w:ascii="Aparajita" w:hAnsi="Aparajita" w:cs="Aparajita"/>
                <w:color w:val="000000"/>
                <w:sz w:val="18"/>
                <w:szCs w:val="18"/>
                <w:lang w:val="en-US"/>
              </w:rPr>
            </w:pPr>
          </w:p>
          <w:p w14:paraId="3D680C10" w14:textId="77777777" w:rsidR="00B43928" w:rsidRPr="002830AD" w:rsidRDefault="00B43928" w:rsidP="00B831FA">
            <w:pPr>
              <w:spacing w:after="0" w:line="240" w:lineRule="auto"/>
              <w:contextualSpacing/>
              <w:rPr>
                <w:rFonts w:ascii="Aparajita" w:hAnsi="Aparajita" w:cs="Aparajita"/>
                <w:color w:val="000000"/>
                <w:sz w:val="18"/>
                <w:szCs w:val="18"/>
                <w:lang w:val="en-US"/>
              </w:rPr>
            </w:pPr>
          </w:p>
          <w:p w14:paraId="5BA38F10" w14:textId="77777777" w:rsidR="00B43928" w:rsidRPr="002830AD" w:rsidRDefault="00B43928" w:rsidP="00B831FA">
            <w:pPr>
              <w:spacing w:after="0" w:line="240" w:lineRule="auto"/>
              <w:contextualSpacing/>
              <w:rPr>
                <w:rFonts w:ascii="Aparajita" w:hAnsi="Aparajita" w:cs="Aparajita"/>
                <w:color w:val="000000"/>
                <w:sz w:val="18"/>
                <w:szCs w:val="18"/>
                <w:lang w:val="en-US"/>
              </w:rPr>
            </w:pPr>
          </w:p>
        </w:tc>
        <w:tc>
          <w:tcPr>
            <w:tcW w:w="6804" w:type="dxa"/>
            <w:vMerge/>
            <w:tcBorders>
              <w:bottom w:val="single" w:sz="4" w:space="0" w:color="auto"/>
            </w:tcBorders>
          </w:tcPr>
          <w:p w14:paraId="2CB43D11" w14:textId="77777777" w:rsidR="00B43928" w:rsidRPr="002830AD" w:rsidRDefault="00B43928" w:rsidP="00B831FA">
            <w:pPr>
              <w:spacing w:after="0" w:line="240" w:lineRule="auto"/>
              <w:contextualSpacing/>
              <w:rPr>
                <w:rFonts w:ascii="Aparajita" w:hAnsi="Aparajita" w:cs="Aparajita"/>
                <w:color w:val="000000"/>
                <w:sz w:val="18"/>
                <w:szCs w:val="18"/>
                <w:lang w:val="en-US"/>
              </w:rPr>
            </w:pPr>
          </w:p>
        </w:tc>
      </w:tr>
    </w:tbl>
    <w:p w14:paraId="668A1BCC" w14:textId="77777777" w:rsidR="00B43928" w:rsidRPr="002830AD" w:rsidRDefault="00B43928" w:rsidP="009C615D">
      <w:pPr>
        <w:spacing w:after="0" w:line="360" w:lineRule="auto"/>
        <w:jc w:val="center"/>
        <w:rPr>
          <w:rFonts w:ascii="Book Antiqua" w:eastAsia="Book Antiqua" w:hAnsi="Book Antiqua" w:cs="Book Antiqua"/>
          <w:lang w:val="en-US"/>
        </w:rPr>
      </w:pPr>
    </w:p>
    <w:p w14:paraId="5B593D0C" w14:textId="77777777" w:rsidR="007C5F34" w:rsidRPr="002830AD" w:rsidRDefault="007C5F34" w:rsidP="007C5F34">
      <w:pPr>
        <w:autoSpaceDE w:val="0"/>
        <w:autoSpaceDN w:val="0"/>
        <w:adjustRightInd w:val="0"/>
        <w:spacing w:after="0" w:line="240" w:lineRule="auto"/>
        <w:rPr>
          <w:rFonts w:ascii="Times New Roman" w:hAnsi="Times New Roman"/>
          <w:b/>
          <w:bCs/>
          <w:sz w:val="24"/>
          <w:szCs w:val="24"/>
          <w:lang w:val="en-US"/>
        </w:rPr>
      </w:pPr>
      <w:r w:rsidRPr="002830AD">
        <w:rPr>
          <w:rFonts w:ascii="Times New Roman" w:hAnsi="Times New Roman"/>
          <w:b/>
          <w:bCs/>
          <w:sz w:val="24"/>
          <w:szCs w:val="24"/>
          <w:lang w:val="en-US"/>
        </w:rPr>
        <w:t>PRELIMINARY</w:t>
      </w:r>
    </w:p>
    <w:p w14:paraId="0987CA55" w14:textId="55E1597E" w:rsidR="007C5F34" w:rsidRPr="002830AD" w:rsidRDefault="007C5F34" w:rsidP="007C5F34">
      <w:pPr>
        <w:pStyle w:val="Body"/>
        <w:rPr>
          <w:sz w:val="24"/>
          <w:szCs w:val="24"/>
          <w:lang w:val="en-US"/>
        </w:rPr>
      </w:pPr>
      <w:r w:rsidRPr="002830AD">
        <w:rPr>
          <w:sz w:val="24"/>
          <w:szCs w:val="24"/>
          <w:lang w:val="en-US"/>
        </w:rPr>
        <w:t xml:space="preserve">In recent decades it has shown that there is a growing interest in the presentation and inclusion of non-financial information in reporting companies, investors are no longer only interested in the financial aspects of companies but see the company's potential for value creation and sustainable development </w:t>
      </w:r>
      <w:sdt>
        <w:sdtPr>
          <w:rPr>
            <w:color w:val="000000"/>
            <w:sz w:val="24"/>
            <w:szCs w:val="24"/>
            <w:lang w:val="en-US"/>
          </w:rPr>
          <w:tag w:val="MENDELEY_CITATION_v3_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"/>
          <w:id w:val="-1927953079"/>
          <w:placeholder>
            <w:docPart w:val="931EDBD165404AEB86C470CF23906452"/>
          </w:placeholder>
        </w:sdtPr>
        <w:sdtEndPr/>
        <w:sdtContent>
          <w:r w:rsidR="008F57C2" w:rsidRPr="008F57C2">
            <w:rPr>
              <w:color w:val="000000"/>
              <w:sz w:val="24"/>
              <w:szCs w:val="24"/>
              <w:lang w:val="en-US"/>
            </w:rPr>
            <w:t>(Constantinescu et al., 2021)</w:t>
          </w:r>
        </w:sdtContent>
      </w:sdt>
      <w:r w:rsidRPr="002830AD">
        <w:rPr>
          <w:sz w:val="24"/>
          <w:szCs w:val="24"/>
          <w:lang w:val="en-US"/>
        </w:rPr>
        <w:t>. The performance of non-financial companies is starting to receive attention as more and more investment professionals are realizing that profitability alone is not enough for a company's long-term growth. By looking beyond economic, strategic</w:t>
      </w:r>
      <w:r w:rsidR="00043A33">
        <w:rPr>
          <w:sz w:val="24"/>
          <w:szCs w:val="24"/>
          <w:lang w:val="en-US"/>
        </w:rPr>
        <w:t>,</w:t>
      </w:r>
      <w:r w:rsidRPr="002830AD">
        <w:rPr>
          <w:sz w:val="24"/>
          <w:szCs w:val="24"/>
          <w:lang w:val="en-US"/>
        </w:rPr>
        <w:t xml:space="preserve"> and operational factors to include environmental and social considerations, sustainability reporting helps increase corporate transparency, strengthen risk management, increase stakeholder engagement, and improve communication with stakeholders </w:t>
      </w:r>
      <w:sdt>
        <w:sdtPr>
          <w:rPr>
            <w:color w:val="000000"/>
            <w:sz w:val="24"/>
            <w:szCs w:val="24"/>
            <w:lang w:val="en-US"/>
          </w:rPr>
          <w:tag w:val="MENDELEY_CITATION_v3_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"/>
          <w:id w:val="-579981051"/>
          <w:placeholder>
            <w:docPart w:val="931EDBD165404AEB86C470CF23906452"/>
          </w:placeholder>
        </w:sdtPr>
        <w:sdtEndPr/>
        <w:sdtContent>
          <w:r w:rsidR="008F57C2" w:rsidRPr="008F57C2">
            <w:rPr>
              <w:color w:val="000000"/>
              <w:sz w:val="24"/>
              <w:szCs w:val="24"/>
              <w:lang w:val="en-US"/>
            </w:rPr>
            <w:t>(</w:t>
          </w:r>
          <w:proofErr w:type="spellStart"/>
          <w:r w:rsidR="008F57C2" w:rsidRPr="008F57C2">
            <w:rPr>
              <w:color w:val="000000"/>
              <w:sz w:val="24"/>
              <w:szCs w:val="24"/>
              <w:lang w:val="en-US"/>
            </w:rPr>
            <w:t>Loh</w:t>
          </w:r>
          <w:proofErr w:type="spellEnd"/>
          <w:r w:rsidR="008F57C2" w:rsidRPr="008F57C2">
            <w:rPr>
              <w:color w:val="000000"/>
              <w:sz w:val="24"/>
              <w:szCs w:val="24"/>
              <w:lang w:val="en-US"/>
            </w:rPr>
            <w:t xml:space="preserve"> et al., 2017)</w:t>
          </w:r>
        </w:sdtContent>
      </w:sdt>
      <w:r w:rsidRPr="002830AD">
        <w:rPr>
          <w:sz w:val="24"/>
          <w:szCs w:val="24"/>
          <w:lang w:val="en-US"/>
        </w:rPr>
        <w:t>.</w:t>
      </w:r>
    </w:p>
    <w:p w14:paraId="3969D19B" w14:textId="25922EAE" w:rsidR="007C5F34" w:rsidRPr="002830AD" w:rsidRDefault="007C5F34" w:rsidP="007C5F34">
      <w:pPr>
        <w:pStyle w:val="Body"/>
        <w:rPr>
          <w:sz w:val="24"/>
          <w:szCs w:val="24"/>
          <w:lang w:val="en-US"/>
        </w:rPr>
      </w:pPr>
      <w:r w:rsidRPr="002830AD">
        <w:rPr>
          <w:sz w:val="24"/>
          <w:szCs w:val="24"/>
          <w:lang w:val="en-US"/>
        </w:rPr>
        <w:t xml:space="preserve">Environment, social and governance become one of the factors that can affect the value of a company. Even when the whole world is experiencing the </w:t>
      </w:r>
      <w:r w:rsidR="00043A33">
        <w:rPr>
          <w:sz w:val="24"/>
          <w:szCs w:val="24"/>
          <w:lang w:val="en-US"/>
        </w:rPr>
        <w:t>c</w:t>
      </w:r>
      <w:r w:rsidRPr="002830AD">
        <w:rPr>
          <w:sz w:val="24"/>
          <w:szCs w:val="24"/>
          <w:lang w:val="en-US"/>
        </w:rPr>
        <w:t>ovid-19 pandemic which has caused an extraordinary economic crisis. However, the pandemic has increased awareness of the application of environment, social</w:t>
      </w:r>
      <w:r w:rsidR="00043A33">
        <w:rPr>
          <w:sz w:val="24"/>
          <w:szCs w:val="24"/>
          <w:lang w:val="en-US"/>
        </w:rPr>
        <w:t>,</w:t>
      </w:r>
      <w:r w:rsidRPr="002830AD">
        <w:rPr>
          <w:sz w:val="24"/>
          <w:szCs w:val="24"/>
          <w:lang w:val="en-US"/>
        </w:rPr>
        <w:t xml:space="preserve"> and governance (ESG) so that sustainable </w:t>
      </w:r>
      <w:r w:rsidR="005E59EE" w:rsidRPr="002830AD">
        <w:rPr>
          <w:sz w:val="24"/>
          <w:szCs w:val="24"/>
          <w:lang w:val="en-US"/>
        </w:rPr>
        <w:t>investing</w:t>
      </w:r>
      <w:r w:rsidRPr="002830AD">
        <w:rPr>
          <w:sz w:val="24"/>
          <w:szCs w:val="24"/>
          <w:lang w:val="en-US"/>
        </w:rPr>
        <w:t xml:space="preserve"> has become more desirable (www.idxchannel.com). As Schroders Global Investors study 2021 </w:t>
      </w:r>
      <w:r w:rsidRPr="002830AD">
        <w:rPr>
          <w:sz w:val="24"/>
          <w:szCs w:val="24"/>
          <w:lang w:val="en-US"/>
        </w:rPr>
        <w:lastRenderedPageBreak/>
        <w:t xml:space="preserve">examines the behavior and attitudes of more than 23,000 people investing in 33 locations worldwide, the results show that interest in sustainable investment funds has increased since 2020, interest in sustainable investments has increased by five 5 percentage points year-on-year, in addition to increasing interest in social and environmental issues. More than half of respondents feel that social issues (57%) and environmental (55%) are much more important than before the pandemic, while less than 10% think they are less important than before. In terms of the environment, respondents in Asia are most likely to say this is becoming more important, followed by respondents in America and Europe. This regional pattern also applies to social problems. These results show that sustainability investment has become an option in developing investment portfolios throughout the world, especially </w:t>
      </w:r>
      <w:r w:rsidR="005E59EE" w:rsidRPr="002830AD">
        <w:rPr>
          <w:sz w:val="24"/>
          <w:szCs w:val="24"/>
          <w:lang w:val="en-US"/>
        </w:rPr>
        <w:t xml:space="preserve">in </w:t>
      </w:r>
      <w:r w:rsidRPr="002830AD">
        <w:rPr>
          <w:sz w:val="24"/>
          <w:szCs w:val="24"/>
          <w:lang w:val="en-US"/>
        </w:rPr>
        <w:t>developing countries such as Indonesia.</w:t>
      </w:r>
    </w:p>
    <w:p w14:paraId="2B9B0006" w14:textId="6CD5DF6A" w:rsidR="007C5F34" w:rsidRPr="002830AD" w:rsidRDefault="007C5F34" w:rsidP="007C5F34">
      <w:pPr>
        <w:spacing w:after="0" w:line="240" w:lineRule="auto"/>
        <w:ind w:firstLine="426"/>
        <w:jc w:val="both"/>
        <w:rPr>
          <w:rFonts w:ascii="Times New Roman" w:hAnsi="Times New Roman"/>
          <w:sz w:val="24"/>
          <w:szCs w:val="24"/>
          <w:lang w:val="en-US"/>
        </w:rPr>
      </w:pPr>
      <w:r w:rsidRPr="002830AD">
        <w:rPr>
          <w:rFonts w:ascii="Times New Roman" w:hAnsi="Times New Roman"/>
          <w:sz w:val="24"/>
          <w:szCs w:val="24"/>
          <w:lang w:val="en-US"/>
        </w:rPr>
        <w:t xml:space="preserve">The independent variables used in this study include </w:t>
      </w:r>
      <w:r w:rsidR="00043A33" w:rsidRPr="002830AD">
        <w:rPr>
          <w:rFonts w:ascii="Times New Roman" w:hAnsi="Times New Roman"/>
          <w:sz w:val="24"/>
          <w:szCs w:val="24"/>
          <w:lang w:val="en-US"/>
        </w:rPr>
        <w:t>environment, social</w:t>
      </w:r>
      <w:r w:rsidR="00043A33">
        <w:rPr>
          <w:rFonts w:ascii="Times New Roman" w:hAnsi="Times New Roman"/>
          <w:sz w:val="24"/>
          <w:szCs w:val="24"/>
          <w:lang w:val="en-US"/>
        </w:rPr>
        <w:t>,</w:t>
      </w:r>
      <w:r w:rsidR="00043A33" w:rsidRPr="002830AD">
        <w:rPr>
          <w:rFonts w:ascii="Times New Roman" w:hAnsi="Times New Roman"/>
          <w:sz w:val="24"/>
          <w:szCs w:val="24"/>
          <w:lang w:val="en-US"/>
        </w:rPr>
        <w:t xml:space="preserve"> and governance </w:t>
      </w:r>
      <w:r w:rsidRPr="002830AD">
        <w:rPr>
          <w:rFonts w:ascii="Times New Roman" w:hAnsi="Times New Roman"/>
          <w:sz w:val="24"/>
          <w:szCs w:val="24"/>
          <w:lang w:val="en-US"/>
        </w:rPr>
        <w:t>(ESG).</w:t>
      </w:r>
      <w:r w:rsidR="005E59EE" w:rsidRPr="002830A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"/>
          <w:id w:val="-1661456055"/>
          <w:placeholder>
            <w:docPart w:val="931EDBD165404AEB86C470CF23906452"/>
          </w:placeholder>
        </w:sdtPr>
        <w:sdtEndPr/>
        <w:sdtContent>
          <w:r w:rsidR="008F57C2" w:rsidRPr="008F57C2">
            <w:rPr>
              <w:rFonts w:ascii="Times New Roman" w:hAnsi="Times New Roman"/>
              <w:color w:val="000000"/>
              <w:sz w:val="24"/>
              <w:szCs w:val="24"/>
              <w:lang w:val="en-US"/>
            </w:rPr>
            <w:t>Kim et al. (2021)</w:t>
          </w:r>
        </w:sdtContent>
      </w:sdt>
      <w:r w:rsidRPr="002830AD">
        <w:rPr>
          <w:rFonts w:ascii="Times New Roman" w:hAnsi="Times New Roman"/>
          <w:sz w:val="24"/>
          <w:szCs w:val="24"/>
          <w:lang w:val="en-US"/>
        </w:rPr>
        <w:t xml:space="preserve"> environment, social</w:t>
      </w:r>
      <w:r w:rsidR="00043A33">
        <w:rPr>
          <w:rFonts w:ascii="Times New Roman" w:hAnsi="Times New Roman"/>
          <w:sz w:val="24"/>
          <w:szCs w:val="24"/>
          <w:lang w:val="en-US"/>
        </w:rPr>
        <w:t>,</w:t>
      </w:r>
      <w:r w:rsidRPr="002830AD">
        <w:rPr>
          <w:rFonts w:ascii="Times New Roman" w:hAnsi="Times New Roman"/>
          <w:sz w:val="24"/>
          <w:szCs w:val="24"/>
          <w:lang w:val="en-US"/>
        </w:rPr>
        <w:t xml:space="preserve"> and governance (ESG) is a business strategy in which a company develops and maintains its business in the long term by seeking collaboration, consensus, and symbiotic relationships with various stakeholders in the environment. Environmental disclosure considers how a company conducts its business in an environmentally responsible manner. Social disclosure evaluates how a company manages its business relationships with employees, suppliers, customers</w:t>
      </w:r>
      <w:r w:rsidR="00043A33">
        <w:rPr>
          <w:rFonts w:ascii="Times New Roman" w:hAnsi="Times New Roman"/>
          <w:sz w:val="24"/>
          <w:szCs w:val="24"/>
          <w:lang w:val="en-US"/>
        </w:rPr>
        <w:t>,</w:t>
      </w:r>
      <w:r w:rsidRPr="002830AD">
        <w:rPr>
          <w:rFonts w:ascii="Times New Roman" w:hAnsi="Times New Roman"/>
          <w:sz w:val="24"/>
          <w:szCs w:val="24"/>
          <w:lang w:val="en-US"/>
        </w:rPr>
        <w:t xml:space="preserve"> and </w:t>
      </w:r>
      <w:r w:rsidR="00DB4DEC">
        <w:rPr>
          <w:rFonts w:ascii="Times New Roman" w:hAnsi="Times New Roman"/>
          <w:sz w:val="24"/>
          <w:szCs w:val="24"/>
          <w:lang w:val="en-US"/>
        </w:rPr>
        <w:t xml:space="preserve">communities </w:t>
      </w:r>
      <w:r w:rsidRPr="002830AD">
        <w:rPr>
          <w:rFonts w:ascii="Times New Roman" w:hAnsi="Times New Roman"/>
          <w:sz w:val="24"/>
          <w:szCs w:val="24"/>
          <w:lang w:val="en-US"/>
        </w:rPr>
        <w:t>it operates. Meanwhile, the disclosure of corporate governance looks at how companies can build leadership that can apply the principles of good governance, which can take the form of a board and delegation structure, a board of directors, and a compensation system for top management and an audit system, internal control and protection of rights. the rights of major and minority shareholders.</w:t>
      </w:r>
    </w:p>
    <w:p w14:paraId="745CC26A" w14:textId="7A89D324" w:rsidR="007C5F34" w:rsidRPr="002830AD" w:rsidRDefault="007C5F34" w:rsidP="007C5F34">
      <w:pPr>
        <w:spacing w:after="0" w:line="240" w:lineRule="auto"/>
        <w:ind w:firstLine="426"/>
        <w:jc w:val="both"/>
        <w:rPr>
          <w:rFonts w:ascii="Times New Roman" w:hAnsi="Times New Roman"/>
          <w:sz w:val="24"/>
          <w:szCs w:val="24"/>
          <w:lang w:val="en-US"/>
        </w:rPr>
      </w:pPr>
      <w:r w:rsidRPr="002830AD">
        <w:rPr>
          <w:rFonts w:ascii="Times New Roman" w:hAnsi="Times New Roman"/>
          <w:sz w:val="24"/>
          <w:szCs w:val="24"/>
          <w:lang w:val="en-US"/>
        </w:rPr>
        <w:t>From several studies that have been conducted previously</w:t>
      </w:r>
      <w:r w:rsidR="005E59EE" w:rsidRPr="002830AD">
        <w:rPr>
          <w:rFonts w:ascii="Times New Roman" w:hAnsi="Times New Roman"/>
          <w:sz w:val="24"/>
          <w:szCs w:val="24"/>
          <w:lang w:val="en-US"/>
        </w:rPr>
        <w:t>,</w:t>
      </w:r>
      <w:r w:rsidRPr="002830AD">
        <w:rPr>
          <w:rFonts w:ascii="Times New Roman" w:hAnsi="Times New Roman"/>
          <w:sz w:val="24"/>
          <w:szCs w:val="24"/>
          <w:lang w:val="en-US"/>
        </w:rPr>
        <w:t xml:space="preserve"> there are differences in the results of these studies. </w:t>
      </w:r>
      <w:sdt>
        <w:sdtPr>
          <w:rPr>
            <w:rFonts w:ascii="Times New Roman" w:hAnsi="Times New Roman"/>
            <w:color w:val="000000"/>
            <w:sz w:val="24"/>
            <w:szCs w:val="24"/>
            <w:lang w:val="en-US"/>
          </w:rPr>
          <w:tag w:val="MENDELEY_CITATION_v3_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"/>
          <w:id w:val="-1574806241"/>
          <w:placeholder>
            <w:docPart w:val="931EDBD165404AEB86C470CF23906452"/>
          </w:placeholder>
        </w:sdtPr>
        <w:sdtEndPr/>
        <w:sdtContent>
          <w:r w:rsidR="008F57C2" w:rsidRPr="008F57C2">
            <w:rPr>
              <w:rFonts w:ascii="Times New Roman" w:hAnsi="Times New Roman"/>
              <w:color w:val="000000"/>
              <w:sz w:val="24"/>
              <w:szCs w:val="24"/>
              <w:lang w:val="en-US"/>
            </w:rPr>
            <w:t>Ghoul et al. (2017)</w:t>
          </w:r>
        </w:sdtContent>
      </w:sdt>
      <w:r w:rsidR="00043A33">
        <w:rPr>
          <w:rFonts w:ascii="Times New Roman" w:hAnsi="Times New Roman"/>
          <w:color w:val="000000"/>
          <w:sz w:val="24"/>
          <w:szCs w:val="24"/>
          <w:lang w:val="en-US"/>
        </w:rPr>
        <w:t xml:space="preserve"> </w:t>
      </w:r>
      <w:r w:rsidRPr="002830AD">
        <w:rPr>
          <w:rFonts w:ascii="Times New Roman" w:hAnsi="Times New Roman"/>
          <w:sz w:val="24"/>
          <w:szCs w:val="24"/>
          <w:lang w:val="en-US"/>
        </w:rPr>
        <w:t xml:space="preserve">used data from 53 different countries to determine the positive relationship between ESG performance and firm value. </w:t>
      </w:r>
      <w:r w:rsidRPr="008F57C2">
        <w:rPr>
          <w:rFonts w:ascii="Times New Roman" w:hAnsi="Times New Roman" w:cs="Times New Roman"/>
          <w:sz w:val="24"/>
          <w:szCs w:val="24"/>
          <w:lang w:val="en-US"/>
        </w:rPr>
        <w:t xml:space="preserve">It also </w:t>
      </w:r>
      <w:sdt>
        <w:sdtPr>
          <w:rPr>
            <w:rFonts w:ascii="Times New Roman" w:hAnsi="Times New Roman" w:cs="Times New Roman"/>
            <w:color w:val="000000"/>
            <w:sz w:val="24"/>
            <w:szCs w:val="24"/>
            <w:lang w:val="en-US"/>
          </w:rPr>
          <w:tag w:val="MENDELEY_CITATION_v3_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"/>
          <w:id w:val="1862018182"/>
          <w:placeholder>
            <w:docPart w:val="931EDBD165404AEB86C470CF23906452"/>
          </w:placeholder>
        </w:sdtPr>
        <w:sdtEndPr/>
        <w:sdtContent>
          <w:proofErr w:type="spellStart"/>
          <w:r w:rsidR="008F57C2" w:rsidRPr="008F57C2">
            <w:rPr>
              <w:rFonts w:ascii="Times New Roman" w:eastAsia="Times New Roman" w:hAnsi="Times New Roman" w:cs="Times New Roman"/>
              <w:sz w:val="24"/>
              <w:szCs w:val="24"/>
            </w:rPr>
            <w:t>Aboud</w:t>
          </w:r>
          <w:proofErr w:type="spellEnd"/>
          <w:r w:rsidR="008F57C2" w:rsidRPr="008F57C2">
            <w:rPr>
              <w:rFonts w:ascii="Times New Roman" w:eastAsia="Times New Roman" w:hAnsi="Times New Roman" w:cs="Times New Roman"/>
              <w:sz w:val="24"/>
              <w:szCs w:val="24"/>
            </w:rPr>
            <w:t xml:space="preserve"> &amp; </w:t>
          </w:r>
          <w:proofErr w:type="spellStart"/>
          <w:r w:rsidR="008F57C2" w:rsidRPr="008F57C2">
            <w:rPr>
              <w:rFonts w:ascii="Times New Roman" w:eastAsia="Times New Roman" w:hAnsi="Times New Roman" w:cs="Times New Roman"/>
              <w:sz w:val="24"/>
              <w:szCs w:val="24"/>
            </w:rPr>
            <w:t>Diab</w:t>
          </w:r>
          <w:proofErr w:type="spellEnd"/>
          <w:r w:rsidR="008F57C2" w:rsidRPr="008F57C2">
            <w:rPr>
              <w:rFonts w:ascii="Times New Roman" w:eastAsia="Times New Roman" w:hAnsi="Times New Roman" w:cs="Times New Roman"/>
              <w:sz w:val="24"/>
              <w:szCs w:val="24"/>
            </w:rPr>
            <w:t xml:space="preserve"> (2018)</w:t>
          </w:r>
        </w:sdtContent>
      </w:sdt>
      <w:r w:rsidR="00043A33">
        <w:rPr>
          <w:rFonts w:ascii="Times New Roman" w:hAnsi="Times New Roman"/>
          <w:color w:val="000000"/>
          <w:sz w:val="24"/>
          <w:szCs w:val="24"/>
          <w:lang w:val="en-US"/>
        </w:rPr>
        <w:t xml:space="preserve"> </w:t>
      </w:r>
      <w:r w:rsidRPr="002830AD">
        <w:rPr>
          <w:rFonts w:ascii="Times New Roman" w:hAnsi="Times New Roman"/>
          <w:sz w:val="24"/>
          <w:szCs w:val="24"/>
          <w:lang w:val="en-US"/>
        </w:rPr>
        <w:t>finds that companies included in the ESG index have higher firm values and there is a positive relationship between firms that rank higher in the index and firm value as measured by Tobin's Q score.</w:t>
      </w:r>
    </w:p>
    <w:p w14:paraId="259B4D5A" w14:textId="5BEDF47D" w:rsidR="007C5F34" w:rsidRPr="002830AD" w:rsidRDefault="007C5F34" w:rsidP="007C5F34">
      <w:pPr>
        <w:spacing w:after="0" w:line="240" w:lineRule="auto"/>
        <w:ind w:firstLine="426"/>
        <w:jc w:val="both"/>
        <w:rPr>
          <w:rFonts w:ascii="Times New Roman" w:hAnsi="Times New Roman"/>
          <w:sz w:val="24"/>
          <w:szCs w:val="24"/>
          <w:lang w:val="en-US"/>
        </w:rPr>
      </w:pPr>
      <w:r w:rsidRPr="002830AD">
        <w:rPr>
          <w:rFonts w:ascii="Times New Roman" w:hAnsi="Times New Roman"/>
          <w:sz w:val="24"/>
          <w:szCs w:val="24"/>
          <w:lang w:val="en-US"/>
        </w:rPr>
        <w:t xml:space="preserve">Despite </w:t>
      </w:r>
      <w:sdt>
        <w:sdtPr>
          <w:rPr>
            <w:rFonts w:ascii="Times New Roman" w:hAnsi="Times New Roman"/>
            <w:color w:val="000000"/>
            <w:sz w:val="24"/>
            <w:szCs w:val="24"/>
            <w:lang w:val="en-US"/>
          </w:rPr>
          <w:tag w:val="MENDELEY_CITATION_v3_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"/>
          <w:id w:val="-919711204"/>
          <w:placeholder>
            <w:docPart w:val="931EDBD165404AEB86C470CF23906452"/>
          </w:placeholder>
        </w:sdtPr>
        <w:sdtEndPr/>
        <w:sdtContent>
          <w:proofErr w:type="spellStart"/>
          <w:r w:rsidR="008F57C2" w:rsidRPr="008F57C2">
            <w:rPr>
              <w:rFonts w:ascii="Times New Roman" w:hAnsi="Times New Roman"/>
              <w:color w:val="000000"/>
              <w:sz w:val="24"/>
              <w:szCs w:val="24"/>
              <w:lang w:val="en-US"/>
            </w:rPr>
            <w:t>Atan</w:t>
          </w:r>
          <w:proofErr w:type="spellEnd"/>
          <w:r w:rsidR="008F57C2" w:rsidRPr="008F57C2">
            <w:rPr>
              <w:rFonts w:ascii="Times New Roman" w:hAnsi="Times New Roman"/>
              <w:color w:val="000000"/>
              <w:sz w:val="24"/>
              <w:szCs w:val="24"/>
              <w:lang w:val="en-US"/>
            </w:rPr>
            <w:t xml:space="preserve"> et al. (2018)</w:t>
          </w:r>
        </w:sdtContent>
      </w:sdt>
      <w:r w:rsidR="00043A33">
        <w:rPr>
          <w:rFonts w:ascii="Times New Roman" w:hAnsi="Times New Roman"/>
          <w:color w:val="000000"/>
          <w:sz w:val="24"/>
          <w:szCs w:val="24"/>
          <w:lang w:val="en-US"/>
        </w:rPr>
        <w:t xml:space="preserve"> </w:t>
      </w:r>
      <w:r w:rsidRPr="002830AD">
        <w:rPr>
          <w:rFonts w:ascii="Times New Roman" w:hAnsi="Times New Roman"/>
          <w:sz w:val="24"/>
          <w:szCs w:val="24"/>
          <w:lang w:val="en-US"/>
        </w:rPr>
        <w:t xml:space="preserve">showing different findings that partial and simultaneous environmental, social and governance factors do not have a significant relationship between firm profitability and firm value (Tobin's Q). </w:t>
      </w:r>
      <w:sdt>
        <w:sdtPr>
          <w:rPr>
            <w:rFonts w:ascii="Times New Roman" w:hAnsi="Times New Roman"/>
            <w:color w:val="000000"/>
            <w:sz w:val="24"/>
            <w:szCs w:val="24"/>
            <w:lang w:val="en-US"/>
          </w:rPr>
          <w:tag w:val="MENDELEY_CITATION_v3_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"/>
          <w:id w:val="-1266918975"/>
          <w:placeholder>
            <w:docPart w:val="931EDBD165404AEB86C470CF23906452"/>
          </w:placeholder>
        </w:sdtPr>
        <w:sdtEndPr/>
        <w:sdtContent>
          <w:r w:rsidR="008F57C2" w:rsidRPr="008F57C2">
            <w:rPr>
              <w:rFonts w:ascii="Times New Roman" w:hAnsi="Times New Roman"/>
              <w:color w:val="000000"/>
              <w:sz w:val="24"/>
              <w:szCs w:val="24"/>
              <w:lang w:val="en-US"/>
            </w:rPr>
            <w:t>Yoon et al. (2018)</w:t>
          </w:r>
        </w:sdtContent>
      </w:sdt>
      <w:r w:rsidR="00043A33">
        <w:rPr>
          <w:rFonts w:ascii="Times New Roman" w:hAnsi="Times New Roman"/>
          <w:color w:val="000000"/>
          <w:sz w:val="24"/>
          <w:szCs w:val="24"/>
          <w:lang w:val="en-US"/>
        </w:rPr>
        <w:t xml:space="preserve"> </w:t>
      </w:r>
      <w:r w:rsidRPr="002830AD">
        <w:rPr>
          <w:rFonts w:ascii="Times New Roman" w:hAnsi="Times New Roman"/>
          <w:sz w:val="24"/>
          <w:szCs w:val="24"/>
          <w:lang w:val="en-US"/>
        </w:rPr>
        <w:t>also found a negative relationship between disclosure of ESG factors on firm value. This study covers energy (equipment and suits, oil and gas, waste fuel industry), materials (chemicals, building materials, etc.)</w:t>
      </w:r>
      <w:r w:rsidR="00043A33">
        <w:rPr>
          <w:rFonts w:ascii="Times New Roman" w:hAnsi="Times New Roman"/>
          <w:sz w:val="24"/>
          <w:szCs w:val="24"/>
          <w:lang w:val="en-US"/>
        </w:rPr>
        <w:t>,</w:t>
      </w:r>
      <w:r w:rsidRPr="002830AD">
        <w:rPr>
          <w:rFonts w:ascii="Times New Roman" w:hAnsi="Times New Roman"/>
          <w:sz w:val="24"/>
          <w:szCs w:val="24"/>
          <w:lang w:val="en-US"/>
        </w:rPr>
        <w:t xml:space="preserve"> and utilities (power generation) in South Korea. The results of the study indicate that the influence is influenced by the characteristics of the company. So, for environmentally sensitive industries, the impact of ESG factors on company performance is not as clear as in non-environmental industries, </w:t>
      </w:r>
      <w:sdt>
        <w:sdtPr>
          <w:rPr>
            <w:rFonts w:ascii="Times New Roman" w:hAnsi="Times New Roman"/>
            <w:color w:val="000000"/>
            <w:sz w:val="24"/>
            <w:szCs w:val="24"/>
            <w:lang w:val="en-US"/>
          </w:rPr>
          <w:tag w:val="MENDELEY_CITATION_v3_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"/>
          <w:id w:val="423230216"/>
          <w:placeholder>
            <w:docPart w:val="931EDBD165404AEB86C470CF23906452"/>
          </w:placeholder>
        </w:sdtPr>
        <w:sdtEndPr/>
        <w:sdtContent>
          <w:r w:rsidR="008F57C2" w:rsidRPr="008F57C2">
            <w:rPr>
              <w:rFonts w:ascii="Times New Roman" w:hAnsi="Times New Roman"/>
              <w:color w:val="000000"/>
              <w:sz w:val="24"/>
              <w:szCs w:val="24"/>
              <w:lang w:val="en-US"/>
            </w:rPr>
            <w:t>Yoon et al. (2018)</w:t>
          </w:r>
        </w:sdtContent>
      </w:sdt>
      <w:r w:rsidR="00043A33">
        <w:rPr>
          <w:rFonts w:ascii="Times New Roman" w:hAnsi="Times New Roman"/>
          <w:color w:val="000000"/>
          <w:sz w:val="24"/>
          <w:szCs w:val="24"/>
          <w:lang w:val="en-US"/>
        </w:rPr>
        <w:t xml:space="preserve"> </w:t>
      </w:r>
      <w:r w:rsidRPr="002830AD">
        <w:rPr>
          <w:rFonts w:ascii="Times New Roman" w:hAnsi="Times New Roman"/>
          <w:sz w:val="24"/>
          <w:szCs w:val="24"/>
          <w:lang w:val="en-US"/>
        </w:rPr>
        <w:t xml:space="preserve">also </w:t>
      </w:r>
      <w:r w:rsidR="0072266F" w:rsidRPr="002830AD">
        <w:rPr>
          <w:rFonts w:ascii="Times New Roman" w:hAnsi="Times New Roman"/>
          <w:sz w:val="24"/>
          <w:szCs w:val="24"/>
          <w:lang w:val="en-US"/>
        </w:rPr>
        <w:t>state</w:t>
      </w:r>
      <w:r w:rsidRPr="002830AD">
        <w:rPr>
          <w:rFonts w:ascii="Times New Roman" w:hAnsi="Times New Roman"/>
          <w:sz w:val="24"/>
          <w:szCs w:val="24"/>
          <w:lang w:val="en-US"/>
        </w:rPr>
        <w:t xml:space="preserve"> that corporate governance has a negative impact on company value for companies belonging to sensitive sectors.</w:t>
      </w:r>
    </w:p>
    <w:p w14:paraId="51F33E73" w14:textId="61CF38B3" w:rsidR="007C5F34" w:rsidRPr="002830AD" w:rsidRDefault="007C5F34" w:rsidP="007C5F34">
      <w:pPr>
        <w:spacing w:after="0" w:line="240" w:lineRule="auto"/>
        <w:ind w:firstLine="426"/>
        <w:jc w:val="both"/>
        <w:rPr>
          <w:rFonts w:ascii="Times New Roman" w:hAnsi="Times New Roman"/>
          <w:sz w:val="24"/>
          <w:szCs w:val="24"/>
          <w:lang w:val="en-US"/>
        </w:rPr>
      </w:pPr>
      <w:r w:rsidRPr="002830AD">
        <w:rPr>
          <w:rFonts w:ascii="Times New Roman" w:hAnsi="Times New Roman"/>
          <w:sz w:val="24"/>
          <w:szCs w:val="24"/>
          <w:lang w:val="en-US"/>
        </w:rPr>
        <w:t>Looking at the problems above, it can be seen that the disclosure of environmental, social and governance (ESG) performance information plays an important role in corporate values. ESG serves as a guide that shows the company's image and sustainability in the eyes of the public and investors</w:t>
      </w:r>
      <w:r w:rsidR="00DB4DEC">
        <w:rPr>
          <w:rFonts w:ascii="Times New Roman" w:hAnsi="Times New Roman"/>
          <w:sz w:val="24"/>
          <w:szCs w:val="24"/>
          <w:lang w:val="en-US"/>
        </w:rPr>
        <w:t xml:space="preserve"> and</w:t>
      </w:r>
      <w:r w:rsidRPr="002830AD">
        <w:rPr>
          <w:rFonts w:ascii="Times New Roman" w:hAnsi="Times New Roman"/>
          <w:sz w:val="24"/>
          <w:szCs w:val="24"/>
          <w:lang w:val="en-US"/>
        </w:rPr>
        <w:t xml:space="preserve"> evaluates the company's advantages. Investors' response to the company's sustainability performance will have an impact on the value of the company. Firm value is then influenced by environmental, social</w:t>
      </w:r>
      <w:r w:rsidR="00043A33">
        <w:rPr>
          <w:rFonts w:ascii="Times New Roman" w:hAnsi="Times New Roman"/>
          <w:sz w:val="24"/>
          <w:szCs w:val="24"/>
          <w:lang w:val="en-US"/>
        </w:rPr>
        <w:t>,</w:t>
      </w:r>
      <w:r w:rsidRPr="002830AD">
        <w:rPr>
          <w:rFonts w:ascii="Times New Roman" w:hAnsi="Times New Roman"/>
          <w:sz w:val="24"/>
          <w:szCs w:val="24"/>
          <w:lang w:val="en-US"/>
        </w:rPr>
        <w:t xml:space="preserve"> and financial disclosures governance (ESG). This is because previous research has mapped the gap phenomenon, which is also a management assessment to focus on ESG aspects.</w:t>
      </w:r>
    </w:p>
    <w:p w14:paraId="7BAFA9ED" w14:textId="1CA7A4C6" w:rsidR="007C5F34" w:rsidRPr="002830AD" w:rsidRDefault="007C5F34" w:rsidP="007C5F34">
      <w:pPr>
        <w:pStyle w:val="Body"/>
        <w:rPr>
          <w:sz w:val="24"/>
          <w:szCs w:val="24"/>
          <w:lang w:val="en-US"/>
        </w:rPr>
      </w:pPr>
      <w:r w:rsidRPr="002830AD">
        <w:rPr>
          <w:sz w:val="24"/>
          <w:szCs w:val="24"/>
          <w:lang w:val="en-US"/>
        </w:rPr>
        <w:t xml:space="preserve">The authors are interested in further investigating the many variables that affect firm value based on the context of the problem and </w:t>
      </w:r>
      <w:r w:rsidR="0072266F" w:rsidRPr="002830AD">
        <w:rPr>
          <w:sz w:val="24"/>
          <w:szCs w:val="24"/>
          <w:lang w:val="en-US"/>
        </w:rPr>
        <w:t>exploring</w:t>
      </w:r>
      <w:r w:rsidRPr="002830AD">
        <w:rPr>
          <w:sz w:val="24"/>
          <w:szCs w:val="24"/>
          <w:lang w:val="en-US"/>
        </w:rPr>
        <w:t xml:space="preserve"> differences in previous findings. The author chose all companies listed on the Indonesia Stock Exchange as research targets for the </w:t>
      </w:r>
      <w:r w:rsidRPr="002830AD">
        <w:rPr>
          <w:sz w:val="24"/>
          <w:szCs w:val="24"/>
          <w:lang w:val="en-US"/>
        </w:rPr>
        <w:lastRenderedPageBreak/>
        <w:t>2016-2020 period. This article hopes to provide empirical evidence on the impact of ESG disclosure on firm value in Indonesia.</w:t>
      </w:r>
    </w:p>
    <w:p w14:paraId="1D16D55F" w14:textId="77777777" w:rsidR="007C5F34" w:rsidRPr="002830AD" w:rsidRDefault="007C5F34" w:rsidP="007C5F34">
      <w:pPr>
        <w:pStyle w:val="Body"/>
        <w:rPr>
          <w:sz w:val="24"/>
          <w:szCs w:val="24"/>
          <w:lang w:val="en-US"/>
        </w:rPr>
      </w:pPr>
    </w:p>
    <w:p w14:paraId="10046320" w14:textId="77777777" w:rsidR="007C5F34" w:rsidRPr="002830AD" w:rsidRDefault="007C5F34" w:rsidP="007C5F34">
      <w:pPr>
        <w:pStyle w:val="Body"/>
        <w:ind w:firstLine="0"/>
        <w:rPr>
          <w:b/>
          <w:sz w:val="24"/>
          <w:szCs w:val="24"/>
          <w:lang w:val="en-US"/>
        </w:rPr>
      </w:pPr>
      <w:r w:rsidRPr="002830AD">
        <w:rPr>
          <w:b/>
          <w:sz w:val="24"/>
          <w:szCs w:val="24"/>
          <w:lang w:val="en-US"/>
        </w:rPr>
        <w:t>METHOD</w:t>
      </w:r>
    </w:p>
    <w:p w14:paraId="135B6C4A" w14:textId="6E6C3289" w:rsidR="007C5F34" w:rsidRPr="002830AD" w:rsidRDefault="007C5F34" w:rsidP="007C5F34">
      <w:pPr>
        <w:spacing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 xml:space="preserve">The population in the study </w:t>
      </w:r>
      <w:r w:rsidR="000C3C21">
        <w:rPr>
          <w:rFonts w:ascii="Times New Roman" w:hAnsi="Times New Roman"/>
          <w:sz w:val="24"/>
          <w:szCs w:val="24"/>
          <w:lang w:val="en-US"/>
        </w:rPr>
        <w:t>is</w:t>
      </w:r>
      <w:r w:rsidRPr="002830AD">
        <w:rPr>
          <w:rFonts w:ascii="Times New Roman" w:hAnsi="Times New Roman"/>
          <w:sz w:val="24"/>
          <w:szCs w:val="24"/>
          <w:lang w:val="en-US"/>
        </w:rPr>
        <w:t xml:space="preserve"> 27 companies listed on the Indonesia Stock Exchange (IDX) for the 2016-2020 period. The sample selection used </w:t>
      </w:r>
      <w:r w:rsidR="0072266F" w:rsidRPr="002830AD">
        <w:rPr>
          <w:rFonts w:ascii="Times New Roman" w:hAnsi="Times New Roman"/>
          <w:sz w:val="24"/>
          <w:szCs w:val="24"/>
          <w:lang w:val="en-US"/>
        </w:rPr>
        <w:t xml:space="preserve">the </w:t>
      </w:r>
      <w:r w:rsidRPr="002830AD">
        <w:rPr>
          <w:rFonts w:ascii="Times New Roman" w:hAnsi="Times New Roman"/>
          <w:sz w:val="24"/>
          <w:szCs w:val="24"/>
          <w:lang w:val="en-US"/>
        </w:rPr>
        <w:t>purposive sampling method based on the criteria set previously. The conditions that must be met are:</w:t>
      </w:r>
    </w:p>
    <w:p w14:paraId="3556060F" w14:textId="77777777" w:rsidR="007C5F34" w:rsidRPr="002830AD" w:rsidRDefault="007C5F34" w:rsidP="007C5F34">
      <w:pPr>
        <w:spacing w:after="0" w:line="240" w:lineRule="auto"/>
        <w:jc w:val="center"/>
        <w:rPr>
          <w:rFonts w:ascii="Times New Roman" w:hAnsi="Times New Roman"/>
          <w:sz w:val="20"/>
          <w:szCs w:val="20"/>
          <w:lang w:val="en-US"/>
        </w:rPr>
      </w:pPr>
      <w:r w:rsidRPr="002830AD">
        <w:rPr>
          <w:rFonts w:ascii="Times New Roman" w:hAnsi="Times New Roman"/>
          <w:b/>
          <w:bCs/>
          <w:sz w:val="20"/>
          <w:szCs w:val="20"/>
          <w:lang w:val="en-US"/>
        </w:rPr>
        <w:t xml:space="preserve">Table 1. </w:t>
      </w:r>
      <w:r w:rsidRPr="002830AD">
        <w:rPr>
          <w:rFonts w:ascii="Times New Roman" w:hAnsi="Times New Roman"/>
          <w:sz w:val="20"/>
          <w:szCs w:val="20"/>
          <w:lang w:val="en-US"/>
        </w:rPr>
        <w:t>Sampling</w:t>
      </w:r>
    </w:p>
    <w:tbl>
      <w:tblPr>
        <w:tblW w:w="0" w:type="auto"/>
        <w:jc w:val="center"/>
        <w:tblBorders>
          <w:top w:val="single" w:sz="4" w:space="0" w:color="auto"/>
          <w:bottom w:val="single" w:sz="4" w:space="0" w:color="auto"/>
        </w:tblBorders>
        <w:tblLook w:val="04A0" w:firstRow="1" w:lastRow="0" w:firstColumn="1" w:lastColumn="0" w:noHBand="0" w:noVBand="1"/>
      </w:tblPr>
      <w:tblGrid>
        <w:gridCol w:w="511"/>
        <w:gridCol w:w="4952"/>
        <w:gridCol w:w="2089"/>
      </w:tblGrid>
      <w:tr w:rsidR="007C5F34" w:rsidRPr="002830AD" w14:paraId="471B2655" w14:textId="77777777" w:rsidTr="00C25BCE">
        <w:trPr>
          <w:jc w:val="center"/>
        </w:trPr>
        <w:tc>
          <w:tcPr>
            <w:tcW w:w="511" w:type="dxa"/>
            <w:tcBorders>
              <w:top w:val="single" w:sz="4" w:space="0" w:color="auto"/>
              <w:bottom w:val="single" w:sz="4" w:space="0" w:color="auto"/>
            </w:tcBorders>
            <w:vAlign w:val="center"/>
          </w:tcPr>
          <w:p w14:paraId="4033499D" w14:textId="77777777" w:rsidR="007C5F34" w:rsidRPr="002830AD" w:rsidRDefault="007C5F34" w:rsidP="001409B6">
            <w:pPr>
              <w:pStyle w:val="Isitabel"/>
              <w:spacing w:line="240" w:lineRule="auto"/>
              <w:jc w:val="left"/>
              <w:rPr>
                <w:sz w:val="20"/>
                <w:szCs w:val="20"/>
                <w:lang w:val="en-US"/>
              </w:rPr>
            </w:pPr>
            <w:r w:rsidRPr="002830AD">
              <w:rPr>
                <w:sz w:val="20"/>
                <w:szCs w:val="20"/>
                <w:lang w:val="en-US"/>
              </w:rPr>
              <w:t>No.</w:t>
            </w:r>
          </w:p>
        </w:tc>
        <w:tc>
          <w:tcPr>
            <w:tcW w:w="4952" w:type="dxa"/>
            <w:tcBorders>
              <w:top w:val="single" w:sz="4" w:space="0" w:color="auto"/>
              <w:bottom w:val="single" w:sz="4" w:space="0" w:color="auto"/>
            </w:tcBorders>
            <w:vAlign w:val="center"/>
          </w:tcPr>
          <w:p w14:paraId="0A9BCF8D" w14:textId="77777777" w:rsidR="007C5F34" w:rsidRPr="002830AD" w:rsidRDefault="007C5F34" w:rsidP="001409B6">
            <w:pPr>
              <w:pStyle w:val="Isitabel"/>
              <w:spacing w:line="240" w:lineRule="auto"/>
              <w:jc w:val="left"/>
              <w:rPr>
                <w:sz w:val="20"/>
                <w:szCs w:val="20"/>
                <w:lang w:val="en-US"/>
              </w:rPr>
            </w:pPr>
            <w:r w:rsidRPr="002830AD">
              <w:rPr>
                <w:sz w:val="20"/>
                <w:szCs w:val="20"/>
                <w:lang w:val="en-US"/>
              </w:rPr>
              <w:t>Information</w:t>
            </w:r>
          </w:p>
        </w:tc>
        <w:tc>
          <w:tcPr>
            <w:tcW w:w="2089" w:type="dxa"/>
            <w:tcBorders>
              <w:top w:val="single" w:sz="4" w:space="0" w:color="auto"/>
              <w:bottom w:val="single" w:sz="4" w:space="0" w:color="auto"/>
            </w:tcBorders>
            <w:vAlign w:val="center"/>
          </w:tcPr>
          <w:p w14:paraId="1675FA97" w14:textId="77777777" w:rsidR="007C5F34" w:rsidRPr="002830AD" w:rsidRDefault="007C5F34" w:rsidP="001409B6">
            <w:pPr>
              <w:pStyle w:val="Isitabel"/>
              <w:spacing w:line="240" w:lineRule="auto"/>
              <w:rPr>
                <w:sz w:val="20"/>
                <w:szCs w:val="20"/>
                <w:lang w:val="en-US"/>
              </w:rPr>
            </w:pPr>
            <w:r w:rsidRPr="002830AD">
              <w:rPr>
                <w:sz w:val="20"/>
                <w:szCs w:val="20"/>
                <w:lang w:val="en-US"/>
              </w:rPr>
              <w:t>Number of Companies</w:t>
            </w:r>
          </w:p>
        </w:tc>
      </w:tr>
      <w:tr w:rsidR="007C5F34" w:rsidRPr="002830AD" w14:paraId="070DAD0B" w14:textId="77777777" w:rsidTr="00C25BCE">
        <w:trPr>
          <w:jc w:val="center"/>
        </w:trPr>
        <w:tc>
          <w:tcPr>
            <w:tcW w:w="511" w:type="dxa"/>
            <w:tcBorders>
              <w:top w:val="single" w:sz="4" w:space="0" w:color="auto"/>
            </w:tcBorders>
            <w:vAlign w:val="center"/>
          </w:tcPr>
          <w:p w14:paraId="779A5C8C" w14:textId="77777777" w:rsidR="007C5F34" w:rsidRPr="002830AD" w:rsidRDefault="007C5F34" w:rsidP="001409B6">
            <w:pPr>
              <w:pStyle w:val="Isitabel"/>
              <w:spacing w:line="240" w:lineRule="auto"/>
              <w:rPr>
                <w:sz w:val="20"/>
                <w:szCs w:val="20"/>
                <w:lang w:val="en-US"/>
              </w:rPr>
            </w:pPr>
            <w:r w:rsidRPr="002830AD">
              <w:rPr>
                <w:sz w:val="20"/>
                <w:szCs w:val="20"/>
                <w:lang w:val="en-US"/>
              </w:rPr>
              <w:t>1</w:t>
            </w:r>
          </w:p>
        </w:tc>
        <w:tc>
          <w:tcPr>
            <w:tcW w:w="4952" w:type="dxa"/>
            <w:tcBorders>
              <w:top w:val="single" w:sz="4" w:space="0" w:color="auto"/>
            </w:tcBorders>
            <w:vAlign w:val="center"/>
          </w:tcPr>
          <w:p w14:paraId="77DD669C" w14:textId="77777777" w:rsidR="007C5F34" w:rsidRPr="002830AD" w:rsidRDefault="007C5F34" w:rsidP="001409B6">
            <w:pPr>
              <w:pStyle w:val="Isitabel"/>
              <w:spacing w:line="240" w:lineRule="auto"/>
              <w:jc w:val="left"/>
              <w:rPr>
                <w:sz w:val="20"/>
                <w:szCs w:val="20"/>
                <w:lang w:val="en-US"/>
              </w:rPr>
            </w:pPr>
            <w:r w:rsidRPr="002830AD">
              <w:rPr>
                <w:sz w:val="20"/>
                <w:szCs w:val="20"/>
                <w:lang w:val="en-US"/>
              </w:rPr>
              <w:t>Companies listed on the Indonesia Stock Exchange (IDX) for the period 2016-2020</w:t>
            </w:r>
          </w:p>
        </w:tc>
        <w:tc>
          <w:tcPr>
            <w:tcW w:w="2089" w:type="dxa"/>
            <w:tcBorders>
              <w:top w:val="single" w:sz="4" w:space="0" w:color="auto"/>
            </w:tcBorders>
            <w:vAlign w:val="center"/>
          </w:tcPr>
          <w:p w14:paraId="03B66357" w14:textId="77777777" w:rsidR="007C5F34" w:rsidRPr="002830AD" w:rsidRDefault="007C5F34" w:rsidP="001409B6">
            <w:pPr>
              <w:pStyle w:val="Isitabel"/>
              <w:spacing w:line="240" w:lineRule="auto"/>
              <w:rPr>
                <w:sz w:val="20"/>
                <w:szCs w:val="20"/>
                <w:lang w:val="en-US"/>
              </w:rPr>
            </w:pPr>
            <w:r w:rsidRPr="002830AD">
              <w:rPr>
                <w:sz w:val="20"/>
                <w:szCs w:val="20"/>
                <w:lang w:val="en-US"/>
              </w:rPr>
              <w:t>777</w:t>
            </w:r>
          </w:p>
        </w:tc>
      </w:tr>
      <w:tr w:rsidR="007C5F34" w:rsidRPr="002830AD" w14:paraId="7C09B227" w14:textId="77777777" w:rsidTr="00C25BCE">
        <w:trPr>
          <w:jc w:val="center"/>
        </w:trPr>
        <w:tc>
          <w:tcPr>
            <w:tcW w:w="511" w:type="dxa"/>
            <w:vAlign w:val="center"/>
          </w:tcPr>
          <w:p w14:paraId="32B42775" w14:textId="77777777" w:rsidR="007C5F34" w:rsidRPr="002830AD" w:rsidRDefault="007C5F34" w:rsidP="001409B6">
            <w:pPr>
              <w:pStyle w:val="Isitabel"/>
              <w:spacing w:line="240" w:lineRule="auto"/>
              <w:rPr>
                <w:sz w:val="20"/>
                <w:szCs w:val="20"/>
                <w:lang w:val="en-US"/>
              </w:rPr>
            </w:pPr>
            <w:r w:rsidRPr="002830AD">
              <w:rPr>
                <w:sz w:val="20"/>
                <w:szCs w:val="20"/>
                <w:lang w:val="en-US"/>
              </w:rPr>
              <w:t>2</w:t>
            </w:r>
          </w:p>
        </w:tc>
        <w:tc>
          <w:tcPr>
            <w:tcW w:w="4952" w:type="dxa"/>
            <w:vAlign w:val="center"/>
          </w:tcPr>
          <w:p w14:paraId="445A90A4" w14:textId="77777777" w:rsidR="007C5F34" w:rsidRPr="002830AD" w:rsidRDefault="007C5F34" w:rsidP="001409B6">
            <w:pPr>
              <w:pStyle w:val="Isitabel"/>
              <w:spacing w:line="240" w:lineRule="auto"/>
              <w:jc w:val="left"/>
              <w:rPr>
                <w:sz w:val="20"/>
                <w:szCs w:val="20"/>
                <w:lang w:val="en-US"/>
              </w:rPr>
            </w:pPr>
            <w:r w:rsidRPr="002830AD">
              <w:rPr>
                <w:sz w:val="20"/>
                <w:szCs w:val="20"/>
                <w:lang w:val="en-US"/>
              </w:rPr>
              <w:t>Companies that are not registered and do not have an ESG Score by Refinitiv Eikon for the period 2016-2020</w:t>
            </w:r>
          </w:p>
        </w:tc>
        <w:tc>
          <w:tcPr>
            <w:tcW w:w="2089" w:type="dxa"/>
            <w:vAlign w:val="center"/>
          </w:tcPr>
          <w:p w14:paraId="616BB4F3" w14:textId="77777777" w:rsidR="007C5F34" w:rsidRPr="002830AD" w:rsidRDefault="007C5F34" w:rsidP="001409B6">
            <w:pPr>
              <w:pStyle w:val="Isitabel"/>
              <w:spacing w:line="240" w:lineRule="auto"/>
              <w:rPr>
                <w:sz w:val="20"/>
                <w:szCs w:val="20"/>
                <w:lang w:val="en-US"/>
              </w:rPr>
            </w:pPr>
            <w:r w:rsidRPr="002830AD">
              <w:rPr>
                <w:sz w:val="20"/>
                <w:szCs w:val="20"/>
                <w:lang w:val="en-US"/>
              </w:rPr>
              <w:t>(738)</w:t>
            </w:r>
          </w:p>
        </w:tc>
      </w:tr>
      <w:tr w:rsidR="007C5F34" w:rsidRPr="002830AD" w14:paraId="21CB5CA3" w14:textId="77777777" w:rsidTr="00C25BCE">
        <w:trPr>
          <w:jc w:val="center"/>
        </w:trPr>
        <w:tc>
          <w:tcPr>
            <w:tcW w:w="511" w:type="dxa"/>
            <w:tcBorders>
              <w:bottom w:val="single" w:sz="4" w:space="0" w:color="auto"/>
            </w:tcBorders>
            <w:vAlign w:val="center"/>
          </w:tcPr>
          <w:p w14:paraId="1B04873E" w14:textId="77777777" w:rsidR="007C5F34" w:rsidRPr="002830AD" w:rsidRDefault="007C5F34" w:rsidP="001409B6">
            <w:pPr>
              <w:pStyle w:val="Isitabel"/>
              <w:spacing w:line="240" w:lineRule="auto"/>
              <w:rPr>
                <w:sz w:val="20"/>
                <w:szCs w:val="20"/>
                <w:lang w:val="en-US"/>
              </w:rPr>
            </w:pPr>
            <w:r w:rsidRPr="002830AD">
              <w:rPr>
                <w:sz w:val="20"/>
                <w:szCs w:val="20"/>
                <w:lang w:val="en-US"/>
              </w:rPr>
              <w:t>3</w:t>
            </w:r>
          </w:p>
        </w:tc>
        <w:tc>
          <w:tcPr>
            <w:tcW w:w="4952" w:type="dxa"/>
            <w:tcBorders>
              <w:bottom w:val="single" w:sz="4" w:space="0" w:color="auto"/>
            </w:tcBorders>
            <w:vAlign w:val="center"/>
          </w:tcPr>
          <w:p w14:paraId="17C51FC8" w14:textId="77777777" w:rsidR="007C5F34" w:rsidRPr="002830AD" w:rsidRDefault="007C5F34" w:rsidP="001409B6">
            <w:pPr>
              <w:pStyle w:val="Isitabel"/>
              <w:spacing w:line="240" w:lineRule="auto"/>
              <w:jc w:val="left"/>
              <w:rPr>
                <w:sz w:val="20"/>
                <w:szCs w:val="20"/>
                <w:lang w:val="en-US"/>
              </w:rPr>
            </w:pPr>
            <w:r w:rsidRPr="002830AD">
              <w:rPr>
                <w:sz w:val="20"/>
                <w:szCs w:val="20"/>
                <w:lang w:val="en-US"/>
              </w:rPr>
              <w:t>Companies that are not listed on the Indonesia Stock Exchange (IDX) that do not have complete data and are available for further research.</w:t>
            </w:r>
          </w:p>
        </w:tc>
        <w:tc>
          <w:tcPr>
            <w:tcW w:w="2089" w:type="dxa"/>
            <w:tcBorders>
              <w:bottom w:val="single" w:sz="4" w:space="0" w:color="auto"/>
            </w:tcBorders>
            <w:vAlign w:val="center"/>
          </w:tcPr>
          <w:p w14:paraId="0060EF5C" w14:textId="77777777" w:rsidR="007C5F34" w:rsidRPr="002830AD" w:rsidRDefault="007C5F34" w:rsidP="001409B6">
            <w:pPr>
              <w:pStyle w:val="Isitabel"/>
              <w:spacing w:line="240" w:lineRule="auto"/>
              <w:rPr>
                <w:sz w:val="20"/>
                <w:szCs w:val="20"/>
                <w:lang w:val="en-US"/>
              </w:rPr>
            </w:pPr>
            <w:r w:rsidRPr="002830AD">
              <w:rPr>
                <w:sz w:val="20"/>
                <w:szCs w:val="20"/>
                <w:lang w:val="en-US"/>
              </w:rPr>
              <w:t>(12)</w:t>
            </w:r>
          </w:p>
        </w:tc>
      </w:tr>
      <w:tr w:rsidR="007C5F34" w:rsidRPr="002830AD" w14:paraId="1FD48336" w14:textId="77777777" w:rsidTr="00C25BCE">
        <w:trPr>
          <w:jc w:val="center"/>
        </w:trPr>
        <w:tc>
          <w:tcPr>
            <w:tcW w:w="511" w:type="dxa"/>
            <w:tcBorders>
              <w:top w:val="single" w:sz="4" w:space="0" w:color="auto"/>
              <w:bottom w:val="single" w:sz="4" w:space="0" w:color="auto"/>
            </w:tcBorders>
            <w:vAlign w:val="center"/>
          </w:tcPr>
          <w:p w14:paraId="11ADA63F" w14:textId="77777777" w:rsidR="007C5F34" w:rsidRPr="002830AD" w:rsidRDefault="007C5F34" w:rsidP="001409B6">
            <w:pPr>
              <w:pStyle w:val="Isitabel"/>
              <w:spacing w:line="240" w:lineRule="auto"/>
              <w:rPr>
                <w:sz w:val="20"/>
                <w:szCs w:val="20"/>
                <w:lang w:val="en-US"/>
              </w:rPr>
            </w:pPr>
          </w:p>
        </w:tc>
        <w:tc>
          <w:tcPr>
            <w:tcW w:w="4952" w:type="dxa"/>
            <w:tcBorders>
              <w:top w:val="single" w:sz="4" w:space="0" w:color="auto"/>
              <w:bottom w:val="single" w:sz="4" w:space="0" w:color="auto"/>
            </w:tcBorders>
            <w:vAlign w:val="center"/>
          </w:tcPr>
          <w:p w14:paraId="4DCF7642" w14:textId="77777777" w:rsidR="007C5F34" w:rsidRPr="002830AD" w:rsidRDefault="007C5F34" w:rsidP="001409B6">
            <w:pPr>
              <w:pStyle w:val="Isitabel"/>
              <w:spacing w:line="240" w:lineRule="auto"/>
              <w:jc w:val="left"/>
              <w:rPr>
                <w:sz w:val="20"/>
                <w:szCs w:val="20"/>
                <w:lang w:val="en-US"/>
              </w:rPr>
            </w:pPr>
            <w:r w:rsidRPr="002830AD">
              <w:rPr>
                <w:sz w:val="20"/>
                <w:szCs w:val="20"/>
                <w:lang w:val="en-US"/>
              </w:rPr>
              <w:t>Total sample</w:t>
            </w:r>
          </w:p>
        </w:tc>
        <w:tc>
          <w:tcPr>
            <w:tcW w:w="2089" w:type="dxa"/>
            <w:tcBorders>
              <w:top w:val="single" w:sz="4" w:space="0" w:color="auto"/>
              <w:bottom w:val="single" w:sz="4" w:space="0" w:color="auto"/>
            </w:tcBorders>
            <w:vAlign w:val="center"/>
          </w:tcPr>
          <w:p w14:paraId="2AF8A4BC" w14:textId="77777777" w:rsidR="007C5F34" w:rsidRPr="002830AD" w:rsidRDefault="007C5F34" w:rsidP="001409B6">
            <w:pPr>
              <w:pStyle w:val="Isitabel"/>
              <w:spacing w:line="240" w:lineRule="auto"/>
              <w:rPr>
                <w:sz w:val="20"/>
                <w:szCs w:val="20"/>
                <w:lang w:val="en-US"/>
              </w:rPr>
            </w:pPr>
            <w:r w:rsidRPr="002830AD">
              <w:rPr>
                <w:sz w:val="20"/>
                <w:szCs w:val="20"/>
                <w:lang w:val="en-US"/>
              </w:rPr>
              <w:t>27</w:t>
            </w:r>
          </w:p>
        </w:tc>
      </w:tr>
      <w:tr w:rsidR="007C5F34" w:rsidRPr="002830AD" w14:paraId="5888CB5C" w14:textId="77777777" w:rsidTr="00C25BCE">
        <w:trPr>
          <w:jc w:val="center"/>
        </w:trPr>
        <w:tc>
          <w:tcPr>
            <w:tcW w:w="511" w:type="dxa"/>
            <w:tcBorders>
              <w:top w:val="single" w:sz="4" w:space="0" w:color="auto"/>
            </w:tcBorders>
            <w:vAlign w:val="center"/>
          </w:tcPr>
          <w:p w14:paraId="36BA69F6" w14:textId="77777777" w:rsidR="007C5F34" w:rsidRPr="002830AD" w:rsidRDefault="007C5F34" w:rsidP="001409B6">
            <w:pPr>
              <w:pStyle w:val="Isitabel"/>
              <w:spacing w:line="240" w:lineRule="auto"/>
              <w:rPr>
                <w:sz w:val="20"/>
                <w:szCs w:val="20"/>
                <w:lang w:val="en-US"/>
              </w:rPr>
            </w:pPr>
          </w:p>
        </w:tc>
        <w:tc>
          <w:tcPr>
            <w:tcW w:w="4952" w:type="dxa"/>
            <w:tcBorders>
              <w:top w:val="single" w:sz="4" w:space="0" w:color="auto"/>
            </w:tcBorders>
            <w:vAlign w:val="center"/>
          </w:tcPr>
          <w:p w14:paraId="287FD6D0" w14:textId="77777777" w:rsidR="007C5F34" w:rsidRPr="002830AD" w:rsidRDefault="007C5F34" w:rsidP="001409B6">
            <w:pPr>
              <w:pStyle w:val="Isitabel"/>
              <w:spacing w:line="240" w:lineRule="auto"/>
              <w:jc w:val="left"/>
              <w:rPr>
                <w:sz w:val="20"/>
                <w:szCs w:val="20"/>
                <w:lang w:val="en-US"/>
              </w:rPr>
            </w:pPr>
            <w:r w:rsidRPr="002830AD">
              <w:rPr>
                <w:sz w:val="20"/>
                <w:szCs w:val="20"/>
                <w:lang w:val="en-US"/>
              </w:rPr>
              <w:t>Number of Observations during 2016-2020</w:t>
            </w:r>
          </w:p>
        </w:tc>
        <w:tc>
          <w:tcPr>
            <w:tcW w:w="2089" w:type="dxa"/>
            <w:tcBorders>
              <w:top w:val="single" w:sz="4" w:space="0" w:color="auto"/>
            </w:tcBorders>
            <w:vAlign w:val="center"/>
          </w:tcPr>
          <w:p w14:paraId="4B60B83D" w14:textId="77777777" w:rsidR="007C5F34" w:rsidRPr="002830AD" w:rsidRDefault="007C5F34" w:rsidP="001409B6">
            <w:pPr>
              <w:pStyle w:val="Isitabel"/>
              <w:spacing w:line="240" w:lineRule="auto"/>
              <w:rPr>
                <w:sz w:val="20"/>
                <w:szCs w:val="20"/>
                <w:lang w:val="en-US"/>
              </w:rPr>
            </w:pPr>
            <w:r w:rsidRPr="002830AD">
              <w:rPr>
                <w:sz w:val="20"/>
                <w:szCs w:val="20"/>
                <w:lang w:val="en-US"/>
              </w:rPr>
              <w:t>135</w:t>
            </w:r>
          </w:p>
        </w:tc>
      </w:tr>
    </w:tbl>
    <w:p w14:paraId="12EE620A" w14:textId="77777777" w:rsidR="007C5F34" w:rsidRPr="002830AD" w:rsidRDefault="007C5F34" w:rsidP="007C5F34">
      <w:pPr>
        <w:ind w:left="1134"/>
        <w:rPr>
          <w:rFonts w:ascii="Times New Roman" w:hAnsi="Times New Roman"/>
          <w:lang w:val="en-US"/>
        </w:rPr>
      </w:pPr>
      <w:r w:rsidRPr="002830AD">
        <w:rPr>
          <w:rFonts w:ascii="Times New Roman" w:hAnsi="Times New Roman"/>
          <w:lang w:val="en-US"/>
        </w:rPr>
        <w:t>Source: Research processed data (2022)</w:t>
      </w:r>
    </w:p>
    <w:p w14:paraId="5E33D666" w14:textId="77777777" w:rsidR="007C5F34" w:rsidRPr="002830AD" w:rsidRDefault="007C5F34" w:rsidP="007C5F34">
      <w:pPr>
        <w:pStyle w:val="Heading1"/>
        <w:spacing w:before="0" w:after="0" w:line="240" w:lineRule="auto"/>
        <w:rPr>
          <w:rFonts w:ascii="Times New Roman" w:hAnsi="Times New Roman"/>
          <w:sz w:val="24"/>
          <w:szCs w:val="24"/>
          <w:lang w:val="en-US"/>
        </w:rPr>
      </w:pPr>
      <w:r w:rsidRPr="002830AD">
        <w:rPr>
          <w:rFonts w:ascii="Times New Roman" w:hAnsi="Times New Roman"/>
          <w:sz w:val="24"/>
          <w:szCs w:val="24"/>
          <w:lang w:val="en-US"/>
        </w:rPr>
        <w:t>RESULTS AND DISCUSSION</w:t>
      </w:r>
    </w:p>
    <w:p w14:paraId="05B4ECD0" w14:textId="77777777" w:rsidR="007C5F34" w:rsidRPr="002830AD" w:rsidRDefault="007C5F34" w:rsidP="007C5F34">
      <w:pPr>
        <w:pStyle w:val="Heading1"/>
        <w:spacing w:before="0" w:after="0" w:line="240" w:lineRule="auto"/>
        <w:rPr>
          <w:rFonts w:ascii="Times New Roman" w:hAnsi="Times New Roman"/>
          <w:sz w:val="24"/>
          <w:szCs w:val="24"/>
          <w:lang w:val="en-US"/>
        </w:rPr>
      </w:pPr>
      <w:r w:rsidRPr="002830AD">
        <w:rPr>
          <w:rFonts w:ascii="Times New Roman" w:hAnsi="Times New Roman"/>
          <w:sz w:val="24"/>
          <w:szCs w:val="24"/>
          <w:lang w:val="en-US"/>
        </w:rPr>
        <w:t>Results</w:t>
      </w:r>
    </w:p>
    <w:p w14:paraId="08ED8E4E" w14:textId="65F08CEC" w:rsidR="007C5F34" w:rsidRPr="002830AD" w:rsidRDefault="007C5F34" w:rsidP="007C5F34">
      <w:pPr>
        <w:spacing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Based on the contribution of a variable can be seen from the test of determination o</w:t>
      </w:r>
      <w:r w:rsidR="0072266F" w:rsidRPr="002830AD">
        <w:rPr>
          <w:rFonts w:ascii="Times New Roman" w:hAnsi="Times New Roman"/>
          <w:sz w:val="24"/>
          <w:szCs w:val="24"/>
          <w:lang w:val="en-US"/>
        </w:rPr>
        <w:t xml:space="preserve">r </w:t>
      </w:r>
      <w:r w:rsidRPr="002830AD">
        <w:rPr>
          <w:rFonts w:ascii="Times New Roman" w:hAnsi="Times New Roman"/>
          <w:sz w:val="24"/>
          <w:szCs w:val="24"/>
          <w:lang w:val="en-US"/>
        </w:rPr>
        <w:t>R</w:t>
      </w:r>
      <w:r w:rsidRPr="002830AD">
        <w:rPr>
          <w:rFonts w:ascii="Times New Roman" w:hAnsi="Times New Roman"/>
          <w:sz w:val="24"/>
          <w:szCs w:val="24"/>
          <w:vertAlign w:val="superscript"/>
          <w:lang w:val="en-US"/>
        </w:rPr>
        <w:t>2</w:t>
      </w:r>
      <w:r w:rsidRPr="002830AD">
        <w:rPr>
          <w:rFonts w:ascii="Times New Roman" w:hAnsi="Times New Roman"/>
          <w:sz w:val="24"/>
          <w:szCs w:val="24"/>
          <w:lang w:val="en-US"/>
        </w:rPr>
        <w:t>. Tests are conducted to see how the model's ability to explain the dependent variable is therefore required to test the determination of R</w:t>
      </w:r>
      <w:r w:rsidRPr="002830AD">
        <w:rPr>
          <w:rFonts w:ascii="Times New Roman" w:hAnsi="Times New Roman"/>
          <w:sz w:val="24"/>
          <w:szCs w:val="24"/>
          <w:vertAlign w:val="superscript"/>
          <w:lang w:val="en-US"/>
        </w:rPr>
        <w:t>2</w:t>
      </w:r>
      <w:r w:rsidRPr="002830AD">
        <w:rPr>
          <w:rFonts w:ascii="Times New Roman" w:hAnsi="Times New Roman"/>
          <w:sz w:val="24"/>
          <w:szCs w:val="24"/>
          <w:lang w:val="en-US"/>
        </w:rPr>
        <w:t>. This can be done to determine the good accuracy in the analysis as seen from the magnitude of the coefficient of determination R-Square.</w:t>
      </w:r>
    </w:p>
    <w:p w14:paraId="1C78F64B" w14:textId="77777777" w:rsidR="007C5F34" w:rsidRPr="002830AD" w:rsidRDefault="007C5F34" w:rsidP="007C5F34">
      <w:pPr>
        <w:pStyle w:val="Tabel"/>
        <w:rPr>
          <w:b w:val="0"/>
          <w:bCs/>
          <w:sz w:val="20"/>
          <w:szCs w:val="20"/>
          <w:lang w:val="en-US"/>
        </w:rPr>
      </w:pPr>
      <w:bookmarkStart w:id="1" w:name="_Toc97283932"/>
      <w:bookmarkStart w:id="2" w:name="_Toc97291445"/>
      <w:bookmarkStart w:id="3" w:name="_Toc97293995"/>
      <w:bookmarkStart w:id="4" w:name="_Toc97294392"/>
      <w:bookmarkStart w:id="5" w:name="_Toc97295284"/>
      <w:r w:rsidRPr="002830AD">
        <w:rPr>
          <w:sz w:val="20"/>
          <w:szCs w:val="20"/>
          <w:lang w:val="en-US"/>
        </w:rPr>
        <w:t xml:space="preserve">Table 2. </w:t>
      </w:r>
      <w:r w:rsidRPr="002830AD">
        <w:rPr>
          <w:b w:val="0"/>
          <w:bCs/>
          <w:sz w:val="20"/>
          <w:szCs w:val="20"/>
          <w:lang w:val="en-US"/>
        </w:rPr>
        <w:t>Determination &amp; Simultaneous Test Results (Test F)</w:t>
      </w:r>
      <w:bookmarkEnd w:id="1"/>
      <w:bookmarkEnd w:id="2"/>
      <w:bookmarkEnd w:id="3"/>
      <w:bookmarkEnd w:id="4"/>
      <w:bookmarkEnd w:id="5"/>
    </w:p>
    <w:tbl>
      <w:tblPr>
        <w:tblW w:w="0" w:type="auto"/>
        <w:jc w:val="center"/>
        <w:tblBorders>
          <w:top w:val="single" w:sz="4" w:space="0" w:color="auto"/>
          <w:bottom w:val="single" w:sz="4" w:space="0" w:color="auto"/>
        </w:tblBorders>
        <w:tblLook w:val="04A0" w:firstRow="1" w:lastRow="0" w:firstColumn="1" w:lastColumn="0" w:noHBand="0" w:noVBand="1"/>
      </w:tblPr>
      <w:tblGrid>
        <w:gridCol w:w="1984"/>
        <w:gridCol w:w="2127"/>
      </w:tblGrid>
      <w:tr w:rsidR="007C5F34" w:rsidRPr="002830AD" w14:paraId="7321E321" w14:textId="77777777" w:rsidTr="001409B6">
        <w:trPr>
          <w:jc w:val="center"/>
        </w:trPr>
        <w:tc>
          <w:tcPr>
            <w:tcW w:w="1984" w:type="dxa"/>
            <w:shd w:val="clear" w:color="auto" w:fill="auto"/>
          </w:tcPr>
          <w:p w14:paraId="678D5850"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 xml:space="preserve">Number of </w:t>
            </w:r>
            <w:proofErr w:type="spellStart"/>
            <w:r w:rsidRPr="002830AD">
              <w:rPr>
                <w:sz w:val="20"/>
                <w:szCs w:val="20"/>
                <w:lang w:val="en-US"/>
              </w:rPr>
              <w:t>obs</w:t>
            </w:r>
            <w:proofErr w:type="spellEnd"/>
          </w:p>
        </w:tc>
        <w:tc>
          <w:tcPr>
            <w:tcW w:w="2127" w:type="dxa"/>
            <w:shd w:val="clear" w:color="auto" w:fill="auto"/>
          </w:tcPr>
          <w:p w14:paraId="3481D054"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135</w:t>
            </w:r>
          </w:p>
        </w:tc>
      </w:tr>
      <w:tr w:rsidR="007C5F34" w:rsidRPr="002830AD" w14:paraId="2EDD2660" w14:textId="77777777" w:rsidTr="001409B6">
        <w:trPr>
          <w:jc w:val="center"/>
        </w:trPr>
        <w:tc>
          <w:tcPr>
            <w:tcW w:w="1984" w:type="dxa"/>
            <w:shd w:val="clear" w:color="auto" w:fill="auto"/>
          </w:tcPr>
          <w:p w14:paraId="7613672A" w14:textId="585B34D7" w:rsidR="007C5F34" w:rsidRPr="002830AD" w:rsidRDefault="007C5F34" w:rsidP="001409B6">
            <w:pPr>
              <w:pStyle w:val="Isitabel"/>
              <w:spacing w:line="240" w:lineRule="auto"/>
              <w:jc w:val="both"/>
              <w:rPr>
                <w:sz w:val="20"/>
                <w:szCs w:val="20"/>
                <w:lang w:val="en-US"/>
              </w:rPr>
            </w:pPr>
            <w:r w:rsidRPr="002830AD">
              <w:rPr>
                <w:sz w:val="20"/>
                <w:szCs w:val="20"/>
                <w:lang w:val="en-US"/>
              </w:rPr>
              <w:t>F</w:t>
            </w:r>
            <w:r w:rsidR="0072266F" w:rsidRPr="002830AD">
              <w:rPr>
                <w:sz w:val="20"/>
                <w:szCs w:val="20"/>
                <w:lang w:val="en-US"/>
              </w:rPr>
              <w:t xml:space="preserve"> </w:t>
            </w:r>
            <w:r w:rsidRPr="002830AD">
              <w:rPr>
                <w:sz w:val="20"/>
                <w:szCs w:val="20"/>
                <w:lang w:val="en-US"/>
              </w:rPr>
              <w:t>(6, 128)</w:t>
            </w:r>
          </w:p>
        </w:tc>
        <w:tc>
          <w:tcPr>
            <w:tcW w:w="2127" w:type="dxa"/>
            <w:shd w:val="clear" w:color="auto" w:fill="auto"/>
          </w:tcPr>
          <w:p w14:paraId="6169B1F6"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10.11</w:t>
            </w:r>
          </w:p>
        </w:tc>
      </w:tr>
      <w:tr w:rsidR="007C5F34" w:rsidRPr="002830AD" w14:paraId="3F65952C" w14:textId="77777777" w:rsidTr="001409B6">
        <w:trPr>
          <w:jc w:val="center"/>
        </w:trPr>
        <w:tc>
          <w:tcPr>
            <w:tcW w:w="1984" w:type="dxa"/>
            <w:shd w:val="clear" w:color="auto" w:fill="auto"/>
          </w:tcPr>
          <w:p w14:paraId="7515FBF3"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Prob &gt; F</w:t>
            </w:r>
          </w:p>
        </w:tc>
        <w:tc>
          <w:tcPr>
            <w:tcW w:w="2127" w:type="dxa"/>
            <w:shd w:val="clear" w:color="auto" w:fill="auto"/>
          </w:tcPr>
          <w:p w14:paraId="676F99A1"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0.0000</w:t>
            </w:r>
          </w:p>
        </w:tc>
      </w:tr>
      <w:tr w:rsidR="007C5F34" w:rsidRPr="002830AD" w14:paraId="7E9F180E" w14:textId="77777777" w:rsidTr="001409B6">
        <w:trPr>
          <w:jc w:val="center"/>
        </w:trPr>
        <w:tc>
          <w:tcPr>
            <w:tcW w:w="1984" w:type="dxa"/>
            <w:shd w:val="clear" w:color="auto" w:fill="auto"/>
          </w:tcPr>
          <w:p w14:paraId="3718911A"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R-squared</w:t>
            </w:r>
          </w:p>
        </w:tc>
        <w:tc>
          <w:tcPr>
            <w:tcW w:w="2127" w:type="dxa"/>
            <w:shd w:val="clear" w:color="auto" w:fill="auto"/>
          </w:tcPr>
          <w:p w14:paraId="44835D4C"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0.3215</w:t>
            </w:r>
          </w:p>
        </w:tc>
      </w:tr>
      <w:tr w:rsidR="007C5F34" w:rsidRPr="002830AD" w14:paraId="482BB35E" w14:textId="77777777" w:rsidTr="001409B6">
        <w:trPr>
          <w:jc w:val="center"/>
        </w:trPr>
        <w:tc>
          <w:tcPr>
            <w:tcW w:w="1984" w:type="dxa"/>
            <w:shd w:val="clear" w:color="auto" w:fill="auto"/>
          </w:tcPr>
          <w:p w14:paraId="386ABD0F"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Adj R-squared</w:t>
            </w:r>
          </w:p>
        </w:tc>
        <w:tc>
          <w:tcPr>
            <w:tcW w:w="2127" w:type="dxa"/>
            <w:shd w:val="clear" w:color="auto" w:fill="auto"/>
          </w:tcPr>
          <w:p w14:paraId="71E3B88B"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0.2897</w:t>
            </w:r>
          </w:p>
        </w:tc>
      </w:tr>
      <w:tr w:rsidR="007C5F34" w:rsidRPr="002830AD" w14:paraId="3F045525" w14:textId="77777777" w:rsidTr="001409B6">
        <w:trPr>
          <w:jc w:val="center"/>
        </w:trPr>
        <w:tc>
          <w:tcPr>
            <w:tcW w:w="1984" w:type="dxa"/>
            <w:shd w:val="clear" w:color="auto" w:fill="auto"/>
          </w:tcPr>
          <w:p w14:paraId="4F8CF530"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MSE root</w:t>
            </w:r>
          </w:p>
        </w:tc>
        <w:tc>
          <w:tcPr>
            <w:tcW w:w="2127" w:type="dxa"/>
            <w:shd w:val="clear" w:color="auto" w:fill="auto"/>
          </w:tcPr>
          <w:p w14:paraId="6DA71CAF" w14:textId="77777777" w:rsidR="007C5F34" w:rsidRPr="002830AD" w:rsidRDefault="007C5F34" w:rsidP="001409B6">
            <w:pPr>
              <w:pStyle w:val="Isitabel"/>
              <w:spacing w:line="240" w:lineRule="auto"/>
              <w:jc w:val="both"/>
              <w:rPr>
                <w:sz w:val="20"/>
                <w:szCs w:val="20"/>
                <w:lang w:val="en-US"/>
              </w:rPr>
            </w:pPr>
            <w:r w:rsidRPr="002830AD">
              <w:rPr>
                <w:sz w:val="20"/>
                <w:szCs w:val="20"/>
                <w:lang w:val="en-US"/>
              </w:rPr>
              <w:t>0.7055</w:t>
            </w:r>
          </w:p>
        </w:tc>
      </w:tr>
    </w:tbl>
    <w:p w14:paraId="244331C1" w14:textId="75C38F7F" w:rsidR="007C5F34" w:rsidRPr="002830AD" w:rsidRDefault="007C5F34" w:rsidP="007C5F34">
      <w:pPr>
        <w:spacing w:before="200" w:after="0" w:line="240" w:lineRule="auto"/>
        <w:ind w:firstLine="567"/>
        <w:jc w:val="both"/>
        <w:rPr>
          <w:rFonts w:ascii="Times New Roman" w:hAnsi="Times New Roman"/>
          <w:sz w:val="24"/>
          <w:szCs w:val="24"/>
          <w:lang w:val="en-US"/>
        </w:rPr>
      </w:pPr>
      <w:r w:rsidRPr="002830AD">
        <w:rPr>
          <w:rFonts w:ascii="Times New Roman" w:hAnsi="Times New Roman"/>
          <w:sz w:val="24"/>
          <w:szCs w:val="24"/>
          <w:lang w:val="en-US"/>
        </w:rPr>
        <w:t xml:space="preserve">From the results of the common effects model, the R-Squared result is 0.3215. The independent variables include environment, social, and governance disclosures as well as control variables consisting of firm size, leverage and profitability </w:t>
      </w:r>
      <w:r w:rsidR="0072266F" w:rsidRPr="002830AD">
        <w:rPr>
          <w:rFonts w:ascii="Times New Roman" w:hAnsi="Times New Roman"/>
          <w:sz w:val="24"/>
          <w:szCs w:val="24"/>
          <w:lang w:val="en-US"/>
        </w:rPr>
        <w:t>can</w:t>
      </w:r>
      <w:r w:rsidRPr="002830AD">
        <w:rPr>
          <w:rFonts w:ascii="Times New Roman" w:hAnsi="Times New Roman"/>
          <w:sz w:val="24"/>
          <w:szCs w:val="24"/>
          <w:lang w:val="en-US"/>
        </w:rPr>
        <w:t xml:space="preserve"> explain the dependent variable (firm value) of 32.15% while the remaining 67.85% is influenced by other variables outside the model.</w:t>
      </w:r>
    </w:p>
    <w:p w14:paraId="40D86D43" w14:textId="0F72299F" w:rsidR="007C5F34" w:rsidRPr="002830AD" w:rsidRDefault="0072266F" w:rsidP="007C5F34">
      <w:pPr>
        <w:spacing w:after="0" w:line="240" w:lineRule="auto"/>
        <w:ind w:firstLine="567"/>
        <w:jc w:val="both"/>
        <w:rPr>
          <w:rFonts w:ascii="Times New Roman" w:hAnsi="Times New Roman"/>
          <w:sz w:val="24"/>
          <w:szCs w:val="24"/>
          <w:lang w:val="en-US"/>
        </w:rPr>
      </w:pPr>
      <w:r w:rsidRPr="002830AD">
        <w:rPr>
          <w:rFonts w:ascii="Times New Roman" w:hAnsi="Times New Roman"/>
          <w:sz w:val="24"/>
          <w:szCs w:val="24"/>
          <w:lang w:val="en-US"/>
        </w:rPr>
        <w:t>A simultaneous</w:t>
      </w:r>
      <w:r w:rsidR="007C5F34" w:rsidRPr="002830AD">
        <w:rPr>
          <w:rFonts w:ascii="Times New Roman" w:hAnsi="Times New Roman"/>
          <w:sz w:val="24"/>
          <w:szCs w:val="24"/>
          <w:lang w:val="en-US"/>
        </w:rPr>
        <w:t xml:space="preserve"> significant test (F test) was conducted to see the effect of the independent variable and the dependent variable as a whole. The test was observed from the resulting F value at a level </w:t>
      </w:r>
      <w:r w:rsidR="007C5F34" w:rsidRPr="002830AD">
        <w:rPr>
          <w:rFonts w:ascii="Times New Roman" w:hAnsi="Times New Roman"/>
          <w:sz w:val="24"/>
          <w:szCs w:val="24"/>
          <w:lang w:val="en-US"/>
        </w:rPr>
        <w:sym w:font="Symbol" w:char="F061"/>
      </w:r>
      <w:r w:rsidRPr="002830AD">
        <w:rPr>
          <w:rFonts w:ascii="Times New Roman" w:hAnsi="Times New Roman"/>
          <w:sz w:val="24"/>
          <w:szCs w:val="24"/>
          <w:lang w:val="en-US"/>
        </w:rPr>
        <w:t xml:space="preserve"> </w:t>
      </w:r>
      <w:r w:rsidR="007C5F34" w:rsidRPr="002830AD">
        <w:rPr>
          <w:rFonts w:ascii="Times New Roman" w:hAnsi="Times New Roman"/>
          <w:sz w:val="24"/>
          <w:szCs w:val="24"/>
          <w:lang w:val="en-US"/>
        </w:rPr>
        <w:t xml:space="preserve">of 0.05. </w:t>
      </w:r>
      <w:r w:rsidRPr="002830AD">
        <w:rPr>
          <w:rFonts w:ascii="Times New Roman" w:hAnsi="Times New Roman"/>
          <w:sz w:val="24"/>
          <w:szCs w:val="24"/>
          <w:lang w:val="en-US"/>
        </w:rPr>
        <w:t>T</w:t>
      </w:r>
      <w:r w:rsidR="007C5F34" w:rsidRPr="002830AD">
        <w:rPr>
          <w:rFonts w:ascii="Times New Roman" w:hAnsi="Times New Roman"/>
          <w:sz w:val="24"/>
          <w:szCs w:val="24"/>
          <w:lang w:val="en-US"/>
        </w:rPr>
        <w:t xml:space="preserve">he significance is when F </w:t>
      </w:r>
      <w:r w:rsidR="007C5F34" w:rsidRPr="002830AD">
        <w:rPr>
          <w:rFonts w:ascii="Times New Roman" w:hAnsi="Times New Roman"/>
          <w:sz w:val="24"/>
          <w:szCs w:val="24"/>
          <w:lang w:val="en-US"/>
        </w:rPr>
        <w:sym w:font="Symbol" w:char="F0A3"/>
      </w:r>
      <w:r w:rsidRPr="002830AD">
        <w:rPr>
          <w:rFonts w:ascii="Times New Roman" w:hAnsi="Times New Roman"/>
          <w:sz w:val="24"/>
          <w:szCs w:val="24"/>
          <w:lang w:val="en-US"/>
        </w:rPr>
        <w:t xml:space="preserve"> </w:t>
      </w:r>
      <w:r w:rsidR="007C5F34" w:rsidRPr="002830AD">
        <w:rPr>
          <w:rFonts w:ascii="Times New Roman" w:hAnsi="Times New Roman"/>
          <w:sz w:val="24"/>
          <w:szCs w:val="24"/>
          <w:lang w:val="en-US"/>
        </w:rPr>
        <w:t>0.05 then H</w:t>
      </w:r>
      <w:r w:rsidR="007C5F34" w:rsidRPr="000C3C21">
        <w:rPr>
          <w:rFonts w:ascii="Times New Roman" w:hAnsi="Times New Roman"/>
          <w:sz w:val="24"/>
          <w:szCs w:val="24"/>
          <w:vertAlign w:val="subscript"/>
          <w:lang w:val="en-US"/>
        </w:rPr>
        <w:t>0</w:t>
      </w:r>
      <w:r w:rsidR="007C5F34" w:rsidRPr="002830AD">
        <w:rPr>
          <w:rFonts w:ascii="Times New Roman" w:hAnsi="Times New Roman"/>
          <w:sz w:val="24"/>
          <w:szCs w:val="24"/>
          <w:lang w:val="en-US"/>
        </w:rPr>
        <w:t xml:space="preserve"> is rejected, which means the equation model is accepted or feasible. On the other hand, when the significance of F </w:t>
      </w:r>
      <w:r w:rsidR="007C5F34" w:rsidRPr="002830AD">
        <w:rPr>
          <w:rFonts w:ascii="Times New Roman" w:hAnsi="Times New Roman"/>
          <w:sz w:val="24"/>
          <w:szCs w:val="24"/>
          <w:lang w:val="en-US"/>
        </w:rPr>
        <w:sym w:font="Symbol" w:char="F0B3"/>
      </w:r>
      <w:r w:rsidRPr="002830AD">
        <w:rPr>
          <w:rFonts w:ascii="Times New Roman" w:hAnsi="Times New Roman"/>
          <w:sz w:val="24"/>
          <w:szCs w:val="24"/>
          <w:lang w:val="en-US"/>
        </w:rPr>
        <w:t xml:space="preserve"> </w:t>
      </w:r>
      <w:r w:rsidR="007C5F34" w:rsidRPr="002830AD">
        <w:rPr>
          <w:rFonts w:ascii="Times New Roman" w:hAnsi="Times New Roman"/>
          <w:sz w:val="24"/>
          <w:szCs w:val="24"/>
          <w:lang w:val="en-US"/>
        </w:rPr>
        <w:t>is 0.05, there is no simultaneous effect.</w:t>
      </w:r>
    </w:p>
    <w:p w14:paraId="49E48D5D" w14:textId="5E9EA5E7" w:rsidR="007C5F34" w:rsidRPr="002830AD" w:rsidRDefault="007C5F34" w:rsidP="007C5F34">
      <w:pPr>
        <w:spacing w:after="0" w:line="240" w:lineRule="auto"/>
        <w:ind w:firstLine="567"/>
        <w:jc w:val="both"/>
        <w:rPr>
          <w:rFonts w:ascii="Times New Roman" w:hAnsi="Times New Roman"/>
          <w:sz w:val="24"/>
          <w:szCs w:val="24"/>
          <w:lang w:val="en-US"/>
        </w:rPr>
      </w:pPr>
      <w:r w:rsidRPr="002830AD">
        <w:rPr>
          <w:rFonts w:ascii="Times New Roman" w:hAnsi="Times New Roman"/>
          <w:sz w:val="24"/>
          <w:szCs w:val="24"/>
          <w:lang w:val="en-US"/>
        </w:rPr>
        <w:t xml:space="preserve">In the results of table 2 the calculated F value is 10.11 with a probability value of 0.0000 </w:t>
      </w:r>
      <w:r w:rsidRPr="002830AD">
        <w:rPr>
          <w:rFonts w:ascii="Times New Roman" w:hAnsi="Times New Roman"/>
          <w:sz w:val="24"/>
          <w:szCs w:val="24"/>
          <w:lang w:val="en-US"/>
        </w:rPr>
        <w:sym w:font="Symbol" w:char="F0A3"/>
      </w:r>
      <w:r w:rsidR="0072266F" w:rsidRPr="002830AD">
        <w:rPr>
          <w:rFonts w:ascii="Times New Roman" w:hAnsi="Times New Roman"/>
          <w:sz w:val="24"/>
          <w:szCs w:val="24"/>
          <w:lang w:val="en-US"/>
        </w:rPr>
        <w:t xml:space="preserve"> </w:t>
      </w:r>
      <w:r w:rsidRPr="002830AD">
        <w:rPr>
          <w:rFonts w:ascii="Times New Roman" w:hAnsi="Times New Roman"/>
          <w:sz w:val="24"/>
          <w:szCs w:val="24"/>
          <w:lang w:val="en-US"/>
        </w:rPr>
        <w:t>0.05, which means that it includes environmental, social, and governance disclosures as well as control variables consisting of firm size, leverage and profitability have a simultaneous effect on firm value.</w:t>
      </w:r>
    </w:p>
    <w:p w14:paraId="60100372" w14:textId="47DB9217" w:rsidR="007C5F34" w:rsidRPr="002830AD" w:rsidRDefault="0072266F" w:rsidP="007C5F34">
      <w:pPr>
        <w:spacing w:line="240" w:lineRule="auto"/>
        <w:ind w:firstLine="567"/>
        <w:jc w:val="both"/>
        <w:rPr>
          <w:rFonts w:ascii="Times New Roman" w:hAnsi="Times New Roman"/>
          <w:sz w:val="24"/>
          <w:szCs w:val="24"/>
          <w:lang w:val="en-US"/>
        </w:rPr>
      </w:pPr>
      <w:r w:rsidRPr="002830AD">
        <w:rPr>
          <w:rFonts w:ascii="Times New Roman" w:hAnsi="Times New Roman"/>
          <w:sz w:val="24"/>
          <w:szCs w:val="24"/>
          <w:lang w:val="en-US"/>
        </w:rPr>
        <w:t>A partial</w:t>
      </w:r>
      <w:r w:rsidR="007C5F34" w:rsidRPr="002830AD">
        <w:rPr>
          <w:rFonts w:ascii="Times New Roman" w:hAnsi="Times New Roman"/>
          <w:sz w:val="24"/>
          <w:szCs w:val="24"/>
          <w:lang w:val="en-US"/>
        </w:rPr>
        <w:t xml:space="preserve"> significant test (t-test) was used to explain whether or not the influence of environment, social, and governance disclosure as well as control variables consisting of firm size, leverage</w:t>
      </w:r>
      <w:r w:rsidR="000C3C21">
        <w:rPr>
          <w:rFonts w:ascii="Times New Roman" w:hAnsi="Times New Roman"/>
          <w:sz w:val="24"/>
          <w:szCs w:val="24"/>
          <w:lang w:val="en-US"/>
        </w:rPr>
        <w:t>,</w:t>
      </w:r>
      <w:r w:rsidR="007C5F34" w:rsidRPr="002830AD">
        <w:rPr>
          <w:rFonts w:ascii="Times New Roman" w:hAnsi="Times New Roman"/>
          <w:sz w:val="24"/>
          <w:szCs w:val="24"/>
          <w:lang w:val="en-US"/>
        </w:rPr>
        <w:t xml:space="preserve"> and profitability on the dependent variable, namely firm value.</w:t>
      </w:r>
    </w:p>
    <w:p w14:paraId="6161245F" w14:textId="77777777" w:rsidR="007C5F34" w:rsidRPr="002830AD" w:rsidRDefault="007C5F34" w:rsidP="007C5F34">
      <w:pPr>
        <w:pStyle w:val="Tabel"/>
        <w:rPr>
          <w:sz w:val="20"/>
          <w:szCs w:val="20"/>
          <w:lang w:val="en-US"/>
        </w:rPr>
      </w:pPr>
      <w:bookmarkStart w:id="6" w:name="_Toc97283933"/>
      <w:bookmarkStart w:id="7" w:name="_Toc97291446"/>
      <w:bookmarkStart w:id="8" w:name="_Toc97293996"/>
      <w:bookmarkStart w:id="9" w:name="_Toc97294393"/>
      <w:bookmarkStart w:id="10" w:name="_Toc97295285"/>
      <w:r w:rsidRPr="002830AD">
        <w:rPr>
          <w:sz w:val="20"/>
          <w:szCs w:val="20"/>
          <w:lang w:val="en-US"/>
        </w:rPr>
        <w:lastRenderedPageBreak/>
        <w:t xml:space="preserve">Table 3. </w:t>
      </w:r>
      <w:r w:rsidRPr="002830AD">
        <w:rPr>
          <w:b w:val="0"/>
          <w:bCs/>
          <w:sz w:val="20"/>
          <w:szCs w:val="20"/>
          <w:lang w:val="en-US"/>
        </w:rPr>
        <w:t>Panel Regression Results with Common Effect Model</w:t>
      </w:r>
      <w:bookmarkEnd w:id="6"/>
      <w:bookmarkEnd w:id="7"/>
      <w:bookmarkEnd w:id="8"/>
      <w:bookmarkEnd w:id="9"/>
      <w:bookmarkEnd w:id="10"/>
    </w:p>
    <w:tbl>
      <w:tblPr>
        <w:tblW w:w="0" w:type="auto"/>
        <w:jc w:val="center"/>
        <w:tblBorders>
          <w:top w:val="single" w:sz="4" w:space="0" w:color="auto"/>
          <w:bottom w:val="single" w:sz="4" w:space="0" w:color="auto"/>
        </w:tblBorders>
        <w:tblLook w:val="04A0" w:firstRow="1" w:lastRow="0" w:firstColumn="1" w:lastColumn="0" w:noHBand="0" w:noVBand="1"/>
      </w:tblPr>
      <w:tblGrid>
        <w:gridCol w:w="1585"/>
        <w:gridCol w:w="1585"/>
        <w:gridCol w:w="1586"/>
        <w:gridCol w:w="2048"/>
      </w:tblGrid>
      <w:tr w:rsidR="007C5F34" w:rsidRPr="002830AD" w14:paraId="36898BA5" w14:textId="77777777" w:rsidTr="001409B6">
        <w:trPr>
          <w:jc w:val="center"/>
        </w:trPr>
        <w:tc>
          <w:tcPr>
            <w:tcW w:w="1585" w:type="dxa"/>
            <w:tcBorders>
              <w:top w:val="single" w:sz="4" w:space="0" w:color="auto"/>
              <w:bottom w:val="single" w:sz="4" w:space="0" w:color="auto"/>
            </w:tcBorders>
            <w:shd w:val="clear" w:color="auto" w:fill="auto"/>
            <w:vAlign w:val="center"/>
          </w:tcPr>
          <w:p w14:paraId="66BD494B" w14:textId="77777777" w:rsidR="007C5F34" w:rsidRPr="002830AD" w:rsidRDefault="007C5F34" w:rsidP="001409B6">
            <w:pPr>
              <w:pStyle w:val="Isitabel"/>
              <w:spacing w:line="240" w:lineRule="auto"/>
              <w:rPr>
                <w:b/>
                <w:bCs/>
                <w:sz w:val="20"/>
                <w:szCs w:val="20"/>
                <w:lang w:val="en-US"/>
              </w:rPr>
            </w:pPr>
            <w:r w:rsidRPr="002830AD">
              <w:rPr>
                <w:b/>
                <w:bCs/>
                <w:sz w:val="20"/>
                <w:szCs w:val="20"/>
                <w:lang w:val="en-US"/>
              </w:rPr>
              <w:t>Variable</w:t>
            </w:r>
          </w:p>
        </w:tc>
        <w:tc>
          <w:tcPr>
            <w:tcW w:w="1585" w:type="dxa"/>
            <w:tcBorders>
              <w:top w:val="single" w:sz="4" w:space="0" w:color="auto"/>
              <w:bottom w:val="single" w:sz="4" w:space="0" w:color="auto"/>
            </w:tcBorders>
            <w:shd w:val="clear" w:color="auto" w:fill="auto"/>
            <w:vAlign w:val="center"/>
          </w:tcPr>
          <w:p w14:paraId="06B1BAF6" w14:textId="77777777" w:rsidR="007C5F34" w:rsidRPr="002830AD" w:rsidRDefault="007C5F34" w:rsidP="001409B6">
            <w:pPr>
              <w:pStyle w:val="Isitabel"/>
              <w:spacing w:line="240" w:lineRule="auto"/>
              <w:rPr>
                <w:b/>
                <w:bCs/>
                <w:sz w:val="20"/>
                <w:szCs w:val="20"/>
                <w:lang w:val="en-US"/>
              </w:rPr>
            </w:pPr>
            <w:r w:rsidRPr="002830AD">
              <w:rPr>
                <w:b/>
                <w:bCs/>
                <w:sz w:val="20"/>
                <w:szCs w:val="20"/>
                <w:lang w:val="en-US"/>
              </w:rPr>
              <w:t>coef.</w:t>
            </w:r>
          </w:p>
        </w:tc>
        <w:tc>
          <w:tcPr>
            <w:tcW w:w="1586" w:type="dxa"/>
            <w:tcBorders>
              <w:top w:val="single" w:sz="4" w:space="0" w:color="auto"/>
              <w:bottom w:val="single" w:sz="4" w:space="0" w:color="auto"/>
            </w:tcBorders>
            <w:shd w:val="clear" w:color="auto" w:fill="auto"/>
            <w:vAlign w:val="center"/>
          </w:tcPr>
          <w:p w14:paraId="6B5E1461" w14:textId="77777777" w:rsidR="007C5F34" w:rsidRPr="002830AD" w:rsidRDefault="007C5F34" w:rsidP="001409B6">
            <w:pPr>
              <w:pStyle w:val="Isitabel"/>
              <w:spacing w:line="240" w:lineRule="auto"/>
              <w:rPr>
                <w:b/>
                <w:bCs/>
                <w:sz w:val="20"/>
                <w:szCs w:val="20"/>
                <w:lang w:val="en-US"/>
              </w:rPr>
            </w:pPr>
            <w:r w:rsidRPr="002830AD">
              <w:rPr>
                <w:b/>
                <w:bCs/>
                <w:sz w:val="20"/>
                <w:szCs w:val="20"/>
                <w:lang w:val="en-US"/>
              </w:rPr>
              <w:t>P&gt;|t|</w:t>
            </w:r>
          </w:p>
        </w:tc>
        <w:tc>
          <w:tcPr>
            <w:tcW w:w="2048" w:type="dxa"/>
            <w:tcBorders>
              <w:top w:val="single" w:sz="4" w:space="0" w:color="auto"/>
              <w:bottom w:val="single" w:sz="4" w:space="0" w:color="auto"/>
            </w:tcBorders>
            <w:shd w:val="clear" w:color="auto" w:fill="auto"/>
            <w:vAlign w:val="center"/>
          </w:tcPr>
          <w:p w14:paraId="1340C31B" w14:textId="77777777" w:rsidR="007C5F34" w:rsidRPr="002830AD" w:rsidRDefault="007C5F34" w:rsidP="001409B6">
            <w:pPr>
              <w:pStyle w:val="Isitabel"/>
              <w:spacing w:line="240" w:lineRule="auto"/>
              <w:rPr>
                <w:b/>
                <w:bCs/>
                <w:sz w:val="20"/>
                <w:szCs w:val="20"/>
                <w:lang w:val="en-US"/>
              </w:rPr>
            </w:pPr>
            <w:r w:rsidRPr="002830AD">
              <w:rPr>
                <w:b/>
                <w:bCs/>
                <w:sz w:val="20"/>
                <w:szCs w:val="20"/>
                <w:lang w:val="en-US"/>
              </w:rPr>
              <w:t>Information</w:t>
            </w:r>
          </w:p>
        </w:tc>
      </w:tr>
      <w:tr w:rsidR="007C5F34" w:rsidRPr="002830AD" w14:paraId="6AFE95DF" w14:textId="77777777" w:rsidTr="001409B6">
        <w:trPr>
          <w:jc w:val="center"/>
        </w:trPr>
        <w:tc>
          <w:tcPr>
            <w:tcW w:w="1585" w:type="dxa"/>
            <w:tcBorders>
              <w:top w:val="single" w:sz="4" w:space="0" w:color="auto"/>
            </w:tcBorders>
            <w:shd w:val="clear" w:color="auto" w:fill="auto"/>
            <w:vAlign w:val="center"/>
          </w:tcPr>
          <w:p w14:paraId="55BF128E" w14:textId="77777777" w:rsidR="007C5F34" w:rsidRPr="002830AD" w:rsidRDefault="007C5F34" w:rsidP="001409B6">
            <w:pPr>
              <w:pStyle w:val="Isitabel"/>
              <w:spacing w:line="240" w:lineRule="auto"/>
              <w:rPr>
                <w:sz w:val="20"/>
                <w:szCs w:val="20"/>
                <w:lang w:val="en-US"/>
              </w:rPr>
            </w:pPr>
            <w:r w:rsidRPr="002830AD">
              <w:rPr>
                <w:sz w:val="20"/>
                <w:szCs w:val="20"/>
                <w:lang w:val="en-US"/>
              </w:rPr>
              <w:t>Constant</w:t>
            </w:r>
          </w:p>
        </w:tc>
        <w:tc>
          <w:tcPr>
            <w:tcW w:w="1585" w:type="dxa"/>
            <w:tcBorders>
              <w:top w:val="single" w:sz="4" w:space="0" w:color="auto"/>
            </w:tcBorders>
            <w:shd w:val="clear" w:color="auto" w:fill="auto"/>
            <w:vAlign w:val="center"/>
          </w:tcPr>
          <w:p w14:paraId="1E37B4B8" w14:textId="77777777" w:rsidR="007C5F34" w:rsidRPr="002830AD" w:rsidRDefault="007C5F34" w:rsidP="001409B6">
            <w:pPr>
              <w:pStyle w:val="Isitabel"/>
              <w:spacing w:line="240" w:lineRule="auto"/>
              <w:rPr>
                <w:sz w:val="20"/>
                <w:szCs w:val="20"/>
                <w:lang w:val="en-US"/>
              </w:rPr>
            </w:pPr>
            <w:r w:rsidRPr="002830AD">
              <w:rPr>
                <w:sz w:val="20"/>
                <w:szCs w:val="20"/>
                <w:lang w:val="en-US"/>
              </w:rPr>
              <w:t>8.086939</w:t>
            </w:r>
          </w:p>
        </w:tc>
        <w:tc>
          <w:tcPr>
            <w:tcW w:w="1586" w:type="dxa"/>
            <w:tcBorders>
              <w:top w:val="single" w:sz="4" w:space="0" w:color="auto"/>
            </w:tcBorders>
            <w:shd w:val="clear" w:color="auto" w:fill="auto"/>
          </w:tcPr>
          <w:p w14:paraId="5A1CB63B" w14:textId="77777777" w:rsidR="007C5F34" w:rsidRPr="002830AD" w:rsidRDefault="007C5F34" w:rsidP="001409B6">
            <w:pPr>
              <w:pStyle w:val="Isitabel"/>
              <w:spacing w:line="240" w:lineRule="auto"/>
              <w:rPr>
                <w:sz w:val="20"/>
                <w:szCs w:val="20"/>
                <w:lang w:val="en-US"/>
              </w:rPr>
            </w:pPr>
            <w:r w:rsidRPr="002830AD">
              <w:rPr>
                <w:sz w:val="20"/>
                <w:szCs w:val="20"/>
                <w:lang w:val="en-US"/>
              </w:rPr>
              <w:t>0.002</w:t>
            </w:r>
          </w:p>
        </w:tc>
        <w:tc>
          <w:tcPr>
            <w:tcW w:w="2048" w:type="dxa"/>
            <w:tcBorders>
              <w:top w:val="single" w:sz="4" w:space="0" w:color="auto"/>
            </w:tcBorders>
            <w:shd w:val="clear" w:color="auto" w:fill="auto"/>
            <w:vAlign w:val="center"/>
          </w:tcPr>
          <w:p w14:paraId="1A87E8E7" w14:textId="77777777" w:rsidR="007C5F34" w:rsidRPr="002830AD" w:rsidRDefault="007C5F34" w:rsidP="001409B6">
            <w:pPr>
              <w:pStyle w:val="Isitabel"/>
              <w:spacing w:line="240" w:lineRule="auto"/>
              <w:rPr>
                <w:sz w:val="20"/>
                <w:szCs w:val="20"/>
                <w:lang w:val="en-US"/>
              </w:rPr>
            </w:pPr>
          </w:p>
        </w:tc>
      </w:tr>
      <w:tr w:rsidR="007C5F34" w:rsidRPr="002830AD" w14:paraId="03E7EADB" w14:textId="77777777" w:rsidTr="001409B6">
        <w:trPr>
          <w:jc w:val="center"/>
        </w:trPr>
        <w:tc>
          <w:tcPr>
            <w:tcW w:w="1585" w:type="dxa"/>
            <w:shd w:val="clear" w:color="auto" w:fill="auto"/>
            <w:vAlign w:val="center"/>
          </w:tcPr>
          <w:p w14:paraId="43C86F71" w14:textId="77777777" w:rsidR="007C5F34" w:rsidRPr="002830AD" w:rsidRDefault="007C5F34" w:rsidP="001409B6">
            <w:pPr>
              <w:pStyle w:val="Isitabel"/>
              <w:spacing w:line="240" w:lineRule="auto"/>
              <w:rPr>
                <w:sz w:val="20"/>
                <w:szCs w:val="20"/>
                <w:lang w:val="en-US"/>
              </w:rPr>
            </w:pPr>
            <w:r w:rsidRPr="002830AD">
              <w:rPr>
                <w:sz w:val="20"/>
                <w:szCs w:val="20"/>
                <w:lang w:val="en-US"/>
              </w:rPr>
              <w:t>ENV</w:t>
            </w:r>
          </w:p>
        </w:tc>
        <w:tc>
          <w:tcPr>
            <w:tcW w:w="1585" w:type="dxa"/>
            <w:shd w:val="clear" w:color="auto" w:fill="auto"/>
            <w:vAlign w:val="center"/>
          </w:tcPr>
          <w:p w14:paraId="7B681D63" w14:textId="77777777" w:rsidR="007C5F34" w:rsidRPr="002830AD" w:rsidRDefault="007C5F34" w:rsidP="001409B6">
            <w:pPr>
              <w:pStyle w:val="Isitabel"/>
              <w:spacing w:line="240" w:lineRule="auto"/>
              <w:rPr>
                <w:sz w:val="20"/>
                <w:szCs w:val="20"/>
                <w:lang w:val="en-US"/>
              </w:rPr>
            </w:pPr>
            <w:r w:rsidRPr="002830AD">
              <w:rPr>
                <w:sz w:val="20"/>
                <w:szCs w:val="20"/>
                <w:lang w:val="en-US"/>
              </w:rPr>
              <w:t>.0128239</w:t>
            </w:r>
          </w:p>
        </w:tc>
        <w:tc>
          <w:tcPr>
            <w:tcW w:w="1586" w:type="dxa"/>
            <w:shd w:val="clear" w:color="auto" w:fill="auto"/>
          </w:tcPr>
          <w:p w14:paraId="643C48E9" w14:textId="77777777" w:rsidR="007C5F34" w:rsidRPr="002830AD" w:rsidRDefault="007C5F34" w:rsidP="001409B6">
            <w:pPr>
              <w:pStyle w:val="Isitabel"/>
              <w:spacing w:line="240" w:lineRule="auto"/>
              <w:rPr>
                <w:sz w:val="20"/>
                <w:szCs w:val="20"/>
                <w:lang w:val="en-US"/>
              </w:rPr>
            </w:pPr>
            <w:r w:rsidRPr="002830AD">
              <w:rPr>
                <w:sz w:val="20"/>
                <w:szCs w:val="20"/>
                <w:lang w:val="en-US"/>
              </w:rPr>
              <w:t>0.050</w:t>
            </w:r>
          </w:p>
        </w:tc>
        <w:tc>
          <w:tcPr>
            <w:tcW w:w="2048" w:type="dxa"/>
            <w:shd w:val="clear" w:color="auto" w:fill="auto"/>
            <w:vAlign w:val="center"/>
          </w:tcPr>
          <w:p w14:paraId="77C60CD9" w14:textId="77777777" w:rsidR="007C5F34" w:rsidRPr="002830AD" w:rsidRDefault="007C5F34" w:rsidP="001409B6">
            <w:pPr>
              <w:pStyle w:val="Isitabel"/>
              <w:spacing w:line="240" w:lineRule="auto"/>
              <w:rPr>
                <w:sz w:val="20"/>
                <w:szCs w:val="20"/>
                <w:lang w:val="en-US"/>
              </w:rPr>
            </w:pPr>
            <w:r w:rsidRPr="002830AD">
              <w:rPr>
                <w:sz w:val="20"/>
                <w:szCs w:val="20"/>
                <w:lang w:val="en-US"/>
              </w:rPr>
              <w:t>Significant</w:t>
            </w:r>
          </w:p>
        </w:tc>
      </w:tr>
      <w:tr w:rsidR="007C5F34" w:rsidRPr="002830AD" w14:paraId="778AA599" w14:textId="77777777" w:rsidTr="001409B6">
        <w:trPr>
          <w:jc w:val="center"/>
        </w:trPr>
        <w:tc>
          <w:tcPr>
            <w:tcW w:w="1585" w:type="dxa"/>
            <w:shd w:val="clear" w:color="auto" w:fill="auto"/>
            <w:vAlign w:val="center"/>
          </w:tcPr>
          <w:p w14:paraId="73297726" w14:textId="77777777" w:rsidR="007C5F34" w:rsidRPr="002830AD" w:rsidRDefault="007C5F34" w:rsidP="001409B6">
            <w:pPr>
              <w:pStyle w:val="Isitabel"/>
              <w:spacing w:line="240" w:lineRule="auto"/>
              <w:rPr>
                <w:sz w:val="20"/>
                <w:szCs w:val="20"/>
                <w:lang w:val="en-US"/>
              </w:rPr>
            </w:pPr>
            <w:r w:rsidRPr="002830AD">
              <w:rPr>
                <w:sz w:val="20"/>
                <w:szCs w:val="20"/>
                <w:lang w:val="en-US"/>
              </w:rPr>
              <w:t>SOC</w:t>
            </w:r>
          </w:p>
        </w:tc>
        <w:tc>
          <w:tcPr>
            <w:tcW w:w="1585" w:type="dxa"/>
            <w:shd w:val="clear" w:color="auto" w:fill="auto"/>
            <w:vAlign w:val="center"/>
          </w:tcPr>
          <w:p w14:paraId="18CCD15C" w14:textId="77777777" w:rsidR="007C5F34" w:rsidRPr="002830AD" w:rsidRDefault="007C5F34" w:rsidP="001409B6">
            <w:pPr>
              <w:pStyle w:val="Isitabel"/>
              <w:spacing w:line="240" w:lineRule="auto"/>
              <w:rPr>
                <w:sz w:val="20"/>
                <w:szCs w:val="20"/>
                <w:lang w:val="en-US"/>
              </w:rPr>
            </w:pPr>
            <w:r w:rsidRPr="002830AD">
              <w:rPr>
                <w:sz w:val="20"/>
                <w:szCs w:val="20"/>
                <w:lang w:val="en-US"/>
              </w:rPr>
              <w:t>.0084031</w:t>
            </w:r>
          </w:p>
        </w:tc>
        <w:tc>
          <w:tcPr>
            <w:tcW w:w="1586" w:type="dxa"/>
            <w:shd w:val="clear" w:color="auto" w:fill="auto"/>
          </w:tcPr>
          <w:p w14:paraId="04888746" w14:textId="77777777" w:rsidR="007C5F34" w:rsidRPr="002830AD" w:rsidRDefault="007C5F34" w:rsidP="001409B6">
            <w:pPr>
              <w:pStyle w:val="Isitabel"/>
              <w:spacing w:line="240" w:lineRule="auto"/>
              <w:rPr>
                <w:sz w:val="20"/>
                <w:szCs w:val="20"/>
                <w:lang w:val="en-US"/>
              </w:rPr>
            </w:pPr>
            <w:r w:rsidRPr="002830AD">
              <w:rPr>
                <w:sz w:val="20"/>
                <w:szCs w:val="20"/>
                <w:lang w:val="en-US"/>
              </w:rPr>
              <w:t>0.002</w:t>
            </w:r>
          </w:p>
        </w:tc>
        <w:tc>
          <w:tcPr>
            <w:tcW w:w="2048" w:type="dxa"/>
            <w:shd w:val="clear" w:color="auto" w:fill="auto"/>
            <w:vAlign w:val="center"/>
          </w:tcPr>
          <w:p w14:paraId="04BA3B89" w14:textId="77777777" w:rsidR="007C5F34" w:rsidRPr="002830AD" w:rsidRDefault="007C5F34" w:rsidP="001409B6">
            <w:pPr>
              <w:pStyle w:val="Isitabel"/>
              <w:spacing w:line="240" w:lineRule="auto"/>
              <w:rPr>
                <w:sz w:val="20"/>
                <w:szCs w:val="20"/>
                <w:lang w:val="en-US"/>
              </w:rPr>
            </w:pPr>
            <w:r w:rsidRPr="002830AD">
              <w:rPr>
                <w:sz w:val="20"/>
                <w:szCs w:val="20"/>
                <w:lang w:val="en-US"/>
              </w:rPr>
              <w:t>Significant</w:t>
            </w:r>
          </w:p>
        </w:tc>
      </w:tr>
      <w:tr w:rsidR="007C5F34" w:rsidRPr="002830AD" w14:paraId="0ACFA135" w14:textId="77777777" w:rsidTr="001409B6">
        <w:trPr>
          <w:jc w:val="center"/>
        </w:trPr>
        <w:tc>
          <w:tcPr>
            <w:tcW w:w="1585" w:type="dxa"/>
            <w:shd w:val="clear" w:color="auto" w:fill="auto"/>
            <w:vAlign w:val="center"/>
          </w:tcPr>
          <w:p w14:paraId="1CFFCC94" w14:textId="77777777" w:rsidR="007C5F34" w:rsidRPr="002830AD" w:rsidRDefault="007C5F34" w:rsidP="001409B6">
            <w:pPr>
              <w:pStyle w:val="Isitabel"/>
              <w:spacing w:line="240" w:lineRule="auto"/>
              <w:rPr>
                <w:sz w:val="20"/>
                <w:szCs w:val="20"/>
                <w:lang w:val="en-US"/>
              </w:rPr>
            </w:pPr>
            <w:r w:rsidRPr="002830AD">
              <w:rPr>
                <w:sz w:val="20"/>
                <w:szCs w:val="20"/>
                <w:lang w:val="en-US"/>
              </w:rPr>
              <w:t>GOV</w:t>
            </w:r>
          </w:p>
        </w:tc>
        <w:tc>
          <w:tcPr>
            <w:tcW w:w="1585" w:type="dxa"/>
            <w:shd w:val="clear" w:color="auto" w:fill="auto"/>
            <w:vAlign w:val="center"/>
          </w:tcPr>
          <w:p w14:paraId="1C58161F" w14:textId="77777777" w:rsidR="007C5F34" w:rsidRPr="002830AD" w:rsidRDefault="007C5F34" w:rsidP="001409B6">
            <w:pPr>
              <w:pStyle w:val="Isitabel"/>
              <w:spacing w:line="240" w:lineRule="auto"/>
              <w:rPr>
                <w:sz w:val="20"/>
                <w:szCs w:val="20"/>
                <w:lang w:val="en-US"/>
              </w:rPr>
            </w:pPr>
            <w:r w:rsidRPr="002830AD">
              <w:rPr>
                <w:sz w:val="20"/>
                <w:szCs w:val="20"/>
                <w:lang w:val="en-US"/>
              </w:rPr>
              <w:t>-.0113259</w:t>
            </w:r>
          </w:p>
        </w:tc>
        <w:tc>
          <w:tcPr>
            <w:tcW w:w="1586" w:type="dxa"/>
            <w:shd w:val="clear" w:color="auto" w:fill="auto"/>
          </w:tcPr>
          <w:p w14:paraId="7A555A41" w14:textId="77777777" w:rsidR="007C5F34" w:rsidRPr="002830AD" w:rsidRDefault="007C5F34" w:rsidP="001409B6">
            <w:pPr>
              <w:pStyle w:val="Isitabel"/>
              <w:spacing w:line="240" w:lineRule="auto"/>
              <w:rPr>
                <w:sz w:val="20"/>
                <w:szCs w:val="20"/>
                <w:lang w:val="en-US"/>
              </w:rPr>
            </w:pPr>
            <w:r w:rsidRPr="002830AD">
              <w:rPr>
                <w:sz w:val="20"/>
                <w:szCs w:val="20"/>
                <w:lang w:val="en-US"/>
              </w:rPr>
              <w:t>0.000</w:t>
            </w:r>
          </w:p>
        </w:tc>
        <w:tc>
          <w:tcPr>
            <w:tcW w:w="2048" w:type="dxa"/>
            <w:shd w:val="clear" w:color="auto" w:fill="auto"/>
            <w:vAlign w:val="center"/>
          </w:tcPr>
          <w:p w14:paraId="37747C41" w14:textId="77777777" w:rsidR="007C5F34" w:rsidRPr="002830AD" w:rsidRDefault="007C5F34" w:rsidP="001409B6">
            <w:pPr>
              <w:pStyle w:val="Isitabel"/>
              <w:spacing w:line="240" w:lineRule="auto"/>
              <w:rPr>
                <w:sz w:val="20"/>
                <w:szCs w:val="20"/>
                <w:lang w:val="en-US"/>
              </w:rPr>
            </w:pPr>
            <w:r w:rsidRPr="002830AD">
              <w:rPr>
                <w:sz w:val="20"/>
                <w:szCs w:val="20"/>
                <w:lang w:val="en-US"/>
              </w:rPr>
              <w:t>Significant</w:t>
            </w:r>
          </w:p>
        </w:tc>
      </w:tr>
      <w:tr w:rsidR="007C5F34" w:rsidRPr="002830AD" w14:paraId="6C7BA033" w14:textId="77777777" w:rsidTr="001409B6">
        <w:trPr>
          <w:jc w:val="center"/>
        </w:trPr>
        <w:tc>
          <w:tcPr>
            <w:tcW w:w="1585" w:type="dxa"/>
            <w:shd w:val="clear" w:color="auto" w:fill="auto"/>
            <w:vAlign w:val="center"/>
          </w:tcPr>
          <w:p w14:paraId="5A682EB1" w14:textId="77777777" w:rsidR="007C5F34" w:rsidRPr="002830AD" w:rsidRDefault="007C5F34" w:rsidP="001409B6">
            <w:pPr>
              <w:pStyle w:val="Isitabel"/>
              <w:spacing w:line="240" w:lineRule="auto"/>
              <w:rPr>
                <w:sz w:val="20"/>
                <w:szCs w:val="20"/>
                <w:lang w:val="en-US"/>
              </w:rPr>
            </w:pPr>
            <w:r w:rsidRPr="002830AD">
              <w:rPr>
                <w:sz w:val="20"/>
                <w:szCs w:val="20"/>
                <w:lang w:val="en-US"/>
              </w:rPr>
              <w:t>SIZE</w:t>
            </w:r>
          </w:p>
        </w:tc>
        <w:tc>
          <w:tcPr>
            <w:tcW w:w="1585" w:type="dxa"/>
            <w:shd w:val="clear" w:color="auto" w:fill="auto"/>
            <w:vAlign w:val="center"/>
          </w:tcPr>
          <w:p w14:paraId="69D41E3B" w14:textId="77777777" w:rsidR="007C5F34" w:rsidRPr="002830AD" w:rsidRDefault="007C5F34" w:rsidP="001409B6">
            <w:pPr>
              <w:pStyle w:val="Isitabel"/>
              <w:spacing w:line="240" w:lineRule="auto"/>
              <w:rPr>
                <w:sz w:val="20"/>
                <w:szCs w:val="20"/>
                <w:lang w:val="en-US"/>
              </w:rPr>
            </w:pPr>
            <w:r w:rsidRPr="002830AD">
              <w:rPr>
                <w:sz w:val="20"/>
                <w:szCs w:val="20"/>
                <w:lang w:val="en-US"/>
              </w:rPr>
              <w:t>-.2352007</w:t>
            </w:r>
          </w:p>
        </w:tc>
        <w:tc>
          <w:tcPr>
            <w:tcW w:w="1586" w:type="dxa"/>
            <w:shd w:val="clear" w:color="auto" w:fill="auto"/>
          </w:tcPr>
          <w:p w14:paraId="0998A6C9" w14:textId="77777777" w:rsidR="007C5F34" w:rsidRPr="002830AD" w:rsidRDefault="007C5F34" w:rsidP="001409B6">
            <w:pPr>
              <w:pStyle w:val="Isitabel"/>
              <w:spacing w:line="240" w:lineRule="auto"/>
              <w:rPr>
                <w:sz w:val="20"/>
                <w:szCs w:val="20"/>
                <w:lang w:val="en-US"/>
              </w:rPr>
            </w:pPr>
            <w:r w:rsidRPr="002830AD">
              <w:rPr>
                <w:sz w:val="20"/>
                <w:szCs w:val="20"/>
                <w:lang w:val="en-US"/>
              </w:rPr>
              <w:t>0.021</w:t>
            </w:r>
          </w:p>
        </w:tc>
        <w:tc>
          <w:tcPr>
            <w:tcW w:w="2048" w:type="dxa"/>
            <w:shd w:val="clear" w:color="auto" w:fill="auto"/>
            <w:vAlign w:val="center"/>
          </w:tcPr>
          <w:p w14:paraId="40432F55" w14:textId="77777777" w:rsidR="007C5F34" w:rsidRPr="002830AD" w:rsidRDefault="007C5F34" w:rsidP="001409B6">
            <w:pPr>
              <w:pStyle w:val="Isitabel"/>
              <w:spacing w:line="240" w:lineRule="auto"/>
              <w:rPr>
                <w:sz w:val="20"/>
                <w:szCs w:val="20"/>
                <w:lang w:val="en-US"/>
              </w:rPr>
            </w:pPr>
            <w:r w:rsidRPr="002830AD">
              <w:rPr>
                <w:sz w:val="20"/>
                <w:szCs w:val="20"/>
                <w:lang w:val="en-US"/>
              </w:rPr>
              <w:t>Significant</w:t>
            </w:r>
          </w:p>
        </w:tc>
      </w:tr>
      <w:tr w:rsidR="007C5F34" w:rsidRPr="002830AD" w14:paraId="481C5382" w14:textId="77777777" w:rsidTr="001409B6">
        <w:trPr>
          <w:jc w:val="center"/>
        </w:trPr>
        <w:tc>
          <w:tcPr>
            <w:tcW w:w="1585" w:type="dxa"/>
            <w:shd w:val="clear" w:color="auto" w:fill="auto"/>
            <w:vAlign w:val="center"/>
          </w:tcPr>
          <w:p w14:paraId="5DBDB9F0" w14:textId="77777777" w:rsidR="007C5F34" w:rsidRPr="002830AD" w:rsidRDefault="007C5F34" w:rsidP="001409B6">
            <w:pPr>
              <w:pStyle w:val="Isitabel"/>
              <w:spacing w:line="240" w:lineRule="auto"/>
              <w:rPr>
                <w:sz w:val="20"/>
                <w:szCs w:val="20"/>
                <w:lang w:val="en-US"/>
              </w:rPr>
            </w:pPr>
            <w:r w:rsidRPr="002830AD">
              <w:rPr>
                <w:sz w:val="20"/>
                <w:szCs w:val="20"/>
                <w:lang w:val="en-US"/>
              </w:rPr>
              <w:t>LEV</w:t>
            </w:r>
          </w:p>
        </w:tc>
        <w:tc>
          <w:tcPr>
            <w:tcW w:w="1585" w:type="dxa"/>
            <w:shd w:val="clear" w:color="auto" w:fill="auto"/>
            <w:vAlign w:val="center"/>
          </w:tcPr>
          <w:p w14:paraId="52931E4D" w14:textId="77777777" w:rsidR="007C5F34" w:rsidRPr="002830AD" w:rsidRDefault="007C5F34" w:rsidP="001409B6">
            <w:pPr>
              <w:pStyle w:val="Isitabel"/>
              <w:spacing w:line="240" w:lineRule="auto"/>
              <w:rPr>
                <w:sz w:val="20"/>
                <w:szCs w:val="20"/>
                <w:lang w:val="en-US"/>
              </w:rPr>
            </w:pPr>
            <w:r w:rsidRPr="002830AD">
              <w:rPr>
                <w:sz w:val="20"/>
                <w:szCs w:val="20"/>
                <w:lang w:val="en-US"/>
              </w:rPr>
              <w:t>.8516109</w:t>
            </w:r>
          </w:p>
        </w:tc>
        <w:tc>
          <w:tcPr>
            <w:tcW w:w="1586" w:type="dxa"/>
            <w:shd w:val="clear" w:color="auto" w:fill="auto"/>
          </w:tcPr>
          <w:p w14:paraId="70FE6250" w14:textId="77777777" w:rsidR="007C5F34" w:rsidRPr="002830AD" w:rsidRDefault="007C5F34" w:rsidP="001409B6">
            <w:pPr>
              <w:pStyle w:val="Isitabel"/>
              <w:spacing w:line="240" w:lineRule="auto"/>
              <w:rPr>
                <w:sz w:val="20"/>
                <w:szCs w:val="20"/>
                <w:lang w:val="en-US"/>
              </w:rPr>
            </w:pPr>
            <w:r w:rsidRPr="002830AD">
              <w:rPr>
                <w:sz w:val="20"/>
                <w:szCs w:val="20"/>
                <w:lang w:val="en-US"/>
              </w:rPr>
              <w:t>0.000</w:t>
            </w:r>
          </w:p>
        </w:tc>
        <w:tc>
          <w:tcPr>
            <w:tcW w:w="2048" w:type="dxa"/>
            <w:shd w:val="clear" w:color="auto" w:fill="auto"/>
            <w:vAlign w:val="center"/>
          </w:tcPr>
          <w:p w14:paraId="6A0E77F1" w14:textId="77777777" w:rsidR="007C5F34" w:rsidRPr="002830AD" w:rsidRDefault="007C5F34" w:rsidP="001409B6">
            <w:pPr>
              <w:pStyle w:val="Isitabel"/>
              <w:spacing w:line="240" w:lineRule="auto"/>
              <w:rPr>
                <w:sz w:val="20"/>
                <w:szCs w:val="20"/>
                <w:lang w:val="en-US"/>
              </w:rPr>
            </w:pPr>
            <w:r w:rsidRPr="002830AD">
              <w:rPr>
                <w:sz w:val="20"/>
                <w:szCs w:val="20"/>
                <w:lang w:val="en-US"/>
              </w:rPr>
              <w:t>Significant</w:t>
            </w:r>
          </w:p>
        </w:tc>
      </w:tr>
      <w:tr w:rsidR="007C5F34" w:rsidRPr="002830AD" w14:paraId="7C720886" w14:textId="77777777" w:rsidTr="001409B6">
        <w:trPr>
          <w:jc w:val="center"/>
        </w:trPr>
        <w:tc>
          <w:tcPr>
            <w:tcW w:w="1585" w:type="dxa"/>
            <w:shd w:val="clear" w:color="auto" w:fill="auto"/>
            <w:vAlign w:val="center"/>
          </w:tcPr>
          <w:p w14:paraId="01BC7ED8" w14:textId="77777777" w:rsidR="007C5F34" w:rsidRPr="002830AD" w:rsidRDefault="007C5F34" w:rsidP="001409B6">
            <w:pPr>
              <w:pStyle w:val="Isitabel"/>
              <w:spacing w:line="240" w:lineRule="auto"/>
              <w:rPr>
                <w:sz w:val="20"/>
                <w:szCs w:val="20"/>
                <w:lang w:val="en-US"/>
              </w:rPr>
            </w:pPr>
            <w:r w:rsidRPr="002830AD">
              <w:rPr>
                <w:sz w:val="20"/>
                <w:szCs w:val="20"/>
                <w:lang w:val="en-US"/>
              </w:rPr>
              <w:t>ROA</w:t>
            </w:r>
          </w:p>
        </w:tc>
        <w:tc>
          <w:tcPr>
            <w:tcW w:w="1585" w:type="dxa"/>
            <w:shd w:val="clear" w:color="auto" w:fill="auto"/>
            <w:vAlign w:val="center"/>
          </w:tcPr>
          <w:p w14:paraId="375AC510" w14:textId="77777777" w:rsidR="007C5F34" w:rsidRPr="002830AD" w:rsidRDefault="007C5F34" w:rsidP="001409B6">
            <w:pPr>
              <w:pStyle w:val="Isitabel"/>
              <w:spacing w:line="240" w:lineRule="auto"/>
              <w:rPr>
                <w:sz w:val="20"/>
                <w:szCs w:val="20"/>
                <w:lang w:val="en-US"/>
              </w:rPr>
            </w:pPr>
            <w:r w:rsidRPr="002830AD">
              <w:rPr>
                <w:sz w:val="20"/>
                <w:szCs w:val="20"/>
                <w:lang w:val="en-US"/>
              </w:rPr>
              <w:t>3.344098</w:t>
            </w:r>
          </w:p>
        </w:tc>
        <w:tc>
          <w:tcPr>
            <w:tcW w:w="1586" w:type="dxa"/>
            <w:shd w:val="clear" w:color="auto" w:fill="auto"/>
          </w:tcPr>
          <w:p w14:paraId="3046D12E" w14:textId="77777777" w:rsidR="007C5F34" w:rsidRPr="002830AD" w:rsidRDefault="007C5F34" w:rsidP="001409B6">
            <w:pPr>
              <w:pStyle w:val="Isitabel"/>
              <w:spacing w:line="240" w:lineRule="auto"/>
              <w:rPr>
                <w:sz w:val="20"/>
                <w:szCs w:val="20"/>
                <w:lang w:val="en-US"/>
              </w:rPr>
            </w:pPr>
            <w:r w:rsidRPr="002830AD">
              <w:rPr>
                <w:sz w:val="20"/>
                <w:szCs w:val="20"/>
                <w:lang w:val="en-US"/>
              </w:rPr>
              <w:t>0.000</w:t>
            </w:r>
          </w:p>
        </w:tc>
        <w:tc>
          <w:tcPr>
            <w:tcW w:w="2048" w:type="dxa"/>
            <w:shd w:val="clear" w:color="auto" w:fill="auto"/>
            <w:vAlign w:val="center"/>
          </w:tcPr>
          <w:p w14:paraId="27D39E70" w14:textId="77777777" w:rsidR="007C5F34" w:rsidRPr="002830AD" w:rsidRDefault="007C5F34" w:rsidP="001409B6">
            <w:pPr>
              <w:pStyle w:val="Isitabel"/>
              <w:spacing w:line="240" w:lineRule="auto"/>
              <w:rPr>
                <w:sz w:val="20"/>
                <w:szCs w:val="20"/>
                <w:lang w:val="en-US"/>
              </w:rPr>
            </w:pPr>
            <w:r w:rsidRPr="002830AD">
              <w:rPr>
                <w:sz w:val="20"/>
                <w:szCs w:val="20"/>
                <w:lang w:val="en-US"/>
              </w:rPr>
              <w:t>Significant</w:t>
            </w:r>
          </w:p>
        </w:tc>
      </w:tr>
    </w:tbl>
    <w:p w14:paraId="3DBDF4B7" w14:textId="0144954F" w:rsidR="007C5F34" w:rsidRPr="002830AD" w:rsidRDefault="007C5F34" w:rsidP="007C5F34">
      <w:pPr>
        <w:spacing w:before="200"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 xml:space="preserve">Viewed from table 3 above, it can be seen that the environmental disclosure variable has a </w:t>
      </w:r>
      <w:r w:rsidR="002830AD" w:rsidRPr="002830AD">
        <w:rPr>
          <w:rFonts w:ascii="Times New Roman" w:hAnsi="Times New Roman"/>
          <w:sz w:val="24"/>
          <w:szCs w:val="24"/>
          <w:lang w:val="en-US"/>
        </w:rPr>
        <w:t>significant</w:t>
      </w:r>
      <w:r w:rsidRPr="002830AD">
        <w:rPr>
          <w:rFonts w:ascii="Times New Roman" w:hAnsi="Times New Roman"/>
          <w:sz w:val="24"/>
          <w:szCs w:val="24"/>
          <w:lang w:val="en-US"/>
        </w:rPr>
        <w:t xml:space="preserve"> level of 0.050 </w:t>
      </w:r>
      <w:r w:rsidRPr="002830AD">
        <w:rPr>
          <w:rFonts w:ascii="Times New Roman" w:hAnsi="Times New Roman"/>
          <w:sz w:val="24"/>
          <w:szCs w:val="24"/>
          <w:lang w:val="en-US"/>
        </w:rPr>
        <w:sym w:font="Symbol" w:char="F0A3"/>
      </w:r>
      <w:r w:rsidR="002830AD" w:rsidRPr="002830AD">
        <w:rPr>
          <w:rFonts w:ascii="Times New Roman" w:hAnsi="Times New Roman"/>
          <w:sz w:val="24"/>
          <w:szCs w:val="24"/>
          <w:lang w:val="en-US"/>
        </w:rPr>
        <w:t xml:space="preserve"> </w:t>
      </w:r>
      <w:r w:rsidRPr="002830AD">
        <w:rPr>
          <w:rFonts w:ascii="Times New Roman" w:hAnsi="Times New Roman"/>
          <w:sz w:val="24"/>
          <w:szCs w:val="24"/>
          <w:lang w:val="en-US"/>
        </w:rPr>
        <w:t>0.05. So it can be concluded that environmental disclosure has a positive and significant effect on firm value in companies listed on the Indonesia Stock Exchange for the 2016-2020 period and it can be said that H0 is rejected and H</w:t>
      </w:r>
      <w:r w:rsidRPr="00DB4DEC">
        <w:rPr>
          <w:rFonts w:ascii="Times New Roman" w:hAnsi="Times New Roman"/>
          <w:sz w:val="24"/>
          <w:szCs w:val="24"/>
          <w:vertAlign w:val="subscript"/>
          <w:lang w:val="en-US"/>
        </w:rPr>
        <w:t>1</w:t>
      </w:r>
      <w:r w:rsidRPr="002830AD">
        <w:rPr>
          <w:rFonts w:ascii="Times New Roman" w:hAnsi="Times New Roman"/>
          <w:sz w:val="24"/>
          <w:szCs w:val="24"/>
          <w:lang w:val="en-US"/>
        </w:rPr>
        <w:t xml:space="preserve"> is accepted</w:t>
      </w:r>
      <w:r w:rsidR="002830AD" w:rsidRPr="002830AD">
        <w:rPr>
          <w:rFonts w:ascii="Times New Roman" w:hAnsi="Times New Roman"/>
          <w:sz w:val="24"/>
          <w:szCs w:val="24"/>
          <w:lang w:val="en-US"/>
        </w:rPr>
        <w:t>.</w:t>
      </w:r>
    </w:p>
    <w:p w14:paraId="3B61EA05" w14:textId="3F20B0DF"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 xml:space="preserve">The social disclosure variable has a </w:t>
      </w:r>
      <w:r w:rsidR="002830AD" w:rsidRPr="002830AD">
        <w:rPr>
          <w:rFonts w:ascii="Times New Roman" w:hAnsi="Times New Roman"/>
          <w:sz w:val="24"/>
          <w:szCs w:val="24"/>
          <w:lang w:val="en-US"/>
        </w:rPr>
        <w:t>significant</w:t>
      </w:r>
      <w:r w:rsidRPr="002830AD">
        <w:rPr>
          <w:rFonts w:ascii="Times New Roman" w:hAnsi="Times New Roman"/>
          <w:sz w:val="24"/>
          <w:szCs w:val="24"/>
          <w:lang w:val="en-US"/>
        </w:rPr>
        <w:t xml:space="preserve"> level of 0.002 </w:t>
      </w:r>
      <w:r w:rsidRPr="002830AD">
        <w:rPr>
          <w:rFonts w:ascii="Times New Roman" w:hAnsi="Times New Roman"/>
          <w:sz w:val="24"/>
          <w:szCs w:val="24"/>
          <w:lang w:val="en-US"/>
        </w:rPr>
        <w:sym w:font="Symbol" w:char="F0A3"/>
      </w:r>
      <w:r w:rsidR="002830AD" w:rsidRPr="002830AD">
        <w:rPr>
          <w:rFonts w:ascii="Times New Roman" w:hAnsi="Times New Roman"/>
          <w:sz w:val="24"/>
          <w:szCs w:val="24"/>
          <w:lang w:val="en-US"/>
        </w:rPr>
        <w:t xml:space="preserve"> </w:t>
      </w:r>
      <w:r w:rsidRPr="002830AD">
        <w:rPr>
          <w:rFonts w:ascii="Times New Roman" w:hAnsi="Times New Roman"/>
          <w:sz w:val="24"/>
          <w:szCs w:val="24"/>
          <w:lang w:val="en-US"/>
        </w:rPr>
        <w:t>0.05. So it can be concluded that social disclosure has a positive and significant effect on firm value in companies listed on the Indonesia Stock Exchange for the 2016-2020 period and it can be said that H</w:t>
      </w:r>
      <w:r w:rsidRPr="002830AD">
        <w:rPr>
          <w:rFonts w:ascii="Times New Roman" w:hAnsi="Times New Roman"/>
          <w:sz w:val="24"/>
          <w:szCs w:val="24"/>
          <w:vertAlign w:val="subscript"/>
          <w:lang w:val="en-US"/>
        </w:rPr>
        <w:t>0</w:t>
      </w:r>
      <w:r w:rsidRPr="002830AD">
        <w:rPr>
          <w:rFonts w:ascii="Times New Roman" w:hAnsi="Times New Roman"/>
          <w:sz w:val="24"/>
          <w:szCs w:val="24"/>
          <w:lang w:val="en-US"/>
        </w:rPr>
        <w:t xml:space="preserve"> is rejected and H</w:t>
      </w:r>
      <w:r w:rsidRPr="002830AD">
        <w:rPr>
          <w:rFonts w:ascii="Times New Roman" w:hAnsi="Times New Roman"/>
          <w:sz w:val="24"/>
          <w:szCs w:val="24"/>
          <w:vertAlign w:val="subscript"/>
          <w:lang w:val="en-US"/>
        </w:rPr>
        <w:t>2</w:t>
      </w:r>
      <w:r w:rsidRPr="002830AD">
        <w:rPr>
          <w:rFonts w:ascii="Times New Roman" w:hAnsi="Times New Roman"/>
          <w:sz w:val="24"/>
          <w:szCs w:val="24"/>
          <w:lang w:val="en-US"/>
        </w:rPr>
        <w:t xml:space="preserve"> is accepted</w:t>
      </w:r>
      <w:r w:rsidR="0072266F" w:rsidRPr="002830AD">
        <w:rPr>
          <w:rFonts w:ascii="Times New Roman" w:hAnsi="Times New Roman"/>
          <w:sz w:val="24"/>
          <w:szCs w:val="24"/>
          <w:lang w:val="en-US"/>
        </w:rPr>
        <w:t>.</w:t>
      </w:r>
    </w:p>
    <w:p w14:paraId="365B9DFB" w14:textId="7C991BA4"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The coefficient value of the governance disclosure variable is -0.0113 and the significance level is 0.000</w:t>
      </w:r>
      <w:r w:rsidR="002830AD" w:rsidRPr="002830AD">
        <w:rPr>
          <w:rFonts w:ascii="Times New Roman" w:hAnsi="Times New Roman"/>
          <w:sz w:val="24"/>
          <w:szCs w:val="24"/>
          <w:lang w:val="en-US"/>
        </w:rPr>
        <w:t xml:space="preserve"> </w:t>
      </w:r>
      <w:r w:rsidR="002830AD" w:rsidRPr="002830AD">
        <w:rPr>
          <w:rFonts w:ascii="Times New Roman" w:hAnsi="Times New Roman"/>
          <w:sz w:val="24"/>
          <w:szCs w:val="24"/>
          <w:lang w:val="en-US"/>
        </w:rPr>
        <w:sym w:font="Symbol" w:char="F0A3"/>
      </w:r>
      <w:r w:rsidR="002830AD" w:rsidRPr="002830AD">
        <w:rPr>
          <w:rFonts w:ascii="Times New Roman" w:hAnsi="Times New Roman"/>
          <w:sz w:val="24"/>
          <w:szCs w:val="24"/>
          <w:lang w:val="en-US"/>
        </w:rPr>
        <w:t xml:space="preserve"> </w:t>
      </w:r>
      <w:r w:rsidRPr="002830AD">
        <w:rPr>
          <w:rFonts w:ascii="Times New Roman" w:hAnsi="Times New Roman"/>
          <w:sz w:val="24"/>
          <w:szCs w:val="24"/>
          <w:lang w:val="en-US"/>
        </w:rPr>
        <w:t>0.05. So governance disclosure has a negative and significant effect on firm value so that H0 is accepted and H3 is rejected. The conclusion for the governance disclosure variable is that it has a negative and significant effect on firm value in companies listed on the Indonesia Stock Exchange for the 2016-2020 period.</w:t>
      </w:r>
    </w:p>
    <w:p w14:paraId="73C869B1" w14:textId="279A9084"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 xml:space="preserve">Hypothesis testing </w:t>
      </w:r>
      <w:r w:rsidR="000C3C21">
        <w:rPr>
          <w:rFonts w:ascii="Times New Roman" w:hAnsi="Times New Roman"/>
          <w:sz w:val="24"/>
          <w:szCs w:val="24"/>
          <w:lang w:val="en-US"/>
        </w:rPr>
        <w:t>of firm size, leverage, and profitability control variables</w:t>
      </w:r>
      <w:r w:rsidRPr="002830AD">
        <w:rPr>
          <w:rFonts w:ascii="Times New Roman" w:hAnsi="Times New Roman"/>
          <w:sz w:val="24"/>
          <w:szCs w:val="24"/>
          <w:lang w:val="en-US"/>
        </w:rPr>
        <w:t>. The probability value is 0.021</w:t>
      </w:r>
      <w:r w:rsidR="002830AD" w:rsidRPr="002830AD">
        <w:rPr>
          <w:rFonts w:ascii="Times New Roman" w:hAnsi="Times New Roman"/>
          <w:sz w:val="24"/>
          <w:szCs w:val="24"/>
          <w:lang w:val="en-US"/>
        </w:rPr>
        <w:t xml:space="preserve"> </w:t>
      </w:r>
      <w:r w:rsidR="002830AD" w:rsidRPr="002830AD">
        <w:rPr>
          <w:rFonts w:ascii="Times New Roman" w:hAnsi="Times New Roman"/>
          <w:sz w:val="24"/>
          <w:szCs w:val="24"/>
          <w:lang w:val="en-US"/>
        </w:rPr>
        <w:sym w:font="Symbol" w:char="F0A3"/>
      </w:r>
      <w:r w:rsidR="002830AD" w:rsidRPr="002830AD">
        <w:rPr>
          <w:rFonts w:ascii="Times New Roman" w:hAnsi="Times New Roman"/>
          <w:sz w:val="24"/>
          <w:szCs w:val="24"/>
          <w:lang w:val="en-US"/>
        </w:rPr>
        <w:t xml:space="preserve"> </w:t>
      </w:r>
      <w:r w:rsidRPr="002830AD">
        <w:rPr>
          <w:rFonts w:ascii="Times New Roman" w:hAnsi="Times New Roman"/>
          <w:sz w:val="24"/>
          <w:szCs w:val="24"/>
          <w:lang w:val="en-US"/>
        </w:rPr>
        <w:t>0.05 for the firm size variable and the coefficient value is -0.2352, the probability value for the leverage variable is 0.000</w:t>
      </w:r>
      <w:r w:rsidR="002830AD" w:rsidRPr="002830AD">
        <w:rPr>
          <w:rFonts w:ascii="Times New Roman" w:hAnsi="Times New Roman"/>
          <w:sz w:val="24"/>
          <w:szCs w:val="24"/>
          <w:lang w:val="en-US"/>
        </w:rPr>
        <w:t xml:space="preserve"> </w:t>
      </w:r>
      <w:r w:rsidR="002830AD" w:rsidRPr="002830AD">
        <w:rPr>
          <w:rFonts w:ascii="Times New Roman" w:hAnsi="Times New Roman"/>
          <w:sz w:val="24"/>
          <w:szCs w:val="24"/>
          <w:lang w:val="en-US"/>
        </w:rPr>
        <w:sym w:font="Symbol" w:char="F0A3"/>
      </w:r>
      <w:r w:rsidR="002830AD" w:rsidRPr="002830AD">
        <w:rPr>
          <w:rFonts w:ascii="Times New Roman" w:hAnsi="Times New Roman"/>
          <w:sz w:val="24"/>
          <w:szCs w:val="24"/>
          <w:lang w:val="en-US"/>
        </w:rPr>
        <w:t xml:space="preserve"> </w:t>
      </w:r>
      <w:r w:rsidRPr="002830AD">
        <w:rPr>
          <w:rFonts w:ascii="Times New Roman" w:hAnsi="Times New Roman"/>
          <w:sz w:val="24"/>
          <w:szCs w:val="24"/>
          <w:lang w:val="en-US"/>
        </w:rPr>
        <w:t>0.05 and the probability value of the</w:t>
      </w:r>
      <w:r w:rsidR="002830AD" w:rsidRPr="002830AD">
        <w:rPr>
          <w:rFonts w:ascii="Times New Roman" w:hAnsi="Times New Roman"/>
          <w:sz w:val="24"/>
          <w:szCs w:val="24"/>
          <w:lang w:val="en-US"/>
        </w:rPr>
        <w:t xml:space="preserve"> </w:t>
      </w:r>
      <w:r w:rsidRPr="002830AD">
        <w:rPr>
          <w:rFonts w:ascii="Times New Roman" w:hAnsi="Times New Roman"/>
          <w:sz w:val="24"/>
          <w:szCs w:val="24"/>
          <w:lang w:val="en-US"/>
        </w:rPr>
        <w:t>profitability variable is 0.000</w:t>
      </w:r>
      <w:r w:rsidR="002830AD" w:rsidRPr="002830AD">
        <w:rPr>
          <w:rFonts w:ascii="Times New Roman" w:hAnsi="Times New Roman"/>
          <w:sz w:val="24"/>
          <w:szCs w:val="24"/>
          <w:lang w:val="en-US"/>
        </w:rPr>
        <w:t xml:space="preserve"> </w:t>
      </w:r>
      <w:r w:rsidR="002830AD" w:rsidRPr="002830AD">
        <w:rPr>
          <w:rFonts w:ascii="Times New Roman" w:hAnsi="Times New Roman"/>
          <w:sz w:val="24"/>
          <w:szCs w:val="24"/>
          <w:lang w:val="en-US"/>
        </w:rPr>
        <w:sym w:font="Symbol" w:char="F0A3"/>
      </w:r>
      <w:r w:rsidR="002830AD" w:rsidRPr="002830AD">
        <w:rPr>
          <w:rFonts w:ascii="Times New Roman" w:hAnsi="Times New Roman"/>
          <w:sz w:val="24"/>
          <w:szCs w:val="24"/>
          <w:lang w:val="en-US"/>
        </w:rPr>
        <w:t xml:space="preserve"> </w:t>
      </w:r>
      <w:r w:rsidRPr="002830AD">
        <w:rPr>
          <w:rFonts w:ascii="Times New Roman" w:hAnsi="Times New Roman"/>
          <w:sz w:val="24"/>
          <w:szCs w:val="24"/>
          <w:lang w:val="en-US"/>
        </w:rPr>
        <w:t>0.05. From the results of these three control variables, the firm size variable has a negative and significant effect so that H0 is accepted and H</w:t>
      </w:r>
      <w:r w:rsidRPr="002830AD">
        <w:rPr>
          <w:rFonts w:ascii="Times New Roman" w:hAnsi="Times New Roman"/>
          <w:sz w:val="24"/>
          <w:szCs w:val="24"/>
          <w:vertAlign w:val="subscript"/>
          <w:lang w:val="en-US"/>
        </w:rPr>
        <w:t>4</w:t>
      </w:r>
      <w:r w:rsidRPr="002830AD">
        <w:rPr>
          <w:rFonts w:ascii="Times New Roman" w:hAnsi="Times New Roman"/>
          <w:sz w:val="24"/>
          <w:szCs w:val="24"/>
          <w:lang w:val="en-US"/>
        </w:rPr>
        <w:t xml:space="preserve"> is rejected. While other control variables have a significant effect on firm value in companies listed on the Indonesia Stock Exchange for the 2016-2020 period so that H</w:t>
      </w:r>
      <w:r w:rsidRPr="002830AD">
        <w:rPr>
          <w:rFonts w:ascii="Times New Roman" w:hAnsi="Times New Roman"/>
          <w:sz w:val="24"/>
          <w:szCs w:val="24"/>
          <w:vertAlign w:val="subscript"/>
          <w:lang w:val="en-US"/>
        </w:rPr>
        <w:t>0</w:t>
      </w:r>
      <w:r w:rsidRPr="002830AD">
        <w:rPr>
          <w:rFonts w:ascii="Times New Roman" w:hAnsi="Times New Roman"/>
          <w:sz w:val="24"/>
          <w:szCs w:val="24"/>
          <w:lang w:val="en-US"/>
        </w:rPr>
        <w:t xml:space="preserve"> is rejected and H</w:t>
      </w:r>
      <w:r w:rsidRPr="002830AD">
        <w:rPr>
          <w:rFonts w:ascii="Times New Roman" w:hAnsi="Times New Roman"/>
          <w:sz w:val="24"/>
          <w:szCs w:val="24"/>
          <w:vertAlign w:val="subscript"/>
          <w:lang w:val="en-US"/>
        </w:rPr>
        <w:t>5</w:t>
      </w:r>
      <w:r w:rsidRPr="002830AD">
        <w:rPr>
          <w:rFonts w:ascii="Times New Roman" w:hAnsi="Times New Roman"/>
          <w:sz w:val="24"/>
          <w:szCs w:val="24"/>
          <w:lang w:val="en-US"/>
        </w:rPr>
        <w:t xml:space="preserve"> &amp; H</w:t>
      </w:r>
      <w:r w:rsidRPr="002830AD">
        <w:rPr>
          <w:rFonts w:ascii="Times New Roman" w:hAnsi="Times New Roman"/>
          <w:sz w:val="24"/>
          <w:szCs w:val="24"/>
          <w:vertAlign w:val="subscript"/>
          <w:lang w:val="en-US"/>
        </w:rPr>
        <w:t>6</w:t>
      </w:r>
      <w:r w:rsidRPr="002830AD">
        <w:rPr>
          <w:rFonts w:ascii="Times New Roman" w:hAnsi="Times New Roman"/>
          <w:sz w:val="24"/>
          <w:szCs w:val="24"/>
          <w:lang w:val="en-US"/>
        </w:rPr>
        <w:t xml:space="preserve"> is accepted.</w:t>
      </w:r>
    </w:p>
    <w:p w14:paraId="6A8B9E63" w14:textId="77777777" w:rsidR="007C5F34" w:rsidRPr="002830AD" w:rsidRDefault="007C5F34" w:rsidP="007C5F34">
      <w:pPr>
        <w:pStyle w:val="Body"/>
        <w:rPr>
          <w:b/>
          <w:sz w:val="24"/>
          <w:szCs w:val="24"/>
          <w:lang w:val="en-US"/>
        </w:rPr>
      </w:pPr>
    </w:p>
    <w:p w14:paraId="09483C2C" w14:textId="77777777" w:rsidR="007C5F34" w:rsidRPr="002830AD" w:rsidRDefault="007C5F34" w:rsidP="007C5F34">
      <w:pPr>
        <w:pStyle w:val="Body"/>
        <w:ind w:firstLine="0"/>
        <w:rPr>
          <w:sz w:val="24"/>
          <w:szCs w:val="24"/>
          <w:lang w:val="en-US"/>
        </w:rPr>
      </w:pPr>
      <w:r w:rsidRPr="002830AD">
        <w:rPr>
          <w:b/>
          <w:sz w:val="24"/>
          <w:szCs w:val="24"/>
          <w:lang w:val="en-US"/>
        </w:rPr>
        <w:t>Discussion</w:t>
      </w:r>
    </w:p>
    <w:p w14:paraId="33390F4B" w14:textId="09372023" w:rsidR="007C5F34" w:rsidRPr="002830AD" w:rsidRDefault="007C5F34" w:rsidP="007C5F34">
      <w:pPr>
        <w:pStyle w:val="subjudul2bab4-2"/>
        <w:numPr>
          <w:ilvl w:val="0"/>
          <w:numId w:val="0"/>
        </w:numPr>
        <w:spacing w:line="240" w:lineRule="auto"/>
        <w:ind w:left="720" w:hanging="720"/>
        <w:rPr>
          <w:lang w:val="en-US"/>
        </w:rPr>
      </w:pPr>
      <w:bookmarkStart w:id="11" w:name="_Toc94336755"/>
      <w:bookmarkStart w:id="12" w:name="_Toc97296455"/>
      <w:bookmarkStart w:id="13" w:name="_Toc97298439"/>
      <w:r w:rsidRPr="002830AD">
        <w:rPr>
          <w:lang w:val="en-US"/>
        </w:rPr>
        <w:t xml:space="preserve">The effect of environmental disclosure on </w:t>
      </w:r>
      <w:r w:rsidR="00EF26FF">
        <w:rPr>
          <w:lang w:val="en-US"/>
        </w:rPr>
        <w:t>firm</w:t>
      </w:r>
      <w:r w:rsidRPr="002830AD">
        <w:rPr>
          <w:lang w:val="en-US"/>
        </w:rPr>
        <w:t xml:space="preserve"> value</w:t>
      </w:r>
      <w:bookmarkEnd w:id="11"/>
      <w:bookmarkEnd w:id="12"/>
      <w:bookmarkEnd w:id="13"/>
    </w:p>
    <w:p w14:paraId="2F0C89A3" w14:textId="3FC177AE" w:rsidR="007C5F34" w:rsidRPr="002830AD" w:rsidRDefault="007C5F34" w:rsidP="007C5F34">
      <w:pPr>
        <w:spacing w:after="0" w:line="240" w:lineRule="auto"/>
        <w:ind w:firstLine="709"/>
        <w:jc w:val="both"/>
        <w:rPr>
          <w:rFonts w:ascii="Times New Roman" w:hAnsi="Times New Roman"/>
          <w:sz w:val="24"/>
          <w:szCs w:val="24"/>
          <w:lang w:val="en-US"/>
        </w:rPr>
      </w:pPr>
      <w:r w:rsidRPr="002830AD">
        <w:rPr>
          <w:rFonts w:ascii="Times New Roman" w:hAnsi="Times New Roman"/>
          <w:sz w:val="24"/>
          <w:szCs w:val="24"/>
          <w:lang w:val="en-US"/>
        </w:rPr>
        <w:t xml:space="preserve">The </w:t>
      </w:r>
      <w:r w:rsidR="00DB4DEC">
        <w:rPr>
          <w:rFonts w:ascii="Times New Roman" w:hAnsi="Times New Roman"/>
          <w:sz w:val="24"/>
          <w:szCs w:val="24"/>
          <w:lang w:val="en-US"/>
        </w:rPr>
        <w:t>study's first hypothesis</w:t>
      </w:r>
      <w:r w:rsidRPr="002830AD">
        <w:rPr>
          <w:rFonts w:ascii="Times New Roman" w:hAnsi="Times New Roman"/>
          <w:sz w:val="24"/>
          <w:szCs w:val="24"/>
          <w:lang w:val="en-US"/>
        </w:rPr>
        <w:t xml:space="preserve"> states that it is suspected that environmental disclosure has a positive and significant effect on firm value. </w:t>
      </w:r>
      <w:r w:rsidR="00E307FC">
        <w:rPr>
          <w:rFonts w:ascii="Times New Roman" w:hAnsi="Times New Roman"/>
          <w:sz w:val="24"/>
          <w:szCs w:val="24"/>
          <w:lang w:val="en-US"/>
        </w:rPr>
        <w:t xml:space="preserve">The panel data regression test results </w:t>
      </w:r>
      <w:r w:rsidRPr="002830AD">
        <w:rPr>
          <w:rFonts w:ascii="Times New Roman" w:hAnsi="Times New Roman"/>
          <w:sz w:val="24"/>
          <w:szCs w:val="24"/>
          <w:lang w:val="en-US"/>
        </w:rPr>
        <w:t>in table 3 show that the environmental disclosure variable has a coefficient (</w:t>
      </w:r>
      <w:r w:rsidRPr="002830AD">
        <w:rPr>
          <w:rFonts w:ascii="Times New Roman" w:hAnsi="Times New Roman"/>
          <w:sz w:val="24"/>
          <w:szCs w:val="24"/>
          <w:lang w:val="en-US"/>
        </w:rPr>
        <w:sym w:font="Symbol" w:char="F062"/>
      </w:r>
      <w:r w:rsidRPr="002830AD">
        <w:rPr>
          <w:rFonts w:ascii="Times New Roman" w:hAnsi="Times New Roman"/>
          <w:sz w:val="24"/>
          <w:szCs w:val="24"/>
          <w:lang w:val="en-US"/>
        </w:rPr>
        <w:t xml:space="preserve">) of 0.1282 and a significance value of 0.05 </w:t>
      </w:r>
      <w:r w:rsidRPr="002830AD">
        <w:rPr>
          <w:rFonts w:ascii="Times New Roman" w:hAnsi="Times New Roman"/>
          <w:sz w:val="24"/>
          <w:szCs w:val="24"/>
          <w:lang w:val="en-US"/>
        </w:rPr>
        <w:sym w:font="Symbol" w:char="F0A3"/>
      </w:r>
      <w:r w:rsidR="00DB4DEC">
        <w:rPr>
          <w:rFonts w:ascii="Times New Roman" w:hAnsi="Times New Roman"/>
          <w:sz w:val="24"/>
          <w:szCs w:val="24"/>
          <w:lang w:val="en-US"/>
        </w:rPr>
        <w:t xml:space="preserve"> </w:t>
      </w:r>
      <w:r w:rsidRPr="002830AD">
        <w:rPr>
          <w:rFonts w:ascii="Times New Roman" w:hAnsi="Times New Roman"/>
          <w:sz w:val="24"/>
          <w:szCs w:val="24"/>
          <w:lang w:val="en-US"/>
        </w:rPr>
        <w:t xml:space="preserve">with a significance level of 0.05. These results are </w:t>
      </w:r>
      <w:r w:rsidR="00E307FC">
        <w:rPr>
          <w:rFonts w:ascii="Times New Roman" w:hAnsi="Times New Roman"/>
          <w:sz w:val="24"/>
          <w:szCs w:val="24"/>
          <w:lang w:val="en-US"/>
        </w:rPr>
        <w:t>by</w:t>
      </w:r>
      <w:r w:rsidRPr="002830AD">
        <w:rPr>
          <w:rFonts w:ascii="Times New Roman" w:hAnsi="Times New Roman"/>
          <w:sz w:val="24"/>
          <w:szCs w:val="24"/>
          <w:lang w:val="en-US"/>
        </w:rPr>
        <w:t xml:space="preserve"> hypothesis one (H</w:t>
      </w:r>
      <w:r w:rsidRPr="00E307FC">
        <w:rPr>
          <w:rFonts w:ascii="Times New Roman" w:hAnsi="Times New Roman"/>
          <w:sz w:val="24"/>
          <w:szCs w:val="24"/>
          <w:vertAlign w:val="subscript"/>
          <w:lang w:val="en-US"/>
        </w:rPr>
        <w:t>1</w:t>
      </w:r>
      <w:r w:rsidRPr="00E307FC">
        <w:rPr>
          <w:rFonts w:ascii="Times New Roman" w:hAnsi="Times New Roman"/>
          <w:sz w:val="24"/>
          <w:szCs w:val="24"/>
          <w:lang w:val="en-US"/>
        </w:rPr>
        <w:t>)</w:t>
      </w:r>
      <w:r w:rsidRPr="002830AD">
        <w:rPr>
          <w:rFonts w:ascii="Times New Roman" w:hAnsi="Times New Roman"/>
          <w:sz w:val="24"/>
          <w:szCs w:val="24"/>
          <w:lang w:val="en-US"/>
        </w:rPr>
        <w:t xml:space="preserve">, so it can be said that </w:t>
      </w:r>
      <w:r w:rsidR="000C3C21">
        <w:rPr>
          <w:rFonts w:ascii="Times New Roman" w:hAnsi="Times New Roman"/>
          <w:sz w:val="24"/>
          <w:szCs w:val="24"/>
          <w:lang w:val="en-US"/>
        </w:rPr>
        <w:t>every company with an environment score</w:t>
      </w:r>
      <w:r w:rsidRPr="002830AD">
        <w:rPr>
          <w:rFonts w:ascii="Times New Roman" w:hAnsi="Times New Roman"/>
          <w:sz w:val="24"/>
          <w:szCs w:val="24"/>
          <w:lang w:val="en-US"/>
        </w:rPr>
        <w:t xml:space="preserve"> has a positive and significant impact on firm value. Thus, the results of this study accept hypothesis one (H</w:t>
      </w:r>
      <w:r w:rsidRPr="002830AD">
        <w:rPr>
          <w:rFonts w:ascii="Times New Roman" w:hAnsi="Times New Roman"/>
          <w:sz w:val="24"/>
          <w:szCs w:val="24"/>
          <w:vertAlign w:val="subscript"/>
          <w:lang w:val="en-US"/>
        </w:rPr>
        <w:t>1</w:t>
      </w:r>
      <w:r w:rsidRPr="002830AD">
        <w:rPr>
          <w:rFonts w:ascii="Times New Roman" w:hAnsi="Times New Roman"/>
          <w:sz w:val="24"/>
          <w:szCs w:val="24"/>
          <w:lang w:val="en-US"/>
        </w:rPr>
        <w:t>).</w:t>
      </w:r>
    </w:p>
    <w:p w14:paraId="0F090071" w14:textId="3213D21C" w:rsidR="007C5F34" w:rsidRPr="002830AD" w:rsidRDefault="007C5F34" w:rsidP="007C5F34">
      <w:pPr>
        <w:spacing w:after="0" w:line="240" w:lineRule="auto"/>
        <w:ind w:firstLine="709"/>
        <w:jc w:val="both"/>
        <w:rPr>
          <w:rFonts w:ascii="Times New Roman" w:hAnsi="Times New Roman"/>
          <w:sz w:val="24"/>
          <w:szCs w:val="24"/>
          <w:lang w:val="en-US"/>
        </w:rPr>
      </w:pPr>
      <w:r w:rsidRPr="002830AD">
        <w:rPr>
          <w:rFonts w:ascii="Times New Roman" w:hAnsi="Times New Roman"/>
          <w:sz w:val="24"/>
          <w:szCs w:val="24"/>
          <w:lang w:val="en-US"/>
        </w:rPr>
        <w:t xml:space="preserve">The results of this study are </w:t>
      </w:r>
      <w:r w:rsidR="00E307FC">
        <w:rPr>
          <w:rFonts w:ascii="Times New Roman" w:hAnsi="Times New Roman"/>
          <w:sz w:val="24"/>
          <w:szCs w:val="24"/>
          <w:lang w:val="en-US"/>
        </w:rPr>
        <w:t>by</w:t>
      </w:r>
      <w:r w:rsidRPr="002830AD">
        <w:rPr>
          <w:rFonts w:ascii="Times New Roman" w:hAnsi="Times New Roman"/>
          <w:sz w:val="24"/>
          <w:szCs w:val="24"/>
          <w:lang w:val="en-US"/>
        </w:rPr>
        <w:t xml:space="preserve"> previous research which states that the company's environmental performance information has added value that will increase the company's value </w:t>
      </w:r>
      <w:sdt>
        <w:sdtPr>
          <w:rPr>
            <w:rFonts w:ascii="Times New Roman" w:hAnsi="Times New Roman" w:cs="Times New Roman"/>
            <w:sz w:val="24"/>
            <w:szCs w:val="24"/>
            <w:lang w:val="en-US"/>
          </w:rPr>
          <w:tag w:val="MENDELEY_CITATION_v3_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"/>
          <w:id w:val="1910036470"/>
          <w:placeholder>
            <w:docPart w:val="931EDBD165404AEB86C470CF23906452"/>
          </w:placeholder>
        </w:sdtPr>
        <w:sdtEndPr/>
        <w:sdtContent>
          <w:r w:rsidR="008F57C2" w:rsidRPr="00C25BCE">
            <w:rPr>
              <w:rFonts w:ascii="Times New Roman" w:eastAsia="Times New Roman" w:hAnsi="Times New Roman" w:cs="Times New Roman"/>
              <w:sz w:val="24"/>
              <w:szCs w:val="24"/>
            </w:rPr>
            <w:t>(</w:t>
          </w:r>
          <w:proofErr w:type="spellStart"/>
          <w:r w:rsidR="008F57C2" w:rsidRPr="00C25BCE">
            <w:rPr>
              <w:rFonts w:ascii="Times New Roman" w:eastAsia="Times New Roman" w:hAnsi="Times New Roman" w:cs="Times New Roman"/>
              <w:sz w:val="24"/>
              <w:szCs w:val="24"/>
            </w:rPr>
            <w:t>Alareeni</w:t>
          </w:r>
          <w:proofErr w:type="spellEnd"/>
          <w:r w:rsidR="008F57C2" w:rsidRPr="00C25BCE">
            <w:rPr>
              <w:rFonts w:ascii="Times New Roman" w:eastAsia="Times New Roman" w:hAnsi="Times New Roman" w:cs="Times New Roman"/>
              <w:sz w:val="24"/>
              <w:szCs w:val="24"/>
            </w:rPr>
            <w:t xml:space="preserve"> &amp; </w:t>
          </w:r>
          <w:proofErr w:type="spellStart"/>
          <w:r w:rsidR="008F57C2" w:rsidRPr="00C25BCE">
            <w:rPr>
              <w:rFonts w:ascii="Times New Roman" w:eastAsia="Times New Roman" w:hAnsi="Times New Roman" w:cs="Times New Roman"/>
              <w:sz w:val="24"/>
              <w:szCs w:val="24"/>
            </w:rPr>
            <w:t>Hamdan</w:t>
          </w:r>
          <w:proofErr w:type="spellEnd"/>
          <w:r w:rsidR="008F57C2" w:rsidRPr="00C25BCE">
            <w:rPr>
              <w:rFonts w:ascii="Times New Roman" w:eastAsia="Times New Roman" w:hAnsi="Times New Roman" w:cs="Times New Roman"/>
              <w:sz w:val="24"/>
              <w:szCs w:val="24"/>
            </w:rPr>
            <w:t>, 2020)</w:t>
          </w:r>
        </w:sdtContent>
      </w:sdt>
      <w:r w:rsidRPr="002830AD">
        <w:rPr>
          <w:rFonts w:ascii="Times New Roman" w:hAnsi="Times New Roman"/>
          <w:sz w:val="24"/>
          <w:szCs w:val="24"/>
          <w:lang w:val="en-US"/>
        </w:rPr>
        <w:t xml:space="preserve">. In line with </w:t>
      </w:r>
      <w:sdt>
        <w:sdtPr>
          <w:rPr>
            <w:rFonts w:ascii="Times New Roman" w:hAnsi="Times New Roman"/>
            <w:color w:val="000000"/>
            <w:sz w:val="24"/>
            <w:szCs w:val="24"/>
            <w:lang w:val="en-US"/>
          </w:rPr>
          <w:tag w:val="MENDELEY_CITATION_v3_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"/>
          <w:id w:val="-1245173138"/>
          <w:placeholder>
            <w:docPart w:val="931EDBD165404AEB86C470CF23906452"/>
          </w:placeholder>
        </w:sdtPr>
        <w:sdtEndPr/>
        <w:sdtContent>
          <w:r w:rsidR="008F57C2" w:rsidRPr="008F57C2">
            <w:rPr>
              <w:rFonts w:ascii="Times New Roman" w:hAnsi="Times New Roman"/>
              <w:color w:val="000000"/>
              <w:sz w:val="24"/>
              <w:szCs w:val="24"/>
              <w:lang w:val="en-US"/>
            </w:rPr>
            <w:t>Wong et al. (2020)</w:t>
          </w:r>
        </w:sdtContent>
      </w:sdt>
      <w:r w:rsidR="00DB4DEC">
        <w:rPr>
          <w:rFonts w:ascii="Times New Roman" w:hAnsi="Times New Roman"/>
          <w:color w:val="000000"/>
          <w:sz w:val="24"/>
          <w:szCs w:val="24"/>
          <w:lang w:val="en-US"/>
        </w:rPr>
        <w:t xml:space="preserve"> </w:t>
      </w:r>
      <w:r w:rsidRPr="002830AD">
        <w:rPr>
          <w:rFonts w:ascii="Times New Roman" w:hAnsi="Times New Roman"/>
          <w:color w:val="000000"/>
          <w:sz w:val="24"/>
          <w:szCs w:val="24"/>
          <w:lang w:val="en-US"/>
        </w:rPr>
        <w:t>stating that environmental certification to the value of the company (Tobin's Q) increased significantly.</w:t>
      </w:r>
    </w:p>
    <w:p w14:paraId="6762BACD" w14:textId="77777777"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The positive and significant effect of environmental disclosure on company value shows that the more information about the company's environmental responsibility, the better the investor's response to its impact on the company itself, as evidenced by an increase in company value. The positive and significant impact on environmental disclosure on company value also shows that companies using environmental performance information from sustainability reports as a signal of company acceptance by the community and stakeholders will encourage investors to invest.</w:t>
      </w:r>
    </w:p>
    <w:p w14:paraId="51A53CD0" w14:textId="77777777" w:rsidR="007C5F34" w:rsidRPr="002830AD" w:rsidRDefault="007C5F34" w:rsidP="007C5F34">
      <w:pPr>
        <w:spacing w:after="0" w:line="240" w:lineRule="auto"/>
        <w:ind w:firstLine="720"/>
        <w:jc w:val="both"/>
        <w:rPr>
          <w:rFonts w:ascii="Times New Roman" w:hAnsi="Times New Roman"/>
          <w:sz w:val="24"/>
          <w:szCs w:val="24"/>
          <w:lang w:val="en-US"/>
        </w:rPr>
      </w:pPr>
    </w:p>
    <w:p w14:paraId="4B1AD872" w14:textId="0AB668F2" w:rsidR="007C5F34" w:rsidRPr="002830AD" w:rsidRDefault="00EF26FF" w:rsidP="007C5F34">
      <w:pPr>
        <w:pStyle w:val="subjudul2bab4-2"/>
        <w:numPr>
          <w:ilvl w:val="0"/>
          <w:numId w:val="0"/>
        </w:numPr>
        <w:spacing w:line="240" w:lineRule="auto"/>
        <w:ind w:left="720" w:hanging="720"/>
        <w:rPr>
          <w:lang w:val="en-US"/>
        </w:rPr>
      </w:pPr>
      <w:bookmarkStart w:id="14" w:name="_Toc94336756"/>
      <w:bookmarkStart w:id="15" w:name="_Toc97296456"/>
      <w:bookmarkStart w:id="16" w:name="_Toc97298440"/>
      <w:r>
        <w:rPr>
          <w:lang w:val="en-US"/>
        </w:rPr>
        <w:t>The e</w:t>
      </w:r>
      <w:r w:rsidR="007C5F34" w:rsidRPr="002830AD">
        <w:rPr>
          <w:lang w:val="en-US"/>
        </w:rPr>
        <w:t xml:space="preserve">ffect of social disclosure on </w:t>
      </w:r>
      <w:r>
        <w:rPr>
          <w:lang w:val="en-US"/>
        </w:rPr>
        <w:t>firm</w:t>
      </w:r>
      <w:r w:rsidR="007C5F34" w:rsidRPr="002830AD">
        <w:rPr>
          <w:lang w:val="en-US"/>
        </w:rPr>
        <w:t xml:space="preserve"> value</w:t>
      </w:r>
      <w:bookmarkEnd w:id="14"/>
      <w:bookmarkEnd w:id="15"/>
      <w:bookmarkEnd w:id="16"/>
    </w:p>
    <w:p w14:paraId="5FEE61EE" w14:textId="2C55437C"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 xml:space="preserve">The </w:t>
      </w:r>
      <w:r w:rsidR="000C3C21">
        <w:rPr>
          <w:rFonts w:ascii="Times New Roman" w:hAnsi="Times New Roman"/>
          <w:sz w:val="24"/>
          <w:szCs w:val="24"/>
          <w:lang w:val="en-US"/>
        </w:rPr>
        <w:t>study's second hypothesis</w:t>
      </w:r>
      <w:r w:rsidRPr="002830AD">
        <w:rPr>
          <w:rFonts w:ascii="Times New Roman" w:hAnsi="Times New Roman"/>
          <w:sz w:val="24"/>
          <w:szCs w:val="24"/>
          <w:lang w:val="en-US"/>
        </w:rPr>
        <w:t xml:space="preserve"> states that it is suspected that social disclosure has a positive and significant effect on firm value. </w:t>
      </w:r>
      <w:r w:rsidR="00E307FC">
        <w:rPr>
          <w:rFonts w:ascii="Times New Roman" w:hAnsi="Times New Roman"/>
          <w:sz w:val="24"/>
          <w:szCs w:val="24"/>
          <w:lang w:val="en-US"/>
        </w:rPr>
        <w:t xml:space="preserve">The panel data regression test results </w:t>
      </w:r>
      <w:r w:rsidRPr="002830AD">
        <w:rPr>
          <w:rFonts w:ascii="Times New Roman" w:hAnsi="Times New Roman"/>
          <w:sz w:val="24"/>
          <w:szCs w:val="24"/>
          <w:lang w:val="en-US"/>
        </w:rPr>
        <w:t>in table 3 show that the social disclosure variable has a coefficient (</w:t>
      </w:r>
      <w:r w:rsidRPr="002830AD">
        <w:rPr>
          <w:rFonts w:ascii="Times New Roman" w:hAnsi="Times New Roman"/>
          <w:sz w:val="24"/>
          <w:szCs w:val="24"/>
          <w:lang w:val="en-US"/>
        </w:rPr>
        <w:sym w:font="Symbol" w:char="F062"/>
      </w:r>
      <w:r w:rsidRPr="002830AD">
        <w:rPr>
          <w:rFonts w:ascii="Times New Roman" w:hAnsi="Times New Roman"/>
          <w:sz w:val="24"/>
          <w:szCs w:val="24"/>
          <w:lang w:val="en-US"/>
        </w:rPr>
        <w:t xml:space="preserve">) of 0.0084 and a significance value of 0.002 which is smaller than 0.05. These results are </w:t>
      </w:r>
      <w:r w:rsidR="00E307FC">
        <w:rPr>
          <w:rFonts w:ascii="Times New Roman" w:hAnsi="Times New Roman"/>
          <w:sz w:val="24"/>
          <w:szCs w:val="24"/>
          <w:lang w:val="en-US"/>
        </w:rPr>
        <w:t>by</w:t>
      </w:r>
      <w:r w:rsidRPr="002830AD">
        <w:rPr>
          <w:rFonts w:ascii="Times New Roman" w:hAnsi="Times New Roman"/>
          <w:sz w:val="24"/>
          <w:szCs w:val="24"/>
          <w:lang w:val="en-US"/>
        </w:rPr>
        <w:t xml:space="preserve"> hypothesis two (H</w:t>
      </w:r>
      <w:r w:rsidRPr="002830AD">
        <w:rPr>
          <w:rFonts w:ascii="Times New Roman" w:hAnsi="Times New Roman"/>
          <w:sz w:val="24"/>
          <w:szCs w:val="24"/>
          <w:vertAlign w:val="subscript"/>
          <w:lang w:val="en-US"/>
        </w:rPr>
        <w:t>2</w:t>
      </w:r>
      <w:r w:rsidRPr="002830AD">
        <w:rPr>
          <w:rFonts w:ascii="Times New Roman" w:hAnsi="Times New Roman"/>
          <w:sz w:val="24"/>
          <w:szCs w:val="24"/>
          <w:lang w:val="en-US"/>
        </w:rPr>
        <w:t xml:space="preserve">), </w:t>
      </w:r>
      <w:r w:rsidR="00E307FC">
        <w:rPr>
          <w:rFonts w:ascii="Times New Roman" w:hAnsi="Times New Roman"/>
          <w:sz w:val="24"/>
          <w:szCs w:val="24"/>
          <w:lang w:val="en-US"/>
        </w:rPr>
        <w:t>which</w:t>
      </w:r>
      <w:r w:rsidRPr="002830AD">
        <w:rPr>
          <w:rFonts w:ascii="Times New Roman" w:hAnsi="Times New Roman"/>
          <w:sz w:val="24"/>
          <w:szCs w:val="24"/>
          <w:lang w:val="en-US"/>
        </w:rPr>
        <w:t xml:space="preserve"> indicates that the variable social disclosure has a positive and significant effect on firm value. Thus, the results of this study accept hypothesis two (H</w:t>
      </w:r>
      <w:r w:rsidRPr="002830AD">
        <w:rPr>
          <w:rFonts w:ascii="Times New Roman" w:hAnsi="Times New Roman"/>
          <w:sz w:val="24"/>
          <w:szCs w:val="24"/>
          <w:vertAlign w:val="subscript"/>
          <w:lang w:val="en-US"/>
        </w:rPr>
        <w:t>2</w:t>
      </w:r>
      <w:r w:rsidRPr="002830AD">
        <w:rPr>
          <w:rFonts w:ascii="Times New Roman" w:hAnsi="Times New Roman"/>
          <w:sz w:val="24"/>
          <w:szCs w:val="24"/>
          <w:lang w:val="en-US"/>
        </w:rPr>
        <w:t xml:space="preserve">). The results of this study are in line with previous research which explains that partially social disclosure has a positive effect on firm value </w:t>
      </w:r>
      <w:sdt>
        <w:sdtPr>
          <w:rPr>
            <w:rFonts w:ascii="Times New Roman" w:hAnsi="Times New Roman" w:cs="Times New Roman"/>
            <w:sz w:val="24"/>
            <w:szCs w:val="24"/>
            <w:lang w:val="en-US"/>
          </w:rPr>
          <w:tag w:val="MENDELEY_CITATION_v3_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"/>
          <w:id w:val="753554063"/>
          <w:placeholder>
            <w:docPart w:val="931EDBD165404AEB86C470CF23906452"/>
          </w:placeholder>
        </w:sdtPr>
        <w:sdtEndPr/>
        <w:sdtContent>
          <w:r w:rsidR="008F57C2" w:rsidRPr="008F57C2">
            <w:rPr>
              <w:rFonts w:ascii="Times New Roman" w:eastAsia="Times New Roman" w:hAnsi="Times New Roman" w:cs="Times New Roman"/>
              <w:sz w:val="24"/>
              <w:szCs w:val="24"/>
            </w:rPr>
            <w:t xml:space="preserve">(Melinda &amp; </w:t>
          </w:r>
          <w:proofErr w:type="spellStart"/>
          <w:r w:rsidR="008F57C2" w:rsidRPr="008F57C2">
            <w:rPr>
              <w:rFonts w:ascii="Times New Roman" w:eastAsia="Times New Roman" w:hAnsi="Times New Roman" w:cs="Times New Roman"/>
              <w:sz w:val="24"/>
              <w:szCs w:val="24"/>
            </w:rPr>
            <w:t>Wardhani</w:t>
          </w:r>
          <w:proofErr w:type="spellEnd"/>
          <w:r w:rsidR="008F57C2" w:rsidRPr="008F57C2">
            <w:rPr>
              <w:rFonts w:ascii="Times New Roman" w:eastAsia="Times New Roman" w:hAnsi="Times New Roman" w:cs="Times New Roman"/>
              <w:sz w:val="24"/>
              <w:szCs w:val="24"/>
            </w:rPr>
            <w:t>, 2020)</w:t>
          </w:r>
        </w:sdtContent>
      </w:sdt>
      <w:r w:rsidRPr="008F57C2">
        <w:rPr>
          <w:rFonts w:ascii="Times New Roman" w:hAnsi="Times New Roman" w:cs="Times New Roman"/>
          <w:sz w:val="24"/>
          <w:szCs w:val="24"/>
          <w:lang w:val="en-US"/>
        </w:rPr>
        <w:t>.</w:t>
      </w:r>
    </w:p>
    <w:p w14:paraId="572FE377" w14:textId="77777777"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The results of the study which show the positive and significant effect of social disclosure on the value of the company identify that the company has been accepted by the community. The company's legitimacy is shown from the positive response of the public represented by investment activities from investors that affect the increase in company value as indicated by a positive company value. The positive and significant effect of social disclosure on the value of the company also identifies that the company is considered to have been able to demonstrate corporate responsibility to stakeholders by publishing sustainability information, especially to investors for screening in SRI investment activities.</w:t>
      </w:r>
    </w:p>
    <w:p w14:paraId="63363DAC" w14:textId="42441004"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So, the more social disclosure, the more it will affect the value of the company. In addition, the higher the corporate social responsibility, it will attract investors, especially investors who pay attention to non-financial aspects to invest.</w:t>
      </w:r>
    </w:p>
    <w:p w14:paraId="32E8C979" w14:textId="77777777" w:rsidR="007C5F34" w:rsidRPr="002830AD" w:rsidRDefault="007C5F34" w:rsidP="007C5F34">
      <w:pPr>
        <w:spacing w:after="0" w:line="240" w:lineRule="auto"/>
        <w:ind w:firstLine="720"/>
        <w:jc w:val="both"/>
        <w:rPr>
          <w:rFonts w:ascii="Times New Roman" w:hAnsi="Times New Roman"/>
          <w:sz w:val="24"/>
          <w:szCs w:val="24"/>
          <w:lang w:val="en-US"/>
        </w:rPr>
      </w:pPr>
    </w:p>
    <w:p w14:paraId="27860691" w14:textId="77777777" w:rsidR="007C5F34" w:rsidRPr="002830AD" w:rsidRDefault="007C5F34" w:rsidP="007C5F34">
      <w:pPr>
        <w:pStyle w:val="subjudul2bab4-2"/>
        <w:numPr>
          <w:ilvl w:val="0"/>
          <w:numId w:val="0"/>
        </w:numPr>
        <w:spacing w:line="240" w:lineRule="auto"/>
        <w:ind w:left="720" w:hanging="720"/>
        <w:rPr>
          <w:lang w:val="en-US"/>
        </w:rPr>
      </w:pPr>
      <w:bookmarkStart w:id="17" w:name="_Toc94336757"/>
      <w:bookmarkStart w:id="18" w:name="_Toc97296457"/>
      <w:bookmarkStart w:id="19" w:name="_Toc97298441"/>
      <w:r w:rsidRPr="002830AD">
        <w:rPr>
          <w:lang w:val="en-US"/>
        </w:rPr>
        <w:t>The effect of governance disclosure on firm value</w:t>
      </w:r>
      <w:bookmarkEnd w:id="17"/>
      <w:bookmarkEnd w:id="18"/>
      <w:bookmarkEnd w:id="19"/>
    </w:p>
    <w:p w14:paraId="5BB6B9D2" w14:textId="7D5D117D"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 xml:space="preserve">The third hypothesis of the study states that it is suspected that governance disclosure has a positive and significant effect on firm value. </w:t>
      </w:r>
      <w:r w:rsidR="00E307FC">
        <w:rPr>
          <w:rFonts w:ascii="Times New Roman" w:hAnsi="Times New Roman"/>
          <w:sz w:val="24"/>
          <w:szCs w:val="24"/>
          <w:lang w:val="en-US"/>
        </w:rPr>
        <w:t xml:space="preserve">The panel data regression test results </w:t>
      </w:r>
      <w:r w:rsidRPr="002830AD">
        <w:rPr>
          <w:rFonts w:ascii="Times New Roman" w:hAnsi="Times New Roman"/>
          <w:sz w:val="24"/>
          <w:szCs w:val="24"/>
          <w:lang w:val="en-US"/>
        </w:rPr>
        <w:t>in table 3 show that the governance disclosure variable has a coefficient (</w:t>
      </w:r>
      <w:r w:rsidRPr="002830AD">
        <w:rPr>
          <w:rFonts w:ascii="Times New Roman" w:hAnsi="Times New Roman"/>
          <w:sz w:val="24"/>
          <w:szCs w:val="24"/>
          <w:lang w:val="en-US"/>
        </w:rPr>
        <w:sym w:font="Symbol" w:char="F062"/>
      </w:r>
      <w:r w:rsidRPr="002830AD">
        <w:rPr>
          <w:rFonts w:ascii="Times New Roman" w:hAnsi="Times New Roman"/>
          <w:sz w:val="24"/>
          <w:szCs w:val="24"/>
          <w:lang w:val="en-US"/>
        </w:rPr>
        <w:t xml:space="preserve">) of -0.0113 and a significance value of 0.000 which is smaller than 0.05. These results are not </w:t>
      </w:r>
      <w:r w:rsidR="00E307FC">
        <w:rPr>
          <w:rFonts w:ascii="Times New Roman" w:hAnsi="Times New Roman"/>
          <w:sz w:val="24"/>
          <w:szCs w:val="24"/>
          <w:lang w:val="en-US"/>
        </w:rPr>
        <w:t>by</w:t>
      </w:r>
      <w:r w:rsidRPr="002830AD">
        <w:rPr>
          <w:rFonts w:ascii="Times New Roman" w:hAnsi="Times New Roman"/>
          <w:sz w:val="24"/>
          <w:szCs w:val="24"/>
          <w:lang w:val="en-US"/>
        </w:rPr>
        <w:t xml:space="preserve"> the third hypothesis (H</w:t>
      </w:r>
      <w:r w:rsidRPr="002830AD">
        <w:rPr>
          <w:rFonts w:ascii="Times New Roman" w:hAnsi="Times New Roman"/>
          <w:sz w:val="24"/>
          <w:szCs w:val="24"/>
          <w:vertAlign w:val="subscript"/>
          <w:lang w:val="en-US"/>
        </w:rPr>
        <w:t>3</w:t>
      </w:r>
      <w:r w:rsidRPr="002830AD">
        <w:rPr>
          <w:rFonts w:ascii="Times New Roman" w:hAnsi="Times New Roman"/>
          <w:sz w:val="24"/>
          <w:szCs w:val="24"/>
          <w:lang w:val="en-US"/>
        </w:rPr>
        <w:t xml:space="preserve">), this indicates that the variable of corporate governance disclosure has a negative and significant effect on firm value. Thus, </w:t>
      </w:r>
      <w:r w:rsidR="00E307FC">
        <w:rPr>
          <w:rFonts w:ascii="Times New Roman" w:hAnsi="Times New Roman"/>
          <w:sz w:val="24"/>
          <w:szCs w:val="24"/>
          <w:lang w:val="en-US"/>
        </w:rPr>
        <w:t>this study’s hypothesis three (H</w:t>
      </w:r>
      <w:r w:rsidR="00E307FC" w:rsidRPr="00E307FC">
        <w:rPr>
          <w:rFonts w:ascii="Times New Roman" w:hAnsi="Times New Roman"/>
          <w:sz w:val="24"/>
          <w:szCs w:val="24"/>
          <w:vertAlign w:val="subscript"/>
          <w:lang w:val="en-US"/>
        </w:rPr>
        <w:t>3</w:t>
      </w:r>
      <w:r w:rsidR="00E307FC">
        <w:rPr>
          <w:rFonts w:ascii="Times New Roman" w:hAnsi="Times New Roman"/>
          <w:sz w:val="24"/>
          <w:szCs w:val="24"/>
          <w:lang w:val="en-US"/>
        </w:rPr>
        <w:t xml:space="preserve">) results </w:t>
      </w:r>
      <w:r w:rsidRPr="002830AD">
        <w:rPr>
          <w:rFonts w:ascii="Times New Roman" w:hAnsi="Times New Roman"/>
          <w:sz w:val="24"/>
          <w:szCs w:val="24"/>
          <w:lang w:val="en-US"/>
        </w:rPr>
        <w:t>are rejected.</w:t>
      </w:r>
    </w:p>
    <w:p w14:paraId="0C03A2A1" w14:textId="5D59F15A"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 xml:space="preserve">This result is not in line with the results of previous studies </w:t>
      </w:r>
      <w:r w:rsidR="00E307FC">
        <w:rPr>
          <w:rFonts w:ascii="Times New Roman" w:hAnsi="Times New Roman"/>
          <w:sz w:val="24"/>
          <w:szCs w:val="24"/>
          <w:lang w:val="en-US"/>
        </w:rPr>
        <w:t>that state that governance disclosure positively affects</w:t>
      </w:r>
      <w:r w:rsidRPr="002830AD">
        <w:rPr>
          <w:rFonts w:ascii="Times New Roman" w:hAnsi="Times New Roman"/>
          <w:sz w:val="24"/>
          <w:szCs w:val="24"/>
          <w:lang w:val="en-US"/>
        </w:rPr>
        <w:t xml:space="preserve"> firm </w:t>
      </w:r>
      <w:r w:rsidRPr="008F57C2">
        <w:rPr>
          <w:rFonts w:ascii="Times New Roman" w:hAnsi="Times New Roman" w:cs="Times New Roman"/>
          <w:sz w:val="24"/>
          <w:szCs w:val="24"/>
          <w:lang w:val="en-US"/>
        </w:rPr>
        <w:t xml:space="preserve">value </w:t>
      </w:r>
      <w:sdt>
        <w:sdtPr>
          <w:rPr>
            <w:rFonts w:ascii="Times New Roman" w:hAnsi="Times New Roman" w:cs="Times New Roman"/>
            <w:sz w:val="24"/>
            <w:szCs w:val="24"/>
            <w:lang w:val="en-US"/>
          </w:rPr>
          <w:tag w:val="MENDELEY_CITATION_v3_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"/>
          <w:id w:val="-855345382"/>
          <w:placeholder>
            <w:docPart w:val="931EDBD165404AEB86C470CF23906452"/>
          </w:placeholder>
        </w:sdtPr>
        <w:sdtEndPr/>
        <w:sdtContent>
          <w:r w:rsidR="008F57C2" w:rsidRPr="008F57C2">
            <w:rPr>
              <w:rFonts w:ascii="Times New Roman" w:eastAsia="Times New Roman" w:hAnsi="Times New Roman" w:cs="Times New Roman"/>
              <w:sz w:val="24"/>
              <w:szCs w:val="24"/>
            </w:rPr>
            <w:t>(</w:t>
          </w:r>
          <w:proofErr w:type="spellStart"/>
          <w:r w:rsidR="008F57C2" w:rsidRPr="008F57C2">
            <w:rPr>
              <w:rFonts w:ascii="Times New Roman" w:eastAsia="Times New Roman" w:hAnsi="Times New Roman" w:cs="Times New Roman"/>
              <w:sz w:val="24"/>
              <w:szCs w:val="24"/>
            </w:rPr>
            <w:t>Alareeni</w:t>
          </w:r>
          <w:proofErr w:type="spellEnd"/>
          <w:r w:rsidR="008F57C2" w:rsidRPr="008F57C2">
            <w:rPr>
              <w:rFonts w:ascii="Times New Roman" w:eastAsia="Times New Roman" w:hAnsi="Times New Roman" w:cs="Times New Roman"/>
              <w:sz w:val="24"/>
              <w:szCs w:val="24"/>
            </w:rPr>
            <w:t xml:space="preserve"> &amp; </w:t>
          </w:r>
          <w:proofErr w:type="spellStart"/>
          <w:r w:rsidR="008F57C2" w:rsidRPr="008F57C2">
            <w:rPr>
              <w:rFonts w:ascii="Times New Roman" w:eastAsia="Times New Roman" w:hAnsi="Times New Roman" w:cs="Times New Roman"/>
              <w:sz w:val="24"/>
              <w:szCs w:val="24"/>
            </w:rPr>
            <w:t>Hamdan</w:t>
          </w:r>
          <w:proofErr w:type="spellEnd"/>
          <w:r w:rsidR="008F57C2" w:rsidRPr="008F57C2">
            <w:rPr>
              <w:rFonts w:ascii="Times New Roman" w:eastAsia="Times New Roman" w:hAnsi="Times New Roman" w:cs="Times New Roman"/>
              <w:sz w:val="24"/>
              <w:szCs w:val="24"/>
            </w:rPr>
            <w:t>, 2020)</w:t>
          </w:r>
        </w:sdtContent>
      </w:sdt>
      <w:r w:rsidRPr="008F57C2">
        <w:rPr>
          <w:rFonts w:ascii="Times New Roman" w:hAnsi="Times New Roman" w:cs="Times New Roman"/>
          <w:sz w:val="24"/>
          <w:szCs w:val="24"/>
          <w:lang w:val="en-US"/>
        </w:rPr>
        <w:t>.</w:t>
      </w:r>
      <w:r w:rsidRPr="002830AD">
        <w:rPr>
          <w:rFonts w:ascii="Times New Roman" w:hAnsi="Times New Roman"/>
          <w:sz w:val="24"/>
          <w:szCs w:val="24"/>
          <w:lang w:val="en-US"/>
        </w:rPr>
        <w:t xml:space="preserve"> However, these results are in line with previous research which states that corporate governance has a negative and significant effect on firm value </w:t>
      </w:r>
      <w:sdt>
        <w:sdtPr>
          <w:rPr>
            <w:rFonts w:ascii="Times New Roman" w:hAnsi="Times New Roman" w:cs="Times New Roman"/>
            <w:sz w:val="24"/>
            <w:szCs w:val="24"/>
            <w:lang w:val="en-US"/>
          </w:rPr>
          <w:tag w:val="MENDELEY_CITATION_v3_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"/>
          <w:id w:val="1523748732"/>
          <w:placeholder>
            <w:docPart w:val="931EDBD165404AEB86C470CF23906452"/>
          </w:placeholder>
        </w:sdtPr>
        <w:sdtEndPr/>
        <w:sdtContent>
          <w:r w:rsidR="008F57C2" w:rsidRPr="008F57C2">
            <w:rPr>
              <w:rFonts w:ascii="Times New Roman" w:eastAsia="Times New Roman" w:hAnsi="Times New Roman" w:cs="Times New Roman"/>
              <w:sz w:val="24"/>
              <w:szCs w:val="24"/>
            </w:rPr>
            <w:t>(</w:t>
          </w:r>
          <w:proofErr w:type="spellStart"/>
          <w:r w:rsidR="008F57C2" w:rsidRPr="008F57C2">
            <w:rPr>
              <w:rFonts w:ascii="Times New Roman" w:eastAsia="Times New Roman" w:hAnsi="Times New Roman" w:cs="Times New Roman"/>
              <w:sz w:val="24"/>
              <w:szCs w:val="24"/>
            </w:rPr>
            <w:t>Amalia</w:t>
          </w:r>
          <w:proofErr w:type="spellEnd"/>
          <w:r w:rsidR="008F57C2" w:rsidRPr="008F57C2">
            <w:rPr>
              <w:rFonts w:ascii="Times New Roman" w:eastAsia="Times New Roman" w:hAnsi="Times New Roman" w:cs="Times New Roman"/>
              <w:sz w:val="24"/>
              <w:szCs w:val="24"/>
            </w:rPr>
            <w:t xml:space="preserve"> &amp; </w:t>
          </w:r>
          <w:proofErr w:type="spellStart"/>
          <w:r w:rsidR="008F57C2" w:rsidRPr="008F57C2">
            <w:rPr>
              <w:rFonts w:ascii="Times New Roman" w:eastAsia="Times New Roman" w:hAnsi="Times New Roman" w:cs="Times New Roman"/>
              <w:sz w:val="24"/>
              <w:szCs w:val="24"/>
            </w:rPr>
            <w:t>Rosdiana</w:t>
          </w:r>
          <w:proofErr w:type="spellEnd"/>
          <w:r w:rsidR="008F57C2" w:rsidRPr="008F57C2">
            <w:rPr>
              <w:rFonts w:ascii="Times New Roman" w:eastAsia="Times New Roman" w:hAnsi="Times New Roman" w:cs="Times New Roman"/>
              <w:sz w:val="24"/>
              <w:szCs w:val="24"/>
            </w:rPr>
            <w:t>, 2020)</w:t>
          </w:r>
        </w:sdtContent>
      </w:sdt>
      <w:r w:rsidRPr="008F57C2">
        <w:rPr>
          <w:rFonts w:ascii="Times New Roman" w:hAnsi="Times New Roman" w:cs="Times New Roman"/>
          <w:sz w:val="24"/>
          <w:szCs w:val="24"/>
          <w:lang w:val="en-US"/>
        </w:rPr>
        <w:t>.</w:t>
      </w:r>
    </w:p>
    <w:p w14:paraId="0282BF34" w14:textId="24C302EE" w:rsidR="007C5F34" w:rsidRPr="002830AD" w:rsidRDefault="007C5F34" w:rsidP="007C5F34">
      <w:pPr>
        <w:spacing w:after="0" w:line="240" w:lineRule="auto"/>
        <w:ind w:firstLine="720"/>
        <w:jc w:val="both"/>
        <w:rPr>
          <w:rFonts w:ascii="Times New Roman" w:hAnsi="Times New Roman"/>
          <w:color w:val="000000"/>
          <w:sz w:val="24"/>
          <w:szCs w:val="24"/>
          <w:lang w:val="en-US"/>
        </w:rPr>
      </w:pPr>
      <w:r w:rsidRPr="002830AD">
        <w:rPr>
          <w:rFonts w:ascii="Times New Roman" w:hAnsi="Times New Roman"/>
          <w:sz w:val="24"/>
          <w:szCs w:val="24"/>
          <w:lang w:val="en-US"/>
        </w:rPr>
        <w:t xml:space="preserve">Effective governance is the management of a company that has a positive impact on the value of the company itself, but it is not </w:t>
      </w:r>
      <w:r w:rsidR="00E307FC">
        <w:rPr>
          <w:rFonts w:ascii="Times New Roman" w:hAnsi="Times New Roman"/>
          <w:sz w:val="24"/>
          <w:szCs w:val="24"/>
          <w:lang w:val="en-US"/>
        </w:rPr>
        <w:t>by</w:t>
      </w:r>
      <w:r w:rsidRPr="002830AD">
        <w:rPr>
          <w:rFonts w:ascii="Times New Roman" w:hAnsi="Times New Roman"/>
          <w:sz w:val="24"/>
          <w:szCs w:val="24"/>
          <w:lang w:val="en-US"/>
        </w:rPr>
        <w:t xml:space="preserve"> the findings of this study where the negative influence of governance disclosure on company value identifies that it is possible because the practice of corporate governance in the company is indeed implemented, but its implementation still not fully implemented by the company </w:t>
      </w:r>
      <w:r w:rsidR="00E307FC">
        <w:rPr>
          <w:rFonts w:ascii="Times New Roman" w:hAnsi="Times New Roman"/>
          <w:sz w:val="24"/>
          <w:szCs w:val="24"/>
          <w:lang w:val="en-US"/>
        </w:rPr>
        <w:t>by</w:t>
      </w:r>
      <w:r w:rsidRPr="002830AD">
        <w:rPr>
          <w:rFonts w:ascii="Times New Roman" w:hAnsi="Times New Roman"/>
          <w:sz w:val="24"/>
          <w:szCs w:val="24"/>
          <w:lang w:val="en-US"/>
        </w:rPr>
        <w:t xml:space="preserve"> the principles of corporate governance that are transparency, accountability, responsibility, independence, and fairness or it can be said that the practice of corporate governance is carried out by the company only as a formality as a fulfillment of the company's obligations under the regulations set by the government. so that the implementation of corporate governance has not been carried out optimally. Investors also consider that the practice of corporate governance is not a factor that can be taken into consideration in appreciating the value of the company </w:t>
      </w:r>
      <w:sdt>
        <w:sdtPr>
          <w:rPr>
            <w:rFonts w:ascii="Times New Roman" w:hAnsi="Times New Roman"/>
            <w:color w:val="000000"/>
            <w:sz w:val="24"/>
            <w:szCs w:val="24"/>
            <w:lang w:val="en-US"/>
          </w:rPr>
          <w:tag w:val="MENDELEY_CITATION_v3_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"/>
          <w:id w:val="838122954"/>
          <w:placeholder>
            <w:docPart w:val="931EDBD165404AEB86C470CF23906452"/>
          </w:placeholder>
        </w:sdtPr>
        <w:sdtEndPr/>
        <w:sdtContent>
          <w:r w:rsidR="008F57C2" w:rsidRPr="008F57C2">
            <w:rPr>
              <w:rFonts w:ascii="Times New Roman" w:hAnsi="Times New Roman"/>
              <w:color w:val="000000"/>
              <w:sz w:val="24"/>
              <w:szCs w:val="24"/>
              <w:lang w:val="en-US"/>
            </w:rPr>
            <w:t>(</w:t>
          </w:r>
          <w:proofErr w:type="spellStart"/>
          <w:r w:rsidR="008F57C2" w:rsidRPr="008F57C2">
            <w:rPr>
              <w:rFonts w:ascii="Times New Roman" w:hAnsi="Times New Roman"/>
              <w:color w:val="000000"/>
              <w:sz w:val="24"/>
              <w:szCs w:val="24"/>
              <w:lang w:val="en-US"/>
            </w:rPr>
            <w:t>Mutmainah</w:t>
          </w:r>
          <w:proofErr w:type="spellEnd"/>
          <w:r w:rsidR="008F57C2" w:rsidRPr="008F57C2">
            <w:rPr>
              <w:rFonts w:ascii="Times New Roman" w:hAnsi="Times New Roman"/>
              <w:color w:val="000000"/>
              <w:sz w:val="24"/>
              <w:szCs w:val="24"/>
              <w:lang w:val="en-US"/>
            </w:rPr>
            <w:t>, 2015)</w:t>
          </w:r>
        </w:sdtContent>
      </w:sdt>
      <w:r w:rsidRPr="002830AD">
        <w:rPr>
          <w:rFonts w:ascii="Times New Roman" w:hAnsi="Times New Roman"/>
          <w:color w:val="000000"/>
          <w:sz w:val="24"/>
          <w:szCs w:val="24"/>
          <w:lang w:val="en-US"/>
        </w:rPr>
        <w:t>.</w:t>
      </w:r>
    </w:p>
    <w:p w14:paraId="6CEDD0A8" w14:textId="27C9861B" w:rsidR="007C5F34" w:rsidRDefault="007C5F34" w:rsidP="007C5F34">
      <w:pPr>
        <w:ind w:firstLine="720"/>
        <w:rPr>
          <w:rFonts w:ascii="Times New Roman" w:hAnsi="Times New Roman"/>
          <w:lang w:val="en-US"/>
        </w:rPr>
      </w:pPr>
    </w:p>
    <w:p w14:paraId="792A8196" w14:textId="6EBA5824" w:rsidR="00DB4DEC" w:rsidRDefault="00DB4DEC" w:rsidP="007C5F34">
      <w:pPr>
        <w:ind w:firstLine="720"/>
        <w:rPr>
          <w:rFonts w:ascii="Times New Roman" w:hAnsi="Times New Roman"/>
          <w:lang w:val="en-US"/>
        </w:rPr>
      </w:pPr>
    </w:p>
    <w:p w14:paraId="7DD458A2" w14:textId="77777777" w:rsidR="00DB4DEC" w:rsidRPr="002830AD" w:rsidRDefault="00DB4DEC" w:rsidP="007C5F34">
      <w:pPr>
        <w:ind w:firstLine="720"/>
        <w:rPr>
          <w:rFonts w:ascii="Times New Roman" w:hAnsi="Times New Roman"/>
          <w:lang w:val="en-US"/>
        </w:rPr>
      </w:pPr>
    </w:p>
    <w:p w14:paraId="7A6AA1A9" w14:textId="77777777" w:rsidR="007C5F34" w:rsidRPr="002830AD" w:rsidRDefault="007C5F34" w:rsidP="007C5F34">
      <w:pPr>
        <w:pStyle w:val="Body"/>
        <w:ind w:firstLine="0"/>
        <w:rPr>
          <w:b/>
          <w:sz w:val="24"/>
          <w:szCs w:val="24"/>
          <w:lang w:val="en-US"/>
        </w:rPr>
      </w:pPr>
      <w:r w:rsidRPr="002830AD">
        <w:rPr>
          <w:b/>
          <w:sz w:val="24"/>
          <w:szCs w:val="24"/>
          <w:lang w:val="en-US"/>
        </w:rPr>
        <w:lastRenderedPageBreak/>
        <w:t>CONCLUSION</w:t>
      </w:r>
    </w:p>
    <w:p w14:paraId="67C8BF10" w14:textId="7674F4BF" w:rsidR="007C5F34" w:rsidRPr="002830AD" w:rsidRDefault="007C5F34" w:rsidP="007C5F34">
      <w:pPr>
        <w:spacing w:after="0" w:line="240" w:lineRule="auto"/>
        <w:ind w:firstLine="720"/>
        <w:jc w:val="both"/>
        <w:rPr>
          <w:rFonts w:ascii="Times New Roman" w:hAnsi="Times New Roman"/>
          <w:sz w:val="24"/>
          <w:szCs w:val="24"/>
          <w:lang w:val="en-US"/>
        </w:rPr>
      </w:pPr>
      <w:r w:rsidRPr="002830AD">
        <w:rPr>
          <w:rFonts w:ascii="Times New Roman" w:hAnsi="Times New Roman"/>
          <w:sz w:val="24"/>
          <w:szCs w:val="24"/>
          <w:lang w:val="en-US"/>
        </w:rPr>
        <w:t xml:space="preserve">Based on the results of the analysis and testing of the data in this study, several research conclusions can be proposed. Testing the first hypothesis, it was found that the environment variable's disclosure had a positive and significant effect on firm value in companies listed on the Indonesia Stock Exchange. Social disclosure has a positive and significant effect on firm value in companies listed on the Indonesia Stock Exchange. Governance disclosure has a negative and significant effect on firm value in companies listed on the Indonesia Stock Exchange. While testing with the control variable, namely the size of the company partially has a significant negative effect on firm value, the leverage and profitability variables partially have a significant effect on firm value. The suggestions that can be considered by the company are considering the non-financial aspects, especially the environmental and social performance of the company, as well as maintaining the performance of corporate governance </w:t>
      </w:r>
      <w:r w:rsidR="00E307FC">
        <w:rPr>
          <w:rFonts w:ascii="Times New Roman" w:hAnsi="Times New Roman"/>
          <w:sz w:val="24"/>
          <w:szCs w:val="24"/>
          <w:lang w:val="en-US"/>
        </w:rPr>
        <w:t>to</w:t>
      </w:r>
      <w:r w:rsidRPr="002830AD">
        <w:rPr>
          <w:rFonts w:ascii="Times New Roman" w:hAnsi="Times New Roman"/>
          <w:sz w:val="24"/>
          <w:szCs w:val="24"/>
          <w:lang w:val="en-US"/>
        </w:rPr>
        <w:t xml:space="preserve"> encourage investors to invest more in the company. For investors, suggestions that can be considered in sustainable investment decisions, especially to see the value of the company, are to pay more attention to the company's non-financial performance such as environment and social disclosure.</w:t>
      </w:r>
    </w:p>
    <w:p w14:paraId="1B56AD98" w14:textId="77777777" w:rsidR="007C5F34" w:rsidRPr="002830AD" w:rsidRDefault="007C5F34" w:rsidP="007C5F34">
      <w:pPr>
        <w:spacing w:after="0" w:line="240" w:lineRule="auto"/>
        <w:ind w:firstLine="720"/>
        <w:jc w:val="both"/>
        <w:rPr>
          <w:rFonts w:ascii="Times New Roman" w:hAnsi="Times New Roman"/>
          <w:sz w:val="24"/>
          <w:szCs w:val="24"/>
          <w:lang w:val="en-US"/>
        </w:rPr>
      </w:pPr>
    </w:p>
    <w:p w14:paraId="674E5F75" w14:textId="7FDE4BD4" w:rsidR="007C5F34" w:rsidRDefault="007C5F34" w:rsidP="007C5F34">
      <w:pPr>
        <w:pStyle w:val="Body"/>
        <w:ind w:firstLine="0"/>
        <w:rPr>
          <w:b/>
          <w:sz w:val="24"/>
          <w:szCs w:val="24"/>
          <w:lang w:val="en-US"/>
        </w:rPr>
      </w:pPr>
      <w:r w:rsidRPr="002830AD">
        <w:rPr>
          <w:b/>
          <w:sz w:val="24"/>
          <w:szCs w:val="24"/>
          <w:lang w:val="en-US"/>
        </w:rPr>
        <w:t>REFERENCE</w:t>
      </w:r>
    </w:p>
    <w:sdt>
      <w:sdtPr>
        <w:rPr>
          <w:rFonts w:ascii="Times New Roman" w:eastAsia="Times New Roman" w:hAnsi="Times New Roman" w:cs="Times New Roman"/>
          <w:b/>
          <w:sz w:val="24"/>
          <w:szCs w:val="24"/>
          <w:lang w:val="en-US" w:eastAsia="ar-SA"/>
        </w:rPr>
        <w:tag w:val="MENDELEY_BIBLIOGRAPHY"/>
        <w:id w:val="-39514238"/>
        <w:placeholder>
          <w:docPart w:val="DefaultPlaceholder_-1854013440"/>
        </w:placeholder>
      </w:sdtPr>
      <w:sdtEndPr/>
      <w:sdtContent>
        <w:p w14:paraId="264C22C6" w14:textId="77777777" w:rsidR="008F57C2" w:rsidRPr="008F57C2" w:rsidRDefault="008F57C2" w:rsidP="008F57C2">
          <w:pPr>
            <w:autoSpaceDE w:val="0"/>
            <w:autoSpaceDN w:val="0"/>
            <w:spacing w:after="0" w:line="240" w:lineRule="auto"/>
            <w:ind w:hanging="480"/>
            <w:divId w:val="1667368133"/>
            <w:rPr>
              <w:rFonts w:ascii="Times New Roman" w:eastAsia="Times New Roman" w:hAnsi="Times New Roman" w:cs="Times New Roman"/>
              <w:sz w:val="24"/>
              <w:szCs w:val="24"/>
            </w:rPr>
          </w:pPr>
          <w:proofErr w:type="spellStart"/>
          <w:r w:rsidRPr="008F57C2">
            <w:rPr>
              <w:rFonts w:ascii="Times New Roman" w:eastAsia="Times New Roman" w:hAnsi="Times New Roman" w:cs="Times New Roman"/>
              <w:sz w:val="24"/>
              <w:szCs w:val="24"/>
            </w:rPr>
            <w:t>Aboud</w:t>
          </w:r>
          <w:proofErr w:type="spellEnd"/>
          <w:r w:rsidRPr="008F57C2">
            <w:rPr>
              <w:rFonts w:ascii="Times New Roman" w:eastAsia="Times New Roman" w:hAnsi="Times New Roman" w:cs="Times New Roman"/>
              <w:sz w:val="24"/>
              <w:szCs w:val="24"/>
            </w:rPr>
            <w:t xml:space="preserve">, A., &amp; Diab, A. (2018). The impact of social, environmental and corporate governance disclosures on firm value: Evidence from Egypt. </w:t>
          </w:r>
          <w:r w:rsidRPr="008F57C2">
            <w:rPr>
              <w:rFonts w:ascii="Times New Roman" w:eastAsia="Times New Roman" w:hAnsi="Times New Roman" w:cs="Times New Roman"/>
              <w:i/>
              <w:iCs/>
              <w:sz w:val="24"/>
              <w:szCs w:val="24"/>
            </w:rPr>
            <w:t>Journal of Accounting in Emerging Economies</w:t>
          </w:r>
          <w:r w:rsidRPr="008F57C2">
            <w:rPr>
              <w:rFonts w:ascii="Times New Roman" w:eastAsia="Times New Roman" w:hAnsi="Times New Roman" w:cs="Times New Roman"/>
              <w:sz w:val="24"/>
              <w:szCs w:val="24"/>
            </w:rPr>
            <w:t xml:space="preserve">, </w:t>
          </w:r>
          <w:r w:rsidRPr="008F57C2">
            <w:rPr>
              <w:rFonts w:ascii="Times New Roman" w:eastAsia="Times New Roman" w:hAnsi="Times New Roman" w:cs="Times New Roman"/>
              <w:i/>
              <w:iCs/>
              <w:sz w:val="24"/>
              <w:szCs w:val="24"/>
            </w:rPr>
            <w:t>8</w:t>
          </w:r>
          <w:r w:rsidRPr="008F57C2">
            <w:rPr>
              <w:rFonts w:ascii="Times New Roman" w:eastAsia="Times New Roman" w:hAnsi="Times New Roman" w:cs="Times New Roman"/>
              <w:sz w:val="24"/>
              <w:szCs w:val="24"/>
            </w:rPr>
            <w:t>(4), 442–458. https://doi.org/10.1108/JAEE-08-2017-0079</w:t>
          </w:r>
        </w:p>
        <w:p w14:paraId="51DEC9D0" w14:textId="77777777" w:rsidR="008F57C2" w:rsidRPr="008F57C2" w:rsidRDefault="008F57C2" w:rsidP="008F57C2">
          <w:pPr>
            <w:autoSpaceDE w:val="0"/>
            <w:autoSpaceDN w:val="0"/>
            <w:spacing w:after="0" w:line="240" w:lineRule="auto"/>
            <w:ind w:hanging="480"/>
            <w:divId w:val="274530637"/>
            <w:rPr>
              <w:rFonts w:ascii="Times New Roman" w:eastAsia="Times New Roman" w:hAnsi="Times New Roman" w:cs="Times New Roman"/>
              <w:sz w:val="24"/>
              <w:szCs w:val="24"/>
            </w:rPr>
          </w:pPr>
          <w:proofErr w:type="spellStart"/>
          <w:r w:rsidRPr="008F57C2">
            <w:rPr>
              <w:rFonts w:ascii="Times New Roman" w:eastAsia="Times New Roman" w:hAnsi="Times New Roman" w:cs="Times New Roman"/>
              <w:sz w:val="24"/>
              <w:szCs w:val="24"/>
            </w:rPr>
            <w:t>Alareeni</w:t>
          </w:r>
          <w:proofErr w:type="spellEnd"/>
          <w:r w:rsidRPr="008F57C2">
            <w:rPr>
              <w:rFonts w:ascii="Times New Roman" w:eastAsia="Times New Roman" w:hAnsi="Times New Roman" w:cs="Times New Roman"/>
              <w:sz w:val="24"/>
              <w:szCs w:val="24"/>
            </w:rPr>
            <w:t xml:space="preserve">, B. A., &amp; Hamdan, A. (2020). ESG impact on performance of US S&amp;P 500-listed firms. </w:t>
          </w:r>
          <w:r w:rsidRPr="008F57C2">
            <w:rPr>
              <w:rFonts w:ascii="Times New Roman" w:eastAsia="Times New Roman" w:hAnsi="Times New Roman" w:cs="Times New Roman"/>
              <w:i/>
              <w:iCs/>
              <w:sz w:val="24"/>
              <w:szCs w:val="24"/>
            </w:rPr>
            <w:t>Corporate Governance (Bingley)</w:t>
          </w:r>
          <w:r w:rsidRPr="008F57C2">
            <w:rPr>
              <w:rFonts w:ascii="Times New Roman" w:eastAsia="Times New Roman" w:hAnsi="Times New Roman" w:cs="Times New Roman"/>
              <w:sz w:val="24"/>
              <w:szCs w:val="24"/>
            </w:rPr>
            <w:t xml:space="preserve">, </w:t>
          </w:r>
          <w:r w:rsidRPr="008F57C2">
            <w:rPr>
              <w:rFonts w:ascii="Times New Roman" w:eastAsia="Times New Roman" w:hAnsi="Times New Roman" w:cs="Times New Roman"/>
              <w:i/>
              <w:iCs/>
              <w:sz w:val="24"/>
              <w:szCs w:val="24"/>
            </w:rPr>
            <w:t>20</w:t>
          </w:r>
          <w:r w:rsidRPr="008F57C2">
            <w:rPr>
              <w:rFonts w:ascii="Times New Roman" w:eastAsia="Times New Roman" w:hAnsi="Times New Roman" w:cs="Times New Roman"/>
              <w:sz w:val="24"/>
              <w:szCs w:val="24"/>
            </w:rPr>
            <w:t>(7), 1409–1428. https://doi.org/10.1108/CG-06-2020-0258</w:t>
          </w:r>
        </w:p>
        <w:p w14:paraId="6AF12021" w14:textId="77777777" w:rsidR="008F57C2" w:rsidRPr="008F57C2" w:rsidRDefault="008F57C2" w:rsidP="008F57C2">
          <w:pPr>
            <w:autoSpaceDE w:val="0"/>
            <w:autoSpaceDN w:val="0"/>
            <w:spacing w:after="0" w:line="240" w:lineRule="auto"/>
            <w:ind w:hanging="480"/>
            <w:divId w:val="1773544970"/>
            <w:rPr>
              <w:rFonts w:ascii="Times New Roman" w:eastAsia="Times New Roman" w:hAnsi="Times New Roman" w:cs="Times New Roman"/>
              <w:sz w:val="24"/>
              <w:szCs w:val="24"/>
            </w:rPr>
          </w:pPr>
          <w:r w:rsidRPr="008F57C2">
            <w:rPr>
              <w:rFonts w:ascii="Times New Roman" w:eastAsia="Times New Roman" w:hAnsi="Times New Roman" w:cs="Times New Roman"/>
              <w:sz w:val="24"/>
              <w:szCs w:val="24"/>
            </w:rPr>
            <w:t xml:space="preserve">Amalia, I., &amp; </w:t>
          </w:r>
          <w:proofErr w:type="spellStart"/>
          <w:r w:rsidRPr="008F57C2">
            <w:rPr>
              <w:rFonts w:ascii="Times New Roman" w:eastAsia="Times New Roman" w:hAnsi="Times New Roman" w:cs="Times New Roman"/>
              <w:sz w:val="24"/>
              <w:szCs w:val="24"/>
            </w:rPr>
            <w:t>Rosdiana</w:t>
          </w:r>
          <w:proofErr w:type="spellEnd"/>
          <w:r w:rsidRPr="008F57C2">
            <w:rPr>
              <w:rFonts w:ascii="Times New Roman" w:eastAsia="Times New Roman" w:hAnsi="Times New Roman" w:cs="Times New Roman"/>
              <w:sz w:val="24"/>
              <w:szCs w:val="24"/>
            </w:rPr>
            <w:t xml:space="preserve">, Y. (2020). </w:t>
          </w:r>
          <w:proofErr w:type="spellStart"/>
          <w:r w:rsidRPr="008F57C2">
            <w:rPr>
              <w:rFonts w:ascii="Times New Roman" w:eastAsia="Times New Roman" w:hAnsi="Times New Roman" w:cs="Times New Roman"/>
              <w:sz w:val="24"/>
              <w:szCs w:val="24"/>
            </w:rPr>
            <w:t>Pengaruh</w:t>
          </w:r>
          <w:proofErr w:type="spellEnd"/>
          <w:r w:rsidRPr="008F57C2">
            <w:rPr>
              <w:rFonts w:ascii="Times New Roman" w:eastAsia="Times New Roman" w:hAnsi="Times New Roman" w:cs="Times New Roman"/>
              <w:sz w:val="24"/>
              <w:szCs w:val="24"/>
            </w:rPr>
            <w:t xml:space="preserve"> Corporate Governance </w:t>
          </w:r>
          <w:proofErr w:type="spellStart"/>
          <w:r w:rsidRPr="008F57C2">
            <w:rPr>
              <w:rFonts w:ascii="Times New Roman" w:eastAsia="Times New Roman" w:hAnsi="Times New Roman" w:cs="Times New Roman"/>
              <w:sz w:val="24"/>
              <w:szCs w:val="24"/>
            </w:rPr>
            <w:t>dan</w:t>
          </w:r>
          <w:proofErr w:type="spellEnd"/>
          <w:r w:rsidRPr="008F57C2">
            <w:rPr>
              <w:rFonts w:ascii="Times New Roman" w:eastAsia="Times New Roman" w:hAnsi="Times New Roman" w:cs="Times New Roman"/>
              <w:sz w:val="24"/>
              <w:szCs w:val="24"/>
            </w:rPr>
            <w:t xml:space="preserve"> </w:t>
          </w:r>
          <w:proofErr w:type="spellStart"/>
          <w:r w:rsidRPr="008F57C2">
            <w:rPr>
              <w:rFonts w:ascii="Times New Roman" w:eastAsia="Times New Roman" w:hAnsi="Times New Roman" w:cs="Times New Roman"/>
              <w:sz w:val="24"/>
              <w:szCs w:val="24"/>
            </w:rPr>
            <w:t>Kinerja</w:t>
          </w:r>
          <w:proofErr w:type="spellEnd"/>
          <w:r w:rsidRPr="008F57C2">
            <w:rPr>
              <w:rFonts w:ascii="Times New Roman" w:eastAsia="Times New Roman" w:hAnsi="Times New Roman" w:cs="Times New Roman"/>
              <w:sz w:val="24"/>
              <w:szCs w:val="24"/>
            </w:rPr>
            <w:t xml:space="preserve"> </w:t>
          </w:r>
          <w:proofErr w:type="spellStart"/>
          <w:r w:rsidRPr="008F57C2">
            <w:rPr>
              <w:rFonts w:ascii="Times New Roman" w:eastAsia="Times New Roman" w:hAnsi="Times New Roman" w:cs="Times New Roman"/>
              <w:sz w:val="24"/>
              <w:szCs w:val="24"/>
            </w:rPr>
            <w:t>Lingkungan</w:t>
          </w:r>
          <w:proofErr w:type="spellEnd"/>
          <w:r w:rsidRPr="008F57C2">
            <w:rPr>
              <w:rFonts w:ascii="Times New Roman" w:eastAsia="Times New Roman" w:hAnsi="Times New Roman" w:cs="Times New Roman"/>
              <w:sz w:val="24"/>
              <w:szCs w:val="24"/>
            </w:rPr>
            <w:t xml:space="preserve"> </w:t>
          </w:r>
          <w:proofErr w:type="spellStart"/>
          <w:r w:rsidRPr="008F57C2">
            <w:rPr>
              <w:rFonts w:ascii="Times New Roman" w:eastAsia="Times New Roman" w:hAnsi="Times New Roman" w:cs="Times New Roman"/>
              <w:sz w:val="24"/>
              <w:szCs w:val="24"/>
            </w:rPr>
            <w:t>terhadap</w:t>
          </w:r>
          <w:proofErr w:type="spellEnd"/>
          <w:r w:rsidRPr="008F57C2">
            <w:rPr>
              <w:rFonts w:ascii="Times New Roman" w:eastAsia="Times New Roman" w:hAnsi="Times New Roman" w:cs="Times New Roman"/>
              <w:sz w:val="24"/>
              <w:szCs w:val="24"/>
            </w:rPr>
            <w:t xml:space="preserve"> </w:t>
          </w:r>
          <w:proofErr w:type="spellStart"/>
          <w:r w:rsidRPr="008F57C2">
            <w:rPr>
              <w:rFonts w:ascii="Times New Roman" w:eastAsia="Times New Roman" w:hAnsi="Times New Roman" w:cs="Times New Roman"/>
              <w:sz w:val="24"/>
              <w:szCs w:val="24"/>
            </w:rPr>
            <w:t>Nilai</w:t>
          </w:r>
          <w:proofErr w:type="spellEnd"/>
          <w:r w:rsidRPr="008F57C2">
            <w:rPr>
              <w:rFonts w:ascii="Times New Roman" w:eastAsia="Times New Roman" w:hAnsi="Times New Roman" w:cs="Times New Roman"/>
              <w:sz w:val="24"/>
              <w:szCs w:val="24"/>
            </w:rPr>
            <w:t xml:space="preserve"> Perusahaan. </w:t>
          </w:r>
          <w:proofErr w:type="spellStart"/>
          <w:r w:rsidRPr="008F57C2">
            <w:rPr>
              <w:rFonts w:ascii="Times New Roman" w:eastAsia="Times New Roman" w:hAnsi="Times New Roman" w:cs="Times New Roman"/>
              <w:i/>
              <w:iCs/>
              <w:sz w:val="24"/>
              <w:szCs w:val="24"/>
            </w:rPr>
            <w:t>Prosiding</w:t>
          </w:r>
          <w:proofErr w:type="spellEnd"/>
          <w:r w:rsidRPr="008F57C2">
            <w:rPr>
              <w:rFonts w:ascii="Times New Roman" w:eastAsia="Times New Roman" w:hAnsi="Times New Roman" w:cs="Times New Roman"/>
              <w:i/>
              <w:iCs/>
              <w:sz w:val="24"/>
              <w:szCs w:val="24"/>
            </w:rPr>
            <w:t xml:space="preserve"> </w:t>
          </w:r>
          <w:proofErr w:type="spellStart"/>
          <w:r w:rsidRPr="008F57C2">
            <w:rPr>
              <w:rFonts w:ascii="Times New Roman" w:eastAsia="Times New Roman" w:hAnsi="Times New Roman" w:cs="Times New Roman"/>
              <w:i/>
              <w:iCs/>
              <w:sz w:val="24"/>
              <w:szCs w:val="24"/>
            </w:rPr>
            <w:t>Akuntansi</w:t>
          </w:r>
          <w:proofErr w:type="spellEnd"/>
          <w:r w:rsidRPr="008F57C2">
            <w:rPr>
              <w:rFonts w:ascii="Times New Roman" w:eastAsia="Times New Roman" w:hAnsi="Times New Roman" w:cs="Times New Roman"/>
              <w:sz w:val="24"/>
              <w:szCs w:val="24"/>
            </w:rPr>
            <w:t xml:space="preserve">, </w:t>
          </w:r>
          <w:proofErr w:type="spellStart"/>
          <w:r w:rsidRPr="008F57C2">
            <w:rPr>
              <w:rFonts w:ascii="Times New Roman" w:eastAsia="Times New Roman" w:hAnsi="Times New Roman" w:cs="Times New Roman"/>
              <w:i/>
              <w:iCs/>
              <w:sz w:val="24"/>
              <w:szCs w:val="24"/>
            </w:rPr>
            <w:t>Vol</w:t>
          </w:r>
          <w:proofErr w:type="spellEnd"/>
          <w:r w:rsidRPr="008F57C2">
            <w:rPr>
              <w:rFonts w:ascii="Times New Roman" w:eastAsia="Times New Roman" w:hAnsi="Times New Roman" w:cs="Times New Roman"/>
              <w:i/>
              <w:iCs/>
              <w:sz w:val="24"/>
              <w:szCs w:val="24"/>
            </w:rPr>
            <w:t xml:space="preserve"> 6, No 2</w:t>
          </w:r>
          <w:r w:rsidRPr="008F57C2">
            <w:rPr>
              <w:rFonts w:ascii="Times New Roman" w:eastAsia="Times New Roman" w:hAnsi="Times New Roman" w:cs="Times New Roman"/>
              <w:sz w:val="24"/>
              <w:szCs w:val="24"/>
            </w:rPr>
            <w:t>. https://doi.org/10.29313/.V6I2.23815</w:t>
          </w:r>
        </w:p>
        <w:p w14:paraId="3F6A7D96" w14:textId="77777777" w:rsidR="008F57C2" w:rsidRPr="008F57C2" w:rsidRDefault="008F57C2" w:rsidP="008F57C2">
          <w:pPr>
            <w:autoSpaceDE w:val="0"/>
            <w:autoSpaceDN w:val="0"/>
            <w:spacing w:after="0" w:line="240" w:lineRule="auto"/>
            <w:ind w:hanging="480"/>
            <w:divId w:val="1369375762"/>
            <w:rPr>
              <w:rFonts w:ascii="Times New Roman" w:eastAsia="Times New Roman" w:hAnsi="Times New Roman" w:cs="Times New Roman"/>
              <w:sz w:val="24"/>
              <w:szCs w:val="24"/>
            </w:rPr>
          </w:pPr>
          <w:proofErr w:type="spellStart"/>
          <w:r w:rsidRPr="008F57C2">
            <w:rPr>
              <w:rFonts w:ascii="Times New Roman" w:eastAsia="Times New Roman" w:hAnsi="Times New Roman" w:cs="Times New Roman"/>
              <w:sz w:val="24"/>
              <w:szCs w:val="24"/>
            </w:rPr>
            <w:t>Atan</w:t>
          </w:r>
          <w:proofErr w:type="spellEnd"/>
          <w:r w:rsidRPr="008F57C2">
            <w:rPr>
              <w:rFonts w:ascii="Times New Roman" w:eastAsia="Times New Roman" w:hAnsi="Times New Roman" w:cs="Times New Roman"/>
              <w:sz w:val="24"/>
              <w:szCs w:val="24"/>
            </w:rPr>
            <w:t xml:space="preserve">, R., </w:t>
          </w:r>
          <w:proofErr w:type="spellStart"/>
          <w:r w:rsidRPr="008F57C2">
            <w:rPr>
              <w:rFonts w:ascii="Times New Roman" w:eastAsia="Times New Roman" w:hAnsi="Times New Roman" w:cs="Times New Roman"/>
              <w:sz w:val="24"/>
              <w:szCs w:val="24"/>
            </w:rPr>
            <w:t>Alam</w:t>
          </w:r>
          <w:proofErr w:type="spellEnd"/>
          <w:r w:rsidRPr="008F57C2">
            <w:rPr>
              <w:rFonts w:ascii="Times New Roman" w:eastAsia="Times New Roman" w:hAnsi="Times New Roman" w:cs="Times New Roman"/>
              <w:sz w:val="24"/>
              <w:szCs w:val="24"/>
            </w:rPr>
            <w:t xml:space="preserve">, M. M., Said, J., &amp; </w:t>
          </w:r>
          <w:proofErr w:type="spellStart"/>
          <w:r w:rsidRPr="008F57C2">
            <w:rPr>
              <w:rFonts w:ascii="Times New Roman" w:eastAsia="Times New Roman" w:hAnsi="Times New Roman" w:cs="Times New Roman"/>
              <w:sz w:val="24"/>
              <w:szCs w:val="24"/>
            </w:rPr>
            <w:t>Zamri</w:t>
          </w:r>
          <w:proofErr w:type="spellEnd"/>
          <w:r w:rsidRPr="008F57C2">
            <w:rPr>
              <w:rFonts w:ascii="Times New Roman" w:eastAsia="Times New Roman" w:hAnsi="Times New Roman" w:cs="Times New Roman"/>
              <w:sz w:val="24"/>
              <w:szCs w:val="24"/>
            </w:rPr>
            <w:t xml:space="preserve">, M. (2018). The impacts of environmental, social, and governance factors on firm performance: Panel study of Malaysian companies. </w:t>
          </w:r>
          <w:r w:rsidRPr="008F57C2">
            <w:rPr>
              <w:rFonts w:ascii="Times New Roman" w:eastAsia="Times New Roman" w:hAnsi="Times New Roman" w:cs="Times New Roman"/>
              <w:i/>
              <w:iCs/>
              <w:sz w:val="24"/>
              <w:szCs w:val="24"/>
            </w:rPr>
            <w:t>Management of Environmental Quality: An International Journal</w:t>
          </w:r>
          <w:r w:rsidRPr="008F57C2">
            <w:rPr>
              <w:rFonts w:ascii="Times New Roman" w:eastAsia="Times New Roman" w:hAnsi="Times New Roman" w:cs="Times New Roman"/>
              <w:sz w:val="24"/>
              <w:szCs w:val="24"/>
            </w:rPr>
            <w:t xml:space="preserve">, </w:t>
          </w:r>
          <w:r w:rsidRPr="008F57C2">
            <w:rPr>
              <w:rFonts w:ascii="Times New Roman" w:eastAsia="Times New Roman" w:hAnsi="Times New Roman" w:cs="Times New Roman"/>
              <w:i/>
              <w:iCs/>
              <w:sz w:val="24"/>
              <w:szCs w:val="24"/>
            </w:rPr>
            <w:t>29</w:t>
          </w:r>
          <w:r w:rsidRPr="008F57C2">
            <w:rPr>
              <w:rFonts w:ascii="Times New Roman" w:eastAsia="Times New Roman" w:hAnsi="Times New Roman" w:cs="Times New Roman"/>
              <w:sz w:val="24"/>
              <w:szCs w:val="24"/>
            </w:rPr>
            <w:t>(2), 182–194. https://doi.org/10.1108/MEQ-03-2017-0033</w:t>
          </w:r>
        </w:p>
        <w:p w14:paraId="7360B709" w14:textId="77777777" w:rsidR="008F57C2" w:rsidRPr="008F57C2" w:rsidRDefault="008F57C2" w:rsidP="008F57C2">
          <w:pPr>
            <w:autoSpaceDE w:val="0"/>
            <w:autoSpaceDN w:val="0"/>
            <w:spacing w:after="0" w:line="240" w:lineRule="auto"/>
            <w:ind w:hanging="480"/>
            <w:divId w:val="667944531"/>
            <w:rPr>
              <w:rFonts w:ascii="Times New Roman" w:eastAsia="Times New Roman" w:hAnsi="Times New Roman" w:cs="Times New Roman"/>
              <w:sz w:val="24"/>
              <w:szCs w:val="24"/>
            </w:rPr>
          </w:pPr>
          <w:r w:rsidRPr="008F57C2">
            <w:rPr>
              <w:rFonts w:ascii="Times New Roman" w:eastAsia="Times New Roman" w:hAnsi="Times New Roman" w:cs="Times New Roman"/>
              <w:sz w:val="24"/>
              <w:szCs w:val="24"/>
            </w:rPr>
            <w:t xml:space="preserve">Constantinescu, D., </w:t>
          </w:r>
          <w:proofErr w:type="spellStart"/>
          <w:r w:rsidRPr="008F57C2">
            <w:rPr>
              <w:rFonts w:ascii="Times New Roman" w:eastAsia="Times New Roman" w:hAnsi="Times New Roman" w:cs="Times New Roman"/>
              <w:sz w:val="24"/>
              <w:szCs w:val="24"/>
            </w:rPr>
            <w:t>Caraiani</w:t>
          </w:r>
          <w:proofErr w:type="spellEnd"/>
          <w:r w:rsidRPr="008F57C2">
            <w:rPr>
              <w:rFonts w:ascii="Times New Roman" w:eastAsia="Times New Roman" w:hAnsi="Times New Roman" w:cs="Times New Roman"/>
              <w:sz w:val="24"/>
              <w:szCs w:val="24"/>
            </w:rPr>
            <w:t xml:space="preserve">, C., Lungu, C. I., &amp; </w:t>
          </w:r>
          <w:proofErr w:type="spellStart"/>
          <w:r w:rsidRPr="008F57C2">
            <w:rPr>
              <w:rFonts w:ascii="Times New Roman" w:eastAsia="Times New Roman" w:hAnsi="Times New Roman" w:cs="Times New Roman"/>
              <w:sz w:val="24"/>
              <w:szCs w:val="24"/>
            </w:rPr>
            <w:t>Mititean</w:t>
          </w:r>
          <w:proofErr w:type="spellEnd"/>
          <w:r w:rsidRPr="008F57C2">
            <w:rPr>
              <w:rFonts w:ascii="Times New Roman" w:eastAsia="Times New Roman" w:hAnsi="Times New Roman" w:cs="Times New Roman"/>
              <w:sz w:val="24"/>
              <w:szCs w:val="24"/>
            </w:rPr>
            <w:t xml:space="preserve">, P. (2021). Environmental, social and governance disclosure associated with the firm value. Evidence from energy industry. </w:t>
          </w:r>
          <w:r w:rsidRPr="008F57C2">
            <w:rPr>
              <w:rFonts w:ascii="Times New Roman" w:eastAsia="Times New Roman" w:hAnsi="Times New Roman" w:cs="Times New Roman"/>
              <w:i/>
              <w:iCs/>
              <w:sz w:val="24"/>
              <w:szCs w:val="24"/>
            </w:rPr>
            <w:t>Journal of Accounting and Management Information Systems</w:t>
          </w:r>
          <w:r w:rsidRPr="008F57C2">
            <w:rPr>
              <w:rFonts w:ascii="Times New Roman" w:eastAsia="Times New Roman" w:hAnsi="Times New Roman" w:cs="Times New Roman"/>
              <w:sz w:val="24"/>
              <w:szCs w:val="24"/>
            </w:rPr>
            <w:t xml:space="preserve">, </w:t>
          </w:r>
          <w:r w:rsidRPr="008F57C2">
            <w:rPr>
              <w:rFonts w:ascii="Times New Roman" w:eastAsia="Times New Roman" w:hAnsi="Times New Roman" w:cs="Times New Roman"/>
              <w:i/>
              <w:iCs/>
              <w:sz w:val="24"/>
              <w:szCs w:val="24"/>
            </w:rPr>
            <w:t>1/2021</w:t>
          </w:r>
          <w:r w:rsidRPr="008F57C2">
            <w:rPr>
              <w:rFonts w:ascii="Times New Roman" w:eastAsia="Times New Roman" w:hAnsi="Times New Roman" w:cs="Times New Roman"/>
              <w:sz w:val="24"/>
              <w:szCs w:val="24"/>
            </w:rPr>
            <w:t>. https://doi.org/10.24818/jamis.2021.01003</w:t>
          </w:r>
        </w:p>
        <w:p w14:paraId="605AC26A" w14:textId="77777777" w:rsidR="008F57C2" w:rsidRPr="008F57C2" w:rsidRDefault="008F57C2" w:rsidP="008F57C2">
          <w:pPr>
            <w:autoSpaceDE w:val="0"/>
            <w:autoSpaceDN w:val="0"/>
            <w:spacing w:after="0" w:line="240" w:lineRule="auto"/>
            <w:ind w:hanging="480"/>
            <w:divId w:val="653488957"/>
            <w:rPr>
              <w:rFonts w:ascii="Times New Roman" w:eastAsia="Times New Roman" w:hAnsi="Times New Roman" w:cs="Times New Roman"/>
              <w:sz w:val="24"/>
              <w:szCs w:val="24"/>
            </w:rPr>
          </w:pPr>
          <w:r w:rsidRPr="008F57C2">
            <w:rPr>
              <w:rFonts w:ascii="Times New Roman" w:eastAsia="Times New Roman" w:hAnsi="Times New Roman" w:cs="Times New Roman"/>
              <w:sz w:val="24"/>
              <w:szCs w:val="24"/>
            </w:rPr>
            <w:t xml:space="preserve">Ghoul, S. el, </w:t>
          </w:r>
          <w:proofErr w:type="spellStart"/>
          <w:r w:rsidRPr="008F57C2">
            <w:rPr>
              <w:rFonts w:ascii="Times New Roman" w:eastAsia="Times New Roman" w:hAnsi="Times New Roman" w:cs="Times New Roman"/>
              <w:sz w:val="24"/>
              <w:szCs w:val="24"/>
            </w:rPr>
            <w:t>Guedhami</w:t>
          </w:r>
          <w:proofErr w:type="spellEnd"/>
          <w:r w:rsidRPr="008F57C2">
            <w:rPr>
              <w:rFonts w:ascii="Times New Roman" w:eastAsia="Times New Roman" w:hAnsi="Times New Roman" w:cs="Times New Roman"/>
              <w:sz w:val="24"/>
              <w:szCs w:val="24"/>
            </w:rPr>
            <w:t xml:space="preserve">, O., &amp; Kim, Y. (2017). Country-level institutions, firm value, and the role of corporate social responsibility initiatives. </w:t>
          </w:r>
          <w:r w:rsidRPr="008F57C2">
            <w:rPr>
              <w:rFonts w:ascii="Times New Roman" w:eastAsia="Times New Roman" w:hAnsi="Times New Roman" w:cs="Times New Roman"/>
              <w:i/>
              <w:iCs/>
              <w:sz w:val="24"/>
              <w:szCs w:val="24"/>
            </w:rPr>
            <w:t>Journal of International Business Studies</w:t>
          </w:r>
          <w:r w:rsidRPr="008F57C2">
            <w:rPr>
              <w:rFonts w:ascii="Times New Roman" w:eastAsia="Times New Roman" w:hAnsi="Times New Roman" w:cs="Times New Roman"/>
              <w:sz w:val="24"/>
              <w:szCs w:val="24"/>
            </w:rPr>
            <w:t xml:space="preserve">, </w:t>
          </w:r>
          <w:r w:rsidRPr="008F57C2">
            <w:rPr>
              <w:rFonts w:ascii="Times New Roman" w:eastAsia="Times New Roman" w:hAnsi="Times New Roman" w:cs="Times New Roman"/>
              <w:i/>
              <w:iCs/>
              <w:sz w:val="24"/>
              <w:szCs w:val="24"/>
            </w:rPr>
            <w:t>48</w:t>
          </w:r>
          <w:r w:rsidRPr="008F57C2">
            <w:rPr>
              <w:rFonts w:ascii="Times New Roman" w:eastAsia="Times New Roman" w:hAnsi="Times New Roman" w:cs="Times New Roman"/>
              <w:sz w:val="24"/>
              <w:szCs w:val="24"/>
            </w:rPr>
            <w:t>(3), 360–385. https://doi.org/10.1057/jibs.2016.4</w:t>
          </w:r>
        </w:p>
        <w:p w14:paraId="14E136F3" w14:textId="77777777" w:rsidR="008F57C2" w:rsidRPr="008F57C2" w:rsidRDefault="008F57C2" w:rsidP="008F57C2">
          <w:pPr>
            <w:autoSpaceDE w:val="0"/>
            <w:autoSpaceDN w:val="0"/>
            <w:spacing w:after="0" w:line="240" w:lineRule="auto"/>
            <w:ind w:hanging="480"/>
            <w:divId w:val="428083658"/>
            <w:rPr>
              <w:rFonts w:ascii="Times New Roman" w:eastAsia="Times New Roman" w:hAnsi="Times New Roman" w:cs="Times New Roman"/>
              <w:sz w:val="24"/>
              <w:szCs w:val="24"/>
            </w:rPr>
          </w:pPr>
          <w:r w:rsidRPr="008F57C2">
            <w:rPr>
              <w:rFonts w:ascii="Times New Roman" w:eastAsia="Times New Roman" w:hAnsi="Times New Roman" w:cs="Times New Roman"/>
              <w:sz w:val="24"/>
              <w:szCs w:val="24"/>
            </w:rPr>
            <w:t xml:space="preserve">Kim, B., Jung, J., &amp; Cho, S. (2021). Can ESG Mitigate the Diversification Discount in Cross-border M&amp;A? </w:t>
          </w:r>
          <w:proofErr w:type="spellStart"/>
          <w:r w:rsidRPr="008F57C2">
            <w:rPr>
              <w:rFonts w:ascii="Times New Roman" w:eastAsia="Times New Roman" w:hAnsi="Times New Roman" w:cs="Times New Roman"/>
              <w:i/>
              <w:iCs/>
              <w:sz w:val="24"/>
              <w:szCs w:val="24"/>
            </w:rPr>
            <w:t>Borsa</w:t>
          </w:r>
          <w:proofErr w:type="spellEnd"/>
          <w:r w:rsidRPr="008F57C2">
            <w:rPr>
              <w:rFonts w:ascii="Times New Roman" w:eastAsia="Times New Roman" w:hAnsi="Times New Roman" w:cs="Times New Roman"/>
              <w:i/>
              <w:iCs/>
              <w:sz w:val="24"/>
              <w:szCs w:val="24"/>
            </w:rPr>
            <w:t xml:space="preserve"> Istanbul Review</w:t>
          </w:r>
          <w:r w:rsidRPr="008F57C2">
            <w:rPr>
              <w:rFonts w:ascii="Times New Roman" w:eastAsia="Times New Roman" w:hAnsi="Times New Roman" w:cs="Times New Roman"/>
              <w:sz w:val="24"/>
              <w:szCs w:val="24"/>
            </w:rPr>
            <w:t>. https://doi.org/10.1016/j.bir.2021.09.002</w:t>
          </w:r>
        </w:p>
        <w:p w14:paraId="1F05C4F9" w14:textId="77777777" w:rsidR="008F57C2" w:rsidRPr="008F57C2" w:rsidRDefault="008F57C2" w:rsidP="008F57C2">
          <w:pPr>
            <w:autoSpaceDE w:val="0"/>
            <w:autoSpaceDN w:val="0"/>
            <w:spacing w:after="0" w:line="240" w:lineRule="auto"/>
            <w:ind w:hanging="480"/>
            <w:divId w:val="270288899"/>
            <w:rPr>
              <w:rFonts w:ascii="Times New Roman" w:eastAsia="Times New Roman" w:hAnsi="Times New Roman" w:cs="Times New Roman"/>
              <w:sz w:val="24"/>
              <w:szCs w:val="24"/>
            </w:rPr>
          </w:pPr>
          <w:proofErr w:type="spellStart"/>
          <w:r w:rsidRPr="008F57C2">
            <w:rPr>
              <w:rFonts w:ascii="Times New Roman" w:eastAsia="Times New Roman" w:hAnsi="Times New Roman" w:cs="Times New Roman"/>
              <w:sz w:val="24"/>
              <w:szCs w:val="24"/>
            </w:rPr>
            <w:t>Loh</w:t>
          </w:r>
          <w:proofErr w:type="spellEnd"/>
          <w:r w:rsidRPr="008F57C2">
            <w:rPr>
              <w:rFonts w:ascii="Times New Roman" w:eastAsia="Times New Roman" w:hAnsi="Times New Roman" w:cs="Times New Roman"/>
              <w:sz w:val="24"/>
              <w:szCs w:val="24"/>
            </w:rPr>
            <w:t xml:space="preserve">, L., Thomas, T., &amp; Wang, Y. (2017). Sustainability reporting and firm value: Evidence from Singapore-listed companies. </w:t>
          </w:r>
          <w:r w:rsidRPr="008F57C2">
            <w:rPr>
              <w:rFonts w:ascii="Times New Roman" w:eastAsia="Times New Roman" w:hAnsi="Times New Roman" w:cs="Times New Roman"/>
              <w:i/>
              <w:iCs/>
              <w:sz w:val="24"/>
              <w:szCs w:val="24"/>
            </w:rPr>
            <w:t>Sustainability (Switzerland)</w:t>
          </w:r>
          <w:r w:rsidRPr="008F57C2">
            <w:rPr>
              <w:rFonts w:ascii="Times New Roman" w:eastAsia="Times New Roman" w:hAnsi="Times New Roman" w:cs="Times New Roman"/>
              <w:sz w:val="24"/>
              <w:szCs w:val="24"/>
            </w:rPr>
            <w:t xml:space="preserve">, </w:t>
          </w:r>
          <w:r w:rsidRPr="008F57C2">
            <w:rPr>
              <w:rFonts w:ascii="Times New Roman" w:eastAsia="Times New Roman" w:hAnsi="Times New Roman" w:cs="Times New Roman"/>
              <w:i/>
              <w:iCs/>
              <w:sz w:val="24"/>
              <w:szCs w:val="24"/>
            </w:rPr>
            <w:t>9</w:t>
          </w:r>
          <w:r w:rsidRPr="008F57C2">
            <w:rPr>
              <w:rFonts w:ascii="Times New Roman" w:eastAsia="Times New Roman" w:hAnsi="Times New Roman" w:cs="Times New Roman"/>
              <w:sz w:val="24"/>
              <w:szCs w:val="24"/>
            </w:rPr>
            <w:t>(11). https://doi.org/10.3390/su9112112</w:t>
          </w:r>
        </w:p>
        <w:p w14:paraId="3B623CE1" w14:textId="77777777" w:rsidR="008F57C2" w:rsidRPr="008F57C2" w:rsidRDefault="008F57C2" w:rsidP="008F57C2">
          <w:pPr>
            <w:autoSpaceDE w:val="0"/>
            <w:autoSpaceDN w:val="0"/>
            <w:spacing w:after="0" w:line="240" w:lineRule="auto"/>
            <w:ind w:hanging="480"/>
            <w:divId w:val="1243681275"/>
            <w:rPr>
              <w:rFonts w:ascii="Times New Roman" w:eastAsia="Times New Roman" w:hAnsi="Times New Roman" w:cs="Times New Roman"/>
              <w:sz w:val="24"/>
              <w:szCs w:val="24"/>
            </w:rPr>
          </w:pPr>
          <w:r w:rsidRPr="008F57C2">
            <w:rPr>
              <w:rFonts w:ascii="Times New Roman" w:eastAsia="Times New Roman" w:hAnsi="Times New Roman" w:cs="Times New Roman"/>
              <w:sz w:val="24"/>
              <w:szCs w:val="24"/>
            </w:rPr>
            <w:t xml:space="preserve">Melinda, A., &amp; </w:t>
          </w:r>
          <w:proofErr w:type="spellStart"/>
          <w:r w:rsidRPr="008F57C2">
            <w:rPr>
              <w:rFonts w:ascii="Times New Roman" w:eastAsia="Times New Roman" w:hAnsi="Times New Roman" w:cs="Times New Roman"/>
              <w:sz w:val="24"/>
              <w:szCs w:val="24"/>
            </w:rPr>
            <w:t>Wardhani</w:t>
          </w:r>
          <w:proofErr w:type="spellEnd"/>
          <w:r w:rsidRPr="008F57C2">
            <w:rPr>
              <w:rFonts w:ascii="Times New Roman" w:eastAsia="Times New Roman" w:hAnsi="Times New Roman" w:cs="Times New Roman"/>
              <w:sz w:val="24"/>
              <w:szCs w:val="24"/>
            </w:rPr>
            <w:t xml:space="preserve">, R. (2020). </w:t>
          </w:r>
          <w:r w:rsidRPr="008F57C2">
            <w:rPr>
              <w:rFonts w:ascii="Times New Roman" w:eastAsia="Times New Roman" w:hAnsi="Times New Roman" w:cs="Times New Roman"/>
              <w:i/>
              <w:iCs/>
              <w:sz w:val="24"/>
              <w:szCs w:val="24"/>
            </w:rPr>
            <w:t>The Effect of Environmental, Social, Governance, and Controversies on Firms’ Value: Evidence from Asia</w:t>
          </w:r>
          <w:r w:rsidRPr="008F57C2">
            <w:rPr>
              <w:rFonts w:ascii="Times New Roman" w:eastAsia="Times New Roman" w:hAnsi="Times New Roman" w:cs="Times New Roman"/>
              <w:sz w:val="24"/>
              <w:szCs w:val="24"/>
            </w:rPr>
            <w:t xml:space="preserve"> (pp. 147–173). https://doi.org/10.1108/s1571-038620200000027011</w:t>
          </w:r>
        </w:p>
        <w:p w14:paraId="42C654F6" w14:textId="77777777" w:rsidR="008F57C2" w:rsidRPr="008F57C2" w:rsidRDefault="008F57C2" w:rsidP="008F57C2">
          <w:pPr>
            <w:autoSpaceDE w:val="0"/>
            <w:autoSpaceDN w:val="0"/>
            <w:spacing w:after="0" w:line="240" w:lineRule="auto"/>
            <w:ind w:hanging="480"/>
            <w:divId w:val="1375229605"/>
            <w:rPr>
              <w:rFonts w:ascii="Times New Roman" w:eastAsia="Times New Roman" w:hAnsi="Times New Roman" w:cs="Times New Roman"/>
              <w:sz w:val="24"/>
              <w:szCs w:val="24"/>
            </w:rPr>
          </w:pPr>
          <w:proofErr w:type="spellStart"/>
          <w:r w:rsidRPr="008F57C2">
            <w:rPr>
              <w:rFonts w:ascii="Times New Roman" w:eastAsia="Times New Roman" w:hAnsi="Times New Roman" w:cs="Times New Roman"/>
              <w:sz w:val="24"/>
              <w:szCs w:val="24"/>
            </w:rPr>
            <w:t>Mutmainah</w:t>
          </w:r>
          <w:proofErr w:type="spellEnd"/>
          <w:r w:rsidRPr="008F57C2">
            <w:rPr>
              <w:rFonts w:ascii="Times New Roman" w:eastAsia="Times New Roman" w:hAnsi="Times New Roman" w:cs="Times New Roman"/>
              <w:sz w:val="24"/>
              <w:szCs w:val="24"/>
            </w:rPr>
            <w:t xml:space="preserve">. (2015). ANALISIS GOOD CORPORATE GOVERNANCE TERHADAP NILAI PERUSAHAAN. </w:t>
          </w:r>
          <w:proofErr w:type="spellStart"/>
          <w:r w:rsidRPr="008F57C2">
            <w:rPr>
              <w:rFonts w:ascii="Times New Roman" w:eastAsia="Times New Roman" w:hAnsi="Times New Roman" w:cs="Times New Roman"/>
              <w:i/>
              <w:iCs/>
              <w:sz w:val="24"/>
              <w:szCs w:val="24"/>
            </w:rPr>
            <w:t>Eksis</w:t>
          </w:r>
          <w:proofErr w:type="spellEnd"/>
          <w:r w:rsidRPr="008F57C2">
            <w:rPr>
              <w:rFonts w:ascii="Times New Roman" w:eastAsia="Times New Roman" w:hAnsi="Times New Roman" w:cs="Times New Roman"/>
              <w:i/>
              <w:iCs/>
              <w:sz w:val="24"/>
              <w:szCs w:val="24"/>
            </w:rPr>
            <w:t xml:space="preserve">: </w:t>
          </w:r>
          <w:proofErr w:type="spellStart"/>
          <w:r w:rsidRPr="008F57C2">
            <w:rPr>
              <w:rFonts w:ascii="Times New Roman" w:eastAsia="Times New Roman" w:hAnsi="Times New Roman" w:cs="Times New Roman"/>
              <w:i/>
              <w:iCs/>
              <w:sz w:val="24"/>
              <w:szCs w:val="24"/>
            </w:rPr>
            <w:t>Jurnal</w:t>
          </w:r>
          <w:proofErr w:type="spellEnd"/>
          <w:r w:rsidRPr="008F57C2">
            <w:rPr>
              <w:rFonts w:ascii="Times New Roman" w:eastAsia="Times New Roman" w:hAnsi="Times New Roman" w:cs="Times New Roman"/>
              <w:i/>
              <w:iCs/>
              <w:sz w:val="24"/>
              <w:szCs w:val="24"/>
            </w:rPr>
            <w:t xml:space="preserve"> </w:t>
          </w:r>
          <w:proofErr w:type="spellStart"/>
          <w:r w:rsidRPr="008F57C2">
            <w:rPr>
              <w:rFonts w:ascii="Times New Roman" w:eastAsia="Times New Roman" w:hAnsi="Times New Roman" w:cs="Times New Roman"/>
              <w:i/>
              <w:iCs/>
              <w:sz w:val="24"/>
              <w:szCs w:val="24"/>
            </w:rPr>
            <w:t>Riset</w:t>
          </w:r>
          <w:proofErr w:type="spellEnd"/>
          <w:r w:rsidRPr="008F57C2">
            <w:rPr>
              <w:rFonts w:ascii="Times New Roman" w:eastAsia="Times New Roman" w:hAnsi="Times New Roman" w:cs="Times New Roman"/>
              <w:i/>
              <w:iCs/>
              <w:sz w:val="24"/>
              <w:szCs w:val="24"/>
            </w:rPr>
            <w:t xml:space="preserve"> </w:t>
          </w:r>
          <w:proofErr w:type="spellStart"/>
          <w:r w:rsidRPr="008F57C2">
            <w:rPr>
              <w:rFonts w:ascii="Times New Roman" w:eastAsia="Times New Roman" w:hAnsi="Times New Roman" w:cs="Times New Roman"/>
              <w:i/>
              <w:iCs/>
              <w:sz w:val="24"/>
              <w:szCs w:val="24"/>
            </w:rPr>
            <w:t>Ekonomi</w:t>
          </w:r>
          <w:proofErr w:type="spellEnd"/>
          <w:r w:rsidRPr="008F57C2">
            <w:rPr>
              <w:rFonts w:ascii="Times New Roman" w:eastAsia="Times New Roman" w:hAnsi="Times New Roman" w:cs="Times New Roman"/>
              <w:i/>
              <w:iCs/>
              <w:sz w:val="24"/>
              <w:szCs w:val="24"/>
            </w:rPr>
            <w:t xml:space="preserve"> Dan </w:t>
          </w:r>
          <w:proofErr w:type="spellStart"/>
          <w:r w:rsidRPr="008F57C2">
            <w:rPr>
              <w:rFonts w:ascii="Times New Roman" w:eastAsia="Times New Roman" w:hAnsi="Times New Roman" w:cs="Times New Roman"/>
              <w:i/>
              <w:iCs/>
              <w:sz w:val="24"/>
              <w:szCs w:val="24"/>
            </w:rPr>
            <w:t>Bisnis</w:t>
          </w:r>
          <w:proofErr w:type="spellEnd"/>
          <w:r w:rsidRPr="008F57C2">
            <w:rPr>
              <w:rFonts w:ascii="Times New Roman" w:eastAsia="Times New Roman" w:hAnsi="Times New Roman" w:cs="Times New Roman"/>
              <w:sz w:val="24"/>
              <w:szCs w:val="24"/>
            </w:rPr>
            <w:t xml:space="preserve">, </w:t>
          </w:r>
          <w:r w:rsidRPr="008F57C2">
            <w:rPr>
              <w:rFonts w:ascii="Times New Roman" w:eastAsia="Times New Roman" w:hAnsi="Times New Roman" w:cs="Times New Roman"/>
              <w:i/>
              <w:iCs/>
              <w:sz w:val="24"/>
              <w:szCs w:val="24"/>
            </w:rPr>
            <w:t>Volume X No 2</w:t>
          </w:r>
          <w:r w:rsidRPr="008F57C2">
            <w:rPr>
              <w:rFonts w:ascii="Times New Roman" w:eastAsia="Times New Roman" w:hAnsi="Times New Roman" w:cs="Times New Roman"/>
              <w:sz w:val="24"/>
              <w:szCs w:val="24"/>
            </w:rPr>
            <w:t>.</w:t>
          </w:r>
        </w:p>
        <w:p w14:paraId="4DB6374F" w14:textId="77777777" w:rsidR="008F57C2" w:rsidRPr="008F57C2" w:rsidRDefault="008F57C2" w:rsidP="008F57C2">
          <w:pPr>
            <w:autoSpaceDE w:val="0"/>
            <w:autoSpaceDN w:val="0"/>
            <w:spacing w:after="0" w:line="240" w:lineRule="auto"/>
            <w:ind w:hanging="480"/>
            <w:divId w:val="128521022"/>
            <w:rPr>
              <w:rFonts w:ascii="Times New Roman" w:eastAsia="Times New Roman" w:hAnsi="Times New Roman" w:cs="Times New Roman"/>
              <w:sz w:val="24"/>
              <w:szCs w:val="24"/>
            </w:rPr>
          </w:pPr>
          <w:r w:rsidRPr="008F57C2">
            <w:rPr>
              <w:rFonts w:ascii="Times New Roman" w:eastAsia="Times New Roman" w:hAnsi="Times New Roman" w:cs="Times New Roman"/>
              <w:sz w:val="24"/>
              <w:szCs w:val="24"/>
            </w:rPr>
            <w:lastRenderedPageBreak/>
            <w:t xml:space="preserve">Wong, W. C., Batten, J. A., Ahmad, A. H., Mohamed-Arshad, S. B., </w:t>
          </w:r>
          <w:proofErr w:type="spellStart"/>
          <w:r w:rsidRPr="008F57C2">
            <w:rPr>
              <w:rFonts w:ascii="Times New Roman" w:eastAsia="Times New Roman" w:hAnsi="Times New Roman" w:cs="Times New Roman"/>
              <w:sz w:val="24"/>
              <w:szCs w:val="24"/>
            </w:rPr>
            <w:t>Nordin</w:t>
          </w:r>
          <w:proofErr w:type="spellEnd"/>
          <w:r w:rsidRPr="008F57C2">
            <w:rPr>
              <w:rFonts w:ascii="Times New Roman" w:eastAsia="Times New Roman" w:hAnsi="Times New Roman" w:cs="Times New Roman"/>
              <w:sz w:val="24"/>
              <w:szCs w:val="24"/>
            </w:rPr>
            <w:t xml:space="preserve">, S., &amp; </w:t>
          </w:r>
          <w:proofErr w:type="spellStart"/>
          <w:r w:rsidRPr="008F57C2">
            <w:rPr>
              <w:rFonts w:ascii="Times New Roman" w:eastAsia="Times New Roman" w:hAnsi="Times New Roman" w:cs="Times New Roman"/>
              <w:sz w:val="24"/>
              <w:szCs w:val="24"/>
            </w:rPr>
            <w:t>Adzis</w:t>
          </w:r>
          <w:proofErr w:type="spellEnd"/>
          <w:r w:rsidRPr="008F57C2">
            <w:rPr>
              <w:rFonts w:ascii="Times New Roman" w:eastAsia="Times New Roman" w:hAnsi="Times New Roman" w:cs="Times New Roman"/>
              <w:sz w:val="24"/>
              <w:szCs w:val="24"/>
            </w:rPr>
            <w:t xml:space="preserve">, A. A. (2020). Does ESG certification add firm value? </w:t>
          </w:r>
          <w:r w:rsidRPr="008F57C2">
            <w:rPr>
              <w:rFonts w:ascii="Times New Roman" w:eastAsia="Times New Roman" w:hAnsi="Times New Roman" w:cs="Times New Roman"/>
              <w:i/>
              <w:iCs/>
              <w:sz w:val="24"/>
              <w:szCs w:val="24"/>
            </w:rPr>
            <w:t>Finance Research Letters</w:t>
          </w:r>
          <w:r w:rsidRPr="008F57C2">
            <w:rPr>
              <w:rFonts w:ascii="Times New Roman" w:eastAsia="Times New Roman" w:hAnsi="Times New Roman" w:cs="Times New Roman"/>
              <w:sz w:val="24"/>
              <w:szCs w:val="24"/>
            </w:rPr>
            <w:t xml:space="preserve">, </w:t>
          </w:r>
          <w:r w:rsidRPr="008F57C2">
            <w:rPr>
              <w:rFonts w:ascii="Times New Roman" w:eastAsia="Times New Roman" w:hAnsi="Times New Roman" w:cs="Times New Roman"/>
              <w:i/>
              <w:iCs/>
              <w:sz w:val="24"/>
              <w:szCs w:val="24"/>
            </w:rPr>
            <w:t>39</w:t>
          </w:r>
          <w:r w:rsidRPr="008F57C2">
            <w:rPr>
              <w:rFonts w:ascii="Times New Roman" w:eastAsia="Times New Roman" w:hAnsi="Times New Roman" w:cs="Times New Roman"/>
              <w:sz w:val="24"/>
              <w:szCs w:val="24"/>
            </w:rPr>
            <w:t>. https://doi.org/10.1016/j.frl.2020.101593</w:t>
          </w:r>
        </w:p>
        <w:p w14:paraId="6274B8A6" w14:textId="77777777" w:rsidR="008F57C2" w:rsidRPr="008F57C2" w:rsidRDefault="008F57C2" w:rsidP="008F57C2">
          <w:pPr>
            <w:autoSpaceDE w:val="0"/>
            <w:autoSpaceDN w:val="0"/>
            <w:spacing w:after="0" w:line="240" w:lineRule="auto"/>
            <w:ind w:hanging="480"/>
            <w:divId w:val="924073926"/>
            <w:rPr>
              <w:rFonts w:ascii="Times New Roman" w:eastAsia="Times New Roman" w:hAnsi="Times New Roman" w:cs="Times New Roman"/>
              <w:sz w:val="24"/>
              <w:szCs w:val="24"/>
            </w:rPr>
          </w:pPr>
          <w:r w:rsidRPr="008F57C2">
            <w:rPr>
              <w:rFonts w:ascii="Times New Roman" w:eastAsia="Times New Roman" w:hAnsi="Times New Roman" w:cs="Times New Roman"/>
              <w:sz w:val="24"/>
              <w:szCs w:val="24"/>
            </w:rPr>
            <w:t xml:space="preserve">Yoon, B., Lee, J. H., &amp; Byun, R. (2018). Does ESG performance enhance firm value? Evidence from Korea. </w:t>
          </w:r>
          <w:r w:rsidRPr="008F57C2">
            <w:rPr>
              <w:rFonts w:ascii="Times New Roman" w:eastAsia="Times New Roman" w:hAnsi="Times New Roman" w:cs="Times New Roman"/>
              <w:i/>
              <w:iCs/>
              <w:sz w:val="24"/>
              <w:szCs w:val="24"/>
            </w:rPr>
            <w:t>Sustainability (Switzerland)</w:t>
          </w:r>
          <w:r w:rsidRPr="008F57C2">
            <w:rPr>
              <w:rFonts w:ascii="Times New Roman" w:eastAsia="Times New Roman" w:hAnsi="Times New Roman" w:cs="Times New Roman"/>
              <w:sz w:val="24"/>
              <w:szCs w:val="24"/>
            </w:rPr>
            <w:t xml:space="preserve">, </w:t>
          </w:r>
          <w:r w:rsidRPr="008F57C2">
            <w:rPr>
              <w:rFonts w:ascii="Times New Roman" w:eastAsia="Times New Roman" w:hAnsi="Times New Roman" w:cs="Times New Roman"/>
              <w:i/>
              <w:iCs/>
              <w:sz w:val="24"/>
              <w:szCs w:val="24"/>
            </w:rPr>
            <w:t>10</w:t>
          </w:r>
          <w:r w:rsidRPr="008F57C2">
            <w:rPr>
              <w:rFonts w:ascii="Times New Roman" w:eastAsia="Times New Roman" w:hAnsi="Times New Roman" w:cs="Times New Roman"/>
              <w:sz w:val="24"/>
              <w:szCs w:val="24"/>
            </w:rPr>
            <w:t>(10). https://doi.org/10.3390/su10103635</w:t>
          </w:r>
        </w:p>
        <w:p w14:paraId="0E0FFB61" w14:textId="32DCA82C" w:rsidR="00E307FC" w:rsidRDefault="008F57C2" w:rsidP="008F57C2">
          <w:pPr>
            <w:pStyle w:val="Body"/>
            <w:ind w:firstLine="0"/>
            <w:rPr>
              <w:b/>
              <w:sz w:val="24"/>
              <w:szCs w:val="24"/>
              <w:lang w:val="en-US"/>
            </w:rPr>
          </w:pPr>
          <w:r w:rsidRPr="008F57C2">
            <w:rPr>
              <w:sz w:val="24"/>
              <w:szCs w:val="24"/>
            </w:rPr>
            <w:t> </w:t>
          </w:r>
        </w:p>
      </w:sdtContent>
    </w:sdt>
    <w:p w14:paraId="1CDB459E" w14:textId="230A82A9" w:rsidR="00E307FC" w:rsidRDefault="00E307FC" w:rsidP="007C5F34">
      <w:pPr>
        <w:pStyle w:val="Body"/>
        <w:ind w:firstLine="0"/>
        <w:rPr>
          <w:b/>
          <w:sz w:val="24"/>
          <w:szCs w:val="24"/>
          <w:lang w:val="en-US"/>
        </w:rPr>
      </w:pPr>
    </w:p>
    <w:p w14:paraId="6052FE84" w14:textId="77777777" w:rsidR="007C5F34" w:rsidRPr="002830AD" w:rsidRDefault="007C5F34" w:rsidP="008F57C2">
      <w:pPr>
        <w:spacing w:after="0" w:line="360" w:lineRule="auto"/>
        <w:rPr>
          <w:rFonts w:ascii="Book Antiqua" w:eastAsia="Book Antiqua" w:hAnsi="Book Antiqua" w:cs="Book Antiqua"/>
          <w:lang w:val="en-US"/>
        </w:rPr>
      </w:pPr>
    </w:p>
    <w:sectPr w:rsidR="007C5F34" w:rsidRPr="002830AD" w:rsidSect="00C63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otiq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arajita">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7E9281"/>
    <w:multiLevelType w:val="singleLevel"/>
    <w:tmpl w:val="807E9281"/>
    <w:lvl w:ilvl="0">
      <w:start w:val="1"/>
      <w:numFmt w:val="decimal"/>
      <w:suff w:val="space"/>
      <w:lvlText w:val="%1."/>
      <w:lvlJc w:val="left"/>
    </w:lvl>
  </w:abstractNum>
  <w:abstractNum w:abstractNumId="1">
    <w:nsid w:val="AA7E92F5"/>
    <w:multiLevelType w:val="singleLevel"/>
    <w:tmpl w:val="AA7E92F5"/>
    <w:lvl w:ilvl="0">
      <w:start w:val="1"/>
      <w:numFmt w:val="lowerLetter"/>
      <w:suff w:val="space"/>
      <w:lvlText w:val="%1."/>
      <w:lvlJc w:val="left"/>
    </w:lvl>
  </w:abstractNum>
  <w:abstractNum w:abstractNumId="2">
    <w:nsid w:val="D8D977C0"/>
    <w:multiLevelType w:val="singleLevel"/>
    <w:tmpl w:val="D8D977C0"/>
    <w:lvl w:ilvl="0">
      <w:start w:val="7"/>
      <w:numFmt w:val="upperLetter"/>
      <w:suff w:val="space"/>
      <w:lvlText w:val="%1)"/>
      <w:lvlJc w:val="left"/>
    </w:lvl>
  </w:abstractNum>
  <w:abstractNum w:abstractNumId="3">
    <w:nsid w:val="01A54814"/>
    <w:multiLevelType w:val="multilevel"/>
    <w:tmpl w:val="01A54814"/>
    <w:lvl w:ilvl="0">
      <w:start w:val="2"/>
      <w:numFmt w:val="decimal"/>
      <w:lvlText w:val="%1."/>
      <w:lvlJc w:val="left"/>
      <w:pPr>
        <w:ind w:left="786"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11EC3A5A"/>
    <w:multiLevelType w:val="hybridMultilevel"/>
    <w:tmpl w:val="56A8B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D1B1D"/>
    <w:multiLevelType w:val="hybridMultilevel"/>
    <w:tmpl w:val="C538A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C1163"/>
    <w:multiLevelType w:val="hybridMultilevel"/>
    <w:tmpl w:val="7D1C2124"/>
    <w:lvl w:ilvl="0" w:tplc="627CB9E8">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nsid w:val="322C7A46"/>
    <w:multiLevelType w:val="hybridMultilevel"/>
    <w:tmpl w:val="3E70B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A6339"/>
    <w:multiLevelType w:val="multilevel"/>
    <w:tmpl w:val="3F7A6339"/>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3E97094"/>
    <w:multiLevelType w:val="hybridMultilevel"/>
    <w:tmpl w:val="44280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3340CC"/>
    <w:multiLevelType w:val="hybridMultilevel"/>
    <w:tmpl w:val="9C328F3E"/>
    <w:lvl w:ilvl="0" w:tplc="CCBE270C">
      <w:start w:val="1"/>
      <w:numFmt w:val="decimal"/>
      <w:pStyle w:val="subjudul2bab4-2"/>
      <w:lvlText w:val="4.9.%1"/>
      <w:lvlJc w:val="left"/>
      <w:pPr>
        <w:ind w:left="72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2"/>
  </w:num>
  <w:num w:numId="5">
    <w:abstractNumId w:val="1"/>
  </w:num>
  <w:num w:numId="6">
    <w:abstractNumId w:val="5"/>
  </w:num>
  <w:num w:numId="7">
    <w:abstractNumId w:val="6"/>
  </w:num>
  <w:num w:numId="8">
    <w:abstractNumId w:val="9"/>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5D"/>
    <w:rsid w:val="00043A33"/>
    <w:rsid w:val="000C3C21"/>
    <w:rsid w:val="002830AD"/>
    <w:rsid w:val="00454D77"/>
    <w:rsid w:val="005E59EE"/>
    <w:rsid w:val="006D14D4"/>
    <w:rsid w:val="0072266F"/>
    <w:rsid w:val="00724420"/>
    <w:rsid w:val="00766627"/>
    <w:rsid w:val="007C5F34"/>
    <w:rsid w:val="008F57C2"/>
    <w:rsid w:val="009C615D"/>
    <w:rsid w:val="00B00290"/>
    <w:rsid w:val="00B43928"/>
    <w:rsid w:val="00C25BCE"/>
    <w:rsid w:val="00C63659"/>
    <w:rsid w:val="00D0230E"/>
    <w:rsid w:val="00DB4DEC"/>
    <w:rsid w:val="00E307FC"/>
    <w:rsid w:val="00EF26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9029"/>
  <w15:docId w15:val="{452124F7-C4D5-49AE-AFE9-DF9BA376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15D"/>
    <w:rPr>
      <w:rFonts w:ascii="Calibri" w:eastAsia="Calibri" w:hAnsi="Calibri" w:cs="Calibri"/>
      <w:lang w:eastAsia="id-ID"/>
    </w:rPr>
  </w:style>
  <w:style w:type="paragraph" w:styleId="Heading1">
    <w:name w:val="heading 1"/>
    <w:basedOn w:val="Normal"/>
    <w:next w:val="Normal"/>
    <w:link w:val="Heading1Char"/>
    <w:uiPriority w:val="9"/>
    <w:qFormat/>
    <w:rsid w:val="00766627"/>
    <w:pPr>
      <w:keepNext/>
      <w:spacing w:before="240" w:after="60"/>
      <w:outlineLvl w:val="0"/>
    </w:pPr>
    <w:rPr>
      <w:rFonts w:ascii="Cambria" w:eastAsia="Times New Roman" w:hAnsi="Cambria" w:cs="Times New Roman"/>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C615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qFormat/>
    <w:rsid w:val="009C615D"/>
    <w:pPr>
      <w:spacing w:after="0" w:line="240" w:lineRule="auto"/>
    </w:pPr>
    <w:rPr>
      <w:rFonts w:ascii="Calibri" w:eastAsia="Times New Roman"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9C615D"/>
    <w:pPr>
      <w:spacing w:after="0" w:line="240" w:lineRule="auto"/>
    </w:pPr>
    <w:rPr>
      <w:rFonts w:ascii="Calibri" w:eastAsia="Calibri" w:hAnsi="Calibri" w:cs="Calibri"/>
      <w:lang w:eastAsia="id-ID"/>
    </w:rPr>
  </w:style>
  <w:style w:type="paragraph" w:styleId="ListParagraph">
    <w:name w:val="List Paragraph"/>
    <w:basedOn w:val="Normal"/>
    <w:uiPriority w:val="99"/>
    <w:qFormat/>
    <w:rsid w:val="009C615D"/>
    <w:pPr>
      <w:ind w:left="720"/>
      <w:contextualSpacing/>
    </w:pPr>
    <w:rPr>
      <w:rFonts w:eastAsia="Times New Roman" w:cs="Times New Roman"/>
    </w:rPr>
  </w:style>
  <w:style w:type="character" w:customStyle="1" w:styleId="15">
    <w:name w:val="15"/>
    <w:basedOn w:val="DefaultParagraphFont"/>
    <w:qFormat/>
    <w:rsid w:val="009C615D"/>
    <w:rPr>
      <w:rFonts w:ascii="Calibri" w:hAnsi="Calibri" w:cs="Calibri" w:hint="default"/>
      <w:color w:val="0000FF"/>
      <w:u w:val="single"/>
    </w:rPr>
  </w:style>
  <w:style w:type="character" w:customStyle="1" w:styleId="16">
    <w:name w:val="16"/>
    <w:basedOn w:val="DefaultParagraphFont"/>
    <w:qFormat/>
    <w:rsid w:val="009C615D"/>
    <w:rPr>
      <w:rFonts w:ascii="Calibri" w:hAnsi="Calibri" w:cs="Calibri" w:hint="default"/>
    </w:rPr>
  </w:style>
  <w:style w:type="paragraph" w:styleId="BalloonText">
    <w:name w:val="Balloon Text"/>
    <w:basedOn w:val="Normal"/>
    <w:link w:val="BalloonTextChar"/>
    <w:uiPriority w:val="99"/>
    <w:semiHidden/>
    <w:unhideWhenUsed/>
    <w:rsid w:val="009C6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5D"/>
    <w:rPr>
      <w:rFonts w:ascii="Tahoma" w:eastAsia="Calibri" w:hAnsi="Tahoma" w:cs="Tahoma"/>
      <w:sz w:val="16"/>
      <w:szCs w:val="16"/>
      <w:lang w:val="en" w:eastAsia="id-ID"/>
    </w:rPr>
  </w:style>
  <w:style w:type="character" w:styleId="Hyperlink">
    <w:name w:val="Hyperlink"/>
    <w:basedOn w:val="DefaultParagraphFont"/>
    <w:uiPriority w:val="99"/>
    <w:unhideWhenUsed/>
    <w:rsid w:val="00B43928"/>
    <w:rPr>
      <w:color w:val="0000FF" w:themeColor="hyperlink"/>
      <w:u w:val="single"/>
    </w:rPr>
  </w:style>
  <w:style w:type="character" w:customStyle="1" w:styleId="Heading1Char">
    <w:name w:val="Heading 1 Char"/>
    <w:basedOn w:val="DefaultParagraphFont"/>
    <w:link w:val="Heading1"/>
    <w:uiPriority w:val="9"/>
    <w:rsid w:val="00766627"/>
    <w:rPr>
      <w:rFonts w:ascii="Cambria" w:eastAsia="Times New Roman" w:hAnsi="Cambria" w:cs="Times New Roman"/>
      <w:b/>
      <w:bCs/>
      <w:kern w:val="32"/>
      <w:sz w:val="32"/>
      <w:szCs w:val="32"/>
    </w:rPr>
  </w:style>
  <w:style w:type="paragraph" w:customStyle="1" w:styleId="AbstractTitle">
    <w:name w:val="Abstract Title"/>
    <w:basedOn w:val="Normal"/>
    <w:rsid w:val="00766627"/>
    <w:pPr>
      <w:spacing w:after="0" w:line="240" w:lineRule="auto"/>
      <w:jc w:val="center"/>
    </w:pPr>
    <w:rPr>
      <w:rFonts w:ascii="Times New Roman" w:eastAsia="Times New Roman" w:hAnsi="Times New Roman" w:cs="Times New Roman"/>
      <w:b/>
      <w:sz w:val="20"/>
      <w:szCs w:val="20"/>
      <w:lang w:eastAsia="en-US"/>
    </w:rPr>
  </w:style>
  <w:style w:type="paragraph" w:customStyle="1" w:styleId="Body">
    <w:name w:val="Body"/>
    <w:basedOn w:val="BodyTextIndent"/>
    <w:rsid w:val="007C5F34"/>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customStyle="1" w:styleId="Isitabel">
    <w:name w:val="Isi tabel"/>
    <w:basedOn w:val="Normal"/>
    <w:next w:val="Normal"/>
    <w:autoRedefine/>
    <w:qFormat/>
    <w:rsid w:val="007C5F34"/>
    <w:pPr>
      <w:tabs>
        <w:tab w:val="left" w:pos="1029"/>
      </w:tabs>
      <w:spacing w:after="0"/>
      <w:jc w:val="center"/>
    </w:pPr>
    <w:rPr>
      <w:rFonts w:ascii="Times New Roman" w:eastAsia="Times New Roman" w:hAnsi="Times New Roman" w:cs="Times New Roman"/>
    </w:rPr>
  </w:style>
  <w:style w:type="paragraph" w:customStyle="1" w:styleId="Tabel">
    <w:name w:val="Tabel"/>
    <w:basedOn w:val="Normal"/>
    <w:next w:val="Normal"/>
    <w:autoRedefine/>
    <w:qFormat/>
    <w:rsid w:val="007C5F34"/>
    <w:pPr>
      <w:spacing w:after="0" w:line="240" w:lineRule="auto"/>
      <w:jc w:val="center"/>
    </w:pPr>
    <w:rPr>
      <w:rFonts w:ascii="Times New Roman" w:eastAsia="Times New Roman" w:hAnsi="Times New Roman" w:cs="Times New Roman"/>
      <w:b/>
      <w:sz w:val="24"/>
      <w:szCs w:val="24"/>
    </w:rPr>
  </w:style>
  <w:style w:type="paragraph" w:customStyle="1" w:styleId="subjudul2bab4-2">
    <w:name w:val="subjudul2 bab4-2"/>
    <w:basedOn w:val="ListParagraph"/>
    <w:next w:val="Normal"/>
    <w:autoRedefine/>
    <w:qFormat/>
    <w:rsid w:val="007C5F34"/>
    <w:pPr>
      <w:numPr>
        <w:numId w:val="11"/>
      </w:numPr>
      <w:tabs>
        <w:tab w:val="num" w:pos="360"/>
      </w:tabs>
      <w:spacing w:after="0" w:line="480" w:lineRule="auto"/>
      <w:ind w:firstLine="0"/>
      <w:contextualSpacing w:val="0"/>
      <w:jc w:val="both"/>
    </w:pPr>
    <w:rPr>
      <w:rFonts w:ascii="Times New Roman" w:hAnsi="Times New Roman"/>
      <w:b/>
      <w:bCs/>
      <w:sz w:val="24"/>
      <w:szCs w:val="24"/>
    </w:rPr>
  </w:style>
  <w:style w:type="paragraph" w:styleId="BodyTextIndent">
    <w:name w:val="Body Text Indent"/>
    <w:basedOn w:val="Normal"/>
    <w:link w:val="BodyTextIndentChar"/>
    <w:uiPriority w:val="99"/>
    <w:semiHidden/>
    <w:unhideWhenUsed/>
    <w:rsid w:val="007C5F34"/>
    <w:pPr>
      <w:spacing w:after="120"/>
      <w:ind w:left="283"/>
    </w:pPr>
  </w:style>
  <w:style w:type="character" w:customStyle="1" w:styleId="BodyTextIndentChar">
    <w:name w:val="Body Text Indent Char"/>
    <w:basedOn w:val="DefaultParagraphFont"/>
    <w:link w:val="BodyTextIndent"/>
    <w:uiPriority w:val="99"/>
    <w:semiHidden/>
    <w:rsid w:val="007C5F34"/>
    <w:rPr>
      <w:rFonts w:ascii="Calibri" w:eastAsia="Calibri" w:hAnsi="Calibri" w:cs="Calibri"/>
      <w:lang w:val="en" w:eastAsia="id-ID"/>
    </w:rPr>
  </w:style>
  <w:style w:type="character" w:styleId="PlaceholderText">
    <w:name w:val="Placeholder Text"/>
    <w:basedOn w:val="DefaultParagraphFont"/>
    <w:uiPriority w:val="99"/>
    <w:semiHidden/>
    <w:rsid w:val="008F57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4350">
      <w:bodyDiv w:val="1"/>
      <w:marLeft w:val="0"/>
      <w:marRight w:val="0"/>
      <w:marTop w:val="0"/>
      <w:marBottom w:val="0"/>
      <w:divBdr>
        <w:top w:val="none" w:sz="0" w:space="0" w:color="auto"/>
        <w:left w:val="none" w:sz="0" w:space="0" w:color="auto"/>
        <w:bottom w:val="none" w:sz="0" w:space="0" w:color="auto"/>
        <w:right w:val="none" w:sz="0" w:space="0" w:color="auto"/>
      </w:divBdr>
    </w:div>
    <w:div w:id="45645051">
      <w:bodyDiv w:val="1"/>
      <w:marLeft w:val="0"/>
      <w:marRight w:val="0"/>
      <w:marTop w:val="0"/>
      <w:marBottom w:val="0"/>
      <w:divBdr>
        <w:top w:val="none" w:sz="0" w:space="0" w:color="auto"/>
        <w:left w:val="none" w:sz="0" w:space="0" w:color="auto"/>
        <w:bottom w:val="none" w:sz="0" w:space="0" w:color="auto"/>
        <w:right w:val="none" w:sz="0" w:space="0" w:color="auto"/>
      </w:divBdr>
    </w:div>
    <w:div w:id="190151512">
      <w:bodyDiv w:val="1"/>
      <w:marLeft w:val="0"/>
      <w:marRight w:val="0"/>
      <w:marTop w:val="0"/>
      <w:marBottom w:val="0"/>
      <w:divBdr>
        <w:top w:val="none" w:sz="0" w:space="0" w:color="auto"/>
        <w:left w:val="none" w:sz="0" w:space="0" w:color="auto"/>
        <w:bottom w:val="none" w:sz="0" w:space="0" w:color="auto"/>
        <w:right w:val="none" w:sz="0" w:space="0" w:color="auto"/>
      </w:divBdr>
      <w:divsChild>
        <w:div w:id="1750302482">
          <w:marLeft w:val="480"/>
          <w:marRight w:val="0"/>
          <w:marTop w:val="0"/>
          <w:marBottom w:val="0"/>
          <w:divBdr>
            <w:top w:val="none" w:sz="0" w:space="0" w:color="auto"/>
            <w:left w:val="none" w:sz="0" w:space="0" w:color="auto"/>
            <w:bottom w:val="none" w:sz="0" w:space="0" w:color="auto"/>
            <w:right w:val="none" w:sz="0" w:space="0" w:color="auto"/>
          </w:divBdr>
        </w:div>
        <w:div w:id="178274639">
          <w:marLeft w:val="480"/>
          <w:marRight w:val="0"/>
          <w:marTop w:val="0"/>
          <w:marBottom w:val="0"/>
          <w:divBdr>
            <w:top w:val="none" w:sz="0" w:space="0" w:color="auto"/>
            <w:left w:val="none" w:sz="0" w:space="0" w:color="auto"/>
            <w:bottom w:val="none" w:sz="0" w:space="0" w:color="auto"/>
            <w:right w:val="none" w:sz="0" w:space="0" w:color="auto"/>
          </w:divBdr>
        </w:div>
        <w:div w:id="101533241">
          <w:marLeft w:val="480"/>
          <w:marRight w:val="0"/>
          <w:marTop w:val="0"/>
          <w:marBottom w:val="0"/>
          <w:divBdr>
            <w:top w:val="none" w:sz="0" w:space="0" w:color="auto"/>
            <w:left w:val="none" w:sz="0" w:space="0" w:color="auto"/>
            <w:bottom w:val="none" w:sz="0" w:space="0" w:color="auto"/>
            <w:right w:val="none" w:sz="0" w:space="0" w:color="auto"/>
          </w:divBdr>
        </w:div>
        <w:div w:id="369649585">
          <w:marLeft w:val="480"/>
          <w:marRight w:val="0"/>
          <w:marTop w:val="0"/>
          <w:marBottom w:val="0"/>
          <w:divBdr>
            <w:top w:val="none" w:sz="0" w:space="0" w:color="auto"/>
            <w:left w:val="none" w:sz="0" w:space="0" w:color="auto"/>
            <w:bottom w:val="none" w:sz="0" w:space="0" w:color="auto"/>
            <w:right w:val="none" w:sz="0" w:space="0" w:color="auto"/>
          </w:divBdr>
        </w:div>
        <w:div w:id="664628358">
          <w:marLeft w:val="480"/>
          <w:marRight w:val="0"/>
          <w:marTop w:val="0"/>
          <w:marBottom w:val="0"/>
          <w:divBdr>
            <w:top w:val="none" w:sz="0" w:space="0" w:color="auto"/>
            <w:left w:val="none" w:sz="0" w:space="0" w:color="auto"/>
            <w:bottom w:val="none" w:sz="0" w:space="0" w:color="auto"/>
            <w:right w:val="none" w:sz="0" w:space="0" w:color="auto"/>
          </w:divBdr>
        </w:div>
        <w:div w:id="1873108170">
          <w:marLeft w:val="480"/>
          <w:marRight w:val="0"/>
          <w:marTop w:val="0"/>
          <w:marBottom w:val="0"/>
          <w:divBdr>
            <w:top w:val="none" w:sz="0" w:space="0" w:color="auto"/>
            <w:left w:val="none" w:sz="0" w:space="0" w:color="auto"/>
            <w:bottom w:val="none" w:sz="0" w:space="0" w:color="auto"/>
            <w:right w:val="none" w:sz="0" w:space="0" w:color="auto"/>
          </w:divBdr>
        </w:div>
        <w:div w:id="1388606766">
          <w:marLeft w:val="480"/>
          <w:marRight w:val="0"/>
          <w:marTop w:val="0"/>
          <w:marBottom w:val="0"/>
          <w:divBdr>
            <w:top w:val="none" w:sz="0" w:space="0" w:color="auto"/>
            <w:left w:val="none" w:sz="0" w:space="0" w:color="auto"/>
            <w:bottom w:val="none" w:sz="0" w:space="0" w:color="auto"/>
            <w:right w:val="none" w:sz="0" w:space="0" w:color="auto"/>
          </w:divBdr>
        </w:div>
        <w:div w:id="381641941">
          <w:marLeft w:val="480"/>
          <w:marRight w:val="0"/>
          <w:marTop w:val="0"/>
          <w:marBottom w:val="0"/>
          <w:divBdr>
            <w:top w:val="none" w:sz="0" w:space="0" w:color="auto"/>
            <w:left w:val="none" w:sz="0" w:space="0" w:color="auto"/>
            <w:bottom w:val="none" w:sz="0" w:space="0" w:color="auto"/>
            <w:right w:val="none" w:sz="0" w:space="0" w:color="auto"/>
          </w:divBdr>
        </w:div>
        <w:div w:id="1815828901">
          <w:marLeft w:val="480"/>
          <w:marRight w:val="0"/>
          <w:marTop w:val="0"/>
          <w:marBottom w:val="0"/>
          <w:divBdr>
            <w:top w:val="none" w:sz="0" w:space="0" w:color="auto"/>
            <w:left w:val="none" w:sz="0" w:space="0" w:color="auto"/>
            <w:bottom w:val="none" w:sz="0" w:space="0" w:color="auto"/>
            <w:right w:val="none" w:sz="0" w:space="0" w:color="auto"/>
          </w:divBdr>
        </w:div>
        <w:div w:id="823814930">
          <w:marLeft w:val="480"/>
          <w:marRight w:val="0"/>
          <w:marTop w:val="0"/>
          <w:marBottom w:val="0"/>
          <w:divBdr>
            <w:top w:val="none" w:sz="0" w:space="0" w:color="auto"/>
            <w:left w:val="none" w:sz="0" w:space="0" w:color="auto"/>
            <w:bottom w:val="none" w:sz="0" w:space="0" w:color="auto"/>
            <w:right w:val="none" w:sz="0" w:space="0" w:color="auto"/>
          </w:divBdr>
        </w:div>
        <w:div w:id="1051005253">
          <w:marLeft w:val="480"/>
          <w:marRight w:val="0"/>
          <w:marTop w:val="0"/>
          <w:marBottom w:val="0"/>
          <w:divBdr>
            <w:top w:val="none" w:sz="0" w:space="0" w:color="auto"/>
            <w:left w:val="none" w:sz="0" w:space="0" w:color="auto"/>
            <w:bottom w:val="none" w:sz="0" w:space="0" w:color="auto"/>
            <w:right w:val="none" w:sz="0" w:space="0" w:color="auto"/>
          </w:divBdr>
        </w:div>
        <w:div w:id="438916029">
          <w:marLeft w:val="480"/>
          <w:marRight w:val="0"/>
          <w:marTop w:val="0"/>
          <w:marBottom w:val="0"/>
          <w:divBdr>
            <w:top w:val="none" w:sz="0" w:space="0" w:color="auto"/>
            <w:left w:val="none" w:sz="0" w:space="0" w:color="auto"/>
            <w:bottom w:val="none" w:sz="0" w:space="0" w:color="auto"/>
            <w:right w:val="none" w:sz="0" w:space="0" w:color="auto"/>
          </w:divBdr>
        </w:div>
      </w:divsChild>
    </w:div>
    <w:div w:id="1013143436">
      <w:bodyDiv w:val="1"/>
      <w:marLeft w:val="0"/>
      <w:marRight w:val="0"/>
      <w:marTop w:val="0"/>
      <w:marBottom w:val="0"/>
      <w:divBdr>
        <w:top w:val="none" w:sz="0" w:space="0" w:color="auto"/>
        <w:left w:val="none" w:sz="0" w:space="0" w:color="auto"/>
        <w:bottom w:val="none" w:sz="0" w:space="0" w:color="auto"/>
        <w:right w:val="none" w:sz="0" w:space="0" w:color="auto"/>
      </w:divBdr>
      <w:divsChild>
        <w:div w:id="1667368133">
          <w:marLeft w:val="480"/>
          <w:marRight w:val="0"/>
          <w:marTop w:val="0"/>
          <w:marBottom w:val="0"/>
          <w:divBdr>
            <w:top w:val="none" w:sz="0" w:space="0" w:color="auto"/>
            <w:left w:val="none" w:sz="0" w:space="0" w:color="auto"/>
            <w:bottom w:val="none" w:sz="0" w:space="0" w:color="auto"/>
            <w:right w:val="none" w:sz="0" w:space="0" w:color="auto"/>
          </w:divBdr>
        </w:div>
        <w:div w:id="274530637">
          <w:marLeft w:val="480"/>
          <w:marRight w:val="0"/>
          <w:marTop w:val="0"/>
          <w:marBottom w:val="0"/>
          <w:divBdr>
            <w:top w:val="none" w:sz="0" w:space="0" w:color="auto"/>
            <w:left w:val="none" w:sz="0" w:space="0" w:color="auto"/>
            <w:bottom w:val="none" w:sz="0" w:space="0" w:color="auto"/>
            <w:right w:val="none" w:sz="0" w:space="0" w:color="auto"/>
          </w:divBdr>
        </w:div>
        <w:div w:id="1773544970">
          <w:marLeft w:val="480"/>
          <w:marRight w:val="0"/>
          <w:marTop w:val="0"/>
          <w:marBottom w:val="0"/>
          <w:divBdr>
            <w:top w:val="none" w:sz="0" w:space="0" w:color="auto"/>
            <w:left w:val="none" w:sz="0" w:space="0" w:color="auto"/>
            <w:bottom w:val="none" w:sz="0" w:space="0" w:color="auto"/>
            <w:right w:val="none" w:sz="0" w:space="0" w:color="auto"/>
          </w:divBdr>
        </w:div>
        <w:div w:id="1369375762">
          <w:marLeft w:val="480"/>
          <w:marRight w:val="0"/>
          <w:marTop w:val="0"/>
          <w:marBottom w:val="0"/>
          <w:divBdr>
            <w:top w:val="none" w:sz="0" w:space="0" w:color="auto"/>
            <w:left w:val="none" w:sz="0" w:space="0" w:color="auto"/>
            <w:bottom w:val="none" w:sz="0" w:space="0" w:color="auto"/>
            <w:right w:val="none" w:sz="0" w:space="0" w:color="auto"/>
          </w:divBdr>
        </w:div>
        <w:div w:id="667944531">
          <w:marLeft w:val="480"/>
          <w:marRight w:val="0"/>
          <w:marTop w:val="0"/>
          <w:marBottom w:val="0"/>
          <w:divBdr>
            <w:top w:val="none" w:sz="0" w:space="0" w:color="auto"/>
            <w:left w:val="none" w:sz="0" w:space="0" w:color="auto"/>
            <w:bottom w:val="none" w:sz="0" w:space="0" w:color="auto"/>
            <w:right w:val="none" w:sz="0" w:space="0" w:color="auto"/>
          </w:divBdr>
        </w:div>
        <w:div w:id="653488957">
          <w:marLeft w:val="480"/>
          <w:marRight w:val="0"/>
          <w:marTop w:val="0"/>
          <w:marBottom w:val="0"/>
          <w:divBdr>
            <w:top w:val="none" w:sz="0" w:space="0" w:color="auto"/>
            <w:left w:val="none" w:sz="0" w:space="0" w:color="auto"/>
            <w:bottom w:val="none" w:sz="0" w:space="0" w:color="auto"/>
            <w:right w:val="none" w:sz="0" w:space="0" w:color="auto"/>
          </w:divBdr>
        </w:div>
        <w:div w:id="428083658">
          <w:marLeft w:val="480"/>
          <w:marRight w:val="0"/>
          <w:marTop w:val="0"/>
          <w:marBottom w:val="0"/>
          <w:divBdr>
            <w:top w:val="none" w:sz="0" w:space="0" w:color="auto"/>
            <w:left w:val="none" w:sz="0" w:space="0" w:color="auto"/>
            <w:bottom w:val="none" w:sz="0" w:space="0" w:color="auto"/>
            <w:right w:val="none" w:sz="0" w:space="0" w:color="auto"/>
          </w:divBdr>
        </w:div>
        <w:div w:id="270288899">
          <w:marLeft w:val="480"/>
          <w:marRight w:val="0"/>
          <w:marTop w:val="0"/>
          <w:marBottom w:val="0"/>
          <w:divBdr>
            <w:top w:val="none" w:sz="0" w:space="0" w:color="auto"/>
            <w:left w:val="none" w:sz="0" w:space="0" w:color="auto"/>
            <w:bottom w:val="none" w:sz="0" w:space="0" w:color="auto"/>
            <w:right w:val="none" w:sz="0" w:space="0" w:color="auto"/>
          </w:divBdr>
        </w:div>
        <w:div w:id="1243681275">
          <w:marLeft w:val="480"/>
          <w:marRight w:val="0"/>
          <w:marTop w:val="0"/>
          <w:marBottom w:val="0"/>
          <w:divBdr>
            <w:top w:val="none" w:sz="0" w:space="0" w:color="auto"/>
            <w:left w:val="none" w:sz="0" w:space="0" w:color="auto"/>
            <w:bottom w:val="none" w:sz="0" w:space="0" w:color="auto"/>
            <w:right w:val="none" w:sz="0" w:space="0" w:color="auto"/>
          </w:divBdr>
        </w:div>
        <w:div w:id="1375229605">
          <w:marLeft w:val="480"/>
          <w:marRight w:val="0"/>
          <w:marTop w:val="0"/>
          <w:marBottom w:val="0"/>
          <w:divBdr>
            <w:top w:val="none" w:sz="0" w:space="0" w:color="auto"/>
            <w:left w:val="none" w:sz="0" w:space="0" w:color="auto"/>
            <w:bottom w:val="none" w:sz="0" w:space="0" w:color="auto"/>
            <w:right w:val="none" w:sz="0" w:space="0" w:color="auto"/>
          </w:divBdr>
        </w:div>
        <w:div w:id="128521022">
          <w:marLeft w:val="480"/>
          <w:marRight w:val="0"/>
          <w:marTop w:val="0"/>
          <w:marBottom w:val="0"/>
          <w:divBdr>
            <w:top w:val="none" w:sz="0" w:space="0" w:color="auto"/>
            <w:left w:val="none" w:sz="0" w:space="0" w:color="auto"/>
            <w:bottom w:val="none" w:sz="0" w:space="0" w:color="auto"/>
            <w:right w:val="none" w:sz="0" w:space="0" w:color="auto"/>
          </w:divBdr>
        </w:div>
        <w:div w:id="924073926">
          <w:marLeft w:val="480"/>
          <w:marRight w:val="0"/>
          <w:marTop w:val="0"/>
          <w:marBottom w:val="0"/>
          <w:divBdr>
            <w:top w:val="none" w:sz="0" w:space="0" w:color="auto"/>
            <w:left w:val="none" w:sz="0" w:space="0" w:color="auto"/>
            <w:bottom w:val="none" w:sz="0" w:space="0" w:color="auto"/>
            <w:right w:val="none" w:sz="0" w:space="0" w:color="auto"/>
          </w:divBdr>
        </w:div>
      </w:divsChild>
    </w:div>
    <w:div w:id="1030690106">
      <w:bodyDiv w:val="1"/>
      <w:marLeft w:val="0"/>
      <w:marRight w:val="0"/>
      <w:marTop w:val="0"/>
      <w:marBottom w:val="0"/>
      <w:divBdr>
        <w:top w:val="none" w:sz="0" w:space="0" w:color="auto"/>
        <w:left w:val="none" w:sz="0" w:space="0" w:color="auto"/>
        <w:bottom w:val="none" w:sz="0" w:space="0" w:color="auto"/>
        <w:right w:val="none" w:sz="0" w:space="0" w:color="auto"/>
      </w:divBdr>
    </w:div>
    <w:div w:id="1388843030">
      <w:bodyDiv w:val="1"/>
      <w:marLeft w:val="0"/>
      <w:marRight w:val="0"/>
      <w:marTop w:val="0"/>
      <w:marBottom w:val="0"/>
      <w:divBdr>
        <w:top w:val="none" w:sz="0" w:space="0" w:color="auto"/>
        <w:left w:val="none" w:sz="0" w:space="0" w:color="auto"/>
        <w:bottom w:val="none" w:sz="0" w:space="0" w:color="auto"/>
        <w:right w:val="none" w:sz="0" w:space="0" w:color="auto"/>
      </w:divBdr>
    </w:div>
    <w:div w:id="15776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radillasrt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1EDBD165404AEB86C470CF23906452"/>
        <w:category>
          <w:name w:val="General"/>
          <w:gallery w:val="placeholder"/>
        </w:category>
        <w:types>
          <w:type w:val="bbPlcHdr"/>
        </w:types>
        <w:behaviors>
          <w:behavior w:val="content"/>
        </w:behaviors>
        <w:guid w:val="{699C3A28-8BF3-4E7B-B020-B0B951C125E8}"/>
      </w:docPartPr>
      <w:docPartBody>
        <w:p w:rsidR="00491AE6" w:rsidRDefault="00C36B53" w:rsidP="00C36B53">
          <w:pPr>
            <w:pStyle w:val="931EDBD165404AEB86C470CF23906452"/>
          </w:pPr>
          <w:r w:rsidRPr="00C812E3">
            <w:rPr>
              <w:rStyle w:val="PlaceholderText"/>
            </w:rPr>
            <w:t>Click or tap here to enter text.</w:t>
          </w:r>
        </w:p>
      </w:docPartBody>
    </w:docPart>
    <w:docPart>
      <w:docPartPr>
        <w:name w:val="DefaultPlaceholder_-1854013440"/>
        <w:category>
          <w:name w:val="Umum"/>
          <w:gallery w:val="placeholder"/>
        </w:category>
        <w:types>
          <w:type w:val="bbPlcHdr"/>
        </w:types>
        <w:behaviors>
          <w:behavior w:val="content"/>
        </w:behaviors>
        <w:guid w:val="{76ABE843-E04A-4C45-ACAC-FA6B6ACC0D43}"/>
      </w:docPartPr>
      <w:docPartBody>
        <w:p w:rsidR="00424357" w:rsidRDefault="00491AE6">
          <w:r w:rsidRPr="00A359B8">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otiq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arajita">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3"/>
    <w:rsid w:val="002F6115"/>
    <w:rsid w:val="00404232"/>
    <w:rsid w:val="00424357"/>
    <w:rsid w:val="00491AE6"/>
    <w:rsid w:val="00740240"/>
    <w:rsid w:val="00C3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AE6"/>
    <w:rPr>
      <w:color w:val="808080"/>
    </w:rPr>
  </w:style>
  <w:style w:type="paragraph" w:customStyle="1" w:styleId="931EDBD165404AEB86C470CF23906452">
    <w:name w:val="931EDBD165404AEB86C470CF23906452"/>
    <w:rsid w:val="00C36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0C2883-C439-BA4E-865E-918C96E8E08D}">
  <we:reference id="wa104382081" version="1.35.0.0" store="id-ID" storeType="OMEX"/>
  <we:alternateReferences>
    <we:reference id="WA104382081" version="1.35.0.0" store="" storeType="OMEX"/>
  </we:alternateReferences>
  <we:properties>
    <we:property name="MENDELEY_CITATIONS" value="[{&quot;citationID&quot;:&quot;MENDELEY_CITATION_2f288cc1-4d9b-4350-abc3-39a32e5ad0f9&quot;,&quot;properties&quot;:{&quot;noteIndex&quot;:0},&quot;isEdited&quot;:false,&quot;manualOverride&quot;:{&quot;isManuallyOverridden&quot;:false,&quot;citeprocText&quot;:&quot;(Constantinescu et al., 2021)&quot;,&quot;manualOverrideText&quot;:&quot;&quot;},&quot;citationItems&quot;:[{&quot;id&quot;:&quot;d5a40df4-f83f-35de-bb26-3d16a1cf75ba&quot;,&quot;itemData&quot;:{&quot;type&quot;:&quot;article-journal&quot;,&quot;id&quot;:&quot;d5a40df4-f83f-35de-bb26-3d16a1cf75ba&quot;,&quot;title&quot;:&quot;Environmental, social and governance disclosure associated with the firm value. Evidence from energy industry&quot;,&quot;author&quot;:[{&quot;family&quot;:&quot;Constantinescu&quot;,&quot;given&quot;:&quot;Daniela&quot;,&quot;parse-names&quot;:false,&quot;dropping-particle&quot;:&quot;&quot;,&quot;non-dropping-particle&quot;:&quot;&quot;},{&quot;family&quot;:&quot;Caraiani&quot;,&quot;given&quot;:&quot;Chirata&quot;,&quot;parse-names&quot;:false,&quot;dropping-particle&quot;:&quot;&quot;,&quot;non-dropping-particle&quot;:&quot;&quot;},{&quot;family&quot;:&quot;Lungu&quot;,&quot;given&quot;:&quot;Camelia I.&quot;,&quot;parse-names&quot;:false,&quot;dropping-particle&quot;:&quot;&quot;,&quot;non-dropping-particle&quot;:&quot;&quot;},{&quot;family&quot;:&quot;Mititean&quot;,&quot;given&quot;:&quot;Pompei&quot;,&quot;parse-names&quot;:false,&quot;dropping-particle&quot;:&quot;&quot;,&quot;non-dropping-particle&quot;:&quot;&quot;}],&quot;container-title&quot;:&quot;Journal of Accounting and Management Information Systems&quot;,&quot;DOI&quot;:&quot;10.24818/jamis.2021.01003&quot;,&quot;ISSN&quot;:&quot;15834387&quot;,&quot;URL&quot;:&quot;http://online-cig.ase.ro/jcig/art/20_1_3.pdf&quot;,&quot;issued&quot;:{&quot;date-parts&quot;:[[2021,3,31]]},&quot;publisher&quot;:&quot;Bucharest University of Economic Studies&quot;,&quot;issue&quot;:&quot;1/2021&quot;,&quot;expandedJournalTitle&quot;:&quot;Journal of Accounting and Management Information Systems&quot;},&quot;isTemporary&quot;:false}],&quot;citationTag&quot;:&quot;MENDELEY_CITATION_v3_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&quot;},{&quot;citationID&quot;:&quot;MENDELEY_CITATION_5570111d-575c-4b39-a795-c660aa446e7e&quot;,&quot;properties&quot;:{&quot;noteIndex&quot;:0},&quot;isEdited&quot;:false,&quot;manualOverride&quot;:{&quot;isManuallyOverridden&quot;:false,&quot;citeprocText&quot;:&quot;(Loh et al., 2017)&quot;,&quot;manualOverrideText&quot;:&quot;&quot;},&quot;citationItems&quot;:[{&quot;id&quot;:&quot;2a381bd6-12c6-35b6-8885-fdfda15ef56e&quot;,&quot;itemData&quot;:{&quot;type&quot;:&quot;article-journal&quot;,&quot;id&quot;:&quot;2a381bd6-12c6-35b6-8885-fdfda15ef56e&quot;,&quot;title&quot;:&quot;Sustainability reporting and firm value: Evidence from Singapore-listed companies&quot;,&quot;author&quot;:[{&quot;family&quot;:&quot;Loh&quot;,&quot;given&quot;:&quot;Lawrence&quot;,&quot;parse-names&quot;:false,&quot;dropping-particle&quot;:&quot;&quot;,&quot;non-dropping-particle&quot;:&quot;&quot;},{&quot;family&quot;:&quot;Thomas&quot;,&quot;given&quot;:&quot;Thomas&quot;,&quot;parse-names&quot;:false,&quot;dropping-particle&quot;:&quot;&quot;,&quot;non-dropping-particle&quot;:&quot;&quot;},{&quot;family&quot;:&quot;Wang&quot;,&quot;given&quot;:&quot;Yu&quot;,&quot;parse-names&quot;:false,&quot;dropping-particle&quot;:&quot;&quot;,&quot;non-dropping-particle&quot;:&quot;&quot;}],&quot;container-title&quot;:&quot;Sustainability (Switzerland)&quot;,&quot;DOI&quot;:&quot;10.3390/su9112112&quot;,&quot;ISSN&quot;:&quot;20711050&quot;,&quot;issued&quot;:{&quot;date-parts&quot;:[[2017,11,17]]},&quot;abstract&quot;:&quot;As sustainability reporting has emerged as one of the most critical issues in the business world, this research aims to investigate the relationship between sustainability reporting and firm value based on listed companies in Singapore. We use an established sustainability reporting assessment framework and test how both the adoption and quality of sustainability reporting are related to a firm's market value. Empirical results suggest that sustainability reporting is positively related to firm's market value and this relationship is independent of sector or firm status such as government-linked companies and family businesses.&quot;,&quot;publisher&quot;:&quot;MDPI AG&quot;,&quot;issue&quot;:&quot;11&quot;,&quot;volume&quot;:&quot;9&quot;,&quot;expandedJournalTitle&quot;:&quot;Sustainability (Switzerland)&quot;},&quot;isTemporary&quot;:false}],&quot;citationTag&quot;:&quot;MENDELEY_CITATION_v3_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&quot;},{&quot;citationID&quot;:&quot;MENDELEY_CITATION_3dc7d5cd-6565-4a75-a45b-c2cef8792326&quot;,&quot;properties&quot;:{&quot;noteIndex&quot;:0},&quot;isEdited&quot;:false,&quot;manualOverride&quot;:{&quot;isManuallyOverridden&quot;:true,&quot;citeprocText&quot;:&quot;(Kim et al., 2021)&quot;,&quot;manualOverrideText&quot;:&quot;Kim et al. (2021)&quot;},&quot;citationItems&quot;:[{&quot;id&quot;:&quot;c376244d-d0d9-3e42-a1e1-33e4ade44e1a&quot;,&quot;itemData&quot;:{&quot;type&quot;:&quot;article-journal&quot;,&quot;id&quot;:&quot;c376244d-d0d9-3e42-a1e1-33e4ade44e1a&quot;,&quot;title&quot;:&quot;Can ESG Mitigate the Diversification Discount in Cross-border M&amp;A?&quot;,&quot;author&quot;:[{&quot;family&quot;:&quot;Kim&quot;,&quot;given&quot;:&quot;Byoung-jin&quot;,&quot;parse-names&quot;:false,&quot;dropping-particle&quot;:&quot;&quot;,&quot;non-dropping-particle&quot;:&quot;&quot;},{&quot;family&quot;:&quot;Jung&quot;,&quot;given&quot;:&quot;Jin-young&quot;,&quot;parse-names&quot;:false,&quot;dropping-particle&quot;:&quot;&quot;,&quot;non-dropping-particle&quot;:&quot;&quot;},{&quot;family&quot;:&quot;Cho&quot;,&quot;given&quot;:&quot;Sung-woo&quot;,&quot;parse-names&quot;:false,&quot;dropping-particle&quot;:&quot;&quot;,&quot;non-dropping-particle&quot;:&quot;&quot;}],&quot;container-title&quot;:&quot;Borsa Istanbul Review&quot;,&quot;DOI&quot;:&quot;10.1016/j.bir.2021.09.002&quot;,&quot;ISSN&quot;:&quot;22148450&quot;,&quot;issued&quot;:{&quot;date-parts&quot;:[[2021,9]]},&quot;abstract&quot;:&quot;This study seeks to understand how environmental, social, and corporate governance (ESG) affects business performance and the diversification effect of cross-border mergers and acquisitions (M&amp;A) by examining 129 events on cross-border M&amp;A in the Korean Stock Price Index (KOSPI) market representing emerging capital markets between 2012 and 2018 in 38 target countries. The findings indicate that better ESG engagement has a positive effect on the business performance of cross-border M&amp;A, supporting stakeholder theory and confirming that ESG can serve as a strategy for boosting business efficiency in cross-border M&amp;A. The findings also confirm that diversification in cross-border M&amp;A leads to a diversification discount on business performance, negatively affecting acquiring firms, but that ESG engagement can mitigate the diversification discount as a friendly channel. The study’s main contribution is providing empirical evidence that ESG can serve as a friendly channel through which to address the diversification discount issue.&quot;,&quot;publisher&quot;:&quot;Elsevier BV&quot;,&quot;expandedJournalTitle&quot;:&quot;Borsa Istanbul Review&quot;},&quot;isTemporary&quot;:false}],&quot;citationTag&quot;:&quot;MENDELEY_CITATION_v3_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&quot;},{&quot;citationID&quot;:&quot;MENDELEY_CITATION_3e58e411-0e81-49a0-bf6c-88bc182b29e1&quot;,&quot;properties&quot;:{&quot;noteIndex&quot;:0},&quot;isEdited&quot;:false,&quot;manualOverride&quot;:{&quot;isManuallyOverridden&quot;:true,&quot;citeprocText&quot;:&quot;(Ghoul et al., 2017)&quot;,&quot;manualOverrideText&quot;:&quot;Ghoul et al. (2017)&quot;},&quot;citationItems&quot;:[{&quot;id&quot;:&quot;1c17b8cf-77a2-3ed3-b710-801d4f8fcbc1&quot;,&quot;itemData&quot;:{&quot;type&quot;:&quot;article-journal&quot;,&quot;id&quot;:&quot;1c17b8cf-77a2-3ed3-b710-801d4f8fcbc1&quot;,&quot;title&quot;:&quot;Country-level institutions, firm value, and the role of corporate social responsibility initiatives&quot;,&quot;author&quot;:[{&quot;family&quot;:&quot;Ghoul&quot;,&quot;given&quot;:&quot;Sadok&quot;,&quot;parse-names&quot;:false,&quot;dropping-particle&quot;:&quot;el&quot;,&quot;non-dropping-particle&quot;:&quot;&quot;},{&quot;family&quot;:&quot;Guedhami&quot;,&quot;given&quot;:&quot;Omrane&quot;,&quot;parse-names&quot;:false,&quot;dropping-particle&quot;:&quot;&quot;,&quot;non-dropping-particle&quot;:&quot;&quot;},{&quot;family&quot;:&quot;Kim&quot;,&quot;given&quot;:&quot;Yongtae&quot;,&quot;parse-names&quot;:false,&quot;dropping-particle&quot;:&quot;&quot;,&quot;non-dropping-particle&quot;:&quot;&quot;}],&quot;container-title&quot;:&quot;Journal of International Business Studies&quot;,&quot;DOI&quot;:&quot;10.1057/jibs.2016.4&quot;,&quot;ISSN&quot;:&quot;0047-2506&quot;,&quot;URL&quot;:&quot;http://link.springer.com/10.1057/jibs.2016.4&quot;,&quot;issued&quot;:{&quot;date-parts&quot;:[[2017,4,5]]},&quot;page&quot;:&quot;360-385&quot;,&quot;abstract&quot;:&quot;Drawing on transaction cost theories and the resource-based view of a firm, we posit that the value of corporate social responsibility (CSR) initiatives is greater in countries where an absence of market-supporting institutions increases transaction costs and limits access to resources. Using a large sample of 11,672 firmyear observations representing 2445 unique firms from 53 countries during 2003-2010 and controlling for firm-level unobservable heterogeneity, we find supportive evidence that CSR is more positively related to firm value in countries with weaker market institutions. We also provide evidence on the channels through which CSR initiatives reduce transaction costs. We find that CSR is associated with improved access to financing in countries with weaker equity and credit markets, greater investment and lower default risk in countries with more limited business freedom, and longer trade credit period and higher future sales growth in countries with weaker legal institutions. Our findings provide new insights on non-market mechanisms such as CSR through which firms can compensate for institutional voids.&quot;,&quot;publisher&quot;:&quot;Palgrave Macmillan Ltd.&quot;,&quot;issue&quot;:&quot;3&quot;,&quot;volume&quot;:&quot;48&quot;,&quot;expandedJournalTitle&quot;:&quot;Journal of International Business Studies&quot;},&quot;isTemporary&quot;:false}],&quot;citationTag&quot;:&quot;MENDELEY_CITATION_v3_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&quot;},{&quot;citationID&quot;:&quot;MENDELEY_CITATION_7b5ec6b3-2982-48a5-a97c-6c79d28c8db5&quot;,&quot;properties&quot;:{&quot;noteIndex&quot;:0},&quot;isEdited&quot;:false,&quot;manualOverride&quot;:{&quot;isManuallyOverridden&quot;:true,&quot;citeprocText&quot;:&quot;(Aboud &amp;#38; Diab, 2018)&quot;,&quot;manualOverrideText&quot;:&quot;Aboud &amp; Diab (2018)&quot;},&quot;citationItems&quot;:[{&quot;id&quot;:&quot;2ae8e03d-6680-3759-890d-4c20804c6763&quot;,&quot;itemData&quot;:{&quot;type&quot;:&quot;article-journal&quot;,&quot;id&quot;:&quot;2ae8e03d-6680-3759-890d-4c20804c6763&quot;,&quot;title&quot;:&quot;The impact of social, environmental and corporate governance disclosures on firm value: Evidence from Egypt&quot;,&quot;author&quot;:[{&quot;family&quot;:&quot;Aboud&quot;,&quot;given&quot;:&quot;Ahmed&quot;,&quot;parse-names&quot;:false,&quot;dropping-particle&quot;:&quot;&quot;,&quot;non-dropping-particle&quot;:&quot;&quot;},{&quot;family&quot;:&quot;Diab&quot;,&quot;given&quot;:&quot;Ahmed&quot;,&quot;parse-names&quot;:false,&quot;dropping-particle&quot;:&quot;&quot;,&quot;non-dropping-particle&quot;:&quot;&quot;}],&quot;container-title&quot;:&quot;Journal of Accounting in Emerging Economies&quot;,&quot;DOI&quot;:&quot;10.1108/JAEE-08-2017-0079&quot;,&quot;ISSN&quot;:&quot;20421176&quot;,&quot;issued&quot;:{&quot;date-parts&quot;:[[2018,11,5]]},&quot;page&quot;:&quot;442-458&quot;,&quot;abstract&quot;:&quot;Purpose: The purpose of this paper is to examine the impact of environmental, social, and governance (ESG) practices disclosure and firm value in the Egyptian context. This is done through investigating the influence of being listed and ranked in the Egyptian Corporate Responsibility Index on firm value during the period starting from 2007 to 2016. Design/methodology/approach: Using univariate and multivariate analyses, the findings support the economic benefits of ESG disclosures. Findings: The authors find that firms listed in the ESG index have higher firm value, and that there is a positive association between firms’ higher rankings in the index and firm value, as measured by Tobin’s q. Research limitations/implications: The findings provide feedback to regulators and standard-setters in the developing countries, and more specifically the Egyptian regulators, on the benefits associated with the introduction of the sustainability index (Standard &amp; Poor’s (S&amp;P)/EGX ESG index). This, in turn, clarifies how the government’s efforts to promote ESG provide benefits to publicly traded firms. Practical implications: By linking ESG to firm value, the ESG index will enable investors to take a leading role in inducing firms to enhance transparency and disclosure, and hence, improving their reporting standards. This, in turn, will ultimately result in improving sustainability and governance practices in Egypt. Social implications: The reported positive market reactions to social and governance practices disclosures can motivate firms to improve their social and governance performance. Originality/value: The study contributes to the literature by addressing the combined economic effects of social and governance disclosures on firm value, and by investigating the economic effects of such disclosures on firm value in an emerging market.&quot;,&quot;publisher&quot;:&quot;Emerald Group Holdings Ltd.&quot;,&quot;issue&quot;:&quot;4&quot;,&quot;volume&quot;:&quot;8&quot;,&quot;expandedJournalTitle&quot;:&quot;Journal of Accounting in Emerging Economies&quot;},&quot;isTemporary&quot;:false}],&quot;citationTag&quot;:&quot;MENDELEY_CITATION_v3_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&quot;},{&quot;citationID&quot;:&quot;MENDELEY_CITATION_2ee24960-74cb-4492-ac7c-ca3838d9876c&quot;,&quot;properties&quot;:{&quot;noteIndex&quot;:0},&quot;isEdited&quot;:false,&quot;manualOverride&quot;:{&quot;isManuallyOverridden&quot;:true,&quot;citeprocText&quot;:&quot;(Atan et al., 2018)&quot;,&quot;manualOverrideText&quot;:&quot;Atan et al. (2018)&quot;},&quot;citationItems&quot;:[{&quot;id&quot;:&quot;6db15c63-8b35-3811-9e86-7eefba2d41b3&quot;,&quot;itemData&quot;:{&quot;type&quot;:&quot;article-journal&quot;,&quot;id&quot;:&quot;6db15c63-8b35-3811-9e86-7eefba2d41b3&quot;,&quot;title&quot;:&quot;The impacts of environmental, social, and governance factors on firm performance: Panel study of Malaysian companies&quot;,&quot;author&quot;:[{&quot;family&quot;:&quot;Atan&quot;,&quot;given&quot;:&quot;Ruhaya&quot;,&quot;parse-names&quot;:false,&quot;dropping-particle&quot;:&quot;&quot;,&quot;non-dropping-particle&quot;:&quot;&quot;},{&quot;family&quot;:&quot;Alam&quot;,&quot;given&quot;:&quot;Md Mahmudul&quot;,&quot;parse-names&quot;:false,&quot;dropping-particle&quot;:&quot;&quot;,&quot;non-dropping-particle&quot;:&quot;&quot;},{&quot;family&quot;:&quot;Said&quot;,&quot;given&quot;:&quot;Jamaliah&quot;,&quot;parse-names&quot;:false,&quot;dropping-particle&quot;:&quot;&quot;,&quot;non-dropping-particle&quot;:&quot;&quot;},{&quot;family&quot;:&quot;Zamri&quot;,&quot;given&quot;:&quot;Mohamed&quot;,&quot;parse-names&quot;:false,&quot;dropping-particle&quot;:&quot;&quot;,&quot;non-dropping-particle&quot;:&quot;&quot;}],&quot;container-title&quot;:&quot;Management of Environmental Quality: An International Journal&quot;,&quot;DOI&quot;:&quot;10.1108/MEQ-03-2017-0033&quot;,&quot;ISSN&quot;:&quot;14777835&quot;,&quot;issued&quot;:{&quot;date-parts&quot;:[[2018]]},&quot;page&quot;:&quot;182-194&quot;,&quot;abstract&quot;:&quot;Purpose: The ESG factor, which consists of environmental, social, and governance factors, represents the non-financial performance of a company. United Nations Principles for Responsible Investment invites investors to consider ESG issues when evaluating the performance of any company. Moreover, nowadays, the contribution of corporations towards sustainable development is a major concern of investors, creditors, government, and other environmental agencies. Therefore, the purpose of this paper is to examine the impact of ESG factors on the performance of Malaysian public-limited companies (PLC) in terms of profitability, firm value, and cost of capital. Design/methodology/approach: A total of 54 companies are selected from Bloomberg’s ESG database that has complete ESG and financial data from 2010 to 2013. This study conducted panel data regressions such as the pooled OLS, fixed effect, and random effect. Findings: Based on the regression results, there is no significant relationship between individual and combined factors of ESG and firm profitability (i.e. ROE) as well as firm value (i.e. Tobin’s Q). Moreover, individually, none of the factors of ESG is significant with the cost of capital (weighted average cost of capital, WACC), but the combined score of ESG positively and significantly influences the cost of capital (WACC) of a company. Practical implications: As this is a new study on Malaysia, the findings of this study will be useful to investors, SRI analysts, policy makers, and other related agencies. Originality/value: To the best of the authors’ knowledge, this study is among the first empirical study to examine the impact of ESG factors on the performance of Malaysian PLC in terms of profitability, firm value, and cost of capital.&quot;,&quot;publisher&quot;:&quot;Emerald Group Publishing Ltd.&quot;,&quot;issue&quot;:&quot;2&quot;,&quot;volume&quot;:&quot;29&quot;,&quot;expandedJournalTitle&quot;:&quot;Management of Environmental Quality: An International Journal&quot;},&quot;isTemporary&quot;:false}],&quot;citationTag&quot;:&quot;MENDELEY_CITATION_v3_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&quot;},{&quot;citationID&quot;:&quot;MENDELEY_CITATION_84273db3-d2d1-4015-b304-01dbff921b32&quot;,&quot;properties&quot;:{&quot;noteIndex&quot;:0},&quot;isEdited&quot;:false,&quot;manualOverride&quot;:{&quot;isManuallyOverridden&quot;:true,&quot;citeprocText&quot;:&quot;(Yoon et al., 2018)&quot;,&quot;manualOverrideText&quot;:&quot;Yoon et al. (2018)&quot;},&quot;citationItems&quot;:[{&quot;id&quot;:&quot;a84381ee-4a7f-35d2-8f06-bb7086214b08&quot;,&quot;itemData&quot;:{&quot;type&quot;:&quot;article-journal&quot;,&quot;id&quot;:&quot;a84381ee-4a7f-35d2-8f06-bb7086214b08&quot;,&quot;title&quot;:&quot;Does ESG performance enhance firm value? Evidence from Korea&quot;,&quot;author&quot;:[{&quot;family&quot;:&quot;Yoon&quot;,&quot;given&quot;:&quot;Bohyun&quot;,&quot;parse-names&quot;:false,&quot;dropping-particle&quot;:&quot;&quot;,&quot;non-dropping-particle&quot;:&quot;&quot;},{&quot;family&quot;:&quot;Lee&quot;,&quot;given&quot;:&quot;Jeong Hwan&quot;,&quot;parse-names&quot;:false,&quot;dropping-particle&quot;:&quot;&quot;,&quot;non-dropping-particle&quot;:&quot;&quot;},{&quot;family&quot;:&quot;Byun&quot;,&quot;given&quot;:&quot;Ryan&quot;,&quot;parse-names&quot;:false,&quot;dropping-particle&quot;:&quot;&quot;,&quot;non-dropping-particle&quot;:&quot;&quot;}],&quot;container-title&quot;:&quot;Sustainability (Switzerland)&quot;,&quot;DOI&quot;:&quot;10.3390/su10103635&quot;,&quot;ISSN&quot;:&quot;20711050&quot;,&quot;issued&quot;:{&quot;date-parts&quot;:[[2018,10,11]]},&quot;abstract&quot;:&quot;We analyze whether a firm's corporate social responsibility (CSR) plays a significant role in promoting its market value in an emerging market, namely Korea. We employ environmental, social, and corporate governance (ESG) scores to evaluate CSR performances and examine their effect on firm valuation. We find that CSR practices positively and significantly affect a firm's market, in line with previous studies on developed countries. However, its impact on share prices can differ according to firm characteristics. For firms in environmentally sensitive industries, the value-creating effect of CSR is lesser than for firms that do not belong to sensitive industries. Specifically, corporate governance practice negatively influences the firm value of environmentally sensitive firms. Further, governance practice significantly promotes market value only for chaebols, while investors do not significantly value governance practice carried out by other firms. This finding suggests the value-enhancing effects of governance structure reformation in the former. This work mainly contributes to the literature by verifying a positive CSR-valuation relationship in emerging markets, which provides substantial policy and welfare implications in markets where governments play a major role in promoting CSR. A stronger valuation effect of CSR in chaebols may present economic background for the intervention of the Korean government in the reformation of chaebol.&quot;,&quot;publisher&quot;:&quot;MDPI AG&quot;,&quot;issue&quot;:&quot;10&quot;,&quot;volume&quot;:&quot;10&quot;,&quot;expandedJournalTitle&quot;:&quot;Sustainability (Switzerland)&quot;},&quot;isTemporary&quot;:false}],&quot;citationTag&quot;:&quot;MENDELEY_CITATION_v3_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&quot;},{&quot;citationID&quot;:&quot;MENDELEY_CITATION_3dda71b9-c242-468e-a588-f3d0a578174f&quot;,&quot;properties&quot;:{&quot;noteIndex&quot;:0},&quot;isEdited&quot;:false,&quot;manualOverride&quot;:{&quot;isManuallyOverridden&quot;:true,&quot;citeprocText&quot;:&quot;(Yoon et al., 2018)&quot;,&quot;manualOverrideText&quot;:&quot;Yoon et al. (2018)&quot;},&quot;citationItems&quot;:[{&quot;id&quot;:&quot;a84381ee-4a7f-35d2-8f06-bb7086214b08&quot;,&quot;itemData&quot;:{&quot;type&quot;:&quot;article-journal&quot;,&quot;id&quot;:&quot;a84381ee-4a7f-35d2-8f06-bb7086214b08&quot;,&quot;title&quot;:&quot;Does ESG performance enhance firm value? Evidence from Korea&quot;,&quot;author&quot;:[{&quot;family&quot;:&quot;Yoon&quot;,&quot;given&quot;:&quot;Bohyun&quot;,&quot;parse-names&quot;:false,&quot;dropping-particle&quot;:&quot;&quot;,&quot;non-dropping-particle&quot;:&quot;&quot;},{&quot;family&quot;:&quot;Lee&quot;,&quot;given&quot;:&quot;Jeong Hwan&quot;,&quot;parse-names&quot;:false,&quot;dropping-particle&quot;:&quot;&quot;,&quot;non-dropping-particle&quot;:&quot;&quot;},{&quot;family&quot;:&quot;Byun&quot;,&quot;given&quot;:&quot;Ryan&quot;,&quot;parse-names&quot;:false,&quot;dropping-particle&quot;:&quot;&quot;,&quot;non-dropping-particle&quot;:&quot;&quot;}],&quot;container-title&quot;:&quot;Sustainability (Switzerland)&quot;,&quot;DOI&quot;:&quot;10.3390/su10103635&quot;,&quot;ISSN&quot;:&quot;20711050&quot;,&quot;issued&quot;:{&quot;date-parts&quot;:[[2018,10,11]]},&quot;abstract&quot;:&quot;We analyze whether a firm's corporate social responsibility (CSR) plays a significant role in promoting its market value in an emerging market, namely Korea. We employ environmental, social, and corporate governance (ESG) scores to evaluate CSR performances and examine their effect on firm valuation. We find that CSR practices positively and significantly affect a firm's market, in line with previous studies on developed countries. However, its impact on share prices can differ according to firm characteristics. For firms in environmentally sensitive industries, the value-creating effect of CSR is lesser than for firms that do not belong to sensitive industries. Specifically, corporate governance practice negatively influences the firm value of environmentally sensitive firms. Further, governance practice significantly promotes market value only for chaebols, while investors do not significantly value governance practice carried out by other firms. This finding suggests the value-enhancing effects of governance structure reformation in the former. This work mainly contributes to the literature by verifying a positive CSR-valuation relationship in emerging markets, which provides substantial policy and welfare implications in markets where governments play a major role in promoting CSR. A stronger valuation effect of CSR in chaebols may present economic background for the intervention of the Korean government in the reformation of chaebol.&quot;,&quot;publisher&quot;:&quot;MDPI AG&quot;,&quot;issue&quot;:&quot;10&quot;,&quot;volume&quot;:&quot;10&quot;,&quot;expandedJournalTitle&quot;:&quot;Sustainability (Switzerland)&quot;},&quot;isTemporary&quot;:false}],&quot;citationTag&quot;:&quot;MENDELEY_CITATION_v3_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&quot;},{&quot;citationID&quot;:&quot;MENDELEY_CITATION_52941320-5c5b-417c-8672-461c21dbe4ec&quot;,&quot;properties&quot;:{&quot;noteIndex&quot;:0},&quot;isEdited&quot;:false,&quot;manualOverride&quot;:{&quot;isManuallyOverridden&quot;:false,&quot;citeprocText&quot;:&quot;(Alareeni &amp;#38; Hamdan, 2020)&quot;,&quot;manualOverrideText&quot;:&quot;&quot;},&quot;citationItems&quot;:[{&quot;id&quot;:&quot;f55ec3ab-ffd9-3fb4-bcc9-d3cbffcde323&quot;,&quot;itemData&quot;:{&quot;type&quot;:&quot;article-journal&quot;,&quot;id&quot;:&quot;f55ec3ab-ffd9-3fb4-bcc9-d3cbffcde323&quot;,&quot;title&quot;:&quot;ESG impact on performance of US S&amp;P 500-listed firms&quot;,&quot;author&quot;:[{&quot;family&quot;:&quot;Alareeni&quot;,&quot;given&quot;:&quot;Bahaaeddin Ahmed&quot;,&quot;parse-names&quot;:false,&quot;dropping-particle&quot;:&quot;&quot;,&quot;non-dropping-particle&quot;:&quot;&quot;},{&quot;family&quot;:&quot;Hamdan&quot;,&quot;given&quot;:&quot;Allam&quot;,&quot;parse-names&quot;:false,&quot;dropping-particle&quot;:&quot;&quot;,&quot;non-dropping-particle&quot;:&quot;&quot;}],&quot;container-title&quot;:&quot;Corporate Governance (Bingley)&quot;,&quot;DOI&quot;:&quot;10.1108/CG-06-2020-0258&quot;,&quot;ISSN&quot;:&quot;14720701&quot;,&quot;issued&quot;:{&quot;date-parts&quot;:[[2020,11,13]]},&quot;page&quot;:&quot;1409-1428&quot;,&quot;abstract&quot;:&quot;Purpose: This paper aims to investigate whether there are relationships among corporate disclosure of environmental, social and governance (ESG) and firms’ operational (ROA), financial (ROE) and market performance (Tobin’s Q), and if these relationships are positives or negatives or even neutral. Design/methodology/approach: The study sample covers US S&amp;P 500-listed companies during the period 2009 to 2018. Panel regression analysis was used to examine the study hypotheses and achieve the study aims. Findings: The results showed that ESG disclosure positively affects a firms’ performance measures. However, measuring ESG sub-components separately showed that environmental (EVN) and corporate social responsibility (CSR) disclosure is negatively associated with ROA and ROE. EVN and CSR disclosure is positively related to Tobin’s Q. Further, corporate governance (CG) disclosure is positively related to ROA and Tobin’s Q, and negatively related to ROE. More importantly, ESG, CSR, EVN and CG tend to be higher with firms that have high assets and high financial leverage. Furthermore, the higher level of ESG, EVN, CSR and CG disclosure, the higher the ROA and ROE. Originality/value: The study limns a vision of the role of ESG on firm performance. This study tries to determine whether there are relationships among all ESG disclosure and FP, and if they are positive, negative or even neutral.&quot;,&quot;publisher&quot;:&quot;Emerald Group Holdings Ltd.&quot;,&quot;issue&quot;:&quot;7&quot;,&quot;volume&quot;:&quot;20&quot;,&quot;expandedJournalTitle&quot;:&quot;Corporate Governance (Bingley)&quot;},&quot;isTemporary&quot;:false}],&quot;citationTag&quot;:&quot;MENDELEY_CITATION_v3_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&quot;},{&quot;citationID&quot;:&quot;MENDELEY_CITATION_3c41706b-8fd9-4525-b4fd-294dc274f373&quot;,&quot;properties&quot;:{&quot;noteIndex&quot;:0},&quot;isEdited&quot;:false,&quot;manualOverride&quot;:{&quot;isManuallyOverridden&quot;:true,&quot;citeprocText&quot;:&quot;(Wong et al., 2020)&quot;,&quot;manualOverrideText&quot;:&quot;Wong et al. (2020)&quot;},&quot;citationItems&quot;:[{&quot;id&quot;:&quot;d162e410-a9df-31c2-a1b7-4757d59e204f&quot;,&quot;itemData&quot;:{&quot;type&quot;:&quot;article-journal&quot;,&quot;id&quot;:&quot;d162e410-a9df-31c2-a1b7-4757d59e204f&quot;,&quot;title&quot;:&quot;Does ESG certification add firm value?&quot;,&quot;author&quot;:[{&quot;family&quot;:&quot;Wong&quot;,&quot;given&quot;:&quot;Woei Chyuan&quot;,&quot;parse-names&quot;:false,&quot;dropping-particle&quot;:&quot;&quot;,&quot;non-dropping-particle&quot;:&quot;&quot;},{&quot;family&quot;:&quot;Batten&quot;,&quot;given&quot;:&quot;Jonathan A.&quot;,&quot;parse-names&quot;:false,&quot;dropping-particle&quot;:&quot;&quot;,&quot;non-dropping-particle&quot;:&quot;&quot;},{&quot;family&quot;:&quot;Ahmad&quot;,&quot;given&quot;:&quot;Abd Halim&quot;,&quot;parse-names&quot;:false,&quot;dropping-particle&quot;:&quot;&quot;,&quot;non-dropping-particle&quot;:&quot;&quot;},{&quot;family&quot;:&quot;Mohamed-Arshad&quot;,&quot;given&quot;:&quot;Shamsul Bahrain&quot;,&quot;parse-names&quot;:false,&quot;dropping-particle&quot;:&quot;&quot;,&quot;non-dropping-particle&quot;:&quot;&quot;},{&quot;family&quot;:&quot;Nordin&quot;,&quot;given&quot;:&quot;Sabariah&quot;,&quot;parse-names&quot;:false,&quot;dropping-particle&quot;:&quot;&quot;,&quot;non-dropping-particle&quot;:&quot;&quot;},{&quot;family&quot;:&quot;Adzis&quot;,&quot;given&quot;:&quot;Azira Abdul&quot;,&quot;parse-names&quot;:false,&quot;dropping-particle&quot;:&quot;&quot;,&quot;non-dropping-particle&quot;:&quot;&quot;}],&quot;container-title&quot;:&quot;Finance Research Letters&quot;,&quot;DOI&quot;:&quot;10.1016/j.frl.2020.101593&quot;,&quot;ISSN&quot;:&quot;15446123&quot;,&quot;issued&quot;:{&quot;date-parts&quot;:[[2020,3,1]]},&quot;abstract&quot;:&quot;This paper examines the impact of environmental, social and governance (ESG) certification on Malaysian firms. The analysis shows that ESG certification lowers a firm's cost of capital, while Tobin's Q increases significantly. These findings, while consistent with existing studies in developed economies, demonstrate the value enhancement from corporate social responsibility disclosure by firms in emerging and developing nations. Overall, the study confirms the benefits to stakeholders from firms pursuing an ESG agenda.&quot;,&quot;publisher&quot;:&quot;Elsevier Ltd&quot;,&quot;volume&quot;:&quot;39&quot;,&quot;expandedJournalTitle&quot;:&quot;Finance Research Letters&quot;},&quot;isTemporary&quot;:false}],&quot;citationTag&quot;:&quot;MENDELEY_CITATION_v3_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&quot;},{&quot;citationID&quot;:&quot;MENDELEY_CITATION_9c328862-62e6-498b-bce4-89d27b1380a5&quot;,&quot;properties&quot;:{&quot;noteIndex&quot;:0},&quot;isEdited&quot;:false,&quot;manualOverride&quot;:{&quot;isManuallyOverridden&quot;:false,&quot;citeprocText&quot;:&quot;(Melinda &amp;#38; Wardhani, 2020)&quot;,&quot;manualOverrideText&quot;:&quot;&quot;},&quot;citationItems&quot;:[{&quot;id&quot;:&quot;8622e198-5904-3a96-a848-7a6d1d5e1703&quot;,&quot;itemData&quot;:{&quot;type&quot;:&quot;chapter&quot;,&quot;id&quot;:&quot;8622e198-5904-3a96-a848-7a6d1d5e1703&quot;,&quot;title&quot;:&quot;The Effect of Environmental, Social, Governance, and Controversies on Firms’ Value: Evidence from Asia&quot;,&quot;author&quot;:[{&quot;family&quot;:&quot;Melinda&quot;,&quot;given&quot;:&quot;Anna&quot;,&quot;parse-names&quot;:false,&quot;dropping-particle&quot;:&quot;&quot;,&quot;non-dropping-particle&quot;:&quot;&quot;},{&quot;family&quot;:&quot;Wardhani&quot;,&quot;given&quot;:&quot;Ratna&quot;,&quot;parse-names&quot;:false,&quot;dropping-particle&quot;:&quot;&quot;,&quot;non-dropping-particle&quot;:&quot;&quot;}],&quot;DOI&quot;:&quot;10.1108/s1571-038620200000027011&quot;,&quot;issued&quot;:{&quot;date-parts&quot;:[[2020,6,9]]},&quot;page&quot;:&quot;147-173&quot;,&quot;abstract&quot;:&quot;Abstract With the increasing understanding of stakeholders on sustainability aspects for the business, companies are nowadays paying more attention to environmental and social issues. This study aims to examine the relationship between Environmental, Social, Governance (ESG) Index and firms’ value. Moreover, this study also examines how the controversy score influences the company’s value. The authors employ a dataset of 1.356 companies from 22 countries in Asia which representing the Asian market from 2014 to 2018. This study shows that ESG index score and controversy score are statistically significant, affecting the firms’ value, measured by Tobin’s Q. From the individual tests, the findings of this study indicate that ESG-environmental, ESG-social, and ESG-governance, individually affect the firms’ value. This study suggests that providing disclosure on ESG aspects is essential, not only to increase company value but also to show the company resilience and sustainability. On the other hand, ESG controversy score surprisingly indicates a positive relationship with the company value. The result implies that controversies provide a positive signal to the investor because controversies could provide a signal to the public of companies’ willingness to have transparency and accountability.&quot;},&quot;isTemporary&quot;:false}],&quot;citationTag&quot;:&quot;MENDELEY_CITATION_v3_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&quot;},{&quot;citationID&quot;:&quot;MENDELEY_CITATION_186cdf13-55c9-40aa-9fd8-de8aa095759f&quot;,&quot;properties&quot;:{&quot;noteIndex&quot;:0},&quot;isEdited&quot;:false,&quot;manualOverride&quot;:{&quot;isManuallyOverridden&quot;:false,&quot;citeprocText&quot;:&quot;(Alareeni &amp;#38; Hamdan, 2020)&quot;,&quot;manualOverrideText&quot;:&quot;&quot;},&quot;citationItems&quot;:[{&quot;id&quot;:&quot;f55ec3ab-ffd9-3fb4-bcc9-d3cbffcde323&quot;,&quot;itemData&quot;:{&quot;type&quot;:&quot;article-journal&quot;,&quot;id&quot;:&quot;f55ec3ab-ffd9-3fb4-bcc9-d3cbffcde323&quot;,&quot;title&quot;:&quot;ESG impact on performance of US S&amp;P 500-listed firms&quot;,&quot;author&quot;:[{&quot;family&quot;:&quot;Alareeni&quot;,&quot;given&quot;:&quot;Bahaaeddin Ahmed&quot;,&quot;parse-names&quot;:false,&quot;dropping-particle&quot;:&quot;&quot;,&quot;non-dropping-particle&quot;:&quot;&quot;},{&quot;family&quot;:&quot;Hamdan&quot;,&quot;given&quot;:&quot;Allam&quot;,&quot;parse-names&quot;:false,&quot;dropping-particle&quot;:&quot;&quot;,&quot;non-dropping-particle&quot;:&quot;&quot;}],&quot;container-title&quot;:&quot;Corporate Governance (Bingley)&quot;,&quot;DOI&quot;:&quot;10.1108/CG-06-2020-0258&quot;,&quot;ISSN&quot;:&quot;14720701&quot;,&quot;issued&quot;:{&quot;date-parts&quot;:[[2020,11,13]]},&quot;page&quot;:&quot;1409-1428&quot;,&quot;abstract&quot;:&quot;Purpose: This paper aims to investigate whether there are relationships among corporate disclosure of environmental, social and governance (ESG) and firms’ operational (ROA), financial (ROE) and market performance (Tobin’s Q), and if these relationships are positives or negatives or even neutral. Design/methodology/approach: The study sample covers US S&amp;P 500-listed companies during the period 2009 to 2018. Panel regression analysis was used to examine the study hypotheses and achieve the study aims. Findings: The results showed that ESG disclosure positively affects a firms’ performance measures. However, measuring ESG sub-components separately showed that environmental (EVN) and corporate social responsibility (CSR) disclosure is negatively associated with ROA and ROE. EVN and CSR disclosure is positively related to Tobin’s Q. Further, corporate governance (CG) disclosure is positively related to ROA and Tobin’s Q, and negatively related to ROE. More importantly, ESG, CSR, EVN and CG tend to be higher with firms that have high assets and high financial leverage. Furthermore, the higher level of ESG, EVN, CSR and CG disclosure, the higher the ROA and ROE. Originality/value: The study limns a vision of the role of ESG on firm performance. This study tries to determine whether there are relationships among all ESG disclosure and FP, and if they are positive, negative or even neutral.&quot;,&quot;publisher&quot;:&quot;Emerald Group Holdings Ltd.&quot;,&quot;issue&quot;:&quot;7&quot;,&quot;volume&quot;:&quot;20&quot;,&quot;expandedJournalTitle&quot;:&quot;Corporate Governance (Bingley)&quot;},&quot;isTemporary&quot;:false}],&quot;citationTag&quot;:&quot;MENDELEY_CITATION_v3_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&quot;},{&quot;citationID&quot;:&quot;MENDELEY_CITATION_15031894-e998-4e08-9463-8618545f3f24&quot;,&quot;properties&quot;:{&quot;noteIndex&quot;:0},&quot;isEdited&quot;:false,&quot;manualOverride&quot;:{&quot;isManuallyOverridden&quot;:false,&quot;citeprocText&quot;:&quot;(Amalia &amp;#38; Rosdiana, 2020)&quot;,&quot;manualOverrideText&quot;:&quot;&quot;},&quot;citationItems&quot;:[{&quot;id&quot;:&quot;6f996204-42d0-36d6-aefd-dfd35134fee8&quot;,&quot;itemData&quot;:{&quot;type&quot;:&quot;article-journal&quot;,&quot;id&quot;:&quot;6f996204-42d0-36d6-aefd-dfd35134fee8&quot;,&quot;title&quot;:&quot;Pengaruh Corporate Governance dan Kinerja Lingkungan terhadap Nilai Perusahaan&quot;,&quot;author&quot;:[{&quot;family&quot;:&quot;Amalia&quot;,&quot;given&quot;:&quot;Icha&quot;,&quot;parse-names&quot;:false,&quot;dropping-particle&quot;:&quot;&quot;,&quot;non-dropping-particle&quot;:&quot;&quot;},{&quot;family&quot;:&quot;Rosdiana&quot;,&quot;given&quot;:&quot;Yuni&quot;,&quot;parse-names&quot;:false,&quot;dropping-particle&quot;:&quot;&quot;,&quot;non-dropping-particle&quot;:&quot;&quot;}],&quot;container-title&quot;:&quot;Prosiding Akuntansi&quot;,&quot;DOI&quot;:&quot;10.29313/.V6I2.23815&quot;,&quot;ISSN&quot;:&quot;2460-6561&quot;,&quot;issued&quot;:{&quot;date-parts&quot;:[[2020]]},&quot;abstract&quot;:&quot;This study aims to examine the influence of Corporate Governance (board of directors, audit committee, institutional ownership, and managerial ownership), environmental performance on company value. In general, a company tries to maintain business excellence to increase company value in each period. Companies that have a high level of corporate value are considered to be prosperous for shareholders and can attract investors to invest in the company. However, it is inversely proportional to the phenomenon that occurred at PT HERO that the poor performance was due to the declining performance of the food business and made HERO recorded that the company's value fell 5% from 13.6 trillion to 13 trillion. In combining the four corporate governance mechanisms (board of directors, audit committee, institutional ownership, and managerial ownership) into one composite variable using factor analysis, to measure environmental performance using the Company Performance Rating Rating Program in Environmental Management, and the company's value using Tobin's Q. The object of this research is manufacturing companies participating in PROPER listed on the Indonesia Stock Exchange (IDX) in 2014-2018. This study used a sample of 7 food and beverage subsector manufacturing companies listed on the Indonesia Stock Exchange (IDX) for the 2014-2018 period or 35 observations. The method used in this study is a quantitative method with a verification approach. Hypothesis testing is done by using the F test and t test. The sampling technique uses purposive sampling. The results of the study stated that corporate governance has a negative effect on firm value, and environmental performance has a positive effect on firm value.&quot;,&quot;volume&quot;:&quot;Vol 6, No 2&quot;,&quot;expandedJournalTitle&quot;:&quot;Prosiding Akuntansi&quot;},&quot;isTemporary&quot;:false}],&quot;citationTag&quot;:&quot;MENDELEY_CITATION_v3_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&quot;},{&quot;citationID&quot;:&quot;MENDELEY_CITATION_a4bff8e2-b790-496d-96d4-89e012d51598&quot;,&quot;properties&quot;:{&quot;noteIndex&quot;:0},&quot;isEdited&quot;:false,&quot;manualOverride&quot;:{&quot;isManuallyOverridden&quot;:false,&quot;citeprocText&quot;:&quot;(Mutmainah, 2015)&quot;,&quot;manualOverrideText&quot;:&quot;&quot;},&quot;citationItems&quot;:[{&quot;id&quot;:&quot;c110a39f-6b07-3f9f-af6c-c26dd0f56b57&quot;,&quot;itemData&quot;:{&quot;type&quot;:&quot;article-journal&quot;,&quot;id&quot;:&quot;c110a39f-6b07-3f9f-af6c-c26dd0f56b57&quot;,&quot;title&quot;:&quot;ANALISIS GOOD CORPORATE GOVERNANCE TERHADAP NILAI PERUSAHAAN&quot;,&quot;author&quot;:[{&quot;family&quot;:&quot;Mutmainah&quot;,&quot;given&quot;:&quot;&quot;,&quot;parse-names&quot;:false,&quot;dropping-particle&quot;:&quot;&quot;,&quot;non-dropping-particle&quot;:&quot;&quot;}],&quot;container-title&quot;:&quot;Eksis: Jurnal Riset Ekonomi dan Bisnis&quot;,&quot;ISSN&quot;:&quot;1907-7513&quot;,&quot;issued&quot;:{&quot;date-parts&quot;:[[2015,10]]},&quot;volume&quot;:&quot;Volume X No 2&quot;,&quot;expandedJournalTitle&quot;:&quot;Eksis: Jurnal Riset Ekonomi dan Bisnis&quot;},&quot;isTemporary&quot;:false}],&quot;citationTag&quot;:&quot;MENDELEY_CITATION_v3_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D6726-0644-4462-82D7-1CA7A537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2022-04-09T05:58:00Z</dcterms:created>
  <dcterms:modified xsi:type="dcterms:W3CDTF">2022-04-09T05:58:00Z</dcterms:modified>
</cp:coreProperties>
</file>