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7C3D" w:rsidRDefault="005A7C3D"/>
    <w:p w:rsidR="005A7C3D" w:rsidRDefault="00000000">
      <w:pPr>
        <w:jc w:val="both"/>
        <w:rPr>
          <w:rFonts w:ascii="Times New Roman" w:eastAsia="Times New Roman" w:hAnsi="Times New Roman" w:cs="Times New Roman"/>
          <w:sz w:val="24"/>
          <w:szCs w:val="24"/>
        </w:rPr>
      </w:pPr>
      <w:r>
        <w:rPr>
          <w:noProof/>
          <w:sz w:val="20"/>
          <w:szCs w:val="20"/>
        </w:rPr>
        <w:drawing>
          <wp:inline distT="0" distB="0" distL="0" distR="0">
            <wp:extent cx="5732145" cy="1007142"/>
            <wp:effectExtent l="0" t="0" r="0" b="0"/>
            <wp:docPr id="17" name="image2.png" descr="D:\Insisiva Dental Journal\SIRAHAN Insisiva Dental Journal_ Majalah Kedokteran Gigi Insisiva.png"/>
            <wp:cNvGraphicFramePr/>
            <a:graphic xmlns:a="http://schemas.openxmlformats.org/drawingml/2006/main">
              <a:graphicData uri="http://schemas.openxmlformats.org/drawingml/2006/picture">
                <pic:pic xmlns:pic="http://schemas.openxmlformats.org/drawingml/2006/picture">
                  <pic:nvPicPr>
                    <pic:cNvPr id="0" name="image2.png" descr="D:\Insisiva Dental Journal\SIRAHAN Insisiva Dental Journal_ Majalah Kedokteran Gigi Insisiva.png"/>
                    <pic:cNvPicPr preferRelativeResize="0"/>
                  </pic:nvPicPr>
                  <pic:blipFill>
                    <a:blip r:embed="rId8"/>
                    <a:srcRect/>
                    <a:stretch>
                      <a:fillRect/>
                    </a:stretch>
                  </pic:blipFill>
                  <pic:spPr>
                    <a:xfrm>
                      <a:off x="0" y="0"/>
                      <a:ext cx="5732145" cy="1007142"/>
                    </a:xfrm>
                    <a:prstGeom prst="rect">
                      <a:avLst/>
                    </a:prstGeom>
                    <a:ln/>
                  </pic:spPr>
                </pic:pic>
              </a:graphicData>
            </a:graphic>
          </wp:inline>
        </w:drawing>
      </w:r>
      <w:r>
        <w:rPr>
          <w:rFonts w:ascii="Times New Roman" w:eastAsia="Times New Roman" w:hAnsi="Times New Roman" w:cs="Times New Roman"/>
          <w:b/>
          <w:sz w:val="24"/>
          <w:szCs w:val="24"/>
        </w:rPr>
        <w:t>Research Articles</w:t>
      </w:r>
    </w:p>
    <w:p w:rsidR="005A7C3D"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THE RELATIONSHIP OF MOTHER'S BEHAVIOR TOWARDS CHILDREN'S DENTAL HEALTH MAINTENANCE AND THE INCIDENT OF EARLY CHILDHOOD CARIES (ECC)</w:t>
      </w:r>
    </w:p>
    <w:p w:rsidR="005A7C3D" w:rsidRDefault="00000000">
      <w:pPr>
        <w:widowControl w:val="0"/>
        <w:spacing w:before="123"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Sari Aldilawati</w:t>
      </w:r>
      <w:r w:rsidRPr="00AA0107">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 Nur Fadhilah Arifin</w:t>
      </w:r>
      <w:r w:rsidRPr="00AA0107">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Syamsiah</w:t>
      </w:r>
      <w:proofErr w:type="spellEnd"/>
      <w:r>
        <w:rPr>
          <w:rFonts w:ascii="Times New Roman" w:eastAsia="Times New Roman" w:hAnsi="Times New Roman" w:cs="Times New Roman"/>
          <w:b/>
          <w:sz w:val="20"/>
          <w:szCs w:val="20"/>
        </w:rPr>
        <w:t xml:space="preserve"> Syam</w:t>
      </w:r>
      <w:r w:rsidRPr="00AA0107">
        <w:rPr>
          <w:rFonts w:ascii="Times New Roman" w:eastAsia="Times New Roman" w:hAnsi="Times New Roman" w:cs="Times New Roman"/>
          <w:b/>
          <w:sz w:val="20"/>
          <w:szCs w:val="20"/>
          <w:vertAlign w:val="superscript"/>
        </w:rPr>
        <w:t>3</w:t>
      </w:r>
      <w:r>
        <w:rPr>
          <w:rFonts w:ascii="Times New Roman" w:eastAsia="Times New Roman" w:hAnsi="Times New Roman" w:cs="Times New Roman"/>
          <w:b/>
          <w:sz w:val="20"/>
          <w:szCs w:val="20"/>
        </w:rPr>
        <w:t>, Erna Irawati A</w:t>
      </w:r>
      <w:r w:rsidRPr="00AA0107">
        <w:rPr>
          <w:rFonts w:ascii="Times New Roman" w:eastAsia="Times New Roman" w:hAnsi="Times New Roman" w:cs="Times New Roman"/>
          <w:b/>
          <w:sz w:val="20"/>
          <w:szCs w:val="20"/>
          <w:vertAlign w:val="superscript"/>
        </w:rPr>
        <w:t>4</w:t>
      </w:r>
      <w:r>
        <w:rPr>
          <w:rFonts w:ascii="Times New Roman" w:eastAsia="Times New Roman" w:hAnsi="Times New Roman" w:cs="Times New Roman"/>
          <w:b/>
          <w:sz w:val="20"/>
          <w:szCs w:val="20"/>
        </w:rPr>
        <w:t>, Nur Asyfa</w:t>
      </w:r>
      <w:r w:rsidRPr="00AA0107">
        <w:rPr>
          <w:rFonts w:ascii="Times New Roman" w:eastAsia="Times New Roman" w:hAnsi="Times New Roman" w:cs="Times New Roman"/>
          <w:b/>
          <w:sz w:val="20"/>
          <w:szCs w:val="20"/>
          <w:vertAlign w:val="superscript"/>
        </w:rPr>
        <w:t>5</w:t>
      </w:r>
    </w:p>
    <w:p w:rsidR="00E86F88" w:rsidRDefault="00E86F88" w:rsidP="00E86F88">
      <w:pPr>
        <w:widowControl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vertAlign w:val="superscript"/>
        </w:rPr>
        <w:t>1</w:t>
      </w:r>
      <w:r w:rsidRPr="00D02898">
        <w:rPr>
          <w:rFonts w:ascii="Times New Roman" w:eastAsia="Times New Roman" w:hAnsi="Times New Roman" w:cs="Times New Roman"/>
          <w:sz w:val="16"/>
          <w:szCs w:val="16"/>
          <w:vertAlign w:val="superscript"/>
        </w:rPr>
        <w:t>,2</w:t>
      </w:r>
      <w:r>
        <w:rPr>
          <w:rFonts w:ascii="Times New Roman" w:eastAsia="Times New Roman" w:hAnsi="Times New Roman" w:cs="Times New Roman"/>
          <w:sz w:val="16"/>
          <w:szCs w:val="16"/>
          <w:vertAlign w:val="superscript"/>
        </w:rPr>
        <w:t xml:space="preserve"> </w:t>
      </w:r>
      <w:r w:rsidRPr="00D02898">
        <w:rPr>
          <w:rFonts w:ascii="Times New Roman" w:eastAsia="Times New Roman" w:hAnsi="Times New Roman" w:cs="Times New Roman"/>
          <w:sz w:val="16"/>
          <w:szCs w:val="16"/>
        </w:rPr>
        <w:t>Department of Dental Public Health, Faculty of Dentistry, Universitas Muslim Indonesia, South Sulawesi, Indonesia</w:t>
      </w:r>
      <w:r w:rsidRPr="00D02898">
        <w:rPr>
          <w:rFonts w:ascii="Times New Roman" w:eastAsia="Times New Roman" w:hAnsi="Times New Roman" w:cs="Times New Roman"/>
          <w:sz w:val="16"/>
          <w:szCs w:val="16"/>
        </w:rPr>
        <w:cr/>
      </w:r>
      <w:r>
        <w:rPr>
          <w:rFonts w:ascii="Times New Roman" w:eastAsia="Times New Roman" w:hAnsi="Times New Roman" w:cs="Times New Roman"/>
          <w:sz w:val="16"/>
          <w:szCs w:val="16"/>
          <w:vertAlign w:val="superscript"/>
        </w:rPr>
        <w:t>3</w:t>
      </w:r>
      <w:r>
        <w:rPr>
          <w:rFonts w:ascii="Times New Roman" w:eastAsia="Times New Roman" w:hAnsi="Times New Roman" w:cs="Times New Roman"/>
          <w:sz w:val="16"/>
          <w:szCs w:val="16"/>
        </w:rPr>
        <w:t xml:space="preserve"> </w:t>
      </w:r>
      <w:r w:rsidRPr="00D02898">
        <w:rPr>
          <w:rFonts w:ascii="Times New Roman" w:eastAsia="Times New Roman" w:hAnsi="Times New Roman" w:cs="Times New Roman"/>
          <w:sz w:val="16"/>
          <w:szCs w:val="16"/>
        </w:rPr>
        <w:t xml:space="preserve">Department of Conservative Dentistry, Faculty of Dentistry, </w:t>
      </w:r>
      <w:bookmarkStart w:id="0" w:name="_Hlk163934065"/>
      <w:r w:rsidRPr="00D02898">
        <w:rPr>
          <w:rFonts w:ascii="Times New Roman" w:eastAsia="Times New Roman" w:hAnsi="Times New Roman" w:cs="Times New Roman"/>
          <w:sz w:val="16"/>
          <w:szCs w:val="16"/>
        </w:rPr>
        <w:t>Universitas Muslim Indonesia, South Sulawesi, Indonesia</w:t>
      </w:r>
      <w:bookmarkEnd w:id="0"/>
    </w:p>
    <w:p w:rsidR="00E86F88" w:rsidRDefault="00E86F88" w:rsidP="00E86F88">
      <w:pPr>
        <w:widowControl w:val="0"/>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vertAlign w:val="superscript"/>
        </w:rPr>
        <w:t>4</w:t>
      </w:r>
      <w:r w:rsidRPr="00D02898">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 xml:space="preserve">Department of Oral Pathology, Faculty of  </w:t>
      </w:r>
      <w:proofErr w:type="spellStart"/>
      <w:r>
        <w:rPr>
          <w:rFonts w:ascii="Times New Roman" w:eastAsia="Times New Roman" w:hAnsi="Times New Roman" w:cs="Times New Roman"/>
          <w:sz w:val="16"/>
          <w:szCs w:val="16"/>
        </w:rPr>
        <w:t>Dentistry</w:t>
      </w:r>
      <w:r>
        <w:t>,</w:t>
      </w:r>
      <w:r w:rsidRPr="00D02898">
        <w:rPr>
          <w:rFonts w:ascii="Times New Roman" w:eastAsia="Times New Roman" w:hAnsi="Times New Roman" w:cs="Times New Roman"/>
          <w:sz w:val="16"/>
          <w:szCs w:val="16"/>
        </w:rPr>
        <w:t>Universitas</w:t>
      </w:r>
      <w:proofErr w:type="spellEnd"/>
      <w:r w:rsidRPr="00D02898">
        <w:rPr>
          <w:rFonts w:ascii="Times New Roman" w:eastAsia="Times New Roman" w:hAnsi="Times New Roman" w:cs="Times New Roman"/>
          <w:sz w:val="16"/>
          <w:szCs w:val="16"/>
        </w:rPr>
        <w:t xml:space="preserve"> Muslim Indonesia, South Sulawesi</w:t>
      </w:r>
    </w:p>
    <w:p w:rsidR="00E86F88" w:rsidRDefault="00E86F88" w:rsidP="00E86F88">
      <w:pPr>
        <w:widowControl w:val="0"/>
        <w:spacing w:before="8" w:after="0" w:line="240" w:lineRule="auto"/>
        <w:rPr>
          <w:rFonts w:ascii="Times New Roman" w:eastAsia="Times New Roman" w:hAnsi="Times New Roman" w:cs="Times New Roman"/>
          <w:sz w:val="19"/>
          <w:szCs w:val="19"/>
        </w:rPr>
      </w:pPr>
    </w:p>
    <w:p w:rsidR="005A7C3D" w:rsidRDefault="00000000">
      <w:pPr>
        <w:widowControl w:val="0"/>
        <w:spacing w:after="0" w:line="204" w:lineRule="auto"/>
        <w:ind w:right="5930"/>
        <w:rPr>
          <w:rFonts w:ascii="Times New Roman" w:eastAsia="Times New Roman" w:hAnsi="Times New Roman" w:cs="Times New Roman"/>
          <w:color w:val="FF0000"/>
          <w:sz w:val="16"/>
          <w:szCs w:val="16"/>
        </w:rPr>
      </w:pPr>
      <w:r>
        <w:rPr>
          <w:rFonts w:ascii="Times New Roman" w:eastAsia="Times New Roman" w:hAnsi="Times New Roman" w:cs="Times New Roman"/>
          <w:color w:val="FF0000"/>
          <w:sz w:val="16"/>
          <w:szCs w:val="16"/>
        </w:rPr>
        <w:t>Date received:...; revision date:...; accepted:. DOI:</w:t>
      </w:r>
    </w:p>
    <w:p w:rsidR="00AA0107" w:rsidRDefault="00AA0107">
      <w:pPr>
        <w:widowControl w:val="0"/>
        <w:spacing w:after="0" w:line="204" w:lineRule="auto"/>
        <w:ind w:right="5930"/>
        <w:rPr>
          <w:rFonts w:ascii="Times New Roman" w:eastAsia="Times New Roman" w:hAnsi="Times New Roman" w:cs="Times New Roman"/>
          <w:color w:val="FF0000"/>
          <w:sz w:val="16"/>
          <w:szCs w:val="16"/>
        </w:rPr>
      </w:pPr>
    </w:p>
    <w:p w:rsidR="00AA0107" w:rsidRDefault="00AA0107">
      <w:pPr>
        <w:widowControl w:val="0"/>
        <w:spacing w:after="0" w:line="204" w:lineRule="auto"/>
        <w:ind w:right="5930"/>
        <w:rPr>
          <w:rFonts w:ascii="Times New Roman" w:eastAsia="Times New Roman" w:hAnsi="Times New Roman" w:cs="Times New Roman"/>
          <w:color w:val="FF0000"/>
          <w:sz w:val="16"/>
          <w:szCs w:val="16"/>
        </w:rPr>
      </w:pPr>
    </w:p>
    <w:p w:rsidR="00AA0107" w:rsidRDefault="00AA0107">
      <w:pPr>
        <w:jc w:val="both"/>
        <w:rPr>
          <w:rFonts w:ascii="Times New Roman" w:eastAsia="Times New Roman" w:hAnsi="Times New Roman" w:cs="Times New Roman"/>
          <w:sz w:val="16"/>
          <w:szCs w:val="16"/>
        </w:rPr>
      </w:pPr>
      <w:r>
        <w:rPr>
          <w:rFonts w:ascii="Times New Roman" w:hAnsi="Times New Roman" w:cs="Times New Roman"/>
          <w:noProof/>
          <w:sz w:val="24"/>
          <w:vertAlign w:val="superscript"/>
        </w:rPr>
        <mc:AlternateContent>
          <mc:Choice Requires="wps">
            <w:drawing>
              <wp:anchor distT="0" distB="0" distL="114300" distR="114300" simplePos="0" relativeHeight="251663360" behindDoc="0" locked="0" layoutInCell="1" allowOverlap="1" wp14:anchorId="73F78E55" wp14:editId="7B1C42BE">
                <wp:simplePos x="0" y="0"/>
                <wp:positionH relativeFrom="column">
                  <wp:posOffset>0</wp:posOffset>
                </wp:positionH>
                <wp:positionV relativeFrom="paragraph">
                  <wp:posOffset>-635</wp:posOffset>
                </wp:positionV>
                <wp:extent cx="5736566"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5736566"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0C2B9F9"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5pt" to="45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" strokecolor="windowText" strokeweight="1.25pt"/>
            </w:pict>
          </mc:Fallback>
        </mc:AlternateContent>
      </w:r>
    </w:p>
    <w:p w:rsidR="005A7C3D" w:rsidRPr="00AA0107" w:rsidRDefault="00000000" w:rsidP="00AA010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5A7C3D" w:rsidRDefault="00000000">
      <w:pPr>
        <w:ind w:right="-4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General health is influenced by dental and oral health, which is an essential component of it. Toddlers experience tooth decay more quickly than adults do. This is because the enamel on freshly erupted teeth is still developing and is therefore more prone to caries. Aside from that, another common poor habit is parents ignoring their kids' bad habits by drinking irresponsibly and for extended periods of time from bottles. Early Childhood Caries is defined as having one or more teeth that are damaged (having cavities or not) and tooth loss on the surface of primary teeth caused by caries or fillings in children 71 months of age or younger. Children's oral and dental health is significantly influenced by the actions of their parents, particularly mothers. The state of mothers' and their children's oral health is significantly </w:t>
      </w:r>
      <w:proofErr w:type="spellStart"/>
      <w:r>
        <w:rPr>
          <w:rFonts w:ascii="Times New Roman" w:eastAsia="Times New Roman" w:hAnsi="Times New Roman" w:cs="Times New Roman"/>
          <w:sz w:val="20"/>
          <w:szCs w:val="20"/>
        </w:rPr>
        <w:t>correlated.This</w:t>
      </w:r>
      <w:proofErr w:type="spellEnd"/>
      <w:r>
        <w:rPr>
          <w:rFonts w:ascii="Times New Roman" w:eastAsia="Times New Roman" w:hAnsi="Times New Roman" w:cs="Times New Roman"/>
          <w:sz w:val="20"/>
          <w:szCs w:val="20"/>
        </w:rPr>
        <w:t xml:space="preserve"> study intends to ascertain if maternal conduct with regard to preserving the dental health of her offspring and the frequency of Early Childhood Caries (ECC) are related (Review in </w:t>
      </w:r>
      <w:proofErr w:type="spellStart"/>
      <w:r>
        <w:rPr>
          <w:rFonts w:ascii="Times New Roman" w:eastAsia="Times New Roman" w:hAnsi="Times New Roman" w:cs="Times New Roman"/>
          <w:sz w:val="20"/>
          <w:szCs w:val="20"/>
        </w:rPr>
        <w:t>Mannanti</w:t>
      </w:r>
      <w:proofErr w:type="spellEnd"/>
      <w:r>
        <w:rPr>
          <w:rFonts w:ascii="Times New Roman" w:eastAsia="Times New Roman" w:hAnsi="Times New Roman" w:cs="Times New Roman"/>
          <w:sz w:val="20"/>
          <w:szCs w:val="20"/>
        </w:rPr>
        <w:t xml:space="preserve"> Village, </w:t>
      </w:r>
      <w:proofErr w:type="spellStart"/>
      <w:r>
        <w:rPr>
          <w:rFonts w:ascii="Times New Roman" w:eastAsia="Times New Roman" w:hAnsi="Times New Roman" w:cs="Times New Roman"/>
          <w:sz w:val="20"/>
          <w:szCs w:val="20"/>
        </w:rPr>
        <w:t>Sinjai</w:t>
      </w:r>
      <w:proofErr w:type="spellEnd"/>
      <w:r>
        <w:rPr>
          <w:rFonts w:ascii="Times New Roman" w:eastAsia="Times New Roman" w:hAnsi="Times New Roman" w:cs="Times New Roman"/>
          <w:sz w:val="20"/>
          <w:szCs w:val="20"/>
        </w:rPr>
        <w:t xml:space="preserve"> Regency). This study combines a cross-sectional analytical research design with a correlative descriptive research design. The Spearman correlation test is the statistical method employed. Maternal conduct and the preservation of children's dental health are significantly correlated, as indicated by the Spearman rank correlation test results, which had a p-value of 0.000, which is less than 0.05 (p-value &lt;0.05). Based on the study's findings, it can be said that early childhood caries (ECC) incidence and mother behavior toward preserving her kids' oral health are related (Review in </w:t>
      </w:r>
      <w:proofErr w:type="spellStart"/>
      <w:r>
        <w:rPr>
          <w:rFonts w:ascii="Times New Roman" w:eastAsia="Times New Roman" w:hAnsi="Times New Roman" w:cs="Times New Roman"/>
          <w:sz w:val="20"/>
          <w:szCs w:val="20"/>
        </w:rPr>
        <w:t>Mannanti</w:t>
      </w:r>
      <w:proofErr w:type="spellEnd"/>
      <w:r>
        <w:rPr>
          <w:rFonts w:ascii="Times New Roman" w:eastAsia="Times New Roman" w:hAnsi="Times New Roman" w:cs="Times New Roman"/>
          <w:sz w:val="20"/>
          <w:szCs w:val="20"/>
        </w:rPr>
        <w:t xml:space="preserve"> Village, </w:t>
      </w:r>
      <w:proofErr w:type="spellStart"/>
      <w:r>
        <w:rPr>
          <w:rFonts w:ascii="Times New Roman" w:eastAsia="Times New Roman" w:hAnsi="Times New Roman" w:cs="Times New Roman"/>
          <w:sz w:val="20"/>
          <w:szCs w:val="20"/>
        </w:rPr>
        <w:t>Sinjai</w:t>
      </w:r>
      <w:proofErr w:type="spellEnd"/>
      <w:r>
        <w:rPr>
          <w:rFonts w:ascii="Times New Roman" w:eastAsia="Times New Roman" w:hAnsi="Times New Roman" w:cs="Times New Roman"/>
          <w:sz w:val="20"/>
          <w:szCs w:val="20"/>
        </w:rPr>
        <w:t xml:space="preserve"> Regency).</w:t>
      </w:r>
    </w:p>
    <w:p w:rsidR="00AA0107" w:rsidRDefault="00AA0107" w:rsidP="00AA0107">
      <w:pPr>
        <w:spacing w:line="199" w:lineRule="auto"/>
        <w:ind w:right="30"/>
        <w:jc w:val="both"/>
        <w:rPr>
          <w:rFonts w:ascii="Times New Roman" w:eastAsia="Times New Roman" w:hAnsi="Times New Roman" w:cs="Times New Roman"/>
          <w:sz w:val="24"/>
          <w:szCs w:val="24"/>
          <w:vertAlign w:val="superscript"/>
        </w:rPr>
      </w:pPr>
      <w:r>
        <w:rPr>
          <w:rFonts w:ascii="Times New Roman" w:hAnsi="Times New Roman" w:cs="Times New Roman"/>
          <w:noProof/>
          <w:sz w:val="24"/>
          <w:vertAlign w:val="superscript"/>
        </w:rPr>
        <mc:AlternateContent>
          <mc:Choice Requires="wps">
            <w:drawing>
              <wp:anchor distT="0" distB="0" distL="114300" distR="114300" simplePos="0" relativeHeight="251665408" behindDoc="0" locked="0" layoutInCell="1" allowOverlap="1" wp14:anchorId="4D2DDE9D" wp14:editId="73C21B07">
                <wp:simplePos x="0" y="0"/>
                <wp:positionH relativeFrom="column">
                  <wp:posOffset>0</wp:posOffset>
                </wp:positionH>
                <wp:positionV relativeFrom="paragraph">
                  <wp:posOffset>139418</wp:posOffset>
                </wp:positionV>
                <wp:extent cx="5736566" cy="0"/>
                <wp:effectExtent l="0" t="0" r="17145" b="19050"/>
                <wp:wrapNone/>
                <wp:docPr id="4" name="Straight Connector 4"/>
                <wp:cNvGraphicFramePr/>
                <a:graphic xmlns:a="http://schemas.openxmlformats.org/drawingml/2006/main">
                  <a:graphicData uri="http://schemas.microsoft.com/office/word/2010/wordprocessingShape">
                    <wps:wsp>
                      <wps:cNvCnPr/>
                      <wps:spPr>
                        <a:xfrm>
                          <a:off x="0" y="0"/>
                          <a:ext cx="5736566"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F30C87" id="Straight Connector 4"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51.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" strokecolor="windowText" strokeweight="1.25pt"/>
            </w:pict>
          </mc:Fallback>
        </mc:AlternateContent>
      </w: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Behavior, Caring for Children's Dental Health, Early Childhood Caries</w:t>
      </w:r>
      <w:r>
        <w:rPr>
          <w:rFonts w:ascii="Times New Roman" w:eastAsia="Times New Roman" w:hAnsi="Times New Roman" w:cs="Times New Roman"/>
          <w:sz w:val="24"/>
          <w:szCs w:val="24"/>
          <w:vertAlign w:val="superscript"/>
        </w:rPr>
        <w:t xml:space="preserve"> </w:t>
      </w:r>
    </w:p>
    <w:p w:rsidR="005A7C3D" w:rsidRPr="00AA0107" w:rsidRDefault="00000000" w:rsidP="00AA0107">
      <w:pPr>
        <w:spacing w:line="199" w:lineRule="auto"/>
        <w:ind w:right="30"/>
        <w:jc w:val="both"/>
        <w:rPr>
          <w:rFonts w:ascii="Times New Roman" w:eastAsia="Times New Roman" w:hAnsi="Times New Roman" w:cs="Times New Roman"/>
          <w:sz w:val="24"/>
          <w:szCs w:val="24"/>
          <w:vertAlign w:val="superscript"/>
        </w:rPr>
        <w:sectPr w:rsidR="005A7C3D" w:rsidRPr="00AA0107" w:rsidSect="00B30FD9">
          <w:pgSz w:w="11907" w:h="16839"/>
          <w:pgMar w:top="1440" w:right="1440" w:bottom="1440" w:left="1440" w:header="720" w:footer="720" w:gutter="0"/>
          <w:pgNumType w:start="1"/>
          <w:cols w:space="720"/>
        </w:sectPr>
      </w:pPr>
      <w:r>
        <w:rPr>
          <w:noProof/>
        </w:rPr>
        <mc:AlternateContent>
          <mc:Choice Requires="wps">
            <w:drawing>
              <wp:anchor distT="0" distB="0" distL="114300" distR="114300" simplePos="0" relativeHeight="251660288" behindDoc="0" locked="0" layoutInCell="1" hidden="0" allowOverlap="1">
                <wp:simplePos x="0" y="0"/>
                <wp:positionH relativeFrom="column">
                  <wp:posOffset>1</wp:posOffset>
                </wp:positionH>
                <wp:positionV relativeFrom="paragraph">
                  <wp:posOffset>127000</wp:posOffset>
                </wp:positionV>
                <wp:extent cx="0" cy="15875"/>
                <wp:effectExtent l="0" t="0" r="0" b="0"/>
                <wp:wrapNone/>
                <wp:docPr id="16" name="Konektor Panah Lurus 16"/>
                <wp:cNvGraphicFramePr/>
                <a:graphic xmlns:a="http://schemas.openxmlformats.org/drawingml/2006/main">
                  <a:graphicData uri="http://schemas.microsoft.com/office/word/2010/wordprocessingShape">
                    <wps:wsp>
                      <wps:cNvCnPr/>
                      <wps:spPr>
                        <a:xfrm>
                          <a:off x="2477717" y="3780000"/>
                          <a:ext cx="5736566" cy="0"/>
                        </a:xfrm>
                        <a:prstGeom prst="straightConnector1">
                          <a:avLst/>
                        </a:prstGeom>
                        <a:noFill/>
                        <a:ln w="1587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0" cy="15875"/>
                <wp:effectExtent b="0" l="0" r="0" t="0"/>
                <wp:wrapNone/>
                <wp:docPr id="16"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0" cy="15875"/>
                        </a:xfrm>
                        <a:prstGeom prst="rect"/>
                        <a:ln/>
                      </pic:spPr>
                    </pic:pic>
                  </a:graphicData>
                </a:graphic>
              </wp:anchor>
            </w:drawing>
          </mc:Fallback>
        </mc:AlternateContent>
      </w:r>
      <w:r>
        <w:rPr>
          <w:rFonts w:ascii="Times New Roman" w:eastAsia="Times New Roman" w:hAnsi="Times New Roman" w:cs="Times New Roman"/>
          <w:b/>
          <w:sz w:val="24"/>
          <w:szCs w:val="24"/>
        </w:rPr>
        <w:t>INTRODUCTION</w:t>
      </w:r>
    </w:p>
    <w:p w:rsidR="00AA0107" w:rsidRDefault="00000000" w:rsidP="00290037">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General health is influenced by dental and oral health, which is a basic component of overall health. According to experts, it's an oral and dental illness</w:t>
      </w:r>
      <w:r w:rsidR="00AA0107">
        <w:rPr>
          <w:rFonts w:ascii="Times New Roman" w:eastAsia="Times New Roman" w:hAnsi="Times New Roman" w:cs="Times New Roman"/>
          <w:sz w:val="24"/>
          <w:szCs w:val="24"/>
        </w:rPr>
        <w:t xml:space="preserve"> is a behavioral disease or a disease that is direc</w:t>
      </w:r>
      <w:r w:rsidR="00290037">
        <w:rPr>
          <w:rFonts w:ascii="Times New Roman" w:eastAsia="Times New Roman" w:hAnsi="Times New Roman" w:cs="Times New Roman"/>
          <w:sz w:val="24"/>
          <w:szCs w:val="24"/>
        </w:rPr>
        <w:t xml:space="preserve">tly related to a person's behavior, </w:t>
      </w:r>
    </w:p>
    <w:p w:rsidR="005A7C3D" w:rsidRDefault="00AA0107">
      <w:pPr>
        <w:spacing w:after="0"/>
        <w:ind w:firstLine="720"/>
        <w:jc w:val="both"/>
        <w:rPr>
          <w:rFonts w:ascii="Times New Roman" w:eastAsia="Times New Roman" w:hAnsi="Times New Roman" w:cs="Times New Roman"/>
          <w:sz w:val="15"/>
          <w:szCs w:val="15"/>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150EB1A" wp14:editId="28582D59">
                <wp:simplePos x="0" y="0"/>
                <wp:positionH relativeFrom="column">
                  <wp:posOffset>0</wp:posOffset>
                </wp:positionH>
                <wp:positionV relativeFrom="paragraph">
                  <wp:posOffset>124460</wp:posOffset>
                </wp:positionV>
                <wp:extent cx="2423795"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42379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D88DBD" id="Straight Connector 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9.8pt" to="190.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" strokecolor="black [3040]"/>
            </w:pict>
          </mc:Fallback>
        </mc:AlternateContent>
      </w:r>
      <w:r>
        <w:rPr>
          <w:rFonts w:ascii="Times New Roman" w:eastAsia="Times New Roman" w:hAnsi="Times New Roman" w:cs="Times New Roman"/>
          <w:sz w:val="24"/>
          <w:szCs w:val="24"/>
        </w:rPr>
        <w:t xml:space="preserve"> </w:t>
      </w:r>
    </w:p>
    <w:p w:rsidR="00AA0107" w:rsidRDefault="00000000" w:rsidP="00AA0107">
      <w:pPr>
        <w:spacing w:after="0"/>
        <w:rPr>
          <w:rFonts w:ascii="Times New Roman" w:eastAsia="Times New Roman" w:hAnsi="Times New Roman" w:cs="Times New Roman"/>
          <w:sz w:val="24"/>
          <w:szCs w:val="24"/>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Sari Aldilawati, </w:t>
      </w:r>
      <w:proofErr w:type="spellStart"/>
      <w:r>
        <w:rPr>
          <w:rFonts w:ascii="Times New Roman" w:eastAsia="Times New Roman" w:hAnsi="Times New Roman" w:cs="Times New Roman"/>
          <w:sz w:val="20"/>
          <w:szCs w:val="20"/>
        </w:rPr>
        <w:t>e-mail:</w:t>
      </w:r>
      <w:hyperlink r:id="rId11">
        <w:r>
          <w:rPr>
            <w:rFonts w:ascii="Times New Roman" w:eastAsia="Times New Roman" w:hAnsi="Times New Roman" w:cs="Times New Roman"/>
            <w:color w:val="0000FF"/>
            <w:sz w:val="20"/>
            <w:szCs w:val="20"/>
            <w:u w:val="single"/>
          </w:rPr>
          <w:t>sharyaldila@umi.ac.id</w:t>
        </w:r>
        <w:proofErr w:type="spellEnd"/>
      </w:hyperlink>
      <w:r>
        <w:rPr>
          <w:noProof/>
        </w:rPr>
        <mc:AlternateContent>
          <mc:Choice Requires="wps">
            <w:drawing>
              <wp:anchor distT="0" distB="0" distL="114300" distR="114300" simplePos="0" relativeHeight="251661312" behindDoc="0" locked="0" layoutInCell="1" hidden="0" allowOverlap="1">
                <wp:simplePos x="0" y="0"/>
                <wp:positionH relativeFrom="column">
                  <wp:posOffset>12701</wp:posOffset>
                </wp:positionH>
                <wp:positionV relativeFrom="paragraph">
                  <wp:posOffset>0</wp:posOffset>
                </wp:positionV>
                <wp:extent cx="0" cy="12700"/>
                <wp:effectExtent l="0" t="0" r="0" b="0"/>
                <wp:wrapNone/>
                <wp:docPr id="15" name="Konektor Panah Lurus 15"/>
                <wp:cNvGraphicFramePr/>
                <a:graphic xmlns:a="http://schemas.openxmlformats.org/drawingml/2006/main">
                  <a:graphicData uri="http://schemas.microsoft.com/office/word/2010/wordprocessingShape">
                    <wps:wsp>
                      <wps:cNvCnPr/>
                      <wps:spPr>
                        <a:xfrm>
                          <a:off x="4134103" y="3780000"/>
                          <a:ext cx="2423795"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0" cy="12700"/>
                <wp:effectExtent b="0" l="0" r="0" t="0"/>
                <wp:wrapNone/>
                <wp:docPr id="1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5A7C3D" w:rsidRDefault="00000000" w:rsidP="0029003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factor that causes an individual's dental and oral health-related conduct is the source of dental and oral health issues. Health behavior encompasses various knowledge domains, the realm of health behavior pertaining to dental and oral health includes attitudes and actions.</w:t>
      </w:r>
      <w:r>
        <w:rPr>
          <w:rFonts w:ascii="Times New Roman" w:eastAsia="Times New Roman" w:hAnsi="Times New Roman" w:cs="Times New Roman"/>
          <w:sz w:val="24"/>
          <w:szCs w:val="24"/>
          <w:vertAlign w:val="superscript"/>
        </w:rPr>
        <w:t>1</w:t>
      </w:r>
    </w:p>
    <w:p w:rsidR="005A7C3D" w:rsidRDefault="00000000" w:rsidP="0029003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Caries or cavities are among the dental and oral health issues that children worldwide, particularly in poor nations like Indonesia, frequently face. Caries begins with the dissolution of enamel which is caused by the formation of an acidic substrate by microbes which will cause the destruction of the organic components of the tooth.</w:t>
      </w:r>
      <w:r>
        <w:rPr>
          <w:rFonts w:ascii="Times New Roman" w:eastAsia="Times New Roman" w:hAnsi="Times New Roman" w:cs="Times New Roman"/>
          <w:sz w:val="24"/>
          <w:szCs w:val="24"/>
          <w:vertAlign w:val="superscript"/>
        </w:rPr>
        <w:t>2</w:t>
      </w:r>
    </w:p>
    <w:p w:rsidR="005A7C3D" w:rsidRDefault="00000000" w:rsidP="0029003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condition of one or more damaged teeth and missing teeth owing to caries is known as Early Childhood Caries (ECC), according to the American Academy of Pediatric Dentistry (AAPD). ECC is a chronic illness that exclusively affects children's milk teeth up to 71 months of age. According to WHO data from 2018, between 60% and 90% of caries cases include youngsters. The prevalence of ECC in Indonesia in 2018 was 94.3%. In Indonesia, ECC cases are still considered very high, and there is even a tendency to increase from year to year.</w:t>
      </w:r>
      <w:r>
        <w:rPr>
          <w:rFonts w:ascii="Times New Roman" w:eastAsia="Times New Roman" w:hAnsi="Times New Roman" w:cs="Times New Roman"/>
          <w:sz w:val="24"/>
          <w:szCs w:val="24"/>
          <w:vertAlign w:val="superscript"/>
        </w:rPr>
        <w:t>3</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Tooth decay in children occurs more quickly compared to adult teeth, this is because newly erupted tooth enamel is more susceptible to caries because the maturation process is not yet complete. Poor oral hygiene causes decay of milk teeth in children. The quality of permanent teeth in youngsters is largely influenced by the state of their milk teeth that will grow later. Apart from that, a bad habit that often occurs is that parents often ignore their children's habits by consuming bottle milk for a long time and inappropriately. This can trigger Early Childhood Caries.</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i/>
          <w:sz w:val="24"/>
          <w:szCs w:val="24"/>
          <w:vertAlign w:val="superscript"/>
        </w:rPr>
        <w:t>,</w:t>
      </w:r>
      <w:r>
        <w:rPr>
          <w:rFonts w:ascii="Times New Roman" w:eastAsia="Times New Roman" w:hAnsi="Times New Roman" w:cs="Times New Roman"/>
          <w:sz w:val="24"/>
          <w:szCs w:val="24"/>
          <w:vertAlign w:val="superscript"/>
        </w:rPr>
        <w:t>3</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Parents, especially mothers, need to follow their children's intellectual development so that children can easily understand and learn. Mothers with low knowledge, lack of facilities, and lack of motivation for children regarding dental and oral hygiene can raise a child's risk of dental caries because they are predisposing, supporting, and driving variables for behavior that undermines children's oral and dental hygiene.</w:t>
      </w:r>
      <w:r w:rsidRPr="00290037">
        <w:rPr>
          <w:rFonts w:ascii="Times New Roman" w:eastAsia="Times New Roman" w:hAnsi="Times New Roman" w:cs="Times New Roman"/>
          <w:sz w:val="24"/>
          <w:szCs w:val="24"/>
          <w:vertAlign w:val="superscript"/>
        </w:rPr>
        <w:t>4</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Children's oral and dental health is significantly influenced by the actions of their parents, particularly mothers. There is a strong correlation between a mother's and her child's oral and dental health, this was revealed by </w:t>
      </w:r>
      <w:proofErr w:type="spellStart"/>
      <w:r>
        <w:rPr>
          <w:rFonts w:ascii="Times New Roman" w:eastAsia="Times New Roman" w:hAnsi="Times New Roman" w:cs="Times New Roman"/>
          <w:sz w:val="24"/>
          <w:szCs w:val="24"/>
        </w:rPr>
        <w:t>Laksmiastuti</w:t>
      </w:r>
      <w:proofErr w:type="spellEnd"/>
      <w:r>
        <w:rPr>
          <w:rFonts w:ascii="Times New Roman" w:eastAsia="Times New Roman" w:hAnsi="Times New Roman" w:cs="Times New Roman"/>
          <w:sz w:val="24"/>
          <w:szCs w:val="24"/>
        </w:rPr>
        <w:t xml:space="preserve"> in her research. Children usually use their mother as their role model in their daily activities.</w:t>
      </w:r>
      <w:r>
        <w:rPr>
          <w:rFonts w:ascii="Times New Roman" w:eastAsia="Times New Roman" w:hAnsi="Times New Roman" w:cs="Times New Roman"/>
          <w:sz w:val="24"/>
          <w:szCs w:val="24"/>
          <w:vertAlign w:val="superscript"/>
        </w:rPr>
        <w:t>5</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The Indonesian Dentists Association (PDGI) states that communication between kids, parents, and dentists is essential to preserving kids' dental health. It is hoped that parents will also play a role in monitoring their children's dental hygiene by teaching them how to wash their teeth properly. Dental health education must be provided to children as early as possible so they can know how to keep healthy teeth.⁶</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The age-specific frequency of dental caries for Basic Health Research (</w:t>
      </w:r>
      <w:proofErr w:type="spellStart"/>
      <w:r>
        <w:rPr>
          <w:rFonts w:ascii="Times New Roman" w:eastAsia="Times New Roman" w:hAnsi="Times New Roman" w:cs="Times New Roman"/>
          <w:sz w:val="24"/>
          <w:szCs w:val="24"/>
        </w:rPr>
        <w:t>Riskesdas</w:t>
      </w:r>
      <w:proofErr w:type="spellEnd"/>
      <w:r>
        <w:rPr>
          <w:rFonts w:ascii="Times New Roman" w:eastAsia="Times New Roman" w:hAnsi="Times New Roman" w:cs="Times New Roman"/>
          <w:sz w:val="24"/>
          <w:szCs w:val="24"/>
        </w:rPr>
        <w:t>, 2018) is 81.5% for ages 3-4 years, 92.6% for ages 5-9 years, 73.4% for ages 10-14 years, 15-24 years age 75.3%, at age 25-34 years 87.0%, at age 35-44 years 92.2%, at age 45-54 years 94.5%, at age 55-64 years 96.8% and at age 65+ years 95.0%.</w:t>
      </w:r>
      <w:r>
        <w:rPr>
          <w:rFonts w:ascii="Times New Roman" w:eastAsia="Times New Roman" w:hAnsi="Times New Roman" w:cs="Times New Roman"/>
          <w:sz w:val="24"/>
          <w:szCs w:val="24"/>
          <w:vertAlign w:val="superscript"/>
        </w:rPr>
        <w:t>7</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Several studies conducted still show that dental and oral maintenance is still low, especially in children. This is supported by the active caries rate in South Sulawesi which reached 66.7%. According to the findings of </w:t>
      </w:r>
      <w:proofErr w:type="spellStart"/>
      <w:r>
        <w:rPr>
          <w:rFonts w:ascii="Times New Roman" w:eastAsia="Times New Roman" w:hAnsi="Times New Roman" w:cs="Times New Roman"/>
          <w:sz w:val="24"/>
          <w:szCs w:val="24"/>
        </w:rPr>
        <w:t>Nauval's</w:t>
      </w:r>
      <w:proofErr w:type="spellEnd"/>
      <w:r>
        <w:rPr>
          <w:rFonts w:ascii="Times New Roman" w:eastAsia="Times New Roman" w:hAnsi="Times New Roman" w:cs="Times New Roman"/>
          <w:sz w:val="24"/>
          <w:szCs w:val="24"/>
        </w:rPr>
        <w:t xml:space="preserve"> research, children in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received the majority of medical care. The </w:t>
      </w:r>
      <w:proofErr w:type="spellStart"/>
      <w:r>
        <w:rPr>
          <w:rFonts w:ascii="Times New Roman" w:eastAsia="Times New Roman" w:hAnsi="Times New Roman" w:cs="Times New Roman"/>
          <w:sz w:val="24"/>
          <w:szCs w:val="24"/>
        </w:rPr>
        <w:t>Riskesdas</w:t>
      </w:r>
      <w:proofErr w:type="spellEnd"/>
      <w:r>
        <w:rPr>
          <w:rFonts w:ascii="Times New Roman" w:eastAsia="Times New Roman" w:hAnsi="Times New Roman" w:cs="Times New Roman"/>
          <w:sz w:val="24"/>
          <w:szCs w:val="24"/>
        </w:rPr>
        <w:t xml:space="preserve"> data release findings demonstrate the appropriate behavior of brushing teeth in children over 10 years old,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at 11.9%. Meanwhile, the rest were guilty of brushing their teeth or around 88.1%. Wrong behavior of brushing teeth in </w:t>
      </w:r>
      <w:proofErr w:type="spellStart"/>
      <w:r>
        <w:rPr>
          <w:rFonts w:ascii="Times New Roman" w:eastAsia="Times New Roman" w:hAnsi="Times New Roman" w:cs="Times New Roman"/>
          <w:sz w:val="24"/>
          <w:szCs w:val="24"/>
        </w:rPr>
        <w:t>Kab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can be called the backbone that causes tooth and mouth damage. Various sources say that the wrong behavior of brushing your teeth is one of the causes of tooth and mouth damage.</w:t>
      </w:r>
      <w:r>
        <w:rPr>
          <w:rFonts w:ascii="Times New Roman" w:eastAsia="Times New Roman" w:hAnsi="Times New Roman" w:cs="Times New Roman"/>
          <w:sz w:val="24"/>
          <w:szCs w:val="24"/>
          <w:vertAlign w:val="superscript"/>
        </w:rPr>
        <w:t>8</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is one of the villages where the distance from </w:t>
      </w:r>
      <w:r>
        <w:rPr>
          <w:rFonts w:ascii="Times New Roman" w:eastAsia="Times New Roman" w:hAnsi="Times New Roman" w:cs="Times New Roman"/>
          <w:sz w:val="24"/>
          <w:szCs w:val="24"/>
        </w:rPr>
        <w:lastRenderedPageBreak/>
        <w:t xml:space="preserve">the village to the district capital is around 25 km. The distance from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from Makassar city is around 200 km or around 5 hours if traveled by vehicle.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has 1 health center and medical equipment, especially dental equipment, at this health center is still very limited. The prevalence of caries is also quite high in this village and prevention of disease, especially in children's teeth, still escapes the attention of parents. Parents often ignore the health condition of their children's teeth so that if a child has unhealthy teeth, their growth process will be disrupted.</w:t>
      </w:r>
      <w:r>
        <w:rPr>
          <w:rFonts w:ascii="Times New Roman" w:eastAsia="Times New Roman" w:hAnsi="Times New Roman" w:cs="Times New Roman"/>
          <w:sz w:val="24"/>
          <w:szCs w:val="24"/>
          <w:vertAlign w:val="superscript"/>
        </w:rPr>
        <w:t>9</w:t>
      </w:r>
    </w:p>
    <w:p w:rsidR="005A7C3D" w:rsidRDefault="00000000" w:rsidP="00290037">
      <w:pPr>
        <w:spacing w:line="240" w:lineRule="auto"/>
        <w:ind w:firstLine="36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Children's maintenance of dental health is influenced by their mothers' knowledge, and dental caries is more common in children whose mothers have low levels of knowledge. Mothers were chosen as samples by the researchers because of how strongly parents impact children. Thus, it is crucial that mothers in particular behave in a way that preserves their children's oral and dental health from an early age to avoid diseases that interfere with children's growth and development.</w:t>
      </w:r>
      <w:r>
        <w:rPr>
          <w:rFonts w:ascii="Times New Roman" w:eastAsia="Times New Roman" w:hAnsi="Times New Roman" w:cs="Times New Roman"/>
          <w:sz w:val="24"/>
          <w:szCs w:val="24"/>
          <w:vertAlign w:val="superscript"/>
        </w:rPr>
        <w:t xml:space="preserve">10 </w:t>
      </w:r>
    </w:p>
    <w:p w:rsidR="005A7C3D" w:rsidRDefault="00000000" w:rsidP="00290037">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Researchers chose the research location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Subdistrict,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because from the community, particularly moms, demonstrated the degree of behavior in preserving their dental and oral health, according to the findings of earlier research was still very low, and the wrong behavior in brushing their teeth in the Regency.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which causes tooth and mouth damage often occurs, especially in children. Thus, researchers are interested in conducting research regarding The association between early childhood caries incidence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and mother conduct toward preserving her children's dental health.</w:t>
      </w:r>
    </w:p>
    <w:p w:rsidR="005A7C3D" w:rsidRDefault="00000000">
      <w:pPr>
        <w:spacing w:before="240"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MATERIALS AND METHODS</w:t>
      </w:r>
    </w:p>
    <w:p w:rsidR="005A7C3D" w:rsidRDefault="00000000">
      <w:pPr>
        <w:spacing w:after="0" w:line="240" w:lineRule="auto"/>
        <w:ind w:firstLine="720"/>
        <w:jc w:val="both"/>
      </w:pPr>
      <w:r>
        <w:rPr>
          <w:rFonts w:ascii="Times New Roman" w:eastAsia="Times New Roman" w:hAnsi="Times New Roman" w:cs="Times New Roman"/>
          <w:sz w:val="24"/>
          <w:szCs w:val="24"/>
        </w:rPr>
        <w:t xml:space="preserve">October–November 2023 saw the conduct of this study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This kind of study uses a cross-sectional analytical research </w:t>
      </w:r>
      <w:r>
        <w:rPr>
          <w:rFonts w:ascii="Times New Roman" w:eastAsia="Times New Roman" w:hAnsi="Times New Roman" w:cs="Times New Roman"/>
          <w:sz w:val="24"/>
          <w:szCs w:val="24"/>
        </w:rPr>
        <w:t>approach and is descriptive-</w:t>
      </w:r>
      <w:proofErr w:type="spellStart"/>
      <w:r>
        <w:rPr>
          <w:rFonts w:ascii="Times New Roman" w:eastAsia="Times New Roman" w:hAnsi="Times New Roman" w:cs="Times New Roman"/>
          <w:sz w:val="24"/>
          <w:szCs w:val="24"/>
        </w:rPr>
        <w:t>correlative.All</w:t>
      </w:r>
      <w:proofErr w:type="spellEnd"/>
      <w:r>
        <w:rPr>
          <w:rFonts w:ascii="Times New Roman" w:eastAsia="Times New Roman" w:hAnsi="Times New Roman" w:cs="Times New Roman"/>
          <w:sz w:val="24"/>
          <w:szCs w:val="24"/>
        </w:rPr>
        <w:t xml:space="preserve"> moms with toddlers and toddlers with carious teeth made up the study's population.</w:t>
      </w:r>
    </w:p>
    <w:p w:rsidR="005A7C3D" w:rsidRDefault="00000000">
      <w:pPr>
        <w:spacing w:after="0" w:line="240" w:lineRule="auto"/>
        <w:ind w:firstLine="720"/>
        <w:jc w:val="both"/>
      </w:pPr>
      <w:r>
        <w:rPr>
          <w:rFonts w:ascii="Times New Roman" w:eastAsia="Times New Roman" w:hAnsi="Times New Roman" w:cs="Times New Roman"/>
          <w:sz w:val="24"/>
          <w:szCs w:val="24"/>
        </w:rPr>
        <w:t>The technique used to determine this sample uses Purposive Sampling, that is, sampling is carried out in accordance with the required sample requirements. The Slovin formula was used to determine the sample size, and a sample size of 60 mothers and 60 toddlers. The research instruments used were filling out questionnaires carried out on mothers and checking Early Childhood Caries using the def-t index on children who met the research criteria. The questionnaire distributed to respondents had previously been tested for validity and reliability using Cronbach's Alpha. The reliability test computations indicate that the questionnaire has a Cronbach's alpha score of 0.874, indicating its dependability. A series of questions about mother behavior with regard to toddlers' teeth and oral health are included in the questionnaire</w:t>
      </w:r>
      <w:r>
        <w:rPr>
          <w:rFonts w:ascii="Times New Roman" w:eastAsia="Times New Roman" w:hAnsi="Times New Roman" w:cs="Times New Roman"/>
          <w:color w:val="000000"/>
          <w:sz w:val="24"/>
          <w:szCs w:val="24"/>
        </w:rPr>
        <w:t xml:space="preserve"> which are arranged in a structured manner so that respondents can easily understand the meaning of the questions stated in the questionnaire.</w:t>
      </w:r>
    </w:p>
    <w:p w:rsidR="005A7C3D" w:rsidRDefault="0000000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Mothers with children under five and those with early childhood caries who were present and willing to participate in the study's questionnaires met the inclusion requirements. Children who didn't cooperate were the study's exclusion criterion. Tests for Spearman correlation were utilized in data analysis. The Indonesian Muslim University Research Ethics Committee gave its clearance for this study</w:t>
      </w:r>
      <w:r>
        <w:rPr>
          <w:rFonts w:ascii="Times New Roman" w:eastAsia="Times New Roman" w:hAnsi="Times New Roman" w:cs="Times New Roman"/>
          <w:color w:val="000000"/>
          <w:sz w:val="24"/>
          <w:szCs w:val="24"/>
        </w:rPr>
        <w:t xml:space="preserve"> (KEP) Number 550/A.1/KEP-UMI/XI/2023.</w:t>
      </w:r>
    </w:p>
    <w:p w:rsidR="005A7C3D" w:rsidRDefault="005A7C3D">
      <w:pPr>
        <w:tabs>
          <w:tab w:val="left" w:pos="540"/>
          <w:tab w:val="left" w:pos="720"/>
        </w:tabs>
        <w:spacing w:after="0" w:line="240" w:lineRule="auto"/>
        <w:jc w:val="both"/>
        <w:rPr>
          <w:rFonts w:ascii="Times New Roman" w:eastAsia="Times New Roman" w:hAnsi="Times New Roman" w:cs="Times New Roman"/>
          <w:b/>
          <w:sz w:val="24"/>
          <w:szCs w:val="24"/>
        </w:rPr>
      </w:pPr>
    </w:p>
    <w:p w:rsidR="005A7C3D" w:rsidRDefault="00000000">
      <w:pPr>
        <w:tabs>
          <w:tab w:val="left" w:pos="540"/>
          <w:tab w:val="left" w:pos="900"/>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rsidR="005A7C3D" w:rsidRDefault="00000000">
      <w:pPr>
        <w:tabs>
          <w:tab w:val="left" w:pos="540"/>
          <w:tab w:val="left" w:pos="72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have been done that </w:t>
      </w:r>
      <w:proofErr w:type="spellStart"/>
      <w:r>
        <w:rPr>
          <w:rFonts w:ascii="Times New Roman" w:eastAsia="Times New Roman" w:hAnsi="Times New Roman" w:cs="Times New Roman"/>
          <w:sz w:val="24"/>
          <w:szCs w:val="24"/>
        </w:rPr>
        <w:t>showThe</w:t>
      </w:r>
      <w:proofErr w:type="spellEnd"/>
      <w:r>
        <w:rPr>
          <w:rFonts w:ascii="Times New Roman" w:eastAsia="Times New Roman" w:hAnsi="Times New Roman" w:cs="Times New Roman"/>
          <w:sz w:val="24"/>
          <w:szCs w:val="24"/>
        </w:rPr>
        <w:t xml:space="preserve"> association between early childhood caries (ECC) incidence and maternal conduct toward preserving children's dental health is the subject of the title. Include 60 moms and 60 children in the study to verify the def-t index. The </w:t>
      </w:r>
      <w:r>
        <w:rPr>
          <w:rFonts w:ascii="Times New Roman" w:eastAsia="Times New Roman" w:hAnsi="Times New Roman" w:cs="Times New Roman"/>
          <w:sz w:val="24"/>
          <w:szCs w:val="24"/>
        </w:rPr>
        <w:lastRenderedPageBreak/>
        <w:t xml:space="preserve">research's findings are presented in the table below: </w:t>
      </w:r>
    </w:p>
    <w:p w:rsidR="00290037" w:rsidRDefault="00290037">
      <w:pPr>
        <w:tabs>
          <w:tab w:val="left" w:pos="540"/>
          <w:tab w:val="left" w:pos="720"/>
        </w:tabs>
        <w:spacing w:after="0" w:line="240" w:lineRule="auto"/>
        <w:ind w:firstLine="720"/>
        <w:jc w:val="both"/>
        <w:rPr>
          <w:rFonts w:ascii="Times New Roman" w:eastAsia="Times New Roman" w:hAnsi="Times New Roman" w:cs="Times New Roman"/>
          <w:sz w:val="24"/>
          <w:szCs w:val="24"/>
        </w:rPr>
      </w:pPr>
    </w:p>
    <w:p w:rsidR="005A7C3D" w:rsidRDefault="00000000">
      <w:pPr>
        <w:spacing w:after="0"/>
        <w:ind w:left="851" w:right="-3" w:hanging="851"/>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1. Distribution and Frequency of Respondents based on Mother's Behavior towards Caring for Children's Dental Health in </w:t>
      </w:r>
      <w:proofErr w:type="spellStart"/>
      <w:r>
        <w:rPr>
          <w:rFonts w:ascii="Times New Roman" w:eastAsia="Times New Roman" w:hAnsi="Times New Roman" w:cs="Times New Roman"/>
          <w:b/>
          <w:sz w:val="20"/>
          <w:szCs w:val="20"/>
        </w:rPr>
        <w:t>Mannanti</w:t>
      </w:r>
      <w:proofErr w:type="spellEnd"/>
      <w:r>
        <w:rPr>
          <w:rFonts w:ascii="Times New Roman" w:eastAsia="Times New Roman" w:hAnsi="Times New Roman" w:cs="Times New Roman"/>
          <w:b/>
          <w:sz w:val="20"/>
          <w:szCs w:val="20"/>
        </w:rPr>
        <w:t xml:space="preserve"> Village, </w:t>
      </w:r>
      <w:proofErr w:type="spellStart"/>
      <w:r>
        <w:rPr>
          <w:rFonts w:ascii="Times New Roman" w:eastAsia="Times New Roman" w:hAnsi="Times New Roman" w:cs="Times New Roman"/>
          <w:b/>
          <w:sz w:val="20"/>
          <w:szCs w:val="20"/>
        </w:rPr>
        <w:t>Sinjai</w:t>
      </w:r>
      <w:proofErr w:type="spellEnd"/>
      <w:r>
        <w:rPr>
          <w:rFonts w:ascii="Times New Roman" w:eastAsia="Times New Roman" w:hAnsi="Times New Roman" w:cs="Times New Roman"/>
          <w:b/>
          <w:sz w:val="20"/>
          <w:szCs w:val="20"/>
        </w:rPr>
        <w:t xml:space="preserve"> Regency</w:t>
      </w:r>
    </w:p>
    <w:tbl>
      <w:tblPr>
        <w:tblStyle w:val="TabelBiasa21"/>
        <w:tblW w:w="4261" w:type="dxa"/>
        <w:tblInd w:w="108" w:type="dxa"/>
        <w:tblLook w:val="04A0" w:firstRow="1" w:lastRow="0" w:firstColumn="1" w:lastColumn="0" w:noHBand="0" w:noVBand="1"/>
      </w:tblPr>
      <w:tblGrid>
        <w:gridCol w:w="2449"/>
        <w:gridCol w:w="416"/>
        <w:gridCol w:w="1396"/>
      </w:tblGrid>
      <w:tr w:rsidR="00290037" w:rsidRPr="00100FD4" w:rsidTr="002816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Pr>
          <w:p w:rsidR="00290037" w:rsidRPr="00100FD4" w:rsidRDefault="00290037" w:rsidP="00252144">
            <w:pPr>
              <w:pStyle w:val="ListParagraph"/>
              <w:ind w:left="0"/>
              <w:rPr>
                <w:rFonts w:ascii="Times New Roman" w:hAnsi="Times New Roman" w:cs="Times New Roman"/>
                <w:b w:val="0"/>
                <w:bCs w:val="0"/>
                <w:sz w:val="20"/>
                <w:szCs w:val="20"/>
                <w:lang w:val="en-US"/>
              </w:rPr>
            </w:pPr>
            <w:r w:rsidRPr="00D80794">
              <w:rPr>
                <w:rFonts w:ascii="Times New Roman" w:hAnsi="Times New Roman" w:cs="Times New Roman"/>
                <w:sz w:val="20"/>
                <w:szCs w:val="20"/>
                <w:lang w:val="en-US"/>
              </w:rPr>
              <w:t xml:space="preserve">Mother's Behavior </w:t>
            </w:r>
            <w:r>
              <w:rPr>
                <w:rFonts w:ascii="Times New Roman" w:hAnsi="Times New Roman" w:cs="Times New Roman"/>
                <w:sz w:val="20"/>
                <w:szCs w:val="20"/>
                <w:lang w:val="en-US"/>
              </w:rPr>
              <w:t>Towards</w:t>
            </w:r>
            <w:r w:rsidRPr="00D80794">
              <w:rPr>
                <w:rFonts w:ascii="Times New Roman" w:hAnsi="Times New Roman" w:cs="Times New Roman"/>
                <w:sz w:val="20"/>
                <w:szCs w:val="20"/>
                <w:lang w:val="en-US"/>
              </w:rPr>
              <w:t xml:space="preserve"> </w:t>
            </w:r>
            <w:r>
              <w:rPr>
                <w:rFonts w:ascii="Times New Roman" w:hAnsi="Times New Roman" w:cs="Times New Roman"/>
                <w:sz w:val="20"/>
                <w:szCs w:val="20"/>
                <w:lang w:val="en-US"/>
              </w:rPr>
              <w:t>Maintaining</w:t>
            </w:r>
            <w:r w:rsidRPr="00D80794">
              <w:rPr>
                <w:rFonts w:ascii="Times New Roman" w:hAnsi="Times New Roman" w:cs="Times New Roman"/>
                <w:sz w:val="20"/>
                <w:szCs w:val="20"/>
                <w:lang w:val="en-US"/>
              </w:rPr>
              <w:t xml:space="preserve"> Children's Dental Health</w:t>
            </w:r>
          </w:p>
        </w:tc>
        <w:tc>
          <w:tcPr>
            <w:tcW w:w="416" w:type="dxa"/>
          </w:tcPr>
          <w:p w:rsidR="00290037" w:rsidRPr="00100FD4" w:rsidRDefault="00290037" w:rsidP="0025214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100FD4">
              <w:rPr>
                <w:rFonts w:ascii="Times New Roman" w:hAnsi="Times New Roman" w:cs="Times New Roman"/>
                <w:sz w:val="20"/>
                <w:szCs w:val="20"/>
                <w:lang w:val="en-US"/>
              </w:rPr>
              <w:t>n</w:t>
            </w:r>
          </w:p>
        </w:tc>
        <w:tc>
          <w:tcPr>
            <w:tcW w:w="1396" w:type="dxa"/>
          </w:tcPr>
          <w:p w:rsidR="00290037" w:rsidRPr="00100FD4" w:rsidRDefault="00290037" w:rsidP="00252144">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lang w:val="en-US"/>
              </w:rPr>
            </w:pPr>
            <w:r w:rsidRPr="00100FD4">
              <w:rPr>
                <w:rFonts w:ascii="Times New Roman" w:hAnsi="Times New Roman" w:cs="Times New Roman"/>
                <w:sz w:val="20"/>
                <w:szCs w:val="20"/>
                <w:lang w:val="en-US"/>
              </w:rPr>
              <w:t>%</w:t>
            </w:r>
          </w:p>
        </w:tc>
      </w:tr>
      <w:tr w:rsidR="00290037" w:rsidRPr="00100FD4" w:rsidTr="00281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Borders>
              <w:bottom w:val="nil"/>
            </w:tcBorders>
          </w:tcPr>
          <w:p w:rsidR="00290037" w:rsidRPr="00100FD4" w:rsidRDefault="00290037" w:rsidP="00252144">
            <w:pPr>
              <w:pStyle w:val="ListParagraph"/>
              <w:ind w:left="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Poor</w:t>
            </w:r>
          </w:p>
        </w:tc>
        <w:tc>
          <w:tcPr>
            <w:tcW w:w="416" w:type="dxa"/>
            <w:tcBorders>
              <w:bottom w:val="nil"/>
            </w:tcBorders>
          </w:tcPr>
          <w:p w:rsidR="00290037" w:rsidRPr="00100FD4" w:rsidRDefault="00290037" w:rsidP="0025214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0</w:t>
            </w:r>
          </w:p>
        </w:tc>
        <w:tc>
          <w:tcPr>
            <w:tcW w:w="1396" w:type="dxa"/>
            <w:tcBorders>
              <w:bottom w:val="nil"/>
            </w:tcBorders>
          </w:tcPr>
          <w:p w:rsidR="00290037" w:rsidRPr="00100FD4" w:rsidRDefault="00290037" w:rsidP="0025214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00,0%</w:t>
            </w:r>
          </w:p>
        </w:tc>
      </w:tr>
      <w:tr w:rsidR="00290037" w:rsidRPr="00100FD4" w:rsidTr="00281646">
        <w:tc>
          <w:tcPr>
            <w:cnfStyle w:val="001000000000" w:firstRow="0" w:lastRow="0" w:firstColumn="1" w:lastColumn="0" w:oddVBand="0" w:evenVBand="0" w:oddHBand="0" w:evenHBand="0" w:firstRowFirstColumn="0" w:firstRowLastColumn="0" w:lastRowFirstColumn="0" w:lastRowLastColumn="0"/>
            <w:tcW w:w="2449" w:type="dxa"/>
            <w:tcBorders>
              <w:top w:val="nil"/>
              <w:bottom w:val="nil"/>
            </w:tcBorders>
          </w:tcPr>
          <w:p w:rsidR="00290037" w:rsidRPr="006D5D18" w:rsidRDefault="00290037" w:rsidP="00252144">
            <w:pPr>
              <w:pStyle w:val="ListParagraph"/>
              <w:ind w:left="0"/>
              <w:rPr>
                <w:rFonts w:ascii="Times New Roman" w:hAnsi="Times New Roman" w:cs="Times New Roman"/>
                <w:b w:val="0"/>
                <w:bCs w:val="0"/>
                <w:sz w:val="20"/>
                <w:szCs w:val="20"/>
                <w:lang w:val="en-US"/>
              </w:rPr>
            </w:pPr>
            <w:r>
              <w:rPr>
                <w:rFonts w:ascii="Times New Roman" w:hAnsi="Times New Roman" w:cs="Times New Roman"/>
                <w:b w:val="0"/>
                <w:bCs w:val="0"/>
                <w:sz w:val="20"/>
                <w:szCs w:val="20"/>
              </w:rPr>
              <w:t>Fair</w:t>
            </w:r>
          </w:p>
        </w:tc>
        <w:tc>
          <w:tcPr>
            <w:tcW w:w="416" w:type="dxa"/>
            <w:tcBorders>
              <w:top w:val="nil"/>
              <w:bottom w:val="nil"/>
            </w:tcBorders>
          </w:tcPr>
          <w:p w:rsidR="00290037" w:rsidRPr="00100FD4" w:rsidRDefault="00290037" w:rsidP="0025214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44</w:t>
            </w:r>
          </w:p>
        </w:tc>
        <w:tc>
          <w:tcPr>
            <w:tcW w:w="1396" w:type="dxa"/>
            <w:tcBorders>
              <w:top w:val="nil"/>
              <w:bottom w:val="nil"/>
            </w:tcBorders>
          </w:tcPr>
          <w:p w:rsidR="00290037" w:rsidRPr="00100FD4" w:rsidRDefault="00290037" w:rsidP="0025214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73,3%</w:t>
            </w:r>
          </w:p>
        </w:tc>
      </w:tr>
      <w:tr w:rsidR="00290037" w:rsidRPr="00100FD4" w:rsidTr="002816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9" w:type="dxa"/>
            <w:tcBorders>
              <w:top w:val="nil"/>
              <w:bottom w:val="nil"/>
            </w:tcBorders>
          </w:tcPr>
          <w:p w:rsidR="00290037" w:rsidRPr="00100FD4" w:rsidRDefault="00290037" w:rsidP="00252144">
            <w:pPr>
              <w:pStyle w:val="ListParagraph"/>
              <w:ind w:left="0"/>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Good</w:t>
            </w:r>
          </w:p>
        </w:tc>
        <w:tc>
          <w:tcPr>
            <w:tcW w:w="416" w:type="dxa"/>
            <w:tcBorders>
              <w:top w:val="nil"/>
              <w:bottom w:val="nil"/>
            </w:tcBorders>
          </w:tcPr>
          <w:p w:rsidR="00290037" w:rsidRPr="00100FD4" w:rsidRDefault="00290037" w:rsidP="0025214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16</w:t>
            </w:r>
          </w:p>
        </w:tc>
        <w:tc>
          <w:tcPr>
            <w:tcW w:w="1396" w:type="dxa"/>
            <w:tcBorders>
              <w:top w:val="nil"/>
              <w:bottom w:val="nil"/>
            </w:tcBorders>
          </w:tcPr>
          <w:p w:rsidR="00290037" w:rsidRPr="00100FD4" w:rsidRDefault="00290037" w:rsidP="00252144">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26,7%</w:t>
            </w:r>
          </w:p>
        </w:tc>
      </w:tr>
      <w:tr w:rsidR="00290037" w:rsidRPr="00100FD4" w:rsidTr="00281646">
        <w:tc>
          <w:tcPr>
            <w:cnfStyle w:val="001000000000" w:firstRow="0" w:lastRow="0" w:firstColumn="1" w:lastColumn="0" w:oddVBand="0" w:evenVBand="0" w:oddHBand="0" w:evenHBand="0" w:firstRowFirstColumn="0" w:firstRowLastColumn="0" w:lastRowFirstColumn="0" w:lastRowLastColumn="0"/>
            <w:tcW w:w="2449" w:type="dxa"/>
            <w:tcBorders>
              <w:top w:val="nil"/>
              <w:bottom w:val="single" w:sz="4" w:space="0" w:color="auto"/>
            </w:tcBorders>
          </w:tcPr>
          <w:p w:rsidR="00290037" w:rsidRPr="00100FD4" w:rsidRDefault="00290037" w:rsidP="00252144">
            <w:pPr>
              <w:pStyle w:val="ListParagraph"/>
              <w:ind w:left="0"/>
              <w:rPr>
                <w:rFonts w:ascii="Times New Roman" w:hAnsi="Times New Roman" w:cs="Times New Roman"/>
                <w:b w:val="0"/>
                <w:bCs w:val="0"/>
                <w:sz w:val="20"/>
                <w:szCs w:val="20"/>
                <w:lang w:val="en-US"/>
              </w:rPr>
            </w:pPr>
            <w:r w:rsidRPr="00100FD4">
              <w:rPr>
                <w:rFonts w:ascii="Times New Roman" w:hAnsi="Times New Roman" w:cs="Times New Roman"/>
                <w:b w:val="0"/>
                <w:bCs w:val="0"/>
                <w:sz w:val="20"/>
                <w:szCs w:val="20"/>
                <w:lang w:val="en-US"/>
              </w:rPr>
              <w:t>Total</w:t>
            </w:r>
          </w:p>
        </w:tc>
        <w:tc>
          <w:tcPr>
            <w:tcW w:w="416" w:type="dxa"/>
            <w:tcBorders>
              <w:top w:val="nil"/>
              <w:bottom w:val="single" w:sz="4" w:space="0" w:color="auto"/>
            </w:tcBorders>
          </w:tcPr>
          <w:p w:rsidR="00290037" w:rsidRPr="00100FD4" w:rsidRDefault="00290037" w:rsidP="0025214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60</w:t>
            </w:r>
          </w:p>
        </w:tc>
        <w:tc>
          <w:tcPr>
            <w:tcW w:w="1396" w:type="dxa"/>
            <w:tcBorders>
              <w:top w:val="nil"/>
              <w:bottom w:val="single" w:sz="4" w:space="0" w:color="auto"/>
            </w:tcBorders>
          </w:tcPr>
          <w:p w:rsidR="00290037" w:rsidRPr="00100FD4" w:rsidRDefault="00290037" w:rsidP="00252144">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00FD4">
              <w:rPr>
                <w:rFonts w:ascii="Times New Roman" w:hAnsi="Times New Roman" w:cs="Times New Roman"/>
                <w:sz w:val="20"/>
                <w:szCs w:val="20"/>
                <w:lang w:val="en-US"/>
              </w:rPr>
              <w:t>100,0%</w:t>
            </w:r>
          </w:p>
        </w:tc>
      </w:tr>
    </w:tbl>
    <w:p w:rsidR="005A7C3D" w:rsidRDefault="00000000" w:rsidP="00290037">
      <w:pPr>
        <w:spacing w:after="0" w:line="240" w:lineRule="auto"/>
        <w:jc w:val="center"/>
        <w:rPr>
          <w:rFonts w:ascii="Times New Roman" w:eastAsia="Times New Roman" w:hAnsi="Times New Roman" w:cs="Times New Roman"/>
          <w:i/>
          <w:sz w:val="15"/>
          <w:szCs w:val="15"/>
        </w:rPr>
      </w:pPr>
      <w:r>
        <w:rPr>
          <w:rFonts w:ascii="Times New Roman" w:eastAsia="Times New Roman" w:hAnsi="Times New Roman" w:cs="Times New Roman"/>
          <w:i/>
          <w:sz w:val="15"/>
          <w:szCs w:val="15"/>
        </w:rPr>
        <w:t>(Good Category = “&gt;30”, Fair Category = “20-30”, Poor Category = “&lt;20”)</w:t>
      </w:r>
    </w:p>
    <w:p w:rsidR="005A7C3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frequency distribution of respondents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based on mothers' practices for preserving their kids' dental health, is displayed in Table 1. Three categories—"good," "adequate," and "poor"—are used. 44 responders (73.3%) fell within the area of pediatric dentistry health maintenance behavior of "fair", while 16 respondents (26.7%) were in the "good" category of children's dental health maintenance behavior. This shows that the majority of respondents have their children's dental health maintenance behavior in the "sufficient" category.</w:t>
      </w:r>
    </w:p>
    <w:p w:rsidR="005A7C3D" w:rsidRDefault="005A7C3D">
      <w:pPr>
        <w:spacing w:after="0"/>
        <w:jc w:val="both"/>
        <w:rPr>
          <w:rFonts w:ascii="Times New Roman" w:eastAsia="Times New Roman" w:hAnsi="Times New Roman" w:cs="Times New Roman"/>
          <w:sz w:val="24"/>
          <w:szCs w:val="24"/>
        </w:rPr>
      </w:pPr>
    </w:p>
    <w:p w:rsidR="005A7C3D" w:rsidRDefault="00000000">
      <w:pPr>
        <w:keepNext/>
        <w:tabs>
          <w:tab w:val="left" w:pos="990"/>
        </w:tabs>
        <w:spacing w:after="0" w:line="240" w:lineRule="auto"/>
        <w:ind w:left="990" w:hanging="990"/>
        <w:jc w:val="both"/>
        <w:rPr>
          <w:rFonts w:ascii="Times New Roman" w:eastAsia="Times New Roman" w:hAnsi="Times New Roman" w:cs="Times New Roman"/>
          <w:b/>
          <w:i/>
          <w:sz w:val="20"/>
          <w:szCs w:val="20"/>
        </w:rPr>
      </w:pPr>
      <w:r>
        <w:rPr>
          <w:rFonts w:ascii="Times New Roman" w:eastAsia="Times New Roman" w:hAnsi="Times New Roman" w:cs="Times New Roman"/>
          <w:b/>
          <w:sz w:val="20"/>
          <w:szCs w:val="20"/>
        </w:rPr>
        <w:t xml:space="preserve">Table 2. Distribution and Frequency of Respondents based on the Description of Early Childhood Caries (ECC) in </w:t>
      </w:r>
      <w:proofErr w:type="spellStart"/>
      <w:r>
        <w:rPr>
          <w:rFonts w:ascii="Times New Roman" w:eastAsia="Times New Roman" w:hAnsi="Times New Roman" w:cs="Times New Roman"/>
          <w:b/>
          <w:sz w:val="20"/>
          <w:szCs w:val="20"/>
        </w:rPr>
        <w:t>Mannanti</w:t>
      </w:r>
      <w:proofErr w:type="spellEnd"/>
      <w:r>
        <w:rPr>
          <w:rFonts w:ascii="Times New Roman" w:eastAsia="Times New Roman" w:hAnsi="Times New Roman" w:cs="Times New Roman"/>
          <w:b/>
          <w:sz w:val="20"/>
          <w:szCs w:val="20"/>
        </w:rPr>
        <w:t xml:space="preserve"> Village, </w:t>
      </w:r>
      <w:proofErr w:type="spellStart"/>
      <w:r>
        <w:rPr>
          <w:rFonts w:ascii="Times New Roman" w:eastAsia="Times New Roman" w:hAnsi="Times New Roman" w:cs="Times New Roman"/>
          <w:b/>
          <w:sz w:val="20"/>
          <w:szCs w:val="20"/>
        </w:rPr>
        <w:t>Sinjai</w:t>
      </w:r>
      <w:proofErr w:type="spellEnd"/>
      <w:r>
        <w:rPr>
          <w:rFonts w:ascii="Times New Roman" w:eastAsia="Times New Roman" w:hAnsi="Times New Roman" w:cs="Times New Roman"/>
          <w:b/>
          <w:sz w:val="20"/>
          <w:szCs w:val="20"/>
        </w:rPr>
        <w:t xml:space="preserve"> Regency</w:t>
      </w:r>
    </w:p>
    <w:tbl>
      <w:tblPr>
        <w:tblStyle w:val="a6"/>
        <w:tblW w:w="4678"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127"/>
        <w:gridCol w:w="992"/>
        <w:gridCol w:w="567"/>
        <w:gridCol w:w="992"/>
      </w:tblGrid>
      <w:tr w:rsidR="005A7C3D">
        <w:trPr>
          <w:jc w:val="center"/>
        </w:trPr>
        <w:tc>
          <w:tcPr>
            <w:tcW w:w="3119" w:type="dxa"/>
            <w:gridSpan w:val="2"/>
            <w:tcBorders>
              <w:bottom w:val="single" w:sz="4" w:space="0" w:color="000000"/>
            </w:tcBorders>
            <w:shd w:val="clear" w:color="auto" w:fill="auto"/>
            <w:vAlign w:val="center"/>
          </w:tcPr>
          <w:p w:rsidR="005A7C3D" w:rsidRDefault="00000000">
            <w:pPr>
              <w:pBdr>
                <w:top w:val="nil"/>
                <w:left w:val="nil"/>
                <w:bottom w:val="nil"/>
                <w:right w:val="nil"/>
                <w:between w:val="nil"/>
              </w:pBdr>
              <w:rPr>
                <w:b/>
                <w:sz w:val="20"/>
                <w:szCs w:val="20"/>
              </w:rPr>
            </w:pPr>
            <w:r>
              <w:rPr>
                <w:b/>
                <w:sz w:val="20"/>
                <w:szCs w:val="20"/>
              </w:rPr>
              <w:t>Def-t Assessment Criteria</w:t>
            </w:r>
          </w:p>
        </w:tc>
        <w:tc>
          <w:tcPr>
            <w:tcW w:w="567" w:type="dxa"/>
            <w:tcBorders>
              <w:bottom w:val="single" w:sz="4" w:space="0" w:color="000000"/>
            </w:tcBorders>
            <w:shd w:val="clear" w:color="auto" w:fill="auto"/>
            <w:vAlign w:val="center"/>
          </w:tcPr>
          <w:p w:rsidR="005A7C3D" w:rsidRDefault="00000000">
            <w:pPr>
              <w:pBdr>
                <w:top w:val="nil"/>
                <w:left w:val="nil"/>
                <w:bottom w:val="nil"/>
                <w:right w:val="nil"/>
                <w:between w:val="nil"/>
              </w:pBdr>
              <w:jc w:val="center"/>
              <w:rPr>
                <w:b/>
                <w:sz w:val="20"/>
                <w:szCs w:val="20"/>
              </w:rPr>
            </w:pPr>
            <w:r>
              <w:rPr>
                <w:b/>
                <w:sz w:val="20"/>
                <w:szCs w:val="20"/>
              </w:rPr>
              <w:t>n</w:t>
            </w:r>
          </w:p>
        </w:tc>
        <w:tc>
          <w:tcPr>
            <w:tcW w:w="992" w:type="dxa"/>
            <w:tcBorders>
              <w:bottom w:val="single" w:sz="4" w:space="0" w:color="000000"/>
            </w:tcBorders>
            <w:shd w:val="clear" w:color="auto" w:fill="auto"/>
            <w:vAlign w:val="center"/>
          </w:tcPr>
          <w:p w:rsidR="005A7C3D" w:rsidRDefault="00000000">
            <w:pPr>
              <w:pBdr>
                <w:top w:val="nil"/>
                <w:left w:val="nil"/>
                <w:bottom w:val="nil"/>
                <w:right w:val="nil"/>
                <w:between w:val="nil"/>
              </w:pBdr>
              <w:jc w:val="center"/>
              <w:rPr>
                <w:b/>
                <w:sz w:val="20"/>
                <w:szCs w:val="20"/>
              </w:rPr>
            </w:pPr>
            <w:r>
              <w:rPr>
                <w:b/>
                <w:sz w:val="20"/>
                <w:szCs w:val="20"/>
              </w:rPr>
              <w:t>%</w:t>
            </w:r>
          </w:p>
        </w:tc>
      </w:tr>
      <w:tr w:rsidR="005A7C3D">
        <w:trPr>
          <w:jc w:val="center"/>
        </w:trPr>
        <w:tc>
          <w:tcPr>
            <w:tcW w:w="2127" w:type="dxa"/>
            <w:tcBorders>
              <w:bottom w:val="nil"/>
            </w:tcBorders>
            <w:vAlign w:val="center"/>
          </w:tcPr>
          <w:p w:rsidR="005A7C3D" w:rsidRDefault="00000000">
            <w:pPr>
              <w:pBdr>
                <w:top w:val="nil"/>
                <w:left w:val="nil"/>
                <w:bottom w:val="nil"/>
                <w:right w:val="nil"/>
                <w:between w:val="nil"/>
              </w:pBdr>
              <w:rPr>
                <w:sz w:val="20"/>
                <w:szCs w:val="20"/>
              </w:rPr>
            </w:pPr>
            <w:r>
              <w:rPr>
                <w:sz w:val="20"/>
                <w:szCs w:val="20"/>
              </w:rPr>
              <w:t>Very low</w:t>
            </w:r>
          </w:p>
        </w:tc>
        <w:tc>
          <w:tcPr>
            <w:tcW w:w="992" w:type="dxa"/>
            <w:tcBorders>
              <w:bottom w:val="nil"/>
            </w:tcBorders>
            <w:vAlign w:val="center"/>
          </w:tcPr>
          <w:p w:rsidR="005A7C3D" w:rsidRDefault="00000000">
            <w:pPr>
              <w:pBdr>
                <w:top w:val="nil"/>
                <w:left w:val="nil"/>
                <w:bottom w:val="nil"/>
                <w:right w:val="nil"/>
                <w:between w:val="nil"/>
              </w:pBdr>
              <w:jc w:val="center"/>
              <w:rPr>
                <w:sz w:val="20"/>
                <w:szCs w:val="20"/>
              </w:rPr>
            </w:pPr>
            <w:r>
              <w:rPr>
                <w:sz w:val="20"/>
                <w:szCs w:val="20"/>
              </w:rPr>
              <w:t>0.0 – 1.1</w:t>
            </w:r>
          </w:p>
        </w:tc>
        <w:tc>
          <w:tcPr>
            <w:tcW w:w="567" w:type="dxa"/>
            <w:tcBorders>
              <w:bottom w:val="nil"/>
            </w:tcBorders>
            <w:vAlign w:val="center"/>
          </w:tcPr>
          <w:p w:rsidR="005A7C3D" w:rsidRDefault="00000000">
            <w:pPr>
              <w:pBdr>
                <w:top w:val="nil"/>
                <w:left w:val="nil"/>
                <w:bottom w:val="nil"/>
                <w:right w:val="nil"/>
                <w:between w:val="nil"/>
              </w:pBdr>
              <w:jc w:val="center"/>
              <w:rPr>
                <w:sz w:val="20"/>
                <w:szCs w:val="20"/>
              </w:rPr>
            </w:pPr>
            <w:r>
              <w:rPr>
                <w:sz w:val="20"/>
                <w:szCs w:val="20"/>
              </w:rPr>
              <w:t>16</w:t>
            </w:r>
          </w:p>
        </w:tc>
        <w:tc>
          <w:tcPr>
            <w:tcW w:w="992" w:type="dxa"/>
            <w:tcBorders>
              <w:bottom w:val="nil"/>
            </w:tcBorders>
            <w:vAlign w:val="center"/>
          </w:tcPr>
          <w:p w:rsidR="005A7C3D" w:rsidRDefault="00000000">
            <w:pPr>
              <w:pBdr>
                <w:top w:val="nil"/>
                <w:left w:val="nil"/>
                <w:bottom w:val="nil"/>
                <w:right w:val="nil"/>
                <w:between w:val="nil"/>
              </w:pBdr>
              <w:jc w:val="center"/>
              <w:rPr>
                <w:sz w:val="20"/>
                <w:szCs w:val="20"/>
              </w:rPr>
            </w:pPr>
            <w:r>
              <w:rPr>
                <w:sz w:val="20"/>
                <w:szCs w:val="20"/>
              </w:rPr>
              <w:t>26.7%</w:t>
            </w:r>
          </w:p>
        </w:tc>
      </w:tr>
      <w:tr w:rsidR="005A7C3D">
        <w:trPr>
          <w:jc w:val="center"/>
        </w:trPr>
        <w:tc>
          <w:tcPr>
            <w:tcW w:w="2127" w:type="dxa"/>
            <w:tcBorders>
              <w:top w:val="nil"/>
              <w:bottom w:val="nil"/>
            </w:tcBorders>
            <w:vAlign w:val="center"/>
          </w:tcPr>
          <w:p w:rsidR="005A7C3D" w:rsidRDefault="00000000">
            <w:pPr>
              <w:pBdr>
                <w:top w:val="nil"/>
                <w:left w:val="nil"/>
                <w:bottom w:val="nil"/>
                <w:right w:val="nil"/>
                <w:between w:val="nil"/>
              </w:pBdr>
              <w:rPr>
                <w:sz w:val="20"/>
                <w:szCs w:val="20"/>
              </w:rPr>
            </w:pPr>
            <w:r>
              <w:rPr>
                <w:sz w:val="20"/>
                <w:szCs w:val="20"/>
              </w:rPr>
              <w:t>Low</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1.2 – 2.6</w:t>
            </w:r>
          </w:p>
        </w:tc>
        <w:tc>
          <w:tcPr>
            <w:tcW w:w="567"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9</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15.0%</w:t>
            </w:r>
          </w:p>
        </w:tc>
      </w:tr>
      <w:tr w:rsidR="005A7C3D">
        <w:trPr>
          <w:jc w:val="center"/>
        </w:trPr>
        <w:tc>
          <w:tcPr>
            <w:tcW w:w="2127" w:type="dxa"/>
            <w:tcBorders>
              <w:top w:val="nil"/>
              <w:bottom w:val="nil"/>
            </w:tcBorders>
            <w:vAlign w:val="center"/>
          </w:tcPr>
          <w:p w:rsidR="005A7C3D" w:rsidRDefault="00000000">
            <w:pPr>
              <w:pBdr>
                <w:top w:val="nil"/>
                <w:left w:val="nil"/>
                <w:bottom w:val="nil"/>
                <w:right w:val="nil"/>
                <w:between w:val="nil"/>
              </w:pBdr>
              <w:rPr>
                <w:sz w:val="20"/>
                <w:szCs w:val="20"/>
              </w:rPr>
            </w:pPr>
            <w:r>
              <w:rPr>
                <w:sz w:val="20"/>
                <w:szCs w:val="20"/>
              </w:rPr>
              <w:t>Enough</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2.7 – 4.4</w:t>
            </w:r>
          </w:p>
        </w:tc>
        <w:tc>
          <w:tcPr>
            <w:tcW w:w="567"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13</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21.7%</w:t>
            </w:r>
          </w:p>
        </w:tc>
      </w:tr>
      <w:tr w:rsidR="005A7C3D">
        <w:trPr>
          <w:jc w:val="center"/>
        </w:trPr>
        <w:tc>
          <w:tcPr>
            <w:tcW w:w="2127" w:type="dxa"/>
            <w:tcBorders>
              <w:top w:val="nil"/>
              <w:bottom w:val="nil"/>
            </w:tcBorders>
            <w:vAlign w:val="center"/>
          </w:tcPr>
          <w:p w:rsidR="005A7C3D" w:rsidRDefault="00BA6591">
            <w:pPr>
              <w:pBdr>
                <w:top w:val="nil"/>
                <w:left w:val="nil"/>
                <w:bottom w:val="nil"/>
                <w:right w:val="nil"/>
                <w:between w:val="nil"/>
              </w:pBdr>
              <w:rPr>
                <w:sz w:val="20"/>
                <w:szCs w:val="20"/>
              </w:rPr>
            </w:pPr>
            <w:r>
              <w:rPr>
                <w:sz w:val="20"/>
                <w:szCs w:val="20"/>
              </w:rPr>
              <w:t>High</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4.5 – 6.5</w:t>
            </w:r>
          </w:p>
        </w:tc>
        <w:tc>
          <w:tcPr>
            <w:tcW w:w="567"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7</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11.7%</w:t>
            </w:r>
          </w:p>
        </w:tc>
      </w:tr>
      <w:tr w:rsidR="005A7C3D">
        <w:trPr>
          <w:jc w:val="center"/>
        </w:trPr>
        <w:tc>
          <w:tcPr>
            <w:tcW w:w="2127" w:type="dxa"/>
            <w:tcBorders>
              <w:top w:val="nil"/>
              <w:bottom w:val="nil"/>
            </w:tcBorders>
            <w:vAlign w:val="center"/>
          </w:tcPr>
          <w:p w:rsidR="005A7C3D" w:rsidRDefault="00000000">
            <w:pPr>
              <w:pBdr>
                <w:top w:val="nil"/>
                <w:left w:val="nil"/>
                <w:bottom w:val="nil"/>
                <w:right w:val="nil"/>
                <w:between w:val="nil"/>
              </w:pBdr>
              <w:rPr>
                <w:sz w:val="20"/>
                <w:szCs w:val="20"/>
              </w:rPr>
            </w:pPr>
            <w:r>
              <w:rPr>
                <w:sz w:val="20"/>
                <w:szCs w:val="20"/>
              </w:rPr>
              <w:t>Very high</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&gt; 6.6</w:t>
            </w:r>
          </w:p>
        </w:tc>
        <w:tc>
          <w:tcPr>
            <w:tcW w:w="567"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15</w:t>
            </w:r>
          </w:p>
        </w:tc>
        <w:tc>
          <w:tcPr>
            <w:tcW w:w="992" w:type="dxa"/>
            <w:tcBorders>
              <w:top w:val="nil"/>
              <w:bottom w:val="nil"/>
            </w:tcBorders>
            <w:vAlign w:val="center"/>
          </w:tcPr>
          <w:p w:rsidR="005A7C3D" w:rsidRDefault="00000000">
            <w:pPr>
              <w:pBdr>
                <w:top w:val="nil"/>
                <w:left w:val="nil"/>
                <w:bottom w:val="nil"/>
                <w:right w:val="nil"/>
                <w:between w:val="nil"/>
              </w:pBdr>
              <w:jc w:val="center"/>
              <w:rPr>
                <w:sz w:val="20"/>
                <w:szCs w:val="20"/>
              </w:rPr>
            </w:pPr>
            <w:r>
              <w:rPr>
                <w:sz w:val="20"/>
                <w:szCs w:val="20"/>
              </w:rPr>
              <w:t>25.0%</w:t>
            </w:r>
          </w:p>
        </w:tc>
      </w:tr>
      <w:tr w:rsidR="005A7C3D">
        <w:trPr>
          <w:jc w:val="center"/>
        </w:trPr>
        <w:tc>
          <w:tcPr>
            <w:tcW w:w="3119" w:type="dxa"/>
            <w:gridSpan w:val="2"/>
            <w:tcBorders>
              <w:top w:val="nil"/>
            </w:tcBorders>
            <w:vAlign w:val="center"/>
          </w:tcPr>
          <w:p w:rsidR="005A7C3D" w:rsidRDefault="00000000">
            <w:pPr>
              <w:pBdr>
                <w:top w:val="nil"/>
                <w:left w:val="nil"/>
                <w:bottom w:val="nil"/>
                <w:right w:val="nil"/>
                <w:between w:val="nil"/>
              </w:pBdr>
              <w:rPr>
                <w:sz w:val="20"/>
                <w:szCs w:val="20"/>
              </w:rPr>
            </w:pPr>
            <w:r>
              <w:rPr>
                <w:sz w:val="20"/>
                <w:szCs w:val="20"/>
              </w:rPr>
              <w:t>Total</w:t>
            </w:r>
          </w:p>
        </w:tc>
        <w:tc>
          <w:tcPr>
            <w:tcW w:w="567" w:type="dxa"/>
            <w:tcBorders>
              <w:top w:val="nil"/>
            </w:tcBorders>
            <w:vAlign w:val="center"/>
          </w:tcPr>
          <w:p w:rsidR="005A7C3D" w:rsidRDefault="00000000">
            <w:pPr>
              <w:pBdr>
                <w:top w:val="nil"/>
                <w:left w:val="nil"/>
                <w:bottom w:val="nil"/>
                <w:right w:val="nil"/>
                <w:between w:val="nil"/>
              </w:pBdr>
              <w:jc w:val="center"/>
              <w:rPr>
                <w:sz w:val="20"/>
                <w:szCs w:val="20"/>
              </w:rPr>
            </w:pPr>
            <w:r>
              <w:rPr>
                <w:sz w:val="20"/>
                <w:szCs w:val="20"/>
              </w:rPr>
              <w:t>60</w:t>
            </w:r>
          </w:p>
        </w:tc>
        <w:tc>
          <w:tcPr>
            <w:tcW w:w="992" w:type="dxa"/>
            <w:tcBorders>
              <w:top w:val="nil"/>
            </w:tcBorders>
            <w:vAlign w:val="center"/>
          </w:tcPr>
          <w:p w:rsidR="005A7C3D" w:rsidRDefault="00000000">
            <w:pPr>
              <w:pBdr>
                <w:top w:val="nil"/>
                <w:left w:val="nil"/>
                <w:bottom w:val="nil"/>
                <w:right w:val="nil"/>
                <w:between w:val="nil"/>
              </w:pBdr>
              <w:jc w:val="center"/>
              <w:rPr>
                <w:sz w:val="20"/>
                <w:szCs w:val="20"/>
              </w:rPr>
            </w:pPr>
            <w:r>
              <w:rPr>
                <w:sz w:val="20"/>
                <w:szCs w:val="20"/>
              </w:rPr>
              <w:t>100.0%</w:t>
            </w:r>
          </w:p>
        </w:tc>
      </w:tr>
    </w:tbl>
    <w:p w:rsidR="005A7C3D"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frequency distribution of responses according to the Early Childhood Caries (ECC) description is displayed in </w:t>
      </w:r>
      <w:r>
        <w:rPr>
          <w:rFonts w:ascii="Times New Roman" w:eastAsia="Times New Roman" w:hAnsi="Times New Roman" w:cs="Times New Roman"/>
          <w:sz w:val="24"/>
          <w:szCs w:val="24"/>
        </w:rPr>
        <w:t>Table 2. The def-t index uses five parameters to determine a patient's caries status: very low, low, fair, high, and very high. Respondents who had "very low" caries status were the largest in this study, namely 16 toddlers (26.7%). Meanwhile, respondents who had "low" caries status were 9 children under five (15.0%). As for respondents who had "sufficient" caries status, there were 13 children under five (21.7%). Furthermore, respondents who had "high" caries status were 7 toddlers (11.7%), and respondents who had "very high" caries status were 15 toddlers (25.0%).</w:t>
      </w:r>
    </w:p>
    <w:p w:rsidR="005A7C3D" w:rsidRDefault="00000000">
      <w:pPr>
        <w:pBdr>
          <w:top w:val="nil"/>
          <w:left w:val="nil"/>
          <w:bottom w:val="nil"/>
          <w:right w:val="nil"/>
          <w:between w:val="nil"/>
        </w:pBdr>
        <w:spacing w:after="0" w:line="240" w:lineRule="auto"/>
        <w:ind w:left="993" w:hanging="993"/>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rPr>
        <w:t>Table 3.</w:t>
      </w:r>
      <w:r>
        <w:rPr>
          <w:rFonts w:ascii="Times New Roman" w:eastAsia="Times New Roman" w:hAnsi="Times New Roman" w:cs="Times New Roman"/>
          <w:b/>
          <w:color w:val="000000"/>
          <w:sz w:val="20"/>
          <w:szCs w:val="20"/>
        </w:rPr>
        <w:t>Distribution and Frequency of Respondents based on Early Childhood Caries (ECC) Types</w:t>
      </w:r>
    </w:p>
    <w:tbl>
      <w:tblPr>
        <w:tblStyle w:val="a7"/>
        <w:tblW w:w="4202" w:type="dxa"/>
        <w:jc w:val="center"/>
        <w:tblInd w:w="0"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222"/>
        <w:gridCol w:w="141"/>
        <w:gridCol w:w="894"/>
        <w:gridCol w:w="945"/>
      </w:tblGrid>
      <w:tr w:rsidR="005A7C3D">
        <w:trPr>
          <w:jc w:val="center"/>
        </w:trPr>
        <w:tc>
          <w:tcPr>
            <w:tcW w:w="2222" w:type="dxa"/>
            <w:tcBorders>
              <w:bottom w:val="single" w:sz="4" w:space="0" w:color="000000"/>
            </w:tcBorders>
            <w:shd w:val="clear" w:color="auto" w:fill="auto"/>
          </w:tcPr>
          <w:p w:rsidR="005A7C3D" w:rsidRDefault="00000000">
            <w:pPr>
              <w:pBdr>
                <w:top w:val="nil"/>
                <w:left w:val="nil"/>
                <w:bottom w:val="nil"/>
                <w:right w:val="nil"/>
                <w:between w:val="nil"/>
              </w:pBdr>
              <w:rPr>
                <w:b/>
                <w:sz w:val="20"/>
                <w:szCs w:val="20"/>
              </w:rPr>
            </w:pPr>
            <w:r>
              <w:rPr>
                <w:b/>
                <w:sz w:val="20"/>
                <w:szCs w:val="20"/>
              </w:rPr>
              <w:t>Types of Early Childhood Caries (ECC)</w:t>
            </w:r>
          </w:p>
        </w:tc>
        <w:tc>
          <w:tcPr>
            <w:tcW w:w="1035" w:type="dxa"/>
            <w:gridSpan w:val="2"/>
            <w:tcBorders>
              <w:bottom w:val="single" w:sz="4" w:space="0" w:color="000000"/>
            </w:tcBorders>
            <w:shd w:val="clear" w:color="auto" w:fill="auto"/>
          </w:tcPr>
          <w:p w:rsidR="005A7C3D" w:rsidRDefault="00000000">
            <w:pPr>
              <w:pBdr>
                <w:top w:val="nil"/>
                <w:left w:val="nil"/>
                <w:bottom w:val="nil"/>
                <w:right w:val="nil"/>
                <w:between w:val="nil"/>
              </w:pBdr>
              <w:jc w:val="center"/>
              <w:rPr>
                <w:b/>
                <w:sz w:val="20"/>
                <w:szCs w:val="20"/>
              </w:rPr>
            </w:pPr>
            <w:r>
              <w:rPr>
                <w:b/>
                <w:sz w:val="20"/>
                <w:szCs w:val="20"/>
              </w:rPr>
              <w:t>n</w:t>
            </w:r>
          </w:p>
        </w:tc>
        <w:tc>
          <w:tcPr>
            <w:tcW w:w="945" w:type="dxa"/>
            <w:tcBorders>
              <w:bottom w:val="single" w:sz="4" w:space="0" w:color="000000"/>
            </w:tcBorders>
            <w:shd w:val="clear" w:color="auto" w:fill="auto"/>
          </w:tcPr>
          <w:p w:rsidR="005A7C3D" w:rsidRDefault="00000000">
            <w:pPr>
              <w:pBdr>
                <w:top w:val="nil"/>
                <w:left w:val="nil"/>
                <w:bottom w:val="nil"/>
                <w:right w:val="nil"/>
                <w:between w:val="nil"/>
              </w:pBdr>
              <w:jc w:val="center"/>
              <w:rPr>
                <w:b/>
                <w:sz w:val="20"/>
                <w:szCs w:val="20"/>
              </w:rPr>
            </w:pPr>
            <w:r>
              <w:rPr>
                <w:b/>
                <w:sz w:val="20"/>
                <w:szCs w:val="20"/>
              </w:rPr>
              <w:t>%</w:t>
            </w:r>
          </w:p>
        </w:tc>
      </w:tr>
      <w:tr w:rsidR="005A7C3D">
        <w:trPr>
          <w:jc w:val="center"/>
        </w:trPr>
        <w:tc>
          <w:tcPr>
            <w:tcW w:w="2363" w:type="dxa"/>
            <w:gridSpan w:val="2"/>
            <w:tcBorders>
              <w:bottom w:val="nil"/>
            </w:tcBorders>
          </w:tcPr>
          <w:p w:rsidR="005A7C3D" w:rsidRDefault="00000000">
            <w:pPr>
              <w:pBdr>
                <w:top w:val="nil"/>
                <w:left w:val="nil"/>
                <w:bottom w:val="nil"/>
                <w:right w:val="nil"/>
                <w:between w:val="nil"/>
              </w:pBdr>
              <w:rPr>
                <w:sz w:val="20"/>
                <w:szCs w:val="20"/>
              </w:rPr>
            </w:pPr>
            <w:r>
              <w:rPr>
                <w:sz w:val="20"/>
                <w:szCs w:val="20"/>
              </w:rPr>
              <w:t>Type 1 (Mild to Moderate)</w:t>
            </w:r>
          </w:p>
        </w:tc>
        <w:tc>
          <w:tcPr>
            <w:tcW w:w="894" w:type="dxa"/>
            <w:tcBorders>
              <w:bottom w:val="nil"/>
            </w:tcBorders>
          </w:tcPr>
          <w:p w:rsidR="005A7C3D" w:rsidRDefault="00000000">
            <w:pPr>
              <w:pBdr>
                <w:top w:val="nil"/>
                <w:left w:val="nil"/>
                <w:bottom w:val="nil"/>
                <w:right w:val="nil"/>
                <w:between w:val="nil"/>
              </w:pBdr>
              <w:jc w:val="center"/>
              <w:rPr>
                <w:sz w:val="20"/>
                <w:szCs w:val="20"/>
              </w:rPr>
            </w:pPr>
            <w:r>
              <w:rPr>
                <w:sz w:val="20"/>
                <w:szCs w:val="20"/>
              </w:rPr>
              <w:t>25</w:t>
            </w:r>
          </w:p>
        </w:tc>
        <w:tc>
          <w:tcPr>
            <w:tcW w:w="945" w:type="dxa"/>
            <w:tcBorders>
              <w:bottom w:val="nil"/>
            </w:tcBorders>
          </w:tcPr>
          <w:p w:rsidR="005A7C3D" w:rsidRDefault="00000000">
            <w:pPr>
              <w:pBdr>
                <w:top w:val="nil"/>
                <w:left w:val="nil"/>
                <w:bottom w:val="nil"/>
                <w:right w:val="nil"/>
                <w:between w:val="nil"/>
              </w:pBdr>
              <w:jc w:val="center"/>
              <w:rPr>
                <w:sz w:val="20"/>
                <w:szCs w:val="20"/>
              </w:rPr>
            </w:pPr>
            <w:r>
              <w:rPr>
                <w:sz w:val="20"/>
                <w:szCs w:val="20"/>
              </w:rPr>
              <w:t>41.67%</w:t>
            </w:r>
          </w:p>
        </w:tc>
      </w:tr>
      <w:tr w:rsidR="005A7C3D">
        <w:trPr>
          <w:jc w:val="center"/>
        </w:trPr>
        <w:tc>
          <w:tcPr>
            <w:tcW w:w="2363" w:type="dxa"/>
            <w:gridSpan w:val="2"/>
            <w:tcBorders>
              <w:top w:val="nil"/>
              <w:bottom w:val="nil"/>
            </w:tcBorders>
          </w:tcPr>
          <w:p w:rsidR="005A7C3D" w:rsidRDefault="00000000">
            <w:pPr>
              <w:pBdr>
                <w:top w:val="nil"/>
                <w:left w:val="nil"/>
                <w:bottom w:val="nil"/>
                <w:right w:val="nil"/>
                <w:between w:val="nil"/>
              </w:pBdr>
              <w:rPr>
                <w:sz w:val="20"/>
                <w:szCs w:val="20"/>
              </w:rPr>
            </w:pPr>
            <w:r>
              <w:rPr>
                <w:sz w:val="20"/>
                <w:szCs w:val="20"/>
              </w:rPr>
              <w:t>Type 2 (Moderate to Severe)</w:t>
            </w:r>
          </w:p>
        </w:tc>
        <w:tc>
          <w:tcPr>
            <w:tcW w:w="894" w:type="dxa"/>
            <w:tcBorders>
              <w:top w:val="nil"/>
              <w:bottom w:val="nil"/>
            </w:tcBorders>
          </w:tcPr>
          <w:p w:rsidR="005A7C3D" w:rsidRDefault="00000000">
            <w:pPr>
              <w:pBdr>
                <w:top w:val="nil"/>
                <w:left w:val="nil"/>
                <w:bottom w:val="nil"/>
                <w:right w:val="nil"/>
                <w:between w:val="nil"/>
              </w:pBdr>
              <w:jc w:val="center"/>
              <w:rPr>
                <w:sz w:val="20"/>
                <w:szCs w:val="20"/>
              </w:rPr>
            </w:pPr>
            <w:r>
              <w:rPr>
                <w:sz w:val="20"/>
                <w:szCs w:val="20"/>
              </w:rPr>
              <w:t>13</w:t>
            </w:r>
          </w:p>
        </w:tc>
        <w:tc>
          <w:tcPr>
            <w:tcW w:w="945" w:type="dxa"/>
            <w:tcBorders>
              <w:top w:val="nil"/>
              <w:bottom w:val="nil"/>
            </w:tcBorders>
          </w:tcPr>
          <w:p w:rsidR="005A7C3D" w:rsidRDefault="00000000">
            <w:pPr>
              <w:pBdr>
                <w:top w:val="nil"/>
                <w:left w:val="nil"/>
                <w:bottom w:val="nil"/>
                <w:right w:val="nil"/>
                <w:between w:val="nil"/>
              </w:pBdr>
              <w:jc w:val="center"/>
              <w:rPr>
                <w:sz w:val="20"/>
                <w:szCs w:val="20"/>
              </w:rPr>
            </w:pPr>
            <w:r>
              <w:rPr>
                <w:sz w:val="20"/>
                <w:szCs w:val="20"/>
              </w:rPr>
              <w:t>21.67%</w:t>
            </w:r>
          </w:p>
        </w:tc>
      </w:tr>
      <w:tr w:rsidR="005A7C3D">
        <w:trPr>
          <w:jc w:val="center"/>
        </w:trPr>
        <w:tc>
          <w:tcPr>
            <w:tcW w:w="2363" w:type="dxa"/>
            <w:gridSpan w:val="2"/>
            <w:tcBorders>
              <w:top w:val="nil"/>
              <w:bottom w:val="nil"/>
            </w:tcBorders>
          </w:tcPr>
          <w:p w:rsidR="005A7C3D" w:rsidRDefault="00000000">
            <w:pPr>
              <w:pBdr>
                <w:top w:val="nil"/>
                <w:left w:val="nil"/>
                <w:bottom w:val="nil"/>
                <w:right w:val="nil"/>
                <w:between w:val="nil"/>
              </w:pBdr>
              <w:rPr>
                <w:sz w:val="20"/>
                <w:szCs w:val="20"/>
              </w:rPr>
            </w:pPr>
            <w:r>
              <w:rPr>
                <w:sz w:val="20"/>
                <w:szCs w:val="20"/>
              </w:rPr>
              <w:t>Type 3 (Severe)</w:t>
            </w:r>
          </w:p>
        </w:tc>
        <w:tc>
          <w:tcPr>
            <w:tcW w:w="894" w:type="dxa"/>
            <w:tcBorders>
              <w:top w:val="nil"/>
              <w:bottom w:val="nil"/>
            </w:tcBorders>
          </w:tcPr>
          <w:p w:rsidR="005A7C3D" w:rsidRDefault="00000000">
            <w:pPr>
              <w:pBdr>
                <w:top w:val="nil"/>
                <w:left w:val="nil"/>
                <w:bottom w:val="nil"/>
                <w:right w:val="nil"/>
                <w:between w:val="nil"/>
              </w:pBdr>
              <w:jc w:val="center"/>
              <w:rPr>
                <w:sz w:val="20"/>
                <w:szCs w:val="20"/>
              </w:rPr>
            </w:pPr>
            <w:r>
              <w:rPr>
                <w:sz w:val="20"/>
                <w:szCs w:val="20"/>
              </w:rPr>
              <w:t>22</w:t>
            </w:r>
          </w:p>
        </w:tc>
        <w:tc>
          <w:tcPr>
            <w:tcW w:w="945" w:type="dxa"/>
            <w:tcBorders>
              <w:top w:val="nil"/>
              <w:bottom w:val="nil"/>
            </w:tcBorders>
          </w:tcPr>
          <w:p w:rsidR="005A7C3D" w:rsidRDefault="00000000">
            <w:pPr>
              <w:pBdr>
                <w:top w:val="nil"/>
                <w:left w:val="nil"/>
                <w:bottom w:val="nil"/>
                <w:right w:val="nil"/>
                <w:between w:val="nil"/>
              </w:pBdr>
              <w:jc w:val="center"/>
              <w:rPr>
                <w:sz w:val="20"/>
                <w:szCs w:val="20"/>
              </w:rPr>
            </w:pPr>
            <w:r>
              <w:rPr>
                <w:sz w:val="20"/>
                <w:szCs w:val="20"/>
              </w:rPr>
              <w:t>36.67%</w:t>
            </w:r>
          </w:p>
        </w:tc>
      </w:tr>
      <w:tr w:rsidR="005A7C3D">
        <w:trPr>
          <w:jc w:val="center"/>
        </w:trPr>
        <w:tc>
          <w:tcPr>
            <w:tcW w:w="2363" w:type="dxa"/>
            <w:gridSpan w:val="2"/>
            <w:tcBorders>
              <w:top w:val="nil"/>
            </w:tcBorders>
          </w:tcPr>
          <w:p w:rsidR="005A7C3D" w:rsidRDefault="00000000">
            <w:pPr>
              <w:pBdr>
                <w:top w:val="nil"/>
                <w:left w:val="nil"/>
                <w:bottom w:val="nil"/>
                <w:right w:val="nil"/>
                <w:between w:val="nil"/>
              </w:pBdr>
              <w:rPr>
                <w:sz w:val="20"/>
                <w:szCs w:val="20"/>
              </w:rPr>
            </w:pPr>
            <w:r>
              <w:rPr>
                <w:sz w:val="20"/>
                <w:szCs w:val="20"/>
              </w:rPr>
              <w:t>Total</w:t>
            </w:r>
          </w:p>
        </w:tc>
        <w:tc>
          <w:tcPr>
            <w:tcW w:w="894" w:type="dxa"/>
            <w:tcBorders>
              <w:top w:val="nil"/>
            </w:tcBorders>
          </w:tcPr>
          <w:p w:rsidR="005A7C3D" w:rsidRDefault="00000000">
            <w:pPr>
              <w:pBdr>
                <w:top w:val="nil"/>
                <w:left w:val="nil"/>
                <w:bottom w:val="nil"/>
                <w:right w:val="nil"/>
                <w:between w:val="nil"/>
              </w:pBdr>
              <w:jc w:val="center"/>
              <w:rPr>
                <w:sz w:val="20"/>
                <w:szCs w:val="20"/>
              </w:rPr>
            </w:pPr>
            <w:r>
              <w:rPr>
                <w:sz w:val="20"/>
                <w:szCs w:val="20"/>
              </w:rPr>
              <w:t>60</w:t>
            </w:r>
          </w:p>
        </w:tc>
        <w:tc>
          <w:tcPr>
            <w:tcW w:w="945" w:type="dxa"/>
            <w:tcBorders>
              <w:top w:val="nil"/>
            </w:tcBorders>
          </w:tcPr>
          <w:p w:rsidR="005A7C3D" w:rsidRDefault="00000000">
            <w:pPr>
              <w:pBdr>
                <w:top w:val="nil"/>
                <w:left w:val="nil"/>
                <w:bottom w:val="nil"/>
                <w:right w:val="nil"/>
                <w:between w:val="nil"/>
              </w:pBdr>
              <w:jc w:val="center"/>
              <w:rPr>
                <w:sz w:val="20"/>
                <w:szCs w:val="20"/>
              </w:rPr>
            </w:pPr>
            <w:r>
              <w:rPr>
                <w:sz w:val="20"/>
                <w:szCs w:val="20"/>
              </w:rPr>
              <w:t>100.00%</w:t>
            </w:r>
          </w:p>
        </w:tc>
      </w:tr>
    </w:tbl>
    <w:p w:rsidR="005A7C3D" w:rsidRDefault="005A7C3D">
      <w:pPr>
        <w:spacing w:after="0" w:line="240" w:lineRule="auto"/>
        <w:ind w:firstLine="720"/>
        <w:jc w:val="both"/>
        <w:rPr>
          <w:rFonts w:ascii="Times New Roman" w:eastAsia="Times New Roman" w:hAnsi="Times New Roman" w:cs="Times New Roman"/>
          <w:sz w:val="24"/>
          <w:szCs w:val="24"/>
        </w:rPr>
      </w:pPr>
    </w:p>
    <w:p w:rsidR="005A7C3D"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frequency distribution of respondents according to Early Childhood Caries (ECC) types is displayed in Table 3. Early Childhood Caries (ECC) come in three varieties: type 1 (mild to moderate), type 2 (moderate to severe), and type 3 (severe). Respondents who had Early Childhood Caries (ECC) "type 1 (Mild to Moderate)" were the most numerous in this study, namely 25 toddlers (41.67%). Meanwhile, respondents who had Early Childhood Caries (ECC) type "type 2 (Moderate to Severe)" were 13 children under five (21.67%). As for respondents who had Early Childhood Caries (ECC) which was "type 3 (Severe)", there were 22 children under five (36.67%).</w:t>
      </w:r>
    </w:p>
    <w:p w:rsidR="00290037" w:rsidRDefault="00290037">
      <w:pPr>
        <w:spacing w:after="0" w:line="240" w:lineRule="auto"/>
        <w:ind w:firstLine="720"/>
        <w:jc w:val="both"/>
        <w:rPr>
          <w:rFonts w:ascii="Times New Roman" w:eastAsia="Times New Roman" w:hAnsi="Times New Roman" w:cs="Times New Roman"/>
          <w:sz w:val="24"/>
          <w:szCs w:val="24"/>
        </w:rPr>
        <w:sectPr w:rsidR="00290037" w:rsidSect="00B30FD9">
          <w:type w:val="continuous"/>
          <w:pgSz w:w="11907" w:h="16839"/>
          <w:pgMar w:top="1440" w:right="1440" w:bottom="1440" w:left="1440" w:header="720" w:footer="720" w:gutter="0"/>
          <w:cols w:num="2" w:space="720" w:equalWidth="0">
            <w:col w:w="4153" w:space="720"/>
            <w:col w:w="4153" w:space="0"/>
          </w:cols>
        </w:sectPr>
      </w:pPr>
    </w:p>
    <w:p w:rsidR="005A7C3D" w:rsidRDefault="005A7C3D">
      <w:pPr>
        <w:keepNext/>
        <w:spacing w:after="0" w:line="240" w:lineRule="auto"/>
        <w:ind w:left="900" w:hanging="900"/>
        <w:jc w:val="both"/>
        <w:rPr>
          <w:rFonts w:ascii="Times New Roman" w:eastAsia="Times New Roman" w:hAnsi="Times New Roman" w:cs="Times New Roman"/>
          <w:b/>
          <w:sz w:val="20"/>
          <w:szCs w:val="20"/>
        </w:rPr>
      </w:pPr>
    </w:p>
    <w:p w:rsidR="00290037" w:rsidRDefault="00290037">
      <w:pPr>
        <w:pBdr>
          <w:top w:val="nil"/>
          <w:left w:val="nil"/>
          <w:bottom w:val="nil"/>
          <w:right w:val="nil"/>
          <w:between w:val="nil"/>
        </w:pBdr>
        <w:spacing w:after="0" w:line="240" w:lineRule="auto"/>
        <w:ind w:left="851" w:hanging="851"/>
        <w:jc w:val="both"/>
        <w:rPr>
          <w:rFonts w:ascii="Times New Roman" w:eastAsia="Times New Roman" w:hAnsi="Times New Roman" w:cs="Times New Roman"/>
          <w:b/>
          <w:sz w:val="20"/>
          <w:szCs w:val="20"/>
        </w:rPr>
      </w:pPr>
    </w:p>
    <w:p w:rsidR="00281646" w:rsidRDefault="00281646">
      <w:pPr>
        <w:pBdr>
          <w:top w:val="nil"/>
          <w:left w:val="nil"/>
          <w:bottom w:val="nil"/>
          <w:right w:val="nil"/>
          <w:between w:val="nil"/>
        </w:pBdr>
        <w:spacing w:after="0" w:line="240" w:lineRule="auto"/>
        <w:ind w:left="851" w:hanging="851"/>
        <w:jc w:val="both"/>
        <w:rPr>
          <w:rFonts w:ascii="Times New Roman" w:eastAsia="Times New Roman" w:hAnsi="Times New Roman" w:cs="Times New Roman"/>
          <w:b/>
          <w:sz w:val="20"/>
          <w:szCs w:val="20"/>
        </w:rPr>
      </w:pPr>
    </w:p>
    <w:p w:rsidR="00281646" w:rsidRDefault="00281646">
      <w:pPr>
        <w:pBdr>
          <w:top w:val="nil"/>
          <w:left w:val="nil"/>
          <w:bottom w:val="nil"/>
          <w:right w:val="nil"/>
          <w:between w:val="nil"/>
        </w:pBdr>
        <w:spacing w:after="0" w:line="240" w:lineRule="auto"/>
        <w:ind w:left="851" w:hanging="851"/>
        <w:jc w:val="both"/>
        <w:rPr>
          <w:rFonts w:ascii="Times New Roman" w:eastAsia="Times New Roman" w:hAnsi="Times New Roman" w:cs="Times New Roman"/>
          <w:b/>
          <w:sz w:val="20"/>
          <w:szCs w:val="20"/>
        </w:rPr>
      </w:pPr>
    </w:p>
    <w:p w:rsidR="00290037" w:rsidRDefault="00290037">
      <w:pPr>
        <w:pBdr>
          <w:top w:val="nil"/>
          <w:left w:val="nil"/>
          <w:bottom w:val="nil"/>
          <w:right w:val="nil"/>
          <w:between w:val="nil"/>
        </w:pBdr>
        <w:spacing w:after="0" w:line="240" w:lineRule="auto"/>
        <w:ind w:left="851" w:hanging="851"/>
        <w:jc w:val="both"/>
        <w:rPr>
          <w:rFonts w:ascii="Times New Roman" w:eastAsia="Times New Roman" w:hAnsi="Times New Roman" w:cs="Times New Roman"/>
          <w:b/>
          <w:sz w:val="20"/>
          <w:szCs w:val="20"/>
        </w:rPr>
      </w:pPr>
    </w:p>
    <w:p w:rsidR="00281646" w:rsidRDefault="00281646">
      <w:pPr>
        <w:pBdr>
          <w:top w:val="nil"/>
          <w:left w:val="nil"/>
          <w:bottom w:val="nil"/>
          <w:right w:val="nil"/>
          <w:between w:val="nil"/>
        </w:pBdr>
        <w:spacing w:after="0" w:line="240" w:lineRule="auto"/>
        <w:ind w:left="851" w:hanging="851"/>
        <w:jc w:val="both"/>
        <w:rPr>
          <w:rFonts w:ascii="Times New Roman" w:eastAsia="Times New Roman" w:hAnsi="Times New Roman" w:cs="Times New Roman"/>
          <w:b/>
          <w:sz w:val="20"/>
          <w:szCs w:val="20"/>
        </w:rPr>
      </w:pPr>
    </w:p>
    <w:p w:rsidR="005A7C3D" w:rsidRDefault="00281646" w:rsidP="00281646">
      <w:pPr>
        <w:pBdr>
          <w:top w:val="nil"/>
          <w:left w:val="nil"/>
          <w:bottom w:val="nil"/>
          <w:right w:val="nil"/>
          <w:between w:val="nil"/>
        </w:pBdr>
        <w:spacing w:after="0" w:line="240" w:lineRule="auto"/>
        <w:ind w:left="851" w:hanging="851"/>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Table 4. Relationship between maternal behavior towards maintaining children's dental health and the incidence of early childhood caries (ECC</w:t>
      </w:r>
    </w:p>
    <w:tbl>
      <w:tblPr>
        <w:tblStyle w:val="TableGrid"/>
        <w:tblpPr w:leftFromText="180" w:rightFromText="180" w:vertAnchor="page" w:horzAnchor="margin" w:tblpY="1974"/>
        <w:tblW w:w="920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425"/>
        <w:gridCol w:w="709"/>
        <w:gridCol w:w="284"/>
        <w:gridCol w:w="708"/>
        <w:gridCol w:w="426"/>
        <w:gridCol w:w="708"/>
        <w:gridCol w:w="284"/>
        <w:gridCol w:w="709"/>
        <w:gridCol w:w="430"/>
        <w:gridCol w:w="700"/>
        <w:gridCol w:w="9"/>
        <w:gridCol w:w="425"/>
        <w:gridCol w:w="709"/>
        <w:gridCol w:w="708"/>
        <w:gridCol w:w="377"/>
        <w:gridCol w:w="278"/>
        <w:gridCol w:w="49"/>
      </w:tblGrid>
      <w:tr w:rsidR="00C4693B" w:rsidRPr="00B90F00" w:rsidTr="00281646">
        <w:trPr>
          <w:gridAfter w:val="2"/>
          <w:wAfter w:w="327" w:type="dxa"/>
          <w:trHeight w:val="210"/>
        </w:trPr>
        <w:tc>
          <w:tcPr>
            <w:tcW w:w="1271" w:type="dxa"/>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p>
        </w:tc>
        <w:tc>
          <w:tcPr>
            <w:tcW w:w="5383" w:type="dxa"/>
            <w:gridSpan w:val="10"/>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Def-t Assessment Criteria</w:t>
            </w:r>
          </w:p>
        </w:tc>
        <w:tc>
          <w:tcPr>
            <w:tcW w:w="2228" w:type="dxa"/>
            <w:gridSpan w:val="5"/>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p>
        </w:tc>
      </w:tr>
      <w:tr w:rsidR="00C4693B" w:rsidRPr="00B90F00" w:rsidTr="00281646">
        <w:trPr>
          <w:trHeight w:val="535"/>
        </w:trPr>
        <w:tc>
          <w:tcPr>
            <w:tcW w:w="1271" w:type="dxa"/>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color w:val="000000"/>
                <w:sz w:val="18"/>
                <w:szCs w:val="18"/>
                <w:lang w:val="en-US"/>
              </w:rPr>
              <w:t>Mother’s Behavior Towards Maintaining Childre</w:t>
            </w:r>
            <w:r>
              <w:rPr>
                <w:rFonts w:ascii="Times New Roman" w:hAnsi="Times New Roman" w:cs="Times New Roman"/>
                <w:b/>
                <w:bCs/>
                <w:color w:val="000000"/>
                <w:sz w:val="18"/>
                <w:szCs w:val="18"/>
                <w:lang w:val="en-US"/>
              </w:rPr>
              <w:t>n</w:t>
            </w:r>
            <w:r w:rsidRPr="00B90F00">
              <w:rPr>
                <w:rFonts w:ascii="Times New Roman" w:hAnsi="Times New Roman" w:cs="Times New Roman"/>
                <w:b/>
                <w:bCs/>
                <w:color w:val="000000"/>
                <w:sz w:val="18"/>
                <w:szCs w:val="18"/>
                <w:lang w:val="en-US"/>
              </w:rPr>
              <w:t>’s Dental Health</w:t>
            </w:r>
          </w:p>
        </w:tc>
        <w:tc>
          <w:tcPr>
            <w:tcW w:w="1134" w:type="dxa"/>
            <w:gridSpan w:val="2"/>
            <w:tcBorders>
              <w:top w:val="nil"/>
              <w:bottom w:val="single" w:sz="4" w:space="0" w:color="auto"/>
            </w:tcBorders>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Very Low</w:t>
            </w:r>
          </w:p>
        </w:tc>
        <w:tc>
          <w:tcPr>
            <w:tcW w:w="992" w:type="dxa"/>
            <w:gridSpan w:val="2"/>
            <w:tcBorders>
              <w:top w:val="nil"/>
              <w:bottom w:val="single" w:sz="4" w:space="0" w:color="auto"/>
            </w:tcBorders>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Low</w:t>
            </w:r>
          </w:p>
        </w:tc>
        <w:tc>
          <w:tcPr>
            <w:tcW w:w="1134" w:type="dxa"/>
            <w:gridSpan w:val="2"/>
            <w:tcBorders>
              <w:top w:val="nil"/>
              <w:bottom w:val="single" w:sz="4" w:space="0" w:color="auto"/>
            </w:tcBorders>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Enough</w:t>
            </w:r>
          </w:p>
        </w:tc>
        <w:tc>
          <w:tcPr>
            <w:tcW w:w="993" w:type="dxa"/>
            <w:gridSpan w:val="2"/>
            <w:tcBorders>
              <w:top w:val="nil"/>
              <w:bottom w:val="single" w:sz="4" w:space="0" w:color="auto"/>
            </w:tcBorders>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Tall</w:t>
            </w:r>
          </w:p>
        </w:tc>
        <w:tc>
          <w:tcPr>
            <w:tcW w:w="1139" w:type="dxa"/>
            <w:gridSpan w:val="3"/>
            <w:tcBorders>
              <w:top w:val="nil"/>
              <w:bottom w:val="single" w:sz="4" w:space="0" w:color="auto"/>
            </w:tcBorders>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Very High</w:t>
            </w:r>
          </w:p>
        </w:tc>
        <w:tc>
          <w:tcPr>
            <w:tcW w:w="1134" w:type="dxa"/>
            <w:gridSpan w:val="2"/>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Total</w:t>
            </w:r>
          </w:p>
        </w:tc>
        <w:tc>
          <w:tcPr>
            <w:tcW w:w="708" w:type="dxa"/>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Correlation Value</w:t>
            </w:r>
          </w:p>
        </w:tc>
        <w:tc>
          <w:tcPr>
            <w:tcW w:w="704" w:type="dxa"/>
            <w:gridSpan w:val="3"/>
            <w:shd w:val="clear" w:color="auto" w:fill="auto"/>
            <w:vAlign w:val="center"/>
          </w:tcPr>
          <w:p w:rsidR="00C4693B" w:rsidRPr="00B90F00" w:rsidRDefault="00C4693B" w:rsidP="00281646">
            <w:pPr>
              <w:jc w:val="center"/>
              <w:rPr>
                <w:rFonts w:ascii="Times New Roman" w:hAnsi="Times New Roman" w:cs="Times New Roman"/>
                <w:b/>
                <w:bCs/>
                <w:i/>
                <w:iCs/>
                <w:sz w:val="18"/>
                <w:szCs w:val="18"/>
                <w:lang w:val="en-US"/>
              </w:rPr>
            </w:pPr>
            <w:r w:rsidRPr="00B90F00">
              <w:rPr>
                <w:rFonts w:ascii="Times New Roman" w:hAnsi="Times New Roman" w:cs="Times New Roman"/>
                <w:b/>
                <w:bCs/>
                <w:i/>
                <w:iCs/>
                <w:sz w:val="18"/>
                <w:szCs w:val="18"/>
                <w:lang w:val="en-US"/>
              </w:rPr>
              <w:t>p-value</w:t>
            </w:r>
          </w:p>
        </w:tc>
      </w:tr>
      <w:tr w:rsidR="00281646" w:rsidRPr="00B90F00" w:rsidTr="00281646">
        <w:trPr>
          <w:gridAfter w:val="1"/>
          <w:wAfter w:w="49" w:type="dxa"/>
          <w:trHeight w:val="218"/>
        </w:trPr>
        <w:tc>
          <w:tcPr>
            <w:tcW w:w="1271" w:type="dxa"/>
            <w:tcBorders>
              <w:bottom w:val="nil"/>
            </w:tcBorders>
            <w:shd w:val="clear" w:color="auto" w:fill="auto"/>
            <w:vAlign w:val="center"/>
          </w:tcPr>
          <w:p w:rsidR="00C4693B" w:rsidRPr="00B90F00" w:rsidRDefault="00C4693B" w:rsidP="00281646">
            <w:pPr>
              <w:jc w:val="center"/>
              <w:rPr>
                <w:rFonts w:ascii="Times New Roman" w:hAnsi="Times New Roman" w:cs="Times New Roman"/>
                <w:b/>
                <w:bCs/>
                <w:sz w:val="18"/>
                <w:szCs w:val="18"/>
                <w:lang w:val="en-US"/>
              </w:rPr>
            </w:pPr>
          </w:p>
        </w:tc>
        <w:tc>
          <w:tcPr>
            <w:tcW w:w="425"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F</w:t>
            </w:r>
          </w:p>
        </w:tc>
        <w:tc>
          <w:tcPr>
            <w:tcW w:w="709"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w:t>
            </w:r>
          </w:p>
        </w:tc>
        <w:tc>
          <w:tcPr>
            <w:tcW w:w="284"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F</w:t>
            </w:r>
          </w:p>
        </w:tc>
        <w:tc>
          <w:tcPr>
            <w:tcW w:w="708"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w:t>
            </w:r>
          </w:p>
        </w:tc>
        <w:tc>
          <w:tcPr>
            <w:tcW w:w="426"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F</w:t>
            </w:r>
          </w:p>
        </w:tc>
        <w:tc>
          <w:tcPr>
            <w:tcW w:w="708"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w:t>
            </w:r>
          </w:p>
        </w:tc>
        <w:tc>
          <w:tcPr>
            <w:tcW w:w="284"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F</w:t>
            </w:r>
          </w:p>
        </w:tc>
        <w:tc>
          <w:tcPr>
            <w:tcW w:w="709"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w:t>
            </w:r>
          </w:p>
        </w:tc>
        <w:tc>
          <w:tcPr>
            <w:tcW w:w="430"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F</w:t>
            </w:r>
          </w:p>
        </w:tc>
        <w:tc>
          <w:tcPr>
            <w:tcW w:w="709" w:type="dxa"/>
            <w:gridSpan w:val="2"/>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w:t>
            </w:r>
          </w:p>
        </w:tc>
        <w:tc>
          <w:tcPr>
            <w:tcW w:w="425" w:type="dxa"/>
            <w:tcBorders>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F</w:t>
            </w:r>
          </w:p>
        </w:tc>
        <w:tc>
          <w:tcPr>
            <w:tcW w:w="709" w:type="dxa"/>
            <w:tcBorders>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w:t>
            </w:r>
          </w:p>
        </w:tc>
        <w:tc>
          <w:tcPr>
            <w:tcW w:w="708" w:type="dxa"/>
            <w:tcBorders>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p>
        </w:tc>
        <w:tc>
          <w:tcPr>
            <w:tcW w:w="655" w:type="dxa"/>
            <w:gridSpan w:val="2"/>
            <w:tcBorders>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b/>
                <w:bCs/>
                <w:sz w:val="18"/>
                <w:szCs w:val="18"/>
                <w:lang w:val="en-US"/>
              </w:rPr>
            </w:pPr>
          </w:p>
        </w:tc>
      </w:tr>
      <w:tr w:rsidR="00281646" w:rsidRPr="00B90F00" w:rsidTr="00281646">
        <w:trPr>
          <w:gridAfter w:val="1"/>
          <w:wAfter w:w="49" w:type="dxa"/>
          <w:trHeight w:val="210"/>
        </w:trPr>
        <w:tc>
          <w:tcPr>
            <w:tcW w:w="1271" w:type="dxa"/>
            <w:tcBorders>
              <w:top w:val="nil"/>
              <w:bottom w:val="single" w:sz="4" w:space="0" w:color="auto"/>
            </w:tcBorders>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Poor</w:t>
            </w:r>
          </w:p>
        </w:tc>
        <w:tc>
          <w:tcPr>
            <w:tcW w:w="425"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0,0%</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0,0%</w:t>
            </w:r>
          </w:p>
        </w:tc>
        <w:tc>
          <w:tcPr>
            <w:tcW w:w="426"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0,0%</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0,0%</w:t>
            </w:r>
          </w:p>
        </w:tc>
        <w:tc>
          <w:tcPr>
            <w:tcW w:w="430"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w:t>
            </w:r>
          </w:p>
        </w:tc>
        <w:tc>
          <w:tcPr>
            <w:tcW w:w="709" w:type="dxa"/>
            <w:gridSpan w:val="2"/>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0,0%</w:t>
            </w:r>
          </w:p>
        </w:tc>
        <w:tc>
          <w:tcPr>
            <w:tcW w:w="425"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0,0%</w:t>
            </w:r>
          </w:p>
        </w:tc>
        <w:tc>
          <w:tcPr>
            <w:tcW w:w="708" w:type="dxa"/>
            <w:vMerge w:val="restart"/>
            <w:tcBorders>
              <w:top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0</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518</w:t>
            </w:r>
          </w:p>
        </w:tc>
        <w:tc>
          <w:tcPr>
            <w:tcW w:w="655" w:type="dxa"/>
            <w:gridSpan w:val="2"/>
            <w:vMerge w:val="restart"/>
            <w:tcBorders>
              <w:top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0</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000</w:t>
            </w:r>
          </w:p>
        </w:tc>
      </w:tr>
      <w:tr w:rsidR="00281646" w:rsidRPr="00B90F00" w:rsidTr="00281646">
        <w:trPr>
          <w:gridAfter w:val="1"/>
          <w:wAfter w:w="49" w:type="dxa"/>
          <w:trHeight w:val="429"/>
        </w:trPr>
        <w:tc>
          <w:tcPr>
            <w:tcW w:w="1271"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Fair</w:t>
            </w:r>
          </w:p>
        </w:tc>
        <w:tc>
          <w:tcPr>
            <w:tcW w:w="425"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16</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26,7%</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8</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13</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3%</w:t>
            </w:r>
          </w:p>
        </w:tc>
        <w:tc>
          <w:tcPr>
            <w:tcW w:w="426"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10</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16</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7%</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4</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6</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7%</w:t>
            </w:r>
          </w:p>
        </w:tc>
        <w:tc>
          <w:tcPr>
            <w:tcW w:w="430"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6</w:t>
            </w:r>
          </w:p>
        </w:tc>
        <w:tc>
          <w:tcPr>
            <w:tcW w:w="709" w:type="dxa"/>
            <w:gridSpan w:val="2"/>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10</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0%</w:t>
            </w:r>
          </w:p>
        </w:tc>
        <w:tc>
          <w:tcPr>
            <w:tcW w:w="425" w:type="dxa"/>
            <w:tcBorders>
              <w:top w:val="single" w:sz="4" w:space="0" w:color="auto"/>
              <w:bottom w:val="single" w:sz="4" w:space="0" w:color="auto"/>
            </w:tcBorders>
            <w:shd w:val="clear" w:color="auto" w:fill="auto"/>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44</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73</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3%</w:t>
            </w:r>
          </w:p>
        </w:tc>
        <w:tc>
          <w:tcPr>
            <w:tcW w:w="708" w:type="dxa"/>
            <w:vMerge/>
            <w:vAlign w:val="center"/>
          </w:tcPr>
          <w:p w:rsidR="00C4693B" w:rsidRPr="00B90F00" w:rsidRDefault="00C4693B" w:rsidP="00281646">
            <w:pPr>
              <w:contextualSpacing/>
              <w:jc w:val="center"/>
              <w:rPr>
                <w:rFonts w:ascii="Times New Roman" w:hAnsi="Times New Roman" w:cs="Times New Roman"/>
                <w:sz w:val="18"/>
                <w:szCs w:val="18"/>
                <w:lang w:val="en-US"/>
              </w:rPr>
            </w:pPr>
          </w:p>
        </w:tc>
        <w:tc>
          <w:tcPr>
            <w:tcW w:w="655" w:type="dxa"/>
            <w:gridSpan w:val="2"/>
            <w:vMerge/>
            <w:vAlign w:val="center"/>
          </w:tcPr>
          <w:p w:rsidR="00C4693B" w:rsidRPr="00B90F00" w:rsidRDefault="00C4693B" w:rsidP="00281646">
            <w:pPr>
              <w:contextualSpacing/>
              <w:jc w:val="center"/>
              <w:rPr>
                <w:rFonts w:ascii="Times New Roman" w:hAnsi="Times New Roman" w:cs="Times New Roman"/>
                <w:sz w:val="18"/>
                <w:szCs w:val="18"/>
                <w:lang w:val="en-US"/>
              </w:rPr>
            </w:pPr>
          </w:p>
        </w:tc>
      </w:tr>
      <w:tr w:rsidR="00281646" w:rsidRPr="00B90F00" w:rsidTr="00281646">
        <w:trPr>
          <w:gridAfter w:val="1"/>
          <w:wAfter w:w="49" w:type="dxa"/>
          <w:trHeight w:val="210"/>
        </w:trPr>
        <w:tc>
          <w:tcPr>
            <w:tcW w:w="1271"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Good</w:t>
            </w:r>
          </w:p>
        </w:tc>
        <w:tc>
          <w:tcPr>
            <w:tcW w:w="425"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sz w:val="18"/>
                <w:szCs w:val="18"/>
                <w:lang w:val="en-US"/>
              </w:rPr>
            </w:pPr>
            <w:r w:rsidRPr="00B90F00">
              <w:rPr>
                <w:rFonts w:ascii="Times New Roman" w:hAnsi="Times New Roman" w:cs="Times New Roman"/>
                <w:sz w:val="18"/>
                <w:szCs w:val="18"/>
                <w:lang w:val="en-US"/>
              </w:rPr>
              <w:t>0,0%</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7%</w:t>
            </w:r>
          </w:p>
        </w:tc>
        <w:tc>
          <w:tcPr>
            <w:tcW w:w="426"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3</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5</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0%</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3</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5</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0%</w:t>
            </w:r>
          </w:p>
        </w:tc>
        <w:tc>
          <w:tcPr>
            <w:tcW w:w="430"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9</w:t>
            </w:r>
          </w:p>
        </w:tc>
        <w:tc>
          <w:tcPr>
            <w:tcW w:w="709" w:type="dxa"/>
            <w:gridSpan w:val="2"/>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15</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0%</w:t>
            </w:r>
          </w:p>
        </w:tc>
        <w:tc>
          <w:tcPr>
            <w:tcW w:w="425"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16</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26</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7%</w:t>
            </w:r>
          </w:p>
        </w:tc>
        <w:tc>
          <w:tcPr>
            <w:tcW w:w="708" w:type="dxa"/>
            <w:vMerge/>
            <w:vAlign w:val="center"/>
          </w:tcPr>
          <w:p w:rsidR="00C4693B" w:rsidRPr="00B90F00" w:rsidRDefault="00C4693B" w:rsidP="00281646">
            <w:pPr>
              <w:contextualSpacing/>
              <w:jc w:val="center"/>
              <w:rPr>
                <w:rFonts w:ascii="Times New Roman" w:hAnsi="Times New Roman" w:cs="Times New Roman"/>
                <w:sz w:val="18"/>
                <w:szCs w:val="18"/>
                <w:lang w:val="en-US"/>
              </w:rPr>
            </w:pPr>
          </w:p>
        </w:tc>
        <w:tc>
          <w:tcPr>
            <w:tcW w:w="655" w:type="dxa"/>
            <w:gridSpan w:val="2"/>
            <w:vMerge/>
            <w:vAlign w:val="center"/>
          </w:tcPr>
          <w:p w:rsidR="00C4693B" w:rsidRPr="00B90F00" w:rsidRDefault="00C4693B" w:rsidP="00281646">
            <w:pPr>
              <w:contextualSpacing/>
              <w:jc w:val="center"/>
              <w:rPr>
                <w:rFonts w:ascii="Times New Roman" w:hAnsi="Times New Roman" w:cs="Times New Roman"/>
                <w:sz w:val="18"/>
                <w:szCs w:val="18"/>
                <w:lang w:val="en-US"/>
              </w:rPr>
            </w:pPr>
          </w:p>
        </w:tc>
      </w:tr>
      <w:tr w:rsidR="00281646" w:rsidRPr="00B90F00" w:rsidTr="00281646">
        <w:trPr>
          <w:gridAfter w:val="1"/>
          <w:wAfter w:w="49" w:type="dxa"/>
          <w:trHeight w:val="421"/>
        </w:trPr>
        <w:tc>
          <w:tcPr>
            <w:tcW w:w="1271"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b/>
                <w:bCs/>
                <w:sz w:val="18"/>
                <w:szCs w:val="18"/>
                <w:lang w:val="en-US"/>
              </w:rPr>
            </w:pPr>
            <w:r w:rsidRPr="00B90F00">
              <w:rPr>
                <w:rFonts w:ascii="Times New Roman" w:hAnsi="Times New Roman" w:cs="Times New Roman"/>
                <w:b/>
                <w:bCs/>
                <w:sz w:val="18"/>
                <w:szCs w:val="18"/>
                <w:lang w:val="en-US"/>
              </w:rPr>
              <w:t>Total</w:t>
            </w:r>
          </w:p>
        </w:tc>
        <w:tc>
          <w:tcPr>
            <w:tcW w:w="425"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16</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26</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7%</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9</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15</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0%</w:t>
            </w:r>
          </w:p>
        </w:tc>
        <w:tc>
          <w:tcPr>
            <w:tcW w:w="426"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13</w:t>
            </w:r>
          </w:p>
        </w:tc>
        <w:tc>
          <w:tcPr>
            <w:tcW w:w="708"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21</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7%</w:t>
            </w:r>
          </w:p>
        </w:tc>
        <w:tc>
          <w:tcPr>
            <w:tcW w:w="284"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7</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11</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7%</w:t>
            </w:r>
          </w:p>
        </w:tc>
        <w:tc>
          <w:tcPr>
            <w:tcW w:w="430"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15</w:t>
            </w:r>
          </w:p>
        </w:tc>
        <w:tc>
          <w:tcPr>
            <w:tcW w:w="709" w:type="dxa"/>
            <w:gridSpan w:val="2"/>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25</w:t>
            </w:r>
            <w:r w:rsidRPr="00B90F00">
              <w:rPr>
                <w:rFonts w:ascii="Times New Roman" w:hAnsi="Times New Roman" w:cs="Times New Roman"/>
                <w:color w:val="000000"/>
                <w:sz w:val="18"/>
                <w:szCs w:val="18"/>
                <w:lang w:val="en-US"/>
              </w:rPr>
              <w:t>,</w:t>
            </w:r>
            <w:r w:rsidRPr="00B90F00">
              <w:rPr>
                <w:rFonts w:ascii="Times New Roman" w:hAnsi="Times New Roman" w:cs="Times New Roman"/>
                <w:color w:val="000000"/>
                <w:sz w:val="18"/>
                <w:szCs w:val="18"/>
              </w:rPr>
              <w:t>0%</w:t>
            </w:r>
          </w:p>
        </w:tc>
        <w:tc>
          <w:tcPr>
            <w:tcW w:w="425"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B90F00">
              <w:rPr>
                <w:rFonts w:ascii="Times New Roman" w:hAnsi="Times New Roman" w:cs="Times New Roman"/>
                <w:color w:val="000000"/>
                <w:sz w:val="18"/>
                <w:szCs w:val="18"/>
              </w:rPr>
              <w:t>60</w:t>
            </w:r>
          </w:p>
        </w:tc>
        <w:tc>
          <w:tcPr>
            <w:tcW w:w="709" w:type="dxa"/>
            <w:tcBorders>
              <w:top w:val="single" w:sz="4" w:space="0" w:color="auto"/>
              <w:bottom w:val="single" w:sz="4" w:space="0" w:color="auto"/>
            </w:tcBorders>
            <w:vAlign w:val="center"/>
          </w:tcPr>
          <w:p w:rsidR="00C4693B" w:rsidRPr="00B90F00" w:rsidRDefault="00C4693B" w:rsidP="00281646">
            <w:pPr>
              <w:contextualSpacing/>
              <w:jc w:val="center"/>
              <w:rPr>
                <w:rFonts w:ascii="Times New Roman" w:hAnsi="Times New Roman" w:cs="Times New Roman"/>
                <w:color w:val="000000"/>
                <w:sz w:val="18"/>
                <w:szCs w:val="18"/>
              </w:rPr>
            </w:pPr>
            <w:r w:rsidRPr="00281646">
              <w:rPr>
                <w:rFonts w:ascii="Times New Roman" w:hAnsi="Times New Roman" w:cs="Times New Roman"/>
                <w:color w:val="000000"/>
                <w:sz w:val="15"/>
                <w:szCs w:val="15"/>
              </w:rPr>
              <w:t>100</w:t>
            </w:r>
            <w:r w:rsidRPr="00281646">
              <w:rPr>
                <w:rFonts w:ascii="Times New Roman" w:hAnsi="Times New Roman" w:cs="Times New Roman"/>
                <w:color w:val="000000"/>
                <w:sz w:val="15"/>
                <w:szCs w:val="15"/>
                <w:lang w:val="en-US"/>
              </w:rPr>
              <w:t>,</w:t>
            </w:r>
            <w:r w:rsidRPr="00281646">
              <w:rPr>
                <w:rFonts w:ascii="Times New Roman" w:hAnsi="Times New Roman" w:cs="Times New Roman"/>
                <w:color w:val="000000"/>
                <w:sz w:val="15"/>
                <w:szCs w:val="15"/>
              </w:rPr>
              <w:t>0%</w:t>
            </w:r>
          </w:p>
        </w:tc>
        <w:tc>
          <w:tcPr>
            <w:tcW w:w="708" w:type="dxa"/>
            <w:vMerge/>
            <w:vAlign w:val="center"/>
          </w:tcPr>
          <w:p w:rsidR="00C4693B" w:rsidRPr="00B90F00" w:rsidRDefault="00C4693B" w:rsidP="00281646">
            <w:pPr>
              <w:contextualSpacing/>
              <w:jc w:val="center"/>
              <w:rPr>
                <w:rFonts w:ascii="Times New Roman" w:hAnsi="Times New Roman" w:cs="Times New Roman"/>
                <w:sz w:val="18"/>
                <w:szCs w:val="18"/>
                <w:lang w:val="en-US"/>
              </w:rPr>
            </w:pPr>
          </w:p>
        </w:tc>
        <w:tc>
          <w:tcPr>
            <w:tcW w:w="655" w:type="dxa"/>
            <w:gridSpan w:val="2"/>
            <w:vMerge/>
            <w:vAlign w:val="center"/>
          </w:tcPr>
          <w:p w:rsidR="00C4693B" w:rsidRPr="00B90F00" w:rsidRDefault="00C4693B" w:rsidP="00281646">
            <w:pPr>
              <w:contextualSpacing/>
              <w:jc w:val="center"/>
              <w:rPr>
                <w:rFonts w:ascii="Times New Roman" w:hAnsi="Times New Roman" w:cs="Times New Roman"/>
                <w:sz w:val="18"/>
                <w:szCs w:val="18"/>
                <w:lang w:val="en-US"/>
              </w:rPr>
            </w:pPr>
          </w:p>
        </w:tc>
      </w:tr>
    </w:tbl>
    <w:p w:rsidR="00281646" w:rsidRDefault="00281646" w:rsidP="00281646">
      <w:pPr>
        <w:spacing w:after="0" w:line="240" w:lineRule="auto"/>
        <w:jc w:val="both"/>
        <w:rPr>
          <w:rFonts w:ascii="Times New Roman" w:eastAsia="Times New Roman" w:hAnsi="Times New Roman" w:cs="Times New Roman"/>
          <w:sz w:val="24"/>
          <w:szCs w:val="24"/>
        </w:rPr>
      </w:pPr>
    </w:p>
    <w:p w:rsidR="005A7C3D" w:rsidRDefault="00000000" w:rsidP="0028164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of the association between early childhood caries (ECC) incidence and maternal conduct toward preserving children's oral health are displayed in Table 4. The results showed that respondents with adequate maternal behavior had most of the def-t in the very low category with 16 incidents (26.7%). Meanwhile, respondents with good maternal behavior category had most of the def-t in the very high category with 9 incidents (15.0%). This shows that adequate maternal behavior will influence the preservation of kids' oral health and the early childhood caries (ECC) risk in kids younger than five.</w:t>
      </w:r>
    </w:p>
    <w:p w:rsidR="00604718" w:rsidRDefault="00604718" w:rsidP="00604718">
      <w:pPr>
        <w:spacing w:after="0" w:line="240" w:lineRule="auto"/>
        <w:jc w:val="both"/>
        <w:rPr>
          <w:rFonts w:ascii="Times New Roman" w:eastAsia="Times New Roman" w:hAnsi="Times New Roman" w:cs="Times New Roman"/>
          <w:sz w:val="24"/>
          <w:szCs w:val="24"/>
        </w:rPr>
        <w:sectPr w:rsidR="00604718" w:rsidSect="00B30FD9">
          <w:type w:val="continuous"/>
          <w:pgSz w:w="11907" w:h="16839"/>
          <w:pgMar w:top="1440" w:right="1440" w:bottom="1440" w:left="1440" w:header="720" w:footer="720" w:gutter="0"/>
          <w:cols w:space="720"/>
        </w:sectPr>
      </w:pPr>
    </w:p>
    <w:p w:rsidR="00604718" w:rsidRDefault="00604718">
      <w:pPr>
        <w:widowControl w:val="0"/>
        <w:spacing w:after="0"/>
        <w:jc w:val="both"/>
        <w:rPr>
          <w:rFonts w:ascii="Times New Roman" w:eastAsia="Times New Roman" w:hAnsi="Times New Roman" w:cs="Times New Roman"/>
          <w:b/>
          <w:sz w:val="24"/>
          <w:szCs w:val="24"/>
        </w:rPr>
      </w:pPr>
    </w:p>
    <w:p w:rsidR="005A7C3D" w:rsidRDefault="00000000">
      <w:pPr>
        <w:widowControl w:val="0"/>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rsidR="00604718" w:rsidRDefault="00000000" w:rsidP="0060471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Spearman test correlation or relationship test results indicate a correlation value of 0.518, falling within the strong correlation category. The review conducted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revealed a strong link between the incidence of Early Childhood Caries (ECC) and maternal behavior towards maintaining the dental health of their children. The p-value of 0.000 is smaller than 0.05 (p-value &lt; 0.05). Therefore, it can be said that toddlers' incidence of early childhood caries (ECC) decreases with the mother's action toward preserving her children's dental health. </w:t>
      </w:r>
    </w:p>
    <w:p w:rsidR="00604718" w:rsidRDefault="00604718" w:rsidP="00604718">
      <w:pPr>
        <w:spacing w:after="0" w:line="240" w:lineRule="auto"/>
        <w:ind w:firstLine="720"/>
        <w:jc w:val="both"/>
        <w:rPr>
          <w:rFonts w:ascii="Times New Roman" w:eastAsia="Times New Roman" w:hAnsi="Times New Roman" w:cs="Times New Roman"/>
          <w:sz w:val="24"/>
          <w:szCs w:val="24"/>
        </w:rPr>
      </w:pPr>
    </w:p>
    <w:p w:rsidR="00281646" w:rsidRDefault="00000000" w:rsidP="0060471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Mothers' actions in preserving their kids' dental health fall into the largest category, which is sufficient. The activities of kids who can purchase their own snacks without parental supervision and the absence of maternal control over preserving kids' dental health are the root causes of this, as they might result in Early Childhood Caries (ECC). Adequate maternal behavior </w:t>
      </w:r>
    </w:p>
    <w:p w:rsidR="00281646" w:rsidRDefault="00281646" w:rsidP="00281646">
      <w:pPr>
        <w:spacing w:after="0" w:line="240" w:lineRule="auto"/>
        <w:jc w:val="both"/>
        <w:rPr>
          <w:rFonts w:ascii="Times New Roman" w:eastAsia="Times New Roman" w:hAnsi="Times New Roman" w:cs="Times New Roman"/>
          <w:sz w:val="24"/>
          <w:szCs w:val="24"/>
        </w:rPr>
      </w:pPr>
    </w:p>
    <w:p w:rsidR="00281646" w:rsidRDefault="00281646" w:rsidP="00281646">
      <w:pPr>
        <w:spacing w:after="0" w:line="240" w:lineRule="auto"/>
        <w:jc w:val="both"/>
        <w:rPr>
          <w:rFonts w:ascii="Times New Roman" w:eastAsia="Times New Roman" w:hAnsi="Times New Roman" w:cs="Times New Roman"/>
          <w:sz w:val="24"/>
          <w:szCs w:val="24"/>
        </w:rPr>
      </w:pPr>
    </w:p>
    <w:p w:rsidR="00281646" w:rsidRDefault="00281646" w:rsidP="00281646">
      <w:pPr>
        <w:spacing w:after="0" w:line="240" w:lineRule="auto"/>
        <w:jc w:val="both"/>
        <w:rPr>
          <w:rFonts w:ascii="Times New Roman" w:eastAsia="Times New Roman" w:hAnsi="Times New Roman" w:cs="Times New Roman"/>
          <w:sz w:val="24"/>
          <w:szCs w:val="24"/>
        </w:rPr>
      </w:pPr>
    </w:p>
    <w:p w:rsidR="00281646" w:rsidRDefault="00281646" w:rsidP="00281646">
      <w:pPr>
        <w:spacing w:after="0" w:line="240" w:lineRule="auto"/>
        <w:jc w:val="both"/>
        <w:rPr>
          <w:rFonts w:ascii="Times New Roman" w:eastAsia="Times New Roman" w:hAnsi="Times New Roman" w:cs="Times New Roman"/>
          <w:sz w:val="24"/>
          <w:szCs w:val="24"/>
        </w:rPr>
      </w:pPr>
    </w:p>
    <w:p w:rsidR="00604718" w:rsidRDefault="00000000" w:rsidP="0028164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parents will have a significant impact on their children's oral and dental health as well as the process of developing behavior and habits given to children in maintaining healthy teeth and mouth.</w:t>
      </w:r>
    </w:p>
    <w:p w:rsidR="00281646" w:rsidRDefault="00281646" w:rsidP="00281646">
      <w:pPr>
        <w:spacing w:after="0" w:line="240" w:lineRule="auto"/>
        <w:jc w:val="both"/>
        <w:rPr>
          <w:rFonts w:ascii="Times New Roman" w:eastAsia="Times New Roman" w:hAnsi="Times New Roman" w:cs="Times New Roman"/>
          <w:sz w:val="24"/>
          <w:szCs w:val="24"/>
        </w:rPr>
      </w:pPr>
    </w:p>
    <w:p w:rsidR="005A7C3D"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of the survey in this research show that the behavior of mothers who play the role of caregiver, supervisor and encourager in maintaining children's dental health is sufficient. In this case, maintaining and raising parents'</w:t>
      </w:r>
      <w:r w:rsidR="008C47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especially mothers'</w:t>
      </w:r>
      <w:r w:rsidR="008C47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awareness of the significance of preserving the oral and dental health of their toddlers is imperative.</w:t>
      </w:r>
    </w:p>
    <w:p w:rsidR="005A7C3D"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Spearman test results indicate a p-value of 0.000, which is less than 0.05 (p-value &lt; 0.05) for the correlation or association test. Thus, (Ha) is acknowledged, indicating a correlation between the occurrence of early childhood caries (ECC) and maternal conduct toward preserving her children's dental health.</w:t>
      </w:r>
    </w:p>
    <w:p w:rsidR="005A7C3D"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Children frequently have dental and oral health issues; this is a result of parents, particularly moms, not giving their kids enough attention. In 2018, 94.3% of children have Early Childhood Caries (ECC) in Indonesia and is increasing from year to year. Researchers conducted research on maternal behavior towards maintaining children's oral and dental health with the incidence of Early Childhood Caries (ECC)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because the area is quite far from the district capital and provincial capital, has 1 health center and medical personnel. and dental medical equipment is still very limited. In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dental caries is also highly common, particularly in young children (0–5). Maternal conduct has a major association with the child's dental and oral health, so it is crucial to understand the mother's behavior in preserving the child's oral and dental health from an early age. </w:t>
      </w:r>
    </w:p>
    <w:p w:rsidR="005A7C3D"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proofErr w:type="spellStart"/>
      <w:r>
        <w:rPr>
          <w:rFonts w:ascii="Times New Roman" w:eastAsia="Times New Roman" w:hAnsi="Times New Roman" w:cs="Times New Roman"/>
          <w:sz w:val="24"/>
          <w:szCs w:val="24"/>
        </w:rPr>
        <w:t>Notoatmodjo's</w:t>
      </w:r>
      <w:proofErr w:type="spellEnd"/>
      <w:r>
        <w:rPr>
          <w:rFonts w:ascii="Times New Roman" w:eastAsia="Times New Roman" w:hAnsi="Times New Roman" w:cs="Times New Roman"/>
          <w:sz w:val="24"/>
          <w:szCs w:val="24"/>
        </w:rPr>
        <w:t xml:space="preserve"> thesis, a person's conduct can be shaped by a number of circumstances, including driving, supporting, and predisposing influences. The results of research from Ajeng </w:t>
      </w:r>
      <w:proofErr w:type="spellStart"/>
      <w:r>
        <w:rPr>
          <w:rFonts w:ascii="Times New Roman" w:eastAsia="Times New Roman" w:hAnsi="Times New Roman" w:cs="Times New Roman"/>
          <w:sz w:val="24"/>
          <w:szCs w:val="24"/>
        </w:rPr>
        <w:t>Nindya</w:t>
      </w:r>
      <w:proofErr w:type="spellEnd"/>
      <w:r>
        <w:rPr>
          <w:rFonts w:ascii="Times New Roman" w:eastAsia="Times New Roman" w:hAnsi="Times New Roman" w:cs="Times New Roman"/>
          <w:sz w:val="24"/>
          <w:szCs w:val="24"/>
        </w:rPr>
        <w:t xml:space="preserve"> state that the better a person is at absorbing information, the more influence it will have on the formation of new behaviors that are shown to be healthier, such as information on maintaining oral and dental health. A mother's good behavior in carrying out an action will be influenced by the level of knowledge the mother has regarding maintaining oral health. For example, mothers who always look for information related to maintaining dental health or share dental and oral health with an expert such as a dentist, this is evidence that the mother has a positive attitude in responding to problems that occur with children's dental health. </w:t>
      </w:r>
      <w:r w:rsidRPr="00604718">
        <w:rPr>
          <w:rFonts w:ascii="Times New Roman" w:eastAsia="Times New Roman" w:hAnsi="Times New Roman" w:cs="Times New Roman"/>
          <w:sz w:val="24"/>
          <w:szCs w:val="24"/>
          <w:vertAlign w:val="superscript"/>
        </w:rPr>
        <w:t>11,12</w:t>
      </w:r>
    </w:p>
    <w:p w:rsidR="005A7C3D"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Emini, the factors that influence the incidence of Early Childhood Caries (ECC) are maternal habits that are not good for maintaining children's dental </w:t>
      </w:r>
      <w:r>
        <w:rPr>
          <w:rFonts w:ascii="Times New Roman" w:eastAsia="Times New Roman" w:hAnsi="Times New Roman" w:cs="Times New Roman"/>
          <w:sz w:val="24"/>
          <w:szCs w:val="24"/>
        </w:rPr>
        <w:t xml:space="preserve">health. The mother actually understands that before going to bed the child should brush his teeth, but every time he is asked to brush his teeth the child gets angry and in the end the mother lets the child sleep without brushing his teeth first. Another mother's habit is the habit of snacking and consuming sweet foods and drinks. When the mother consumes these foods and drinks, the child automatically consumes them too. The health status of a child's teeth really depends on the parenting style applied by the mother. According to </w:t>
      </w:r>
      <w:proofErr w:type="spellStart"/>
      <w:r>
        <w:rPr>
          <w:rFonts w:ascii="Times New Roman" w:eastAsia="Times New Roman" w:hAnsi="Times New Roman" w:cs="Times New Roman"/>
          <w:sz w:val="24"/>
          <w:szCs w:val="24"/>
        </w:rPr>
        <w:t>Purwaningsih</w:t>
      </w:r>
      <w:proofErr w:type="spellEnd"/>
      <w:r>
        <w:rPr>
          <w:rFonts w:ascii="Times New Roman" w:eastAsia="Times New Roman" w:hAnsi="Times New Roman" w:cs="Times New Roman"/>
          <w:sz w:val="24"/>
          <w:szCs w:val="24"/>
        </w:rPr>
        <w:t>, the role and behavior of the mother is very necessary in guidance, understanding, reassurance, and provision of facilities are necessary to enable the youngster to maintain oral hygiene in the future.</w:t>
      </w:r>
      <w:r w:rsidR="00604718">
        <w:rPr>
          <w:rFonts w:ascii="Times New Roman" w:eastAsia="Times New Roman" w:hAnsi="Times New Roman" w:cs="Times New Roman"/>
          <w:sz w:val="24"/>
          <w:szCs w:val="24"/>
        </w:rPr>
        <w:t xml:space="preserve"> </w:t>
      </w:r>
      <w:r w:rsidRPr="00604718">
        <w:rPr>
          <w:rFonts w:ascii="Times New Roman" w:eastAsia="Times New Roman" w:hAnsi="Times New Roman" w:cs="Times New Roman"/>
          <w:sz w:val="24"/>
          <w:szCs w:val="24"/>
          <w:vertAlign w:val="superscript"/>
        </w:rPr>
        <w:t>13</w:t>
      </w:r>
    </w:p>
    <w:p w:rsidR="005A7C3D"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idea of health behavior proposed by </w:t>
      </w:r>
      <w:proofErr w:type="spellStart"/>
      <w:r>
        <w:rPr>
          <w:rFonts w:ascii="Times New Roman" w:eastAsia="Times New Roman" w:hAnsi="Times New Roman" w:cs="Times New Roman"/>
          <w:sz w:val="24"/>
          <w:szCs w:val="24"/>
        </w:rPr>
        <w:t>Widastra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Anggraini</w:t>
      </w:r>
      <w:proofErr w:type="spellEnd"/>
      <w:r>
        <w:rPr>
          <w:rFonts w:ascii="Times New Roman" w:eastAsia="Times New Roman" w:hAnsi="Times New Roman" w:cs="Times New Roman"/>
          <w:sz w:val="24"/>
          <w:szCs w:val="24"/>
        </w:rPr>
        <w:t xml:space="preserve"> and backed by Lawrence Green's theory. Both behavioral variables (behavioral causes) and non-behavioral factors (non-behavioral causes) have an impact on an individual's or society's health. Three factors determine behavior itself: the socioeconomic background that influences changes in behavior, predisposing factors (knowledge, attitudes, beliefs, values, and behavior), and supportive factors (physical environment, availability of facilities and health care, etc.). Driving forces can be seen in the attitudes and actions of public servants such as health workers, as well as in the families, friends, and teachers who serve as role models for community behavior. </w:t>
      </w:r>
      <w:r w:rsidRPr="00604718">
        <w:rPr>
          <w:rFonts w:ascii="Times New Roman" w:eastAsia="Times New Roman" w:hAnsi="Times New Roman" w:cs="Times New Roman"/>
          <w:sz w:val="24"/>
          <w:szCs w:val="24"/>
          <w:vertAlign w:val="superscript"/>
        </w:rPr>
        <w:t>14</w:t>
      </w:r>
    </w:p>
    <w:p w:rsidR="005A7C3D"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in line with Cynthia Angelica's research which shows that there is an influence of highly educated mothers on the def-t index in children ages 4-5 at Santa Maria Kindergarten in Cirebon City; maternal conduct also has an impact on the def-t index in children ages 4-5 at Santa Maria Kindergarten in Cirebon City. This is due to the fact that a mother's use of children's oral health services reduces her child's chance of developing dental caries. Children are more likely to develop dental </w:t>
      </w:r>
      <w:r>
        <w:rPr>
          <w:rFonts w:ascii="Times New Roman" w:eastAsia="Times New Roman" w:hAnsi="Times New Roman" w:cs="Times New Roman"/>
          <w:sz w:val="24"/>
          <w:szCs w:val="24"/>
        </w:rPr>
        <w:lastRenderedPageBreak/>
        <w:t xml:space="preserve">caries if their mothers use children's dental health programs poorly because children under five still have an attitude of dependence on the mother, so the mother plays the biggest role in maintaining the child's dental health. </w:t>
      </w:r>
      <w:r w:rsidRPr="00604718">
        <w:rPr>
          <w:rFonts w:ascii="Times New Roman" w:eastAsia="Times New Roman" w:hAnsi="Times New Roman" w:cs="Times New Roman"/>
          <w:sz w:val="24"/>
          <w:szCs w:val="24"/>
          <w:vertAlign w:val="superscript"/>
        </w:rPr>
        <w:t>15</w:t>
      </w:r>
    </w:p>
    <w:p w:rsidR="005A7C3D" w:rsidRDefault="00000000">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Reca's study revealed that, out of the 60 moms who had a poor maternal role, 29 individuals (48.8%) had 23 children (38.3%) with dental caries statuses in the very high group following examination. The mother's function and the child's dental caries status are related, according to the chi-square test results, with a p-value of 0.000 (p&lt;0.05). This is due to the fact that efforts to stop the rise in children's dental caries status have not been successful due to a lack of maternal support. </w:t>
      </w:r>
      <w:r w:rsidRPr="00604718">
        <w:rPr>
          <w:rFonts w:ascii="Times New Roman" w:eastAsia="Times New Roman" w:hAnsi="Times New Roman" w:cs="Times New Roman"/>
          <w:sz w:val="24"/>
          <w:szCs w:val="24"/>
          <w:vertAlign w:val="superscript"/>
        </w:rPr>
        <w:t>16</w:t>
      </w:r>
    </w:p>
    <w:p w:rsidR="005A7C3D" w:rsidRDefault="00000000">
      <w:pPr>
        <w:spacing w:line="240" w:lineRule="auto"/>
        <w:ind w:firstLine="720"/>
        <w:jc w:val="both"/>
        <w:rPr>
          <w:rFonts w:ascii="Times New Roman" w:eastAsia="Times New Roman" w:hAnsi="Times New Roman" w:cs="Times New Roman"/>
          <w:sz w:val="24"/>
          <w:szCs w:val="24"/>
          <w:vertAlign w:val="superscript"/>
        </w:rPr>
      </w:pPr>
      <w:proofErr w:type="spellStart"/>
      <w:r>
        <w:rPr>
          <w:rFonts w:ascii="Times New Roman" w:eastAsia="Times New Roman" w:hAnsi="Times New Roman" w:cs="Times New Roman"/>
          <w:sz w:val="24"/>
          <w:szCs w:val="24"/>
        </w:rPr>
        <w:t>Suwarsono's</w:t>
      </w:r>
      <w:proofErr w:type="spellEnd"/>
      <w:r>
        <w:rPr>
          <w:rFonts w:ascii="Times New Roman" w:eastAsia="Times New Roman" w:hAnsi="Times New Roman" w:cs="Times New Roman"/>
          <w:sz w:val="24"/>
          <w:szCs w:val="24"/>
        </w:rPr>
        <w:t xml:space="preserve"> research indicates that the alternative hypothesis (Ha) is accepted, i.e., there is a correlation between the amount of dental caries in children enrolled in Nurus Sunnah Islamic Kindergarten and the mother's role in preserving oral health. This is in line with research by </w:t>
      </w:r>
      <w:proofErr w:type="spellStart"/>
      <w:r>
        <w:rPr>
          <w:rFonts w:ascii="Times New Roman" w:eastAsia="Times New Roman" w:hAnsi="Times New Roman" w:cs="Times New Roman"/>
          <w:sz w:val="24"/>
          <w:szCs w:val="24"/>
        </w:rPr>
        <w:t>Delviana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Nurkamiden</w:t>
      </w:r>
      <w:proofErr w:type="spellEnd"/>
      <w:r>
        <w:rPr>
          <w:rFonts w:ascii="Times New Roman" w:eastAsia="Times New Roman" w:hAnsi="Times New Roman" w:cs="Times New Roman"/>
          <w:sz w:val="24"/>
          <w:szCs w:val="24"/>
        </w:rPr>
        <w:t>, who found that the significance of the study results was 0.000 ≤𝑎(0.05). As a result, there is a significant correlation between the incidence of dental caries in preschoolers at Mawar Kindergarten (TK) and the role that parents play in oral and dental hygiene, with the latter showing a very high rate of dental caries at 10 (45.6%).</w:t>
      </w:r>
      <w:r w:rsidRPr="00604718">
        <w:rPr>
          <w:rFonts w:ascii="Times New Roman" w:eastAsia="Times New Roman" w:hAnsi="Times New Roman" w:cs="Times New Roman"/>
          <w:sz w:val="24"/>
          <w:szCs w:val="24"/>
          <w:vertAlign w:val="superscript"/>
        </w:rPr>
        <w:t>17.18</w:t>
      </w:r>
    </w:p>
    <w:p w:rsidR="005A7C3D" w:rsidRDefault="00000000">
      <w:pPr>
        <w:spacing w:line="240" w:lineRule="auto"/>
        <w:ind w:firstLine="72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The findings of this study differ from those of </w:t>
      </w:r>
      <w:proofErr w:type="spellStart"/>
      <w:r>
        <w:rPr>
          <w:rFonts w:ascii="Times New Roman" w:eastAsia="Times New Roman" w:hAnsi="Times New Roman" w:cs="Times New Roman"/>
          <w:sz w:val="24"/>
          <w:szCs w:val="24"/>
        </w:rPr>
        <w:t>Wulandani</w:t>
      </w:r>
      <w:proofErr w:type="spellEnd"/>
      <w:r>
        <w:rPr>
          <w:rFonts w:ascii="Times New Roman" w:eastAsia="Times New Roman" w:hAnsi="Times New Roman" w:cs="Times New Roman"/>
          <w:sz w:val="24"/>
          <w:szCs w:val="24"/>
        </w:rPr>
        <w:t xml:space="preserve"> Liza Putri's research, which found no correlation between the incidence of early childhood caries (ECC) in PAUD students in Padang Timur District and mothers' attitudes, behaviors, and level of knowledge about maintaining their children's dental health. Researchers discovered a link between mother conduct for her children's dental health and the frequency of Early Childhood Caries (ECC)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which has adequate maternal behavior and the </w:t>
      </w:r>
      <w:r>
        <w:rPr>
          <w:rFonts w:ascii="Times New Roman" w:eastAsia="Times New Roman" w:hAnsi="Times New Roman" w:cs="Times New Roman"/>
          <w:sz w:val="24"/>
          <w:szCs w:val="24"/>
        </w:rPr>
        <w:t>incidence of Early Childhood Caries (ECC) is increasing. This is caused by the mother's behavior being based on habits or traditions, not knowledge which should be the main basis for maintaining good children's dental health.</w:t>
      </w:r>
      <w:r w:rsidRPr="00604718">
        <w:rPr>
          <w:rFonts w:ascii="Times New Roman" w:eastAsia="Times New Roman" w:hAnsi="Times New Roman" w:cs="Times New Roman"/>
          <w:sz w:val="24"/>
          <w:szCs w:val="24"/>
          <w:vertAlign w:val="superscript"/>
        </w:rPr>
        <w:t>19</w:t>
      </w:r>
    </w:p>
    <w:p w:rsidR="005A7C3D"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study's findings indicate a correlation between mothers' dental health-promoting behaviors and the prevalence of early childhood caries (ECC) (review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This is because her child's dental and oral health will be well-maintained if the mother behaves well, and vice versa if the mother behaves poorly, her child's dental and oral health will likewise be poorly-maintained. </w:t>
      </w:r>
    </w:p>
    <w:p w:rsidR="005A7C3D"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rsidR="005A7C3D"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study's findings indicate a correlation between mothers' dental health-promoting behaviors and the prevalence of early childhood caries (ECC) (review in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w:t>
      </w:r>
    </w:p>
    <w:p w:rsidR="005A7C3D" w:rsidRDefault="005A7C3D">
      <w:pPr>
        <w:spacing w:after="0"/>
        <w:jc w:val="both"/>
        <w:rPr>
          <w:rFonts w:ascii="Times New Roman" w:eastAsia="Times New Roman" w:hAnsi="Times New Roman" w:cs="Times New Roman"/>
          <w:sz w:val="24"/>
          <w:szCs w:val="24"/>
        </w:rPr>
      </w:pPr>
    </w:p>
    <w:p w:rsidR="005A7C3D" w:rsidRDefault="0000000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THANK-YOU NOTE</w:t>
      </w:r>
    </w:p>
    <w:p w:rsidR="005A7C3D" w:rsidRDefault="00000000">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residents of </w:t>
      </w:r>
      <w:proofErr w:type="spellStart"/>
      <w:r>
        <w:rPr>
          <w:rFonts w:ascii="Times New Roman" w:eastAsia="Times New Roman" w:hAnsi="Times New Roman" w:cs="Times New Roman"/>
          <w:sz w:val="24"/>
          <w:szCs w:val="24"/>
        </w:rPr>
        <w:t>Mannanti</w:t>
      </w:r>
      <w:proofErr w:type="spellEnd"/>
      <w:r>
        <w:rPr>
          <w:rFonts w:ascii="Times New Roman" w:eastAsia="Times New Roman" w:hAnsi="Times New Roman" w:cs="Times New Roman"/>
          <w:sz w:val="24"/>
          <w:szCs w:val="24"/>
        </w:rPr>
        <w:t xml:space="preserve"> Village, </w:t>
      </w:r>
      <w:proofErr w:type="spellStart"/>
      <w:r>
        <w:rPr>
          <w:rFonts w:ascii="Times New Roman" w:eastAsia="Times New Roman" w:hAnsi="Times New Roman" w:cs="Times New Roman"/>
          <w:sz w:val="24"/>
          <w:szCs w:val="24"/>
        </w:rPr>
        <w:t>Sinjai</w:t>
      </w:r>
      <w:proofErr w:type="spellEnd"/>
      <w:r>
        <w:rPr>
          <w:rFonts w:ascii="Times New Roman" w:eastAsia="Times New Roman" w:hAnsi="Times New Roman" w:cs="Times New Roman"/>
          <w:sz w:val="24"/>
          <w:szCs w:val="24"/>
        </w:rPr>
        <w:t xml:space="preserve"> Regency, who contributed to the success of this research are acknowledged and thanked by the author.</w:t>
      </w:r>
    </w:p>
    <w:p w:rsidR="005A7C3D" w:rsidRDefault="005A7C3D">
      <w:pPr>
        <w:spacing w:after="0"/>
        <w:jc w:val="both"/>
        <w:rPr>
          <w:rFonts w:ascii="Times New Roman" w:eastAsia="Times New Roman" w:hAnsi="Times New Roman" w:cs="Times New Roman"/>
          <w:b/>
          <w:sz w:val="24"/>
          <w:szCs w:val="24"/>
        </w:rPr>
      </w:pPr>
    </w:p>
    <w:p w:rsidR="005A7C3D" w:rsidRDefault="0000000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REFERENCE</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Maramis</w:t>
      </w:r>
      <w:proofErr w:type="spellEnd"/>
      <w:r>
        <w:rPr>
          <w:rFonts w:ascii="Times New Roman" w:eastAsia="Times New Roman" w:hAnsi="Times New Roman" w:cs="Times New Roman"/>
          <w:color w:val="000000"/>
          <w:sz w:val="24"/>
          <w:szCs w:val="24"/>
        </w:rPr>
        <w:t xml:space="preserve"> JL, Jeana ZA, </w:t>
      </w:r>
      <w:proofErr w:type="spellStart"/>
      <w:r>
        <w:rPr>
          <w:rFonts w:ascii="Times New Roman" w:eastAsia="Times New Roman" w:hAnsi="Times New Roman" w:cs="Times New Roman"/>
          <w:color w:val="000000"/>
          <w:sz w:val="24"/>
          <w:szCs w:val="24"/>
        </w:rPr>
        <w:t>Novarita</w:t>
      </w:r>
      <w:proofErr w:type="spellEnd"/>
      <w:r>
        <w:rPr>
          <w:rFonts w:ascii="Times New Roman" w:eastAsia="Times New Roman" w:hAnsi="Times New Roman" w:cs="Times New Roman"/>
          <w:color w:val="000000"/>
          <w:sz w:val="24"/>
          <w:szCs w:val="24"/>
        </w:rPr>
        <w:t xml:space="preserve"> MK. Education on maintaining oral and dental health and applying tooth mousse to prevent dental caries in students at SD </w:t>
      </w:r>
      <w:proofErr w:type="spellStart"/>
      <w:r>
        <w:rPr>
          <w:rFonts w:ascii="Times New Roman" w:eastAsia="Times New Roman" w:hAnsi="Times New Roman" w:cs="Times New Roman"/>
          <w:color w:val="000000"/>
          <w:sz w:val="24"/>
          <w:szCs w:val="24"/>
        </w:rPr>
        <w:t>Inpres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Malalayang</w:t>
      </w:r>
      <w:proofErr w:type="spellEnd"/>
      <w:r>
        <w:rPr>
          <w:rFonts w:ascii="Times New Roman" w:eastAsia="Times New Roman" w:hAnsi="Times New Roman" w:cs="Times New Roman"/>
          <w:color w:val="000000"/>
          <w:sz w:val="24"/>
          <w:szCs w:val="24"/>
        </w:rPr>
        <w:t xml:space="preserve"> II, Manado City. GEMAKES: Journal of Community Service. 2023;3(1):33-40</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Nurnaini</w:t>
      </w:r>
      <w:proofErr w:type="spellEnd"/>
      <w:r>
        <w:rPr>
          <w:rFonts w:ascii="Times New Roman" w:eastAsia="Times New Roman" w:hAnsi="Times New Roman" w:cs="Times New Roman"/>
          <w:color w:val="000000"/>
          <w:sz w:val="24"/>
          <w:szCs w:val="24"/>
        </w:rPr>
        <w:t xml:space="preserve"> LD, </w:t>
      </w:r>
      <w:proofErr w:type="spellStart"/>
      <w:r>
        <w:rPr>
          <w:rFonts w:ascii="Times New Roman" w:eastAsia="Times New Roman" w:hAnsi="Times New Roman" w:cs="Times New Roman"/>
          <w:color w:val="000000"/>
          <w:sz w:val="24"/>
          <w:szCs w:val="24"/>
        </w:rPr>
        <w:t>Septriyani</w:t>
      </w:r>
      <w:proofErr w:type="spellEnd"/>
      <w:r>
        <w:rPr>
          <w:rFonts w:ascii="Times New Roman" w:eastAsia="Times New Roman" w:hAnsi="Times New Roman" w:cs="Times New Roman"/>
          <w:color w:val="000000"/>
          <w:sz w:val="24"/>
          <w:szCs w:val="24"/>
        </w:rPr>
        <w:t xml:space="preserve"> K, Arin O. Silver Diamine Fluoride in the Prevention of Early Childhood Caries: Literature Review. Stomatognathic – JKG Unej.2023;20(1):68-73</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Ahmad A, </w:t>
      </w:r>
      <w:proofErr w:type="spellStart"/>
      <w:r>
        <w:rPr>
          <w:rFonts w:ascii="Times New Roman" w:eastAsia="Times New Roman" w:hAnsi="Times New Roman" w:cs="Times New Roman"/>
          <w:color w:val="000000"/>
          <w:sz w:val="24"/>
          <w:szCs w:val="24"/>
        </w:rPr>
        <w:t>Aulia</w:t>
      </w:r>
      <w:proofErr w:type="spellEnd"/>
      <w:r>
        <w:rPr>
          <w:rFonts w:ascii="Times New Roman" w:eastAsia="Times New Roman" w:hAnsi="Times New Roman" w:cs="Times New Roman"/>
          <w:color w:val="000000"/>
          <w:sz w:val="24"/>
          <w:szCs w:val="24"/>
        </w:rPr>
        <w:t xml:space="preserve"> A, Renie KD. The Relationship between Mother's Knowledge and Attitudes about </w:t>
      </w:r>
      <w:r>
        <w:rPr>
          <w:rFonts w:ascii="Times New Roman" w:eastAsia="Times New Roman" w:hAnsi="Times New Roman" w:cs="Times New Roman"/>
          <w:color w:val="000000"/>
          <w:sz w:val="24"/>
          <w:szCs w:val="24"/>
        </w:rPr>
        <w:lastRenderedPageBreak/>
        <w:t>Dental and Oral Health on the Severity Level of Early Childhood Caries in Toddlers (Literature Review). Journal of Dentistry.2022;6(1):47-52</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Selvyanita</w:t>
      </w:r>
      <w:proofErr w:type="spellEnd"/>
      <w:r>
        <w:rPr>
          <w:rFonts w:ascii="Times New Roman" w:eastAsia="Times New Roman" w:hAnsi="Times New Roman" w:cs="Times New Roman"/>
          <w:color w:val="000000"/>
          <w:sz w:val="24"/>
          <w:szCs w:val="24"/>
        </w:rPr>
        <w:t xml:space="preserve"> N, Sri W, Nur AH. Description of Parents' Knowledge about Children's Dental and Oral Health in Kenten Laut Village, </w:t>
      </w:r>
      <w:proofErr w:type="spellStart"/>
      <w:r>
        <w:rPr>
          <w:rFonts w:ascii="Times New Roman" w:eastAsia="Times New Roman" w:hAnsi="Times New Roman" w:cs="Times New Roman"/>
          <w:color w:val="000000"/>
          <w:sz w:val="24"/>
          <w:szCs w:val="24"/>
        </w:rPr>
        <w:t>Kab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Banyuasin</w:t>
      </w:r>
      <w:proofErr w:type="spellEnd"/>
      <w:r>
        <w:rPr>
          <w:rFonts w:ascii="Times New Roman" w:eastAsia="Times New Roman" w:hAnsi="Times New Roman" w:cs="Times New Roman"/>
          <w:color w:val="000000"/>
          <w:sz w:val="24"/>
          <w:szCs w:val="24"/>
        </w:rPr>
        <w:t>, South Sumatra. Journal of Dental and Oral Health (JKGM). 2021;3(1):52-56</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Ramadhany</w:t>
      </w:r>
      <w:proofErr w:type="spellEnd"/>
      <w:r>
        <w:rPr>
          <w:rFonts w:ascii="Times New Roman" w:eastAsia="Times New Roman" w:hAnsi="Times New Roman" w:cs="Times New Roman"/>
          <w:color w:val="000000"/>
          <w:sz w:val="24"/>
          <w:szCs w:val="24"/>
        </w:rPr>
        <w:t xml:space="preserve"> VN, Sri RL, Arianne D. Parents' Knowledge about Children's Dental and Oral Health during the Covid-19 Pandemic (Study at Orchid </w:t>
      </w:r>
      <w:proofErr w:type="spellStart"/>
      <w:r>
        <w:rPr>
          <w:rFonts w:ascii="Times New Roman" w:eastAsia="Times New Roman" w:hAnsi="Times New Roman" w:cs="Times New Roman"/>
          <w:color w:val="000000"/>
          <w:sz w:val="24"/>
          <w:szCs w:val="24"/>
        </w:rPr>
        <w:t>Ciangsana</w:t>
      </w:r>
      <w:proofErr w:type="spellEnd"/>
      <w:r>
        <w:rPr>
          <w:rFonts w:ascii="Times New Roman" w:eastAsia="Times New Roman" w:hAnsi="Times New Roman" w:cs="Times New Roman"/>
          <w:color w:val="000000"/>
          <w:sz w:val="24"/>
          <w:szCs w:val="24"/>
        </w:rPr>
        <w:t xml:space="preserve"> Kindergarten). Muhammadiyah Public Health Journal.2021;2(1):101-107</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Simaremare</w:t>
      </w:r>
      <w:proofErr w:type="spellEnd"/>
      <w:r>
        <w:rPr>
          <w:rFonts w:ascii="Times New Roman" w:eastAsia="Times New Roman" w:hAnsi="Times New Roman" w:cs="Times New Roman"/>
          <w:color w:val="000000"/>
          <w:sz w:val="24"/>
          <w:szCs w:val="24"/>
        </w:rPr>
        <w:t xml:space="preserve"> RT, Manta R. Training of Family Dental Health Business Cadres to Respond to Dental Caries Detection in Kindergarten/PAUD, RA and MI, </w:t>
      </w:r>
      <w:proofErr w:type="spellStart"/>
      <w:r>
        <w:rPr>
          <w:rFonts w:ascii="Times New Roman" w:eastAsia="Times New Roman" w:hAnsi="Times New Roman" w:cs="Times New Roman"/>
          <w:color w:val="000000"/>
          <w:sz w:val="24"/>
          <w:szCs w:val="24"/>
        </w:rPr>
        <w:t>Beringin</w:t>
      </w:r>
      <w:proofErr w:type="spellEnd"/>
      <w:r>
        <w:rPr>
          <w:rFonts w:ascii="Times New Roman" w:eastAsia="Times New Roman" w:hAnsi="Times New Roman" w:cs="Times New Roman"/>
          <w:color w:val="000000"/>
          <w:sz w:val="24"/>
          <w:szCs w:val="24"/>
        </w:rPr>
        <w:t xml:space="preserve"> District, Deli Serdang Regency. GEMAKES: Journal of Community Service. 2023;3(1):58-66</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Napitupulu</w:t>
      </w:r>
      <w:proofErr w:type="spellEnd"/>
      <w:r>
        <w:rPr>
          <w:rFonts w:ascii="Times New Roman" w:eastAsia="Times New Roman" w:hAnsi="Times New Roman" w:cs="Times New Roman"/>
          <w:color w:val="000000"/>
          <w:sz w:val="24"/>
          <w:szCs w:val="24"/>
        </w:rPr>
        <w:t xml:space="preserve"> DFGD. Relationship between toothbrushing habits and dental caries in school-aged children. Priority Nursing Journal.2023;6(1):103-110</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Hasriani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Yusriani</w:t>
      </w:r>
      <w:proofErr w:type="spellEnd"/>
      <w:r>
        <w:rPr>
          <w:rFonts w:ascii="Times New Roman" w:eastAsia="Times New Roman" w:hAnsi="Times New Roman" w:cs="Times New Roman"/>
          <w:color w:val="000000"/>
          <w:sz w:val="24"/>
          <w:szCs w:val="24"/>
        </w:rPr>
        <w:t xml:space="preserve">, Fatmah AG. The Effect of Video Methods and Lecture Methods on Personal Hygiene and Dental and Oral Health Status in Elementary School Students in </w:t>
      </w:r>
      <w:proofErr w:type="spellStart"/>
      <w:r>
        <w:rPr>
          <w:rFonts w:ascii="Times New Roman" w:eastAsia="Times New Roman" w:hAnsi="Times New Roman" w:cs="Times New Roman"/>
          <w:color w:val="000000"/>
          <w:sz w:val="24"/>
          <w:szCs w:val="24"/>
        </w:rPr>
        <w:t>Kec</w:t>
      </w:r>
      <w:proofErr w:type="spellEnd"/>
      <w:r>
        <w:rPr>
          <w:rFonts w:ascii="Times New Roman" w:eastAsia="Times New Roman" w:hAnsi="Times New Roman" w:cs="Times New Roman"/>
          <w:color w:val="000000"/>
          <w:sz w:val="24"/>
          <w:szCs w:val="24"/>
        </w:rPr>
        <w:t xml:space="preserve">. West </w:t>
      </w:r>
      <w:proofErr w:type="spellStart"/>
      <w:r>
        <w:rPr>
          <w:rFonts w:ascii="Times New Roman" w:eastAsia="Times New Roman" w:hAnsi="Times New Roman" w:cs="Times New Roman"/>
          <w:color w:val="000000"/>
          <w:sz w:val="24"/>
          <w:szCs w:val="24"/>
        </w:rPr>
        <w:t>Sinjai</w:t>
      </w:r>
      <w:proofErr w:type="spellEnd"/>
      <w:r>
        <w:rPr>
          <w:rFonts w:ascii="Times New Roman" w:eastAsia="Times New Roman" w:hAnsi="Times New Roman" w:cs="Times New Roman"/>
          <w:color w:val="000000"/>
          <w:sz w:val="24"/>
          <w:szCs w:val="24"/>
        </w:rPr>
        <w:t xml:space="preserve"> District. </w:t>
      </w:r>
      <w:proofErr w:type="spellStart"/>
      <w:r>
        <w:rPr>
          <w:rFonts w:ascii="Times New Roman" w:eastAsia="Times New Roman" w:hAnsi="Times New Roman" w:cs="Times New Roman"/>
          <w:color w:val="000000"/>
          <w:sz w:val="24"/>
          <w:szCs w:val="24"/>
        </w:rPr>
        <w:t>Sinjai</w:t>
      </w:r>
      <w:proofErr w:type="spellEnd"/>
      <w:r>
        <w:rPr>
          <w:rFonts w:ascii="Times New Roman" w:eastAsia="Times New Roman" w:hAnsi="Times New Roman" w:cs="Times New Roman"/>
          <w:color w:val="000000"/>
          <w:sz w:val="24"/>
          <w:szCs w:val="24"/>
        </w:rPr>
        <w:t xml:space="preserve"> 2019. </w:t>
      </w:r>
      <w:proofErr w:type="spellStart"/>
      <w:r>
        <w:rPr>
          <w:rFonts w:ascii="Times New Roman" w:eastAsia="Times New Roman" w:hAnsi="Times New Roman" w:cs="Times New Roman"/>
          <w:color w:val="000000"/>
          <w:sz w:val="24"/>
          <w:szCs w:val="24"/>
        </w:rPr>
        <w:t>Mitrasehat</w:t>
      </w:r>
      <w:proofErr w:type="spellEnd"/>
      <w:r>
        <w:rPr>
          <w:rFonts w:ascii="Times New Roman" w:eastAsia="Times New Roman" w:hAnsi="Times New Roman" w:cs="Times New Roman"/>
          <w:color w:val="000000"/>
          <w:sz w:val="24"/>
          <w:szCs w:val="24"/>
        </w:rPr>
        <w:t xml:space="preserve"> Journal.2020;10(1):74-85</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Said S, Nur FA, </w:t>
      </w:r>
      <w:proofErr w:type="spellStart"/>
      <w:r>
        <w:rPr>
          <w:rFonts w:ascii="Times New Roman" w:eastAsia="Times New Roman" w:hAnsi="Times New Roman" w:cs="Times New Roman"/>
          <w:color w:val="000000"/>
          <w:sz w:val="24"/>
          <w:szCs w:val="24"/>
        </w:rPr>
        <w:t>Syamsiah</w:t>
      </w:r>
      <w:proofErr w:type="spellEnd"/>
      <w:r>
        <w:rPr>
          <w:rFonts w:ascii="Times New Roman" w:eastAsia="Times New Roman" w:hAnsi="Times New Roman" w:cs="Times New Roman"/>
          <w:color w:val="000000"/>
          <w:sz w:val="24"/>
          <w:szCs w:val="24"/>
        </w:rPr>
        <w:t xml:space="preserve"> S. Improving Dental and Oral Health through the Implementation of School-Based Management. Dedication Journal. 2019;21(2):110-114</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Ulfah R, Naning KU. The Relationship between Parental Knowledge and Behavior in </w:t>
      </w:r>
      <w:r>
        <w:rPr>
          <w:rFonts w:ascii="Times New Roman" w:eastAsia="Times New Roman" w:hAnsi="Times New Roman" w:cs="Times New Roman"/>
          <w:color w:val="000000"/>
          <w:sz w:val="24"/>
          <w:szCs w:val="24"/>
        </w:rPr>
        <w:t>Maintaining Dental Health and Dental Caries in Kindergarten Children. Journal of Public Health.2020;7(2):146-150</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Utomo YA, </w:t>
      </w:r>
      <w:proofErr w:type="spellStart"/>
      <w:r>
        <w:rPr>
          <w:rFonts w:ascii="Times New Roman" w:eastAsia="Times New Roman" w:hAnsi="Times New Roman" w:cs="Times New Roman"/>
          <w:color w:val="000000"/>
          <w:sz w:val="24"/>
          <w:szCs w:val="24"/>
        </w:rPr>
        <w:t>Awis</w:t>
      </w:r>
      <w:proofErr w:type="spellEnd"/>
      <w:r>
        <w:rPr>
          <w:rFonts w:ascii="Times New Roman" w:eastAsia="Times New Roman" w:hAnsi="Times New Roman" w:cs="Times New Roman"/>
          <w:color w:val="000000"/>
          <w:sz w:val="24"/>
          <w:szCs w:val="24"/>
        </w:rPr>
        <w:t xml:space="preserve"> HD, </w:t>
      </w:r>
      <w:proofErr w:type="spellStart"/>
      <w:r>
        <w:rPr>
          <w:rFonts w:ascii="Times New Roman" w:eastAsia="Times New Roman" w:hAnsi="Times New Roman" w:cs="Times New Roman"/>
          <w:color w:val="000000"/>
          <w:sz w:val="24"/>
          <w:szCs w:val="24"/>
        </w:rPr>
        <w:t>Sutaip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Maulida</w:t>
      </w:r>
      <w:proofErr w:type="spellEnd"/>
      <w:r>
        <w:rPr>
          <w:rFonts w:ascii="Times New Roman" w:eastAsia="Times New Roman" w:hAnsi="Times New Roman" w:cs="Times New Roman"/>
          <w:color w:val="000000"/>
          <w:sz w:val="24"/>
          <w:szCs w:val="24"/>
        </w:rPr>
        <w:t xml:space="preserve"> FA, Amin S, Dewi LB, et al. Counseling on Clean and Healthy Living Behavior (PHBS) for Elementary School Students at the </w:t>
      </w:r>
      <w:proofErr w:type="spellStart"/>
      <w:r>
        <w:rPr>
          <w:rFonts w:ascii="Times New Roman" w:eastAsia="Times New Roman" w:hAnsi="Times New Roman" w:cs="Times New Roman"/>
          <w:color w:val="000000"/>
          <w:sz w:val="24"/>
          <w:szCs w:val="24"/>
        </w:rPr>
        <w:t>Tahfidz</w:t>
      </w:r>
      <w:proofErr w:type="spellEnd"/>
      <w:r>
        <w:rPr>
          <w:rFonts w:ascii="Times New Roman" w:eastAsia="Times New Roman" w:hAnsi="Times New Roman" w:cs="Times New Roman"/>
          <w:color w:val="000000"/>
          <w:sz w:val="24"/>
          <w:szCs w:val="24"/>
        </w:rPr>
        <w:t xml:space="preserve"> Islamic Boarding School. Journal of Empowerment and Health Education. 2022;2(1):26-35</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Cahyaningrum</w:t>
      </w:r>
      <w:proofErr w:type="spellEnd"/>
      <w:r>
        <w:rPr>
          <w:rFonts w:ascii="Times New Roman" w:eastAsia="Times New Roman" w:hAnsi="Times New Roman" w:cs="Times New Roman"/>
          <w:color w:val="000000"/>
          <w:sz w:val="24"/>
          <w:szCs w:val="24"/>
        </w:rPr>
        <w:t xml:space="preserve"> AN. The relationship between maternal behavior and the incidence of dental caries in toddlers at Paud Putra Sentosa. Periodical Journal of Epidemiology. 2017;5(2):147-148</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Emini, Jusuf K, Ita Y, Erwin, Nanda MS. Mother's Knowledge About the Habit of Drinking Formula Milk Through Bottles and the Status of Milk Teeth Caries in Preschool Children. Journal of Dental Hygiene and Therapy. 2020;1(2):53</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Afiati</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Rosihan</w:t>
      </w:r>
      <w:proofErr w:type="spellEnd"/>
      <w:r>
        <w:rPr>
          <w:rFonts w:ascii="Times New Roman" w:eastAsia="Times New Roman" w:hAnsi="Times New Roman" w:cs="Times New Roman"/>
          <w:color w:val="000000"/>
          <w:sz w:val="24"/>
          <w:szCs w:val="24"/>
        </w:rPr>
        <w:t xml:space="preserve"> A, Karina R, Sherli D. The Relationship between Mother's Behavior Regarding Dental and Oral Health Maintenance and Children's Dental Caries Status. Dentino Journal of Dentistry. 2017;2(1):61</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Angelica C, Linda SS, Winny S. The Influence of Higher Education Level and Mother's Behavior on the def-t Index in Children Aged 4-5 Years. </w:t>
      </w:r>
      <w:proofErr w:type="spellStart"/>
      <w:r>
        <w:rPr>
          <w:rFonts w:ascii="Times New Roman" w:eastAsia="Times New Roman" w:hAnsi="Times New Roman" w:cs="Times New Roman"/>
          <w:color w:val="000000"/>
          <w:sz w:val="24"/>
          <w:szCs w:val="24"/>
        </w:rPr>
        <w:t>Padjadjaran</w:t>
      </w:r>
      <w:proofErr w:type="spellEnd"/>
      <w:r>
        <w:rPr>
          <w:rFonts w:ascii="Times New Roman" w:eastAsia="Times New Roman" w:hAnsi="Times New Roman" w:cs="Times New Roman"/>
          <w:color w:val="000000"/>
          <w:sz w:val="24"/>
          <w:szCs w:val="24"/>
        </w:rPr>
        <w:t xml:space="preserve"> J Dent Res Student. 2019;3(1):20-5</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Reca, Citra FP, Cut AN. The Role of Mothers in the Dental Caries Status of Kindergarten Children-Khairiyah Banda Aceh.2022;3(2):88</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Suwarsono</w:t>
      </w:r>
      <w:proofErr w:type="spellEnd"/>
      <w:r>
        <w:rPr>
          <w:rFonts w:ascii="Times New Roman" w:eastAsia="Times New Roman" w:hAnsi="Times New Roman" w:cs="Times New Roman"/>
          <w:color w:val="000000"/>
          <w:sz w:val="24"/>
          <w:szCs w:val="24"/>
        </w:rPr>
        <w:t xml:space="preserve">, Yulan F, Wahyu JDU. The Relationship between the Mother's Role in Maintaining Dental and Oral Health with the Dental Caries Rate of Nurus Sunnah </w:t>
      </w:r>
      <w:r>
        <w:rPr>
          <w:rFonts w:ascii="Times New Roman" w:eastAsia="Times New Roman" w:hAnsi="Times New Roman" w:cs="Times New Roman"/>
          <w:color w:val="000000"/>
          <w:sz w:val="24"/>
          <w:szCs w:val="24"/>
        </w:rPr>
        <w:lastRenderedPageBreak/>
        <w:t>Islamic Kindergarten Children. Dental Health Media.2022;21(2):58</w:t>
      </w:r>
    </w:p>
    <w:p w:rsidR="005A7C3D" w:rsidRDefault="00000000">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Nurkamiden</w:t>
      </w:r>
      <w:proofErr w:type="spellEnd"/>
      <w:r>
        <w:rPr>
          <w:rFonts w:ascii="Times New Roman" w:eastAsia="Times New Roman" w:hAnsi="Times New Roman" w:cs="Times New Roman"/>
          <w:color w:val="000000"/>
          <w:sz w:val="24"/>
          <w:szCs w:val="24"/>
        </w:rPr>
        <w:t xml:space="preserve"> D, Amatus YI, </w:t>
      </w:r>
      <w:proofErr w:type="spellStart"/>
      <w:r>
        <w:rPr>
          <w:rFonts w:ascii="Times New Roman" w:eastAsia="Times New Roman" w:hAnsi="Times New Roman" w:cs="Times New Roman"/>
          <w:color w:val="000000"/>
          <w:sz w:val="24"/>
          <w:szCs w:val="24"/>
        </w:rPr>
        <w:t>Hairil</w:t>
      </w:r>
      <w:proofErr w:type="spellEnd"/>
      <w:r>
        <w:rPr>
          <w:rFonts w:ascii="Times New Roman" w:eastAsia="Times New Roman" w:hAnsi="Times New Roman" w:cs="Times New Roman"/>
          <w:color w:val="000000"/>
          <w:sz w:val="24"/>
          <w:szCs w:val="24"/>
        </w:rPr>
        <w:t xml:space="preserve"> A, Sarman, </w:t>
      </w:r>
      <w:proofErr w:type="spellStart"/>
      <w:r>
        <w:rPr>
          <w:rFonts w:ascii="Times New Roman" w:eastAsia="Times New Roman" w:hAnsi="Times New Roman" w:cs="Times New Roman"/>
          <w:color w:val="000000"/>
          <w:sz w:val="24"/>
          <w:szCs w:val="24"/>
        </w:rPr>
        <w:t>Suci</w:t>
      </w:r>
      <w:proofErr w:type="spellEnd"/>
      <w:r>
        <w:rPr>
          <w:rFonts w:ascii="Times New Roman" w:eastAsia="Times New Roman" w:hAnsi="Times New Roman" w:cs="Times New Roman"/>
          <w:color w:val="000000"/>
          <w:sz w:val="24"/>
          <w:szCs w:val="24"/>
        </w:rPr>
        <w:t xml:space="preserve"> RN. The Relationship between the Role of Parents in Dental and Oral Hygiene with the Incidence of Dental Caries in Pre-School Children at Mawar Kindergarten (TK). </w:t>
      </w:r>
      <w:proofErr w:type="spellStart"/>
      <w:r>
        <w:rPr>
          <w:rFonts w:ascii="Times New Roman" w:eastAsia="Times New Roman" w:hAnsi="Times New Roman" w:cs="Times New Roman"/>
          <w:color w:val="000000"/>
          <w:sz w:val="24"/>
          <w:szCs w:val="24"/>
        </w:rPr>
        <w:t>Graha</w:t>
      </w:r>
      <w:proofErr w:type="spellEnd"/>
      <w:r>
        <w:rPr>
          <w:rFonts w:ascii="Times New Roman" w:eastAsia="Times New Roman" w:hAnsi="Times New Roman" w:cs="Times New Roman"/>
          <w:color w:val="000000"/>
          <w:sz w:val="24"/>
          <w:szCs w:val="24"/>
        </w:rPr>
        <w:t xml:space="preserve"> Medika Public Health Journal.2022;1(2):104</w:t>
      </w:r>
    </w:p>
    <w:p w:rsidR="005A7C3D" w:rsidRDefault="00000000">
      <w:pPr>
        <w:numPr>
          <w:ilvl w:val="0"/>
          <w:numId w:val="1"/>
        </w:numPr>
        <w:pBdr>
          <w:top w:val="nil"/>
          <w:left w:val="nil"/>
          <w:bottom w:val="nil"/>
          <w:right w:val="nil"/>
          <w:between w:val="nil"/>
        </w:pBdr>
        <w:spacing w:after="24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WL's daughter, </w:t>
      </w:r>
      <w:proofErr w:type="spellStart"/>
      <w:r>
        <w:rPr>
          <w:rFonts w:ascii="Times New Roman" w:eastAsia="Times New Roman" w:hAnsi="Times New Roman" w:cs="Times New Roman"/>
          <w:color w:val="000000"/>
          <w:sz w:val="24"/>
          <w:szCs w:val="24"/>
        </w:rPr>
        <w:t>Febrian</w:t>
      </w:r>
      <w:proofErr w:type="spellEnd"/>
      <w:r>
        <w:rPr>
          <w:rFonts w:ascii="Times New Roman" w:eastAsia="Times New Roman" w:hAnsi="Times New Roman" w:cs="Times New Roman"/>
          <w:color w:val="000000"/>
          <w:sz w:val="24"/>
          <w:szCs w:val="24"/>
        </w:rPr>
        <w:t>. The relationship between maternal behavior towards maintaining children's dental health and the incidence of early childhood caries (ECC) in early childhood education (PAUD) children in the working area of ​​</w:t>
      </w:r>
      <w:proofErr w:type="spellStart"/>
      <w:r>
        <w:rPr>
          <w:rFonts w:ascii="Times New Roman" w:eastAsia="Times New Roman" w:hAnsi="Times New Roman" w:cs="Times New Roman"/>
          <w:color w:val="000000"/>
          <w:sz w:val="24"/>
          <w:szCs w:val="24"/>
        </w:rPr>
        <w:t>Andalas</w:t>
      </w:r>
      <w:proofErr w:type="spellEnd"/>
      <w:r>
        <w:rPr>
          <w:rFonts w:ascii="Times New Roman" w:eastAsia="Times New Roman" w:hAnsi="Times New Roman" w:cs="Times New Roman"/>
          <w:color w:val="000000"/>
          <w:sz w:val="24"/>
          <w:szCs w:val="24"/>
        </w:rPr>
        <w:t xml:space="preserve"> Health Center, Padang Timur District, Pada City. </w:t>
      </w:r>
      <w:proofErr w:type="spellStart"/>
      <w:r>
        <w:rPr>
          <w:rFonts w:ascii="Times New Roman" w:eastAsia="Times New Roman" w:hAnsi="Times New Roman" w:cs="Times New Roman"/>
          <w:color w:val="000000"/>
          <w:sz w:val="24"/>
          <w:szCs w:val="24"/>
        </w:rPr>
        <w:t>Andalas</w:t>
      </w:r>
      <w:proofErr w:type="spellEnd"/>
      <w:r>
        <w:rPr>
          <w:rFonts w:ascii="Times New Roman" w:eastAsia="Times New Roman" w:hAnsi="Times New Roman" w:cs="Times New Roman"/>
          <w:color w:val="000000"/>
          <w:sz w:val="24"/>
          <w:szCs w:val="24"/>
        </w:rPr>
        <w:t xml:space="preserve"> Dental Journal.2014;2(1):6-7</w:t>
      </w:r>
    </w:p>
    <w:p w:rsidR="005A7C3D" w:rsidRDefault="005A7C3D">
      <w:pPr>
        <w:spacing w:after="0"/>
        <w:ind w:firstLine="900"/>
        <w:jc w:val="both"/>
        <w:rPr>
          <w:rFonts w:ascii="Times New Roman" w:eastAsia="Times New Roman" w:hAnsi="Times New Roman" w:cs="Times New Roman"/>
          <w:b/>
          <w:sz w:val="24"/>
          <w:szCs w:val="24"/>
        </w:rPr>
      </w:pPr>
    </w:p>
    <w:p w:rsidR="005A7C3D" w:rsidRDefault="005A7C3D">
      <w:pPr>
        <w:spacing w:after="0"/>
        <w:ind w:firstLine="900"/>
        <w:jc w:val="both"/>
        <w:rPr>
          <w:rFonts w:ascii="Times New Roman" w:eastAsia="Times New Roman" w:hAnsi="Times New Roman" w:cs="Times New Roman"/>
          <w:sz w:val="24"/>
          <w:szCs w:val="24"/>
        </w:rPr>
      </w:pPr>
    </w:p>
    <w:p w:rsidR="005A7C3D" w:rsidRDefault="005A7C3D">
      <w:pPr>
        <w:widowControl w:val="0"/>
        <w:spacing w:after="0"/>
        <w:jc w:val="both"/>
        <w:rPr>
          <w:rFonts w:ascii="Times New Roman" w:eastAsia="Times New Roman" w:hAnsi="Times New Roman" w:cs="Times New Roman"/>
          <w:sz w:val="24"/>
          <w:szCs w:val="24"/>
        </w:rPr>
      </w:pPr>
    </w:p>
    <w:p w:rsidR="005A7C3D" w:rsidRDefault="005A7C3D">
      <w:pPr>
        <w:spacing w:after="0"/>
        <w:ind w:firstLine="900"/>
        <w:jc w:val="both"/>
        <w:rPr>
          <w:rFonts w:ascii="Times New Roman" w:eastAsia="Times New Roman" w:hAnsi="Times New Roman" w:cs="Times New Roman"/>
          <w:sz w:val="24"/>
          <w:szCs w:val="24"/>
        </w:rPr>
      </w:pPr>
    </w:p>
    <w:p w:rsidR="005A7C3D" w:rsidRDefault="005A7C3D">
      <w:pPr>
        <w:spacing w:after="0"/>
        <w:ind w:firstLine="900"/>
        <w:jc w:val="both"/>
        <w:rPr>
          <w:rFonts w:ascii="Times New Roman" w:eastAsia="Times New Roman" w:hAnsi="Times New Roman" w:cs="Times New Roman"/>
          <w:sz w:val="24"/>
          <w:szCs w:val="24"/>
        </w:rPr>
      </w:pPr>
    </w:p>
    <w:p w:rsidR="005A7C3D" w:rsidRDefault="005A7C3D">
      <w:pPr>
        <w:spacing w:after="0"/>
        <w:ind w:firstLine="900"/>
        <w:jc w:val="both"/>
        <w:rPr>
          <w:rFonts w:ascii="Times New Roman" w:eastAsia="Times New Roman" w:hAnsi="Times New Roman" w:cs="Times New Roman"/>
          <w:sz w:val="24"/>
          <w:szCs w:val="24"/>
        </w:rPr>
      </w:pPr>
    </w:p>
    <w:p w:rsidR="005A7C3D" w:rsidRDefault="005A7C3D">
      <w:pPr>
        <w:jc w:val="both"/>
        <w:rPr>
          <w:rFonts w:ascii="Times New Roman" w:eastAsia="Times New Roman" w:hAnsi="Times New Roman" w:cs="Times New Roman"/>
          <w:sz w:val="24"/>
          <w:szCs w:val="24"/>
        </w:rPr>
      </w:pPr>
    </w:p>
    <w:sectPr w:rsidR="005A7C3D">
      <w:type w:val="continuous"/>
      <w:pgSz w:w="11907" w:h="16839"/>
      <w:pgMar w:top="1440" w:right="1440" w:bottom="1440" w:left="1440" w:header="720" w:footer="720" w:gutter="0"/>
      <w:cols w:num="2" w:space="720" w:equalWidth="0">
        <w:col w:w="4153" w:space="720"/>
        <w:col w:w="415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30FD9" w:rsidRDefault="00B30FD9" w:rsidP="00281646">
      <w:pPr>
        <w:spacing w:after="0" w:line="240" w:lineRule="auto"/>
      </w:pPr>
      <w:r>
        <w:separator/>
      </w:r>
    </w:p>
  </w:endnote>
  <w:endnote w:type="continuationSeparator" w:id="0">
    <w:p w:rsidR="00B30FD9" w:rsidRDefault="00B30FD9" w:rsidP="00281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30FD9" w:rsidRDefault="00B30FD9" w:rsidP="00281646">
      <w:pPr>
        <w:spacing w:after="0" w:line="240" w:lineRule="auto"/>
      </w:pPr>
      <w:r>
        <w:separator/>
      </w:r>
    </w:p>
  </w:footnote>
  <w:footnote w:type="continuationSeparator" w:id="0">
    <w:p w:rsidR="00B30FD9" w:rsidRDefault="00B30FD9" w:rsidP="00281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86C5A"/>
    <w:multiLevelType w:val="multilevel"/>
    <w:tmpl w:val="EADCC1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6529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C3D"/>
    <w:rsid w:val="001377ED"/>
    <w:rsid w:val="00281646"/>
    <w:rsid w:val="00290037"/>
    <w:rsid w:val="005A7C3D"/>
    <w:rsid w:val="00604718"/>
    <w:rsid w:val="00722604"/>
    <w:rsid w:val="008C479B"/>
    <w:rsid w:val="00AA0107"/>
    <w:rsid w:val="00B30FD9"/>
    <w:rsid w:val="00BA6591"/>
    <w:rsid w:val="00C4693B"/>
    <w:rsid w:val="00E86F8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1077"/>
  <w15:docId w15:val="{6FBE725C-B3D2-C74D-8330-52EACF30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a1">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a2">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3">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a4">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a5">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6">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table" w:customStyle="1" w:styleId="a7">
    <w:basedOn w:val="TableNormal3"/>
    <w:pPr>
      <w:spacing w:after="0" w:line="240" w:lineRule="auto"/>
    </w:pPr>
    <w:rPr>
      <w:rFonts w:ascii="Times New Roman" w:eastAsia="Times New Roman" w:hAnsi="Times New Roman" w:cs="Times New Roman"/>
      <w:color w:val="000000"/>
      <w:sz w:val="24"/>
      <w:szCs w:val="24"/>
    </w:rPr>
    <w:tblPr>
      <w:tblStyleRowBandSize w:val="1"/>
      <w:tblStyleColBandSize w:val="1"/>
      <w:tblCellMar>
        <w:left w:w="108" w:type="dxa"/>
        <w:right w:w="108" w:type="dxa"/>
      </w:tblCellMar>
    </w:tblPr>
  </w:style>
  <w:style w:type="paragraph" w:styleId="ListParagraph">
    <w:name w:val="List Paragraph"/>
    <w:basedOn w:val="Normal"/>
    <w:link w:val="ListParagraphChar"/>
    <w:uiPriority w:val="34"/>
    <w:qFormat/>
    <w:rsid w:val="00290037"/>
    <w:pPr>
      <w:ind w:left="720"/>
      <w:contextualSpacing/>
    </w:pPr>
    <w:rPr>
      <w:rFonts w:asciiTheme="minorHAnsi" w:eastAsiaTheme="minorHAnsi" w:hAnsiTheme="minorHAnsi" w:cstheme="minorBidi"/>
      <w:lang w:eastAsia="en-US"/>
    </w:rPr>
  </w:style>
  <w:style w:type="character" w:customStyle="1" w:styleId="ListParagraphChar">
    <w:name w:val="List Paragraph Char"/>
    <w:link w:val="ListParagraph"/>
    <w:uiPriority w:val="34"/>
    <w:qFormat/>
    <w:rsid w:val="00290037"/>
    <w:rPr>
      <w:rFonts w:asciiTheme="minorHAnsi" w:eastAsiaTheme="minorHAnsi" w:hAnsiTheme="minorHAnsi" w:cstheme="minorBidi"/>
      <w:lang w:eastAsia="en-US"/>
    </w:rPr>
  </w:style>
  <w:style w:type="table" w:customStyle="1" w:styleId="TabelBiasa21">
    <w:name w:val="Tabel Biasa 21"/>
    <w:basedOn w:val="TableNormal"/>
    <w:uiPriority w:val="42"/>
    <w:rsid w:val="00290037"/>
    <w:pPr>
      <w:spacing w:after="0" w:line="240" w:lineRule="auto"/>
    </w:pPr>
    <w:rPr>
      <w:rFonts w:asciiTheme="minorHAnsi" w:eastAsiaTheme="minorHAnsi" w:hAnsiTheme="minorHAnsi" w:cstheme="minorBidi"/>
      <w:kern w:val="2"/>
      <w:lang w:val="en-ID"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C4693B"/>
    <w:pPr>
      <w:spacing w:after="0" w:line="240" w:lineRule="auto"/>
    </w:pPr>
    <w:rPr>
      <w:rFonts w:asciiTheme="minorHAnsi" w:eastAsiaTheme="minorHAnsi" w:hAnsiTheme="minorHAnsi" w:cstheme="minorBidi"/>
      <w:kern w:val="2"/>
      <w:sz w:val="24"/>
      <w:szCs w:val="24"/>
      <w:lang w:val="id-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6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646"/>
  </w:style>
  <w:style w:type="paragraph" w:styleId="Footer">
    <w:name w:val="footer"/>
    <w:basedOn w:val="Normal"/>
    <w:link w:val="FooterChar"/>
    <w:uiPriority w:val="99"/>
    <w:unhideWhenUsed/>
    <w:rsid w:val="002816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yaldila@umi.ac.id" TargetMode="Externa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ZU3GkhNKA96G+KKxim6E+Fe4PA==">CgMxLjA4AHIhMUtOTjViZl9XOUtLazUyVGtkYk5pNDNOT096YTNCbVVE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sari aldilawati</cp:lastModifiedBy>
  <cp:revision>5</cp:revision>
  <cp:lastPrinted>2024-04-13T13:59:00Z</cp:lastPrinted>
  <dcterms:created xsi:type="dcterms:W3CDTF">2024-04-13T13:59:00Z</dcterms:created>
  <dcterms:modified xsi:type="dcterms:W3CDTF">2024-04-14T07:36:00Z</dcterms:modified>
</cp:coreProperties>
</file>