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8789" w14:textId="07191FDD" w:rsidR="000B0AC6" w:rsidRPr="00EF744C" w:rsidRDefault="009129EE">
      <w:pPr>
        <w:spacing w:before="41"/>
        <w:ind w:left="196"/>
        <w:rPr>
          <w:rFonts w:ascii="Candara" w:eastAsia="Candara" w:hAnsi="Candara" w:cs="Candara"/>
          <w:sz w:val="24"/>
          <w:szCs w:val="24"/>
          <w:lang w:val="id-ID"/>
        </w:rPr>
        <w:sectPr w:rsidR="000B0AC6" w:rsidRPr="00EF744C">
          <w:pgSz w:w="11920" w:h="16840"/>
          <w:pgMar w:top="1360" w:right="1120" w:bottom="280" w:left="1080" w:header="720" w:footer="720" w:gutter="0"/>
          <w:cols w:space="720"/>
        </w:sectPr>
      </w:pPr>
      <w:proofErr w:type="spellStart"/>
      <w:r w:rsidRPr="00EF744C">
        <w:rPr>
          <w:rFonts w:ascii="Candara" w:eastAsia="Candara" w:hAnsi="Candara" w:cs="Candara"/>
          <w:color w:val="808080"/>
          <w:sz w:val="24"/>
          <w:szCs w:val="24"/>
        </w:rPr>
        <w:t>Jurnal</w:t>
      </w:r>
      <w:proofErr w:type="spellEnd"/>
      <w:r w:rsidRPr="00EF744C">
        <w:rPr>
          <w:rFonts w:ascii="Candara" w:eastAsia="Candara" w:hAnsi="Candara" w:cs="Candara"/>
          <w:color w:val="808080"/>
          <w:sz w:val="24"/>
          <w:szCs w:val="24"/>
        </w:rPr>
        <w:t xml:space="preserve"> </w:t>
      </w:r>
      <w:r w:rsidRPr="00EF744C">
        <w:rPr>
          <w:rFonts w:ascii="Candara" w:eastAsia="Candara" w:hAnsi="Candara" w:cs="Candara"/>
          <w:color w:val="FFC000"/>
          <w:sz w:val="24"/>
          <w:szCs w:val="24"/>
        </w:rPr>
        <w:t>Ekonomi</w:t>
      </w:r>
      <w:r w:rsidRPr="00EF744C">
        <w:rPr>
          <w:rFonts w:ascii="Candara" w:eastAsia="Candara" w:hAnsi="Candara" w:cs="Candara"/>
          <w:color w:val="FFC000"/>
          <w:spacing w:val="1"/>
          <w:sz w:val="24"/>
          <w:szCs w:val="24"/>
        </w:rPr>
        <w:t xml:space="preserve"> </w:t>
      </w:r>
      <w:r w:rsidRPr="00EF744C">
        <w:rPr>
          <w:rFonts w:ascii="Candara" w:eastAsia="Candara" w:hAnsi="Candara" w:cs="Candara"/>
          <w:color w:val="808080"/>
          <w:sz w:val="24"/>
          <w:szCs w:val="24"/>
        </w:rPr>
        <w:t>&amp;</w:t>
      </w:r>
      <w:r w:rsidRPr="00EF744C">
        <w:rPr>
          <w:rFonts w:ascii="Candara" w:eastAsia="Candara" w:hAnsi="Candara" w:cs="Candara"/>
          <w:color w:val="808080"/>
          <w:spacing w:val="-1"/>
          <w:sz w:val="24"/>
          <w:szCs w:val="24"/>
        </w:rPr>
        <w:t xml:space="preserve"> </w:t>
      </w:r>
      <w:proofErr w:type="spellStart"/>
      <w:r w:rsidRPr="00EF744C">
        <w:rPr>
          <w:rFonts w:ascii="Candara" w:eastAsia="Candara" w:hAnsi="Candara" w:cs="Candara"/>
          <w:color w:val="FFC000"/>
          <w:sz w:val="24"/>
          <w:szCs w:val="24"/>
        </w:rPr>
        <w:t>Studi</w:t>
      </w:r>
      <w:proofErr w:type="spellEnd"/>
      <w:r w:rsidRPr="00EF744C">
        <w:rPr>
          <w:rFonts w:ascii="Candara" w:eastAsia="Candara" w:hAnsi="Candara" w:cs="Candara"/>
          <w:color w:val="FFC000"/>
          <w:sz w:val="24"/>
          <w:szCs w:val="24"/>
        </w:rPr>
        <w:t xml:space="preserve"> Pembangunan                                                 </w:t>
      </w:r>
      <w:r w:rsidRPr="00EF744C">
        <w:rPr>
          <w:rFonts w:ascii="Candara" w:eastAsia="Candara" w:hAnsi="Candara" w:cs="Candara"/>
          <w:color w:val="FFC000"/>
          <w:spacing w:val="11"/>
          <w:sz w:val="24"/>
          <w:szCs w:val="24"/>
        </w:rPr>
        <w:t xml:space="preserve"> </w:t>
      </w:r>
      <w:r w:rsidRPr="00EF744C">
        <w:rPr>
          <w:rFonts w:ascii="Candara" w:eastAsia="Candara" w:hAnsi="Candara" w:cs="Candara"/>
          <w:color w:val="808080"/>
          <w:sz w:val="24"/>
          <w:szCs w:val="24"/>
        </w:rPr>
        <w:t>Vo</w:t>
      </w:r>
      <w:r w:rsidRPr="00EF744C">
        <w:rPr>
          <w:rFonts w:ascii="Candara" w:eastAsia="Candara" w:hAnsi="Candara" w:cs="Candara"/>
          <w:color w:val="808080"/>
          <w:spacing w:val="1"/>
          <w:sz w:val="24"/>
          <w:szCs w:val="24"/>
        </w:rPr>
        <w:t>l</w:t>
      </w:r>
      <w:r w:rsidRPr="00EF744C">
        <w:rPr>
          <w:rFonts w:ascii="Candara" w:eastAsia="Candara" w:hAnsi="Candara" w:cs="Candara"/>
          <w:color w:val="808080"/>
          <w:sz w:val="24"/>
          <w:szCs w:val="24"/>
        </w:rPr>
        <w:t>ume</w:t>
      </w:r>
      <w:r w:rsidRPr="00EF744C">
        <w:rPr>
          <w:rFonts w:ascii="Candara" w:eastAsia="Candara" w:hAnsi="Candara" w:cs="Candara"/>
          <w:color w:val="808080"/>
          <w:spacing w:val="1"/>
          <w:sz w:val="24"/>
          <w:szCs w:val="24"/>
        </w:rPr>
        <w:t xml:space="preserve"> </w:t>
      </w:r>
      <w:r w:rsidRPr="00EF744C">
        <w:rPr>
          <w:rFonts w:ascii="Candara" w:eastAsia="Candara" w:hAnsi="Candara" w:cs="Candara"/>
          <w:color w:val="808080"/>
          <w:sz w:val="24"/>
          <w:szCs w:val="24"/>
          <w:lang w:val="id-ID"/>
        </w:rPr>
        <w:t>XX</w:t>
      </w:r>
      <w:r w:rsidRPr="00EF744C">
        <w:rPr>
          <w:rFonts w:ascii="Candara" w:eastAsia="Candara" w:hAnsi="Candara" w:cs="Candara"/>
          <w:color w:val="808080"/>
          <w:sz w:val="24"/>
          <w:szCs w:val="24"/>
        </w:rPr>
        <w:t xml:space="preserve"> No </w:t>
      </w:r>
      <w:r w:rsidRPr="00EF744C">
        <w:rPr>
          <w:rFonts w:ascii="Candara" w:eastAsia="Candara" w:hAnsi="Candara" w:cs="Candara"/>
          <w:color w:val="808080"/>
          <w:sz w:val="24"/>
          <w:szCs w:val="24"/>
          <w:lang w:val="id-ID"/>
        </w:rPr>
        <w:t>X</w:t>
      </w:r>
      <w:r w:rsidRPr="00EF744C">
        <w:rPr>
          <w:rFonts w:ascii="Candara" w:eastAsia="Candara" w:hAnsi="Candara" w:cs="Candara"/>
          <w:color w:val="808080"/>
          <w:sz w:val="24"/>
          <w:szCs w:val="24"/>
        </w:rPr>
        <w:t>,</w:t>
      </w:r>
      <w:r w:rsidRPr="00EF744C">
        <w:rPr>
          <w:rFonts w:ascii="Candara" w:eastAsia="Candara" w:hAnsi="Candara" w:cs="Candara"/>
          <w:color w:val="808080"/>
          <w:spacing w:val="-1"/>
          <w:sz w:val="24"/>
          <w:szCs w:val="24"/>
        </w:rPr>
        <w:t xml:space="preserve"> </w:t>
      </w:r>
      <w:r w:rsidRPr="00EF744C">
        <w:rPr>
          <w:rFonts w:ascii="Candara" w:eastAsia="Candara" w:hAnsi="Candara" w:cs="Candara"/>
          <w:color w:val="808080"/>
          <w:sz w:val="24"/>
          <w:szCs w:val="24"/>
          <w:lang w:val="id-ID"/>
        </w:rPr>
        <w:t>MMM</w:t>
      </w:r>
      <w:r w:rsidRPr="00EF744C">
        <w:rPr>
          <w:rFonts w:ascii="Candara" w:eastAsia="Candara" w:hAnsi="Candara" w:cs="Candara"/>
          <w:color w:val="808080"/>
          <w:sz w:val="24"/>
          <w:szCs w:val="24"/>
        </w:rPr>
        <w:t xml:space="preserve"> </w:t>
      </w:r>
      <w:r w:rsidRPr="00EF744C">
        <w:rPr>
          <w:rFonts w:ascii="Candara" w:eastAsia="Candara" w:hAnsi="Candara" w:cs="Candara"/>
          <w:color w:val="808080"/>
          <w:spacing w:val="1"/>
          <w:sz w:val="24"/>
          <w:szCs w:val="24"/>
          <w:lang w:val="id-ID"/>
        </w:rPr>
        <w:t>YYY</w:t>
      </w:r>
    </w:p>
    <w:p w14:paraId="3D3E76F3" w14:textId="6FBCFC26" w:rsidR="000B0AC6" w:rsidRPr="00EF744C" w:rsidRDefault="004C2EE7">
      <w:pPr>
        <w:spacing w:before="2" w:line="100" w:lineRule="exact"/>
        <w:rPr>
          <w:sz w:val="11"/>
          <w:szCs w:val="11"/>
        </w:rPr>
      </w:pPr>
      <w:r w:rsidRPr="00EF744C">
        <w:rPr>
          <w:noProof/>
        </w:rPr>
        <mc:AlternateContent>
          <mc:Choice Requires="wpg">
            <w:drawing>
              <wp:anchor distT="0" distB="0" distL="114300" distR="114300" simplePos="0" relativeHeight="251655168" behindDoc="1" locked="0" layoutInCell="1" allowOverlap="1" wp14:anchorId="6D501305" wp14:editId="5CB6E6B1">
                <wp:simplePos x="0" y="0"/>
                <wp:positionH relativeFrom="page">
                  <wp:posOffset>0</wp:posOffset>
                </wp:positionH>
                <wp:positionV relativeFrom="page">
                  <wp:posOffset>1177290</wp:posOffset>
                </wp:positionV>
                <wp:extent cx="7560310" cy="0"/>
                <wp:effectExtent l="19050" t="24765" r="21590" b="22860"/>
                <wp:wrapNone/>
                <wp:docPr id="1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0"/>
                          <a:chOff x="0" y="1854"/>
                          <a:chExt cx="11906" cy="0"/>
                        </a:xfrm>
                      </wpg:grpSpPr>
                      <wps:wsp>
                        <wps:cNvPr id="13" name="Freeform 46"/>
                        <wps:cNvSpPr>
                          <a:spLocks/>
                        </wps:cNvSpPr>
                        <wps:spPr bwMode="auto">
                          <a:xfrm>
                            <a:off x="0" y="1854"/>
                            <a:ext cx="11906" cy="0"/>
                          </a:xfrm>
                          <a:custGeom>
                            <a:avLst/>
                            <a:gdLst>
                              <a:gd name="T0" fmla="*/ 11906 w 11906"/>
                              <a:gd name="T1" fmla="*/ 0 w 11906"/>
                            </a:gdLst>
                            <a:ahLst/>
                            <a:cxnLst>
                              <a:cxn ang="0">
                                <a:pos x="T0" y="0"/>
                              </a:cxn>
                              <a:cxn ang="0">
                                <a:pos x="T1" y="0"/>
                              </a:cxn>
                            </a:cxnLst>
                            <a:rect l="0" t="0" r="r" b="b"/>
                            <a:pathLst>
                              <a:path w="11906">
                                <a:moveTo>
                                  <a:pt x="11906" y="0"/>
                                </a:moveTo>
                                <a:lnTo>
                                  <a:pt x="0" y="0"/>
                                </a:lnTo>
                              </a:path>
                            </a:pathLst>
                          </a:custGeom>
                          <a:noFill/>
                          <a:ln w="38100">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406E5" id="Group 45" o:spid="_x0000_s1026" style="position:absolute;margin-left:0;margin-top:92.7pt;width:595.3pt;height:0;z-index:-251661312;mso-position-horizontal-relative:page;mso-position-vertical-relative:page" coordorigin=",1854" coordsize="1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">
                <v:shape id="Freeform 46" o:spid="_x0000_s1027" style="position:absolute;top:1854;width:11906;height:0;visibility:visible;mso-wrap-style:square;v-text-anchor:top" coordsize="11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" path="m11906,l,e" filled="f" strokecolor="#6f2f9f" strokeweight="3pt">
                  <v:path arrowok="t" o:connecttype="custom" o:connectlocs="11906,0;0,0" o:connectangles="0,0"/>
                </v:shape>
                <w10:wrap anchorx="page" anchory="page"/>
              </v:group>
            </w:pict>
          </mc:Fallback>
        </mc:AlternateContent>
      </w:r>
    </w:p>
    <w:p w14:paraId="20661C80" w14:textId="77777777" w:rsidR="000B0AC6" w:rsidRPr="00EF744C" w:rsidRDefault="000B0AC6">
      <w:pPr>
        <w:spacing w:line="200" w:lineRule="exact"/>
      </w:pPr>
    </w:p>
    <w:p w14:paraId="08601446" w14:textId="77777777" w:rsidR="000B0AC6" w:rsidRPr="00EF744C" w:rsidRDefault="000B0AC6">
      <w:pPr>
        <w:spacing w:line="200" w:lineRule="exact"/>
      </w:pPr>
    </w:p>
    <w:p w14:paraId="68F676A0" w14:textId="40E218E5" w:rsidR="000B0AC6" w:rsidRPr="00EF744C" w:rsidRDefault="004C2EE7">
      <w:pPr>
        <w:ind w:left="203"/>
      </w:pPr>
      <w:r w:rsidRPr="00EF744C">
        <w:rPr>
          <w:noProof/>
        </w:rPr>
        <w:drawing>
          <wp:inline distT="0" distB="0" distL="0" distR="0" wp14:anchorId="33F6951D" wp14:editId="32173F3F">
            <wp:extent cx="736600" cy="736600"/>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p w14:paraId="5231D6FA" w14:textId="77777777" w:rsidR="000B0AC6" w:rsidRPr="00EF744C" w:rsidRDefault="000B0AC6">
      <w:pPr>
        <w:spacing w:before="9" w:line="140" w:lineRule="exact"/>
        <w:rPr>
          <w:sz w:val="15"/>
          <w:szCs w:val="15"/>
        </w:rPr>
      </w:pPr>
    </w:p>
    <w:p w14:paraId="5D112284" w14:textId="77777777" w:rsidR="000B0AC6" w:rsidRPr="00EF744C" w:rsidRDefault="000B0AC6">
      <w:pPr>
        <w:spacing w:line="200" w:lineRule="exact"/>
      </w:pPr>
    </w:p>
    <w:p w14:paraId="7565F8CB" w14:textId="77777777" w:rsidR="000B0AC6" w:rsidRPr="00EF744C" w:rsidRDefault="000B0AC6">
      <w:pPr>
        <w:spacing w:line="200" w:lineRule="exact"/>
      </w:pPr>
    </w:p>
    <w:p w14:paraId="64067197" w14:textId="77777777" w:rsidR="000B0AC6" w:rsidRPr="00EF744C" w:rsidRDefault="000B0AC6">
      <w:pPr>
        <w:spacing w:line="200" w:lineRule="exact"/>
      </w:pPr>
    </w:p>
    <w:p w14:paraId="664092C8" w14:textId="77777777" w:rsidR="000B0AC6" w:rsidRPr="00EF744C" w:rsidRDefault="000B0AC6">
      <w:pPr>
        <w:spacing w:line="200" w:lineRule="exact"/>
      </w:pPr>
    </w:p>
    <w:p w14:paraId="564BF632" w14:textId="77777777" w:rsidR="000B0AC6" w:rsidRPr="00EF744C" w:rsidRDefault="000B0AC6">
      <w:pPr>
        <w:spacing w:line="200" w:lineRule="exact"/>
      </w:pPr>
    </w:p>
    <w:p w14:paraId="3B30B973" w14:textId="4A2FA855" w:rsidR="000B0AC6" w:rsidRPr="00EF744C" w:rsidRDefault="004C2EE7">
      <w:pPr>
        <w:ind w:left="105"/>
      </w:pPr>
      <w:r w:rsidRPr="00EF744C">
        <w:rPr>
          <w:noProof/>
        </w:rPr>
        <w:drawing>
          <wp:inline distT="0" distB="0" distL="0" distR="0" wp14:anchorId="15C33B66" wp14:editId="4DDD9F28">
            <wp:extent cx="482600" cy="234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inline>
        </w:drawing>
      </w:r>
    </w:p>
    <w:p w14:paraId="57475016" w14:textId="77777777" w:rsidR="000B0AC6" w:rsidRPr="00EF744C" w:rsidRDefault="000B0AC6">
      <w:pPr>
        <w:spacing w:line="200" w:lineRule="exact"/>
      </w:pPr>
    </w:p>
    <w:p w14:paraId="65D837A1" w14:textId="77777777" w:rsidR="000B0AC6" w:rsidRPr="00EF744C" w:rsidRDefault="000B0AC6">
      <w:pPr>
        <w:spacing w:before="5" w:line="200" w:lineRule="exact"/>
      </w:pPr>
    </w:p>
    <w:p w14:paraId="32DAFAF3"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AFFILIATI</w:t>
      </w:r>
      <w:r w:rsidRPr="00EF744C">
        <w:rPr>
          <w:rFonts w:ascii="Calibri" w:eastAsia="Calibri" w:hAnsi="Calibri" w:cs="Calibri"/>
          <w:b/>
          <w:spacing w:val="-1"/>
          <w:sz w:val="18"/>
          <w:szCs w:val="18"/>
        </w:rPr>
        <w:t>O</w:t>
      </w:r>
      <w:r w:rsidRPr="00EF744C">
        <w:rPr>
          <w:rFonts w:ascii="Calibri" w:eastAsia="Calibri" w:hAnsi="Calibri" w:cs="Calibri"/>
          <w:b/>
          <w:sz w:val="18"/>
          <w:szCs w:val="18"/>
        </w:rPr>
        <w:t>N:</w:t>
      </w:r>
    </w:p>
    <w:p w14:paraId="0FBFB650" w14:textId="77777777" w:rsidR="000B0AC6" w:rsidRPr="00EF744C" w:rsidRDefault="000B0AC6">
      <w:pPr>
        <w:spacing w:before="20" w:line="200" w:lineRule="exact"/>
      </w:pPr>
    </w:p>
    <w:p w14:paraId="48C1E192"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*CO</w:t>
      </w:r>
      <w:r w:rsidRPr="00EF744C">
        <w:rPr>
          <w:rFonts w:ascii="Calibri" w:eastAsia="Calibri" w:hAnsi="Calibri" w:cs="Calibri"/>
          <w:b/>
          <w:spacing w:val="-1"/>
          <w:sz w:val="18"/>
          <w:szCs w:val="18"/>
        </w:rPr>
        <w:t>R</w:t>
      </w:r>
      <w:r w:rsidRPr="00EF744C">
        <w:rPr>
          <w:rFonts w:ascii="Calibri" w:eastAsia="Calibri" w:hAnsi="Calibri" w:cs="Calibri"/>
          <w:b/>
          <w:spacing w:val="1"/>
          <w:sz w:val="18"/>
          <w:szCs w:val="18"/>
        </w:rPr>
        <w:t>R</w:t>
      </w:r>
      <w:r w:rsidRPr="00EF744C">
        <w:rPr>
          <w:rFonts w:ascii="Calibri" w:eastAsia="Calibri" w:hAnsi="Calibri" w:cs="Calibri"/>
          <w:b/>
          <w:sz w:val="18"/>
          <w:szCs w:val="18"/>
        </w:rPr>
        <w:t>ESPONDENCE:</w:t>
      </w:r>
    </w:p>
    <w:p w14:paraId="404EA974" w14:textId="77777777" w:rsidR="000B0AC6" w:rsidRPr="00EF744C" w:rsidRDefault="000B0AC6">
      <w:pPr>
        <w:spacing w:before="19" w:line="200" w:lineRule="exact"/>
      </w:pPr>
    </w:p>
    <w:p w14:paraId="24C7A7CD" w14:textId="41766905"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THIS ARTIC</w:t>
      </w:r>
      <w:r w:rsidRPr="00EF744C">
        <w:rPr>
          <w:rFonts w:ascii="Calibri" w:eastAsia="Calibri" w:hAnsi="Calibri" w:cs="Calibri"/>
          <w:b/>
          <w:spacing w:val="-1"/>
          <w:sz w:val="18"/>
          <w:szCs w:val="18"/>
        </w:rPr>
        <w:t>L</w:t>
      </w:r>
      <w:r w:rsidRPr="00EF744C">
        <w:rPr>
          <w:rFonts w:ascii="Calibri" w:eastAsia="Calibri" w:hAnsi="Calibri" w:cs="Calibri"/>
          <w:b/>
          <w:sz w:val="18"/>
          <w:szCs w:val="18"/>
        </w:rPr>
        <w:t>E IS</w:t>
      </w:r>
      <w:r w:rsidRPr="00EF744C">
        <w:rPr>
          <w:rFonts w:ascii="Calibri" w:eastAsia="Calibri" w:hAnsi="Calibri" w:cs="Calibri"/>
          <w:b/>
          <w:spacing w:val="1"/>
          <w:sz w:val="18"/>
          <w:szCs w:val="18"/>
        </w:rPr>
        <w:t xml:space="preserve"> </w:t>
      </w:r>
      <w:r w:rsidRPr="00EF744C">
        <w:rPr>
          <w:rFonts w:ascii="Calibri" w:eastAsia="Calibri" w:hAnsi="Calibri" w:cs="Calibri"/>
          <w:b/>
          <w:sz w:val="18"/>
          <w:szCs w:val="18"/>
        </w:rPr>
        <w:t>AVAI</w:t>
      </w:r>
      <w:r w:rsidRPr="00EF744C">
        <w:rPr>
          <w:rFonts w:ascii="Calibri" w:eastAsia="Calibri" w:hAnsi="Calibri" w:cs="Calibri"/>
          <w:b/>
          <w:spacing w:val="-1"/>
          <w:sz w:val="18"/>
          <w:szCs w:val="18"/>
        </w:rPr>
        <w:t>L</w:t>
      </w:r>
      <w:r w:rsidRPr="00EF744C">
        <w:rPr>
          <w:rFonts w:ascii="Calibri" w:eastAsia="Calibri" w:hAnsi="Calibri" w:cs="Calibri"/>
          <w:b/>
          <w:sz w:val="18"/>
          <w:szCs w:val="18"/>
        </w:rPr>
        <w:t>ABLE IN:</w:t>
      </w:r>
    </w:p>
    <w:p w14:paraId="1A7D2317" w14:textId="3511D5E4" w:rsidR="000B0AC6" w:rsidRPr="00EF744C" w:rsidRDefault="000B0AC6">
      <w:pPr>
        <w:ind w:left="132" w:right="-53"/>
        <w:rPr>
          <w:rFonts w:ascii="Calibri" w:eastAsia="Calibri" w:hAnsi="Calibri" w:cs="Calibri"/>
          <w:sz w:val="16"/>
          <w:szCs w:val="16"/>
        </w:rPr>
      </w:pPr>
    </w:p>
    <w:p w14:paraId="4DB7E4FF" w14:textId="77777777" w:rsidR="000B0AC6" w:rsidRPr="00EF744C" w:rsidRDefault="000B0AC6">
      <w:pPr>
        <w:spacing w:before="20" w:line="200" w:lineRule="exact"/>
      </w:pPr>
    </w:p>
    <w:p w14:paraId="22D8FAF5" w14:textId="7486C68B" w:rsidR="000B0AC6" w:rsidRPr="00EF744C" w:rsidRDefault="009129EE" w:rsidP="009129EE">
      <w:pPr>
        <w:spacing w:line="220" w:lineRule="exact"/>
        <w:ind w:left="132"/>
        <w:rPr>
          <w:rFonts w:ascii="Calibri" w:eastAsia="Calibri" w:hAnsi="Calibri" w:cs="Calibri"/>
          <w:sz w:val="18"/>
          <w:szCs w:val="18"/>
        </w:rPr>
      </w:pPr>
      <w:r w:rsidRPr="00EF744C">
        <w:rPr>
          <w:rFonts w:ascii="Calibri" w:eastAsia="Calibri" w:hAnsi="Calibri" w:cs="Calibri"/>
          <w:b/>
          <w:sz w:val="18"/>
          <w:szCs w:val="18"/>
        </w:rPr>
        <w:t>DOI:</w:t>
      </w:r>
      <w:r w:rsidRPr="00EF744C">
        <w:rPr>
          <w:rFonts w:ascii="Calibri" w:eastAsia="Calibri" w:hAnsi="Calibri" w:cs="Calibri"/>
          <w:b/>
          <w:sz w:val="18"/>
          <w:szCs w:val="18"/>
          <w:lang w:val="id-ID"/>
        </w:rPr>
        <w:t xml:space="preserve"> </w:t>
      </w:r>
      <w:hyperlink r:id="rId9">
        <w:r w:rsidRPr="00EF744C">
          <w:rPr>
            <w:rFonts w:ascii="Calibri" w:eastAsia="Calibri" w:hAnsi="Calibri" w:cs="Calibri"/>
            <w:color w:val="0462C1"/>
            <w:sz w:val="18"/>
            <w:szCs w:val="18"/>
            <w:lang w:val="id-ID"/>
          </w:rPr>
          <w:t>XXX</w:t>
        </w:r>
        <w:r w:rsidRPr="00EF744C">
          <w:rPr>
            <w:rFonts w:ascii="Calibri" w:eastAsia="Calibri" w:hAnsi="Calibri" w:cs="Calibri"/>
            <w:color w:val="0462C1"/>
            <w:sz w:val="18"/>
            <w:szCs w:val="18"/>
          </w:rPr>
          <w:t xml:space="preserve"> </w:t>
        </w:r>
      </w:hyperlink>
    </w:p>
    <w:p w14:paraId="79204731" w14:textId="77777777" w:rsidR="000B0AC6" w:rsidRPr="00EF744C" w:rsidRDefault="000B0AC6">
      <w:pPr>
        <w:spacing w:before="19" w:line="200" w:lineRule="exact"/>
      </w:pPr>
    </w:p>
    <w:p w14:paraId="665819DC"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CI</w:t>
      </w:r>
      <w:r w:rsidRPr="00EF744C">
        <w:rPr>
          <w:rFonts w:ascii="Calibri" w:eastAsia="Calibri" w:hAnsi="Calibri" w:cs="Calibri"/>
          <w:b/>
          <w:spacing w:val="-1"/>
          <w:sz w:val="18"/>
          <w:szCs w:val="18"/>
        </w:rPr>
        <w:t>T</w:t>
      </w:r>
      <w:r w:rsidRPr="00EF744C">
        <w:rPr>
          <w:rFonts w:ascii="Calibri" w:eastAsia="Calibri" w:hAnsi="Calibri" w:cs="Calibri"/>
          <w:b/>
          <w:sz w:val="18"/>
          <w:szCs w:val="18"/>
        </w:rPr>
        <w:t>ATI</w:t>
      </w:r>
      <w:r w:rsidRPr="00EF744C">
        <w:rPr>
          <w:rFonts w:ascii="Calibri" w:eastAsia="Calibri" w:hAnsi="Calibri" w:cs="Calibri"/>
          <w:b/>
          <w:spacing w:val="-1"/>
          <w:sz w:val="18"/>
          <w:szCs w:val="18"/>
        </w:rPr>
        <w:t>O</w:t>
      </w:r>
      <w:r w:rsidRPr="00EF744C">
        <w:rPr>
          <w:rFonts w:ascii="Calibri" w:eastAsia="Calibri" w:hAnsi="Calibri" w:cs="Calibri"/>
          <w:b/>
          <w:sz w:val="18"/>
          <w:szCs w:val="18"/>
        </w:rPr>
        <w:t>N:</w:t>
      </w:r>
    </w:p>
    <w:p w14:paraId="58132EDE" w14:textId="0FD05550" w:rsidR="000B0AC6" w:rsidRPr="00EF744C" w:rsidRDefault="009129EE">
      <w:pPr>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72F9E3C5" w14:textId="77777777" w:rsidR="000B0AC6" w:rsidRPr="00EF744C" w:rsidRDefault="000B0AC6">
      <w:pPr>
        <w:spacing w:before="19" w:line="200" w:lineRule="exact"/>
      </w:pPr>
    </w:p>
    <w:p w14:paraId="77A3F6B2" w14:textId="77777777" w:rsidR="000B0AC6" w:rsidRPr="00EF744C" w:rsidRDefault="009129EE">
      <w:pPr>
        <w:ind w:left="132" w:right="1234"/>
        <w:rPr>
          <w:rFonts w:ascii="Calibri" w:eastAsia="Calibri" w:hAnsi="Calibri" w:cs="Calibri"/>
          <w:sz w:val="18"/>
          <w:szCs w:val="18"/>
        </w:rPr>
      </w:pPr>
      <w:r w:rsidRPr="00EF744C">
        <w:rPr>
          <w:rFonts w:ascii="Calibri" w:eastAsia="Calibri" w:hAnsi="Calibri" w:cs="Calibri"/>
          <w:b/>
          <w:sz w:val="18"/>
          <w:szCs w:val="18"/>
        </w:rPr>
        <w:t>AR</w:t>
      </w:r>
      <w:r w:rsidRPr="00EF744C">
        <w:rPr>
          <w:rFonts w:ascii="Calibri" w:eastAsia="Calibri" w:hAnsi="Calibri" w:cs="Calibri"/>
          <w:b/>
          <w:spacing w:val="-1"/>
          <w:sz w:val="18"/>
          <w:szCs w:val="18"/>
        </w:rPr>
        <w:t>T</w:t>
      </w:r>
      <w:r w:rsidRPr="00EF744C">
        <w:rPr>
          <w:rFonts w:ascii="Calibri" w:eastAsia="Calibri" w:hAnsi="Calibri" w:cs="Calibri"/>
          <w:b/>
          <w:sz w:val="18"/>
          <w:szCs w:val="18"/>
        </w:rPr>
        <w:t xml:space="preserve">ICLE HISTORY </w:t>
      </w:r>
      <w:r w:rsidRPr="00EF744C">
        <w:rPr>
          <w:rFonts w:ascii="Calibri" w:eastAsia="Calibri" w:hAnsi="Calibri" w:cs="Calibri"/>
          <w:b/>
          <w:spacing w:val="-1"/>
          <w:sz w:val="18"/>
          <w:szCs w:val="18"/>
        </w:rPr>
        <w:t>R</w:t>
      </w:r>
      <w:r w:rsidRPr="00EF744C">
        <w:rPr>
          <w:rFonts w:ascii="Calibri" w:eastAsia="Calibri" w:hAnsi="Calibri" w:cs="Calibri"/>
          <w:b/>
          <w:sz w:val="18"/>
          <w:szCs w:val="18"/>
        </w:rPr>
        <w:t>ec</w:t>
      </w:r>
      <w:r w:rsidRPr="00EF744C">
        <w:rPr>
          <w:rFonts w:ascii="Calibri" w:eastAsia="Calibri" w:hAnsi="Calibri" w:cs="Calibri"/>
          <w:b/>
          <w:spacing w:val="1"/>
          <w:sz w:val="18"/>
          <w:szCs w:val="18"/>
        </w:rPr>
        <w:t>e</w:t>
      </w:r>
      <w:r w:rsidRPr="00EF744C">
        <w:rPr>
          <w:rFonts w:ascii="Calibri" w:eastAsia="Calibri" w:hAnsi="Calibri" w:cs="Calibri"/>
          <w:b/>
          <w:sz w:val="18"/>
          <w:szCs w:val="18"/>
        </w:rPr>
        <w:t>ived:</w:t>
      </w:r>
    </w:p>
    <w:p w14:paraId="683C0DDD" w14:textId="6782AF53" w:rsidR="000B0AC6" w:rsidRPr="00EF744C" w:rsidRDefault="009129EE">
      <w:pPr>
        <w:spacing w:line="200" w:lineRule="exact"/>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62ECB338"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pacing w:val="-1"/>
          <w:sz w:val="18"/>
          <w:szCs w:val="18"/>
        </w:rPr>
        <w:t>R</w:t>
      </w:r>
      <w:r w:rsidRPr="00EF744C">
        <w:rPr>
          <w:rFonts w:ascii="Calibri" w:eastAsia="Calibri" w:hAnsi="Calibri" w:cs="Calibri"/>
          <w:b/>
          <w:sz w:val="18"/>
          <w:szCs w:val="18"/>
        </w:rPr>
        <w:t>evis</w:t>
      </w:r>
      <w:r w:rsidRPr="00EF744C">
        <w:rPr>
          <w:rFonts w:ascii="Calibri" w:eastAsia="Calibri" w:hAnsi="Calibri" w:cs="Calibri"/>
          <w:b/>
          <w:spacing w:val="1"/>
          <w:sz w:val="18"/>
          <w:szCs w:val="18"/>
        </w:rPr>
        <w:t>e</w:t>
      </w:r>
      <w:r w:rsidRPr="00EF744C">
        <w:rPr>
          <w:rFonts w:ascii="Calibri" w:eastAsia="Calibri" w:hAnsi="Calibri" w:cs="Calibri"/>
          <w:b/>
          <w:sz w:val="18"/>
          <w:szCs w:val="18"/>
        </w:rPr>
        <w:t>d:</w:t>
      </w:r>
    </w:p>
    <w:p w14:paraId="1703D3F1" w14:textId="6FF38B8D" w:rsidR="000B0AC6" w:rsidRPr="00EF744C" w:rsidRDefault="009129EE">
      <w:pPr>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08E676E8"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Ac</w:t>
      </w:r>
      <w:r w:rsidRPr="00EF744C">
        <w:rPr>
          <w:rFonts w:ascii="Calibri" w:eastAsia="Calibri" w:hAnsi="Calibri" w:cs="Calibri"/>
          <w:b/>
          <w:spacing w:val="1"/>
          <w:sz w:val="18"/>
          <w:szCs w:val="18"/>
        </w:rPr>
        <w:t>c</w:t>
      </w:r>
      <w:r w:rsidRPr="00EF744C">
        <w:rPr>
          <w:rFonts w:ascii="Calibri" w:eastAsia="Calibri" w:hAnsi="Calibri" w:cs="Calibri"/>
          <w:b/>
          <w:spacing w:val="-1"/>
          <w:sz w:val="18"/>
          <w:szCs w:val="18"/>
        </w:rPr>
        <w:t>e</w:t>
      </w:r>
      <w:r w:rsidRPr="00EF744C">
        <w:rPr>
          <w:rFonts w:ascii="Calibri" w:eastAsia="Calibri" w:hAnsi="Calibri" w:cs="Calibri"/>
          <w:b/>
          <w:sz w:val="18"/>
          <w:szCs w:val="18"/>
        </w:rPr>
        <w:t>pt</w:t>
      </w:r>
      <w:r w:rsidRPr="00EF744C">
        <w:rPr>
          <w:rFonts w:ascii="Calibri" w:eastAsia="Calibri" w:hAnsi="Calibri" w:cs="Calibri"/>
          <w:b/>
          <w:spacing w:val="-1"/>
          <w:sz w:val="18"/>
          <w:szCs w:val="18"/>
        </w:rPr>
        <w:t>e</w:t>
      </w:r>
      <w:r w:rsidRPr="00EF744C">
        <w:rPr>
          <w:rFonts w:ascii="Calibri" w:eastAsia="Calibri" w:hAnsi="Calibri" w:cs="Calibri"/>
          <w:b/>
          <w:sz w:val="18"/>
          <w:szCs w:val="18"/>
        </w:rPr>
        <w:t>d:</w:t>
      </w:r>
    </w:p>
    <w:p w14:paraId="0C6C5828" w14:textId="2B4E74AD" w:rsidR="000B0AC6" w:rsidRPr="00EF744C" w:rsidRDefault="009129EE">
      <w:pPr>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337EC103" w14:textId="77777777" w:rsidR="000B0AC6" w:rsidRPr="00EF744C" w:rsidRDefault="009129EE">
      <w:pPr>
        <w:spacing w:line="200" w:lineRule="exact"/>
      </w:pPr>
      <w:r w:rsidRPr="00EF744C">
        <w:br w:type="column"/>
      </w:r>
    </w:p>
    <w:p w14:paraId="20BF58B3" w14:textId="77777777" w:rsidR="000B0AC6" w:rsidRPr="00EF744C" w:rsidRDefault="000B0AC6">
      <w:pPr>
        <w:spacing w:before="4" w:line="240" w:lineRule="exact"/>
        <w:rPr>
          <w:sz w:val="24"/>
          <w:szCs w:val="24"/>
        </w:rPr>
      </w:pPr>
    </w:p>
    <w:p w14:paraId="67BA7EE0" w14:textId="77777777" w:rsidR="000B0AC6" w:rsidRPr="00EF744C" w:rsidRDefault="009129EE">
      <w:pPr>
        <w:ind w:right="4157"/>
        <w:jc w:val="both"/>
        <w:rPr>
          <w:rFonts w:ascii="Calibri" w:eastAsia="Calibri" w:hAnsi="Calibri" w:cs="Calibri"/>
          <w:sz w:val="22"/>
          <w:szCs w:val="22"/>
        </w:rPr>
      </w:pPr>
      <w:r w:rsidRPr="00EF744C">
        <w:rPr>
          <w:rFonts w:ascii="Calibri" w:eastAsia="Calibri" w:hAnsi="Calibri" w:cs="Calibri"/>
          <w:b/>
          <w:sz w:val="22"/>
          <w:szCs w:val="22"/>
        </w:rPr>
        <w:t>Article</w:t>
      </w:r>
      <w:r w:rsidRPr="00EF744C">
        <w:rPr>
          <w:rFonts w:ascii="Calibri" w:eastAsia="Calibri" w:hAnsi="Calibri" w:cs="Calibri"/>
          <w:b/>
          <w:spacing w:val="-6"/>
          <w:sz w:val="22"/>
          <w:szCs w:val="22"/>
        </w:rPr>
        <w:t xml:space="preserve"> </w:t>
      </w:r>
      <w:r w:rsidRPr="00EF744C">
        <w:rPr>
          <w:rFonts w:ascii="Calibri" w:eastAsia="Calibri" w:hAnsi="Calibri" w:cs="Calibri"/>
          <w:b/>
          <w:sz w:val="22"/>
          <w:szCs w:val="22"/>
        </w:rPr>
        <w:t>Ty</w:t>
      </w:r>
      <w:r w:rsidRPr="00EF744C">
        <w:rPr>
          <w:rFonts w:ascii="Calibri" w:eastAsia="Calibri" w:hAnsi="Calibri" w:cs="Calibri"/>
          <w:b/>
          <w:spacing w:val="1"/>
          <w:sz w:val="22"/>
          <w:szCs w:val="22"/>
        </w:rPr>
        <w:t>p</w:t>
      </w:r>
      <w:r w:rsidRPr="00EF744C">
        <w:rPr>
          <w:rFonts w:ascii="Calibri" w:eastAsia="Calibri" w:hAnsi="Calibri" w:cs="Calibri"/>
          <w:b/>
          <w:sz w:val="22"/>
          <w:szCs w:val="22"/>
        </w:rPr>
        <w:t>e:</w:t>
      </w:r>
      <w:r w:rsidRPr="00EF744C">
        <w:rPr>
          <w:rFonts w:ascii="Calibri" w:eastAsia="Calibri" w:hAnsi="Calibri" w:cs="Calibri"/>
          <w:b/>
          <w:spacing w:val="-3"/>
          <w:sz w:val="22"/>
          <w:szCs w:val="22"/>
        </w:rPr>
        <w:t xml:space="preserve"> </w:t>
      </w:r>
      <w:r w:rsidRPr="00EF744C">
        <w:rPr>
          <w:rFonts w:ascii="Calibri" w:eastAsia="Calibri" w:hAnsi="Calibri" w:cs="Calibri"/>
          <w:sz w:val="22"/>
          <w:szCs w:val="22"/>
        </w:rPr>
        <w:t>Research</w:t>
      </w:r>
      <w:r w:rsidRPr="00EF744C">
        <w:rPr>
          <w:rFonts w:ascii="Calibri" w:eastAsia="Calibri" w:hAnsi="Calibri" w:cs="Calibri"/>
          <w:spacing w:val="-7"/>
          <w:sz w:val="22"/>
          <w:szCs w:val="22"/>
        </w:rPr>
        <w:t xml:space="preserve"> </w:t>
      </w:r>
      <w:r w:rsidRPr="00EF744C">
        <w:rPr>
          <w:rFonts w:ascii="Calibri" w:eastAsia="Calibri" w:hAnsi="Calibri" w:cs="Calibri"/>
          <w:sz w:val="22"/>
          <w:szCs w:val="22"/>
        </w:rPr>
        <w:t>Pa</w:t>
      </w:r>
      <w:r w:rsidRPr="00EF744C">
        <w:rPr>
          <w:rFonts w:ascii="Calibri" w:eastAsia="Calibri" w:hAnsi="Calibri" w:cs="Calibri"/>
          <w:spacing w:val="1"/>
          <w:sz w:val="22"/>
          <w:szCs w:val="22"/>
        </w:rPr>
        <w:t>p</w:t>
      </w:r>
      <w:r w:rsidRPr="00EF744C">
        <w:rPr>
          <w:rFonts w:ascii="Calibri" w:eastAsia="Calibri" w:hAnsi="Calibri" w:cs="Calibri"/>
          <w:sz w:val="22"/>
          <w:szCs w:val="22"/>
        </w:rPr>
        <w:t>er</w:t>
      </w:r>
    </w:p>
    <w:p w14:paraId="78A24BE3" w14:textId="77777777" w:rsidR="000B0AC6" w:rsidRPr="00EF744C" w:rsidRDefault="000B0AC6">
      <w:pPr>
        <w:spacing w:before="4" w:line="260" w:lineRule="exact"/>
        <w:rPr>
          <w:sz w:val="26"/>
          <w:szCs w:val="26"/>
        </w:rPr>
      </w:pPr>
    </w:p>
    <w:p w14:paraId="05462E9E" w14:textId="2B81C548" w:rsidR="000B0AC6" w:rsidRPr="00EF744C" w:rsidRDefault="009129EE" w:rsidP="009129EE">
      <w:pPr>
        <w:spacing w:line="440" w:lineRule="exact"/>
        <w:ind w:right="115"/>
        <w:rPr>
          <w:rFonts w:ascii="Calibri" w:eastAsia="Calibri" w:hAnsi="Calibri" w:cs="Calibri"/>
          <w:sz w:val="36"/>
          <w:szCs w:val="36"/>
        </w:rPr>
      </w:pPr>
      <w:r w:rsidRPr="00EF744C">
        <w:rPr>
          <w:rFonts w:ascii="Calibri" w:eastAsia="Calibri" w:hAnsi="Calibri" w:cs="Calibri"/>
          <w:sz w:val="36"/>
          <w:szCs w:val="36"/>
        </w:rPr>
        <w:t xml:space="preserve">Income Inequality </w:t>
      </w:r>
      <w:r w:rsidR="000672FF" w:rsidRPr="00EF744C">
        <w:rPr>
          <w:rFonts w:ascii="Calibri" w:eastAsia="Calibri" w:hAnsi="Calibri" w:cs="Calibri"/>
          <w:sz w:val="36"/>
          <w:szCs w:val="36"/>
        </w:rPr>
        <w:t xml:space="preserve">Complexity </w:t>
      </w:r>
      <w:r w:rsidR="006E77BC" w:rsidRPr="00EF744C">
        <w:rPr>
          <w:rFonts w:ascii="Calibri" w:eastAsia="Calibri" w:hAnsi="Calibri" w:cs="Calibri"/>
          <w:sz w:val="36"/>
          <w:szCs w:val="36"/>
          <w:lang w:val="id-ID"/>
        </w:rPr>
        <w:t>i</w:t>
      </w:r>
      <w:r w:rsidRPr="00EF744C">
        <w:rPr>
          <w:rFonts w:ascii="Calibri" w:eastAsia="Calibri" w:hAnsi="Calibri" w:cs="Calibri"/>
          <w:sz w:val="36"/>
          <w:szCs w:val="36"/>
        </w:rPr>
        <w:t>n Yogyakarta</w:t>
      </w:r>
      <w:r w:rsidR="006E77BC" w:rsidRPr="00EF744C">
        <w:rPr>
          <w:rFonts w:ascii="Calibri" w:eastAsia="Calibri" w:hAnsi="Calibri" w:cs="Calibri"/>
          <w:sz w:val="36"/>
          <w:szCs w:val="36"/>
          <w:lang w:val="id-ID"/>
        </w:rPr>
        <w:t xml:space="preserve"> Province</w:t>
      </w:r>
      <w:r w:rsidRPr="00EF744C">
        <w:rPr>
          <w:rFonts w:ascii="Calibri" w:eastAsia="Calibri" w:hAnsi="Calibri" w:cs="Calibri"/>
          <w:sz w:val="36"/>
          <w:szCs w:val="36"/>
        </w:rPr>
        <w:t>:</w:t>
      </w:r>
      <w:r w:rsidRPr="00EF744C">
        <w:rPr>
          <w:rFonts w:ascii="Calibri" w:eastAsia="Calibri" w:hAnsi="Calibri" w:cs="Calibri"/>
          <w:sz w:val="36"/>
          <w:szCs w:val="36"/>
          <w:lang w:val="id-ID"/>
        </w:rPr>
        <w:t xml:space="preserve"> </w:t>
      </w:r>
      <w:r w:rsidRPr="00EF744C">
        <w:rPr>
          <w:rFonts w:ascii="Calibri" w:eastAsia="Calibri" w:hAnsi="Calibri" w:cs="Calibri"/>
          <w:sz w:val="36"/>
          <w:szCs w:val="36"/>
        </w:rPr>
        <w:t>Poverty-Growth-Inequality</w:t>
      </w:r>
      <w:r w:rsidRPr="00EF744C">
        <w:rPr>
          <w:rFonts w:ascii="Calibri" w:eastAsia="Calibri" w:hAnsi="Calibri" w:cs="Calibri"/>
          <w:sz w:val="36"/>
          <w:szCs w:val="36"/>
          <w:lang w:val="id-ID"/>
        </w:rPr>
        <w:t xml:space="preserve"> </w:t>
      </w:r>
      <w:r w:rsidRPr="00EF744C">
        <w:rPr>
          <w:rFonts w:ascii="Calibri" w:eastAsia="Calibri" w:hAnsi="Calibri" w:cs="Calibri"/>
          <w:sz w:val="36"/>
          <w:szCs w:val="36"/>
        </w:rPr>
        <w:t>Triangle Nexus</w:t>
      </w:r>
    </w:p>
    <w:p w14:paraId="70770D48" w14:textId="77777777" w:rsidR="000B0AC6" w:rsidRPr="00EF744C" w:rsidRDefault="000B0AC6">
      <w:pPr>
        <w:spacing w:before="11" w:line="260" w:lineRule="exact"/>
        <w:rPr>
          <w:sz w:val="26"/>
          <w:szCs w:val="26"/>
        </w:rPr>
      </w:pPr>
    </w:p>
    <w:p w14:paraId="5D23F0E4" w14:textId="77777777" w:rsidR="000B0AC6" w:rsidRPr="00EF744C" w:rsidRDefault="000B0AC6">
      <w:pPr>
        <w:spacing w:before="7" w:line="260" w:lineRule="exact"/>
        <w:rPr>
          <w:sz w:val="26"/>
          <w:szCs w:val="26"/>
        </w:rPr>
      </w:pPr>
    </w:p>
    <w:p w14:paraId="3AE4D7F8" w14:textId="19FFAADC" w:rsidR="00915B3F" w:rsidRPr="00EF744C" w:rsidRDefault="004C2EE7" w:rsidP="009129EE">
      <w:pPr>
        <w:ind w:right="180"/>
        <w:rPr>
          <w:rFonts w:ascii="Calibri" w:eastAsia="Calibri" w:hAnsi="Calibri" w:cs="Calibri"/>
          <w:bCs/>
        </w:rPr>
      </w:pPr>
      <w:r w:rsidRPr="00EF744C">
        <w:rPr>
          <w:noProof/>
        </w:rPr>
        <mc:AlternateContent>
          <mc:Choice Requires="wpg">
            <w:drawing>
              <wp:anchor distT="0" distB="0" distL="114300" distR="114300" simplePos="0" relativeHeight="251657216" behindDoc="1" locked="0" layoutInCell="1" allowOverlap="1" wp14:anchorId="7DCA84ED" wp14:editId="697B2170">
                <wp:simplePos x="0" y="0"/>
                <wp:positionH relativeFrom="page">
                  <wp:posOffset>755650</wp:posOffset>
                </wp:positionH>
                <wp:positionV relativeFrom="paragraph">
                  <wp:posOffset>43180</wp:posOffset>
                </wp:positionV>
                <wp:extent cx="1572260" cy="0"/>
                <wp:effectExtent l="12700" t="13970" r="5715" b="5080"/>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0"/>
                          <a:chOff x="1190" y="68"/>
                          <a:chExt cx="2476" cy="0"/>
                        </a:xfrm>
                      </wpg:grpSpPr>
                      <wps:wsp>
                        <wps:cNvPr id="10" name="Freeform 42"/>
                        <wps:cNvSpPr>
                          <a:spLocks/>
                        </wps:cNvSpPr>
                        <wps:spPr bwMode="auto">
                          <a:xfrm>
                            <a:off x="1190" y="68"/>
                            <a:ext cx="2476" cy="0"/>
                          </a:xfrm>
                          <a:custGeom>
                            <a:avLst/>
                            <a:gdLst>
                              <a:gd name="T0" fmla="+- 0 1190 1190"/>
                              <a:gd name="T1" fmla="*/ T0 w 2476"/>
                              <a:gd name="T2" fmla="+- 0 3665 1190"/>
                              <a:gd name="T3" fmla="*/ T2 w 2476"/>
                            </a:gdLst>
                            <a:ahLst/>
                            <a:cxnLst>
                              <a:cxn ang="0">
                                <a:pos x="T1" y="0"/>
                              </a:cxn>
                              <a:cxn ang="0">
                                <a:pos x="T3" y="0"/>
                              </a:cxn>
                            </a:cxnLst>
                            <a:rect l="0" t="0" r="r" b="b"/>
                            <a:pathLst>
                              <a:path w="2476">
                                <a:moveTo>
                                  <a:pt x="0" y="0"/>
                                </a:moveTo>
                                <a:lnTo>
                                  <a:pt x="2475" y="0"/>
                                </a:lnTo>
                              </a:path>
                            </a:pathLst>
                          </a:custGeom>
                          <a:noFill/>
                          <a:ln w="9525">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CECE2" id="Group 41" o:spid="_x0000_s1026" style="position:absolute;margin-left:59.5pt;margin-top:3.4pt;width:123.8pt;height:0;z-index:-251659264;mso-position-horizontal-relative:page" coordorigin="1190,68" coordsize="2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">
                <v:shape id="Freeform 42" o:spid="_x0000_s1027" style="position:absolute;left:1190;top:68;width:2476;height:0;visibility:visible;mso-wrap-style:square;v-text-anchor:top" coordsize="2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" path="m,l2475,e" filled="f" strokecolor="#7e7e7e">
                  <v:path arrowok="t" o:connecttype="custom" o:connectlocs="0,0;2475,0" o:connectangles="0,0"/>
                </v:shape>
                <w10:wrap anchorx="page"/>
              </v:group>
            </w:pict>
          </mc:Fallback>
        </mc:AlternateContent>
      </w:r>
      <w:r w:rsidR="009129EE" w:rsidRPr="00EF744C">
        <w:rPr>
          <w:rFonts w:ascii="Calibri" w:eastAsia="Calibri" w:hAnsi="Calibri" w:cs="Calibri"/>
          <w:b/>
        </w:rPr>
        <w:t>Abs</w:t>
      </w:r>
      <w:r w:rsidR="009129EE" w:rsidRPr="00EF744C">
        <w:rPr>
          <w:rFonts w:ascii="Calibri" w:eastAsia="Calibri" w:hAnsi="Calibri" w:cs="Calibri"/>
          <w:b/>
          <w:spacing w:val="1"/>
        </w:rPr>
        <w:t>t</w:t>
      </w:r>
      <w:r w:rsidR="009129EE" w:rsidRPr="00EF744C">
        <w:rPr>
          <w:rFonts w:ascii="Calibri" w:eastAsia="Calibri" w:hAnsi="Calibri" w:cs="Calibri"/>
          <w:b/>
        </w:rPr>
        <w:t>r</w:t>
      </w:r>
      <w:r w:rsidR="009129EE" w:rsidRPr="00EF744C">
        <w:rPr>
          <w:rFonts w:ascii="Calibri" w:eastAsia="Calibri" w:hAnsi="Calibri" w:cs="Calibri"/>
          <w:b/>
          <w:spacing w:val="-1"/>
        </w:rPr>
        <w:t>a</w:t>
      </w:r>
      <w:r w:rsidR="009129EE" w:rsidRPr="00EF744C">
        <w:rPr>
          <w:rFonts w:ascii="Calibri" w:eastAsia="Calibri" w:hAnsi="Calibri" w:cs="Calibri"/>
          <w:b/>
        </w:rPr>
        <w:t>c</w:t>
      </w:r>
      <w:r w:rsidR="009129EE" w:rsidRPr="00EF744C">
        <w:rPr>
          <w:rFonts w:ascii="Calibri" w:eastAsia="Calibri" w:hAnsi="Calibri" w:cs="Calibri"/>
          <w:b/>
          <w:spacing w:val="1"/>
        </w:rPr>
        <w:t>t</w:t>
      </w:r>
      <w:r w:rsidR="009129EE" w:rsidRPr="00EF744C">
        <w:rPr>
          <w:rFonts w:ascii="Calibri" w:eastAsia="Calibri" w:hAnsi="Calibri" w:cs="Calibri"/>
          <w:b/>
        </w:rPr>
        <w:t xml:space="preserve">: </w:t>
      </w:r>
      <w:r w:rsidR="00C4265B" w:rsidRPr="00C4265B">
        <w:rPr>
          <w:rFonts w:ascii="Calibri" w:eastAsia="Calibri" w:hAnsi="Calibri" w:cs="Calibri"/>
          <w:bCs/>
        </w:rPr>
        <w:t>It has been observed that income inequality is an economic element that may impede a nation's economic development. In general, Indonesia's Gini ratio has remained low for nearly a decade, although one region, Yogyakarta Province, unexpectedly exceeds the national average. The provincial government of Yogyakarta must focus more on reducing income inequality. Therefore, this study employs the Poverty-Growth-Inequality Triangle model approach to investigate the complexity of income inequality in Yogyakarta Province. The data is collected from five cities in Yogyakarta Province from 2010 to 2021.</w:t>
      </w:r>
    </w:p>
    <w:p w14:paraId="301FCEC3" w14:textId="30566FDB" w:rsidR="000B0AC6" w:rsidRPr="00EF744C" w:rsidRDefault="00C4265B" w:rsidP="009129EE">
      <w:pPr>
        <w:ind w:right="180"/>
        <w:rPr>
          <w:rFonts w:ascii="Calibri" w:eastAsia="Calibri" w:hAnsi="Calibri" w:cs="Calibri"/>
          <w:bCs/>
        </w:rPr>
      </w:pPr>
      <w:r w:rsidRPr="00C4265B">
        <w:rPr>
          <w:rFonts w:ascii="Calibri" w:eastAsia="Calibri" w:hAnsi="Calibri" w:cs="Calibri"/>
          <w:bCs/>
        </w:rPr>
        <w:t xml:space="preserve">For the quantitative study, a Simultaneous Equation Model analysis with three iterations of least squares is performed. The results indicate that there is no correlation between income disparity and economic growth or poverty. According to the model of income inequality, education and the district minimum wage have a significant impact on income inequality. Therefore, local governments are advocated to evaluate policies aimed at reducing income inequality through education system reform, parity in district minimum wage and economic growth, and efficiency in the </w:t>
      </w:r>
      <w:proofErr w:type="spellStart"/>
      <w:r w:rsidRPr="00C4265B">
        <w:rPr>
          <w:rFonts w:ascii="Calibri" w:eastAsia="Calibri" w:hAnsi="Calibri" w:cs="Calibri"/>
          <w:bCs/>
        </w:rPr>
        <w:t>utili</w:t>
      </w:r>
      <w:proofErr w:type="spellEnd"/>
      <w:r w:rsidR="00290A8A">
        <w:rPr>
          <w:rFonts w:ascii="Calibri" w:eastAsia="Calibri" w:hAnsi="Calibri" w:cs="Calibri"/>
          <w:bCs/>
          <w:lang w:val="id-ID"/>
        </w:rPr>
        <w:t>z</w:t>
      </w:r>
      <w:proofErr w:type="spellStart"/>
      <w:r w:rsidRPr="00C4265B">
        <w:rPr>
          <w:rFonts w:ascii="Calibri" w:eastAsia="Calibri" w:hAnsi="Calibri" w:cs="Calibri"/>
          <w:bCs/>
        </w:rPr>
        <w:t>ation</w:t>
      </w:r>
      <w:proofErr w:type="spellEnd"/>
      <w:r w:rsidRPr="00C4265B">
        <w:rPr>
          <w:rFonts w:ascii="Calibri" w:eastAsia="Calibri" w:hAnsi="Calibri" w:cs="Calibri"/>
          <w:bCs/>
        </w:rPr>
        <w:t xml:space="preserve"> of income inequality-related funds. </w:t>
      </w:r>
      <w:r w:rsidR="00745651" w:rsidRPr="00EF744C">
        <w:rPr>
          <w:rFonts w:ascii="Calibri" w:eastAsia="Calibri" w:hAnsi="Calibri" w:cs="Calibri"/>
          <w:bCs/>
        </w:rPr>
        <w:t xml:space="preserve"> </w:t>
      </w:r>
    </w:p>
    <w:p w14:paraId="4F4BDF16" w14:textId="6564382A" w:rsidR="000B0AC6" w:rsidRPr="00EF744C" w:rsidRDefault="009129EE">
      <w:pPr>
        <w:spacing w:before="1" w:line="240" w:lineRule="exact"/>
        <w:ind w:right="284"/>
        <w:rPr>
          <w:rFonts w:ascii="Calibri" w:eastAsia="Calibri" w:hAnsi="Calibri" w:cs="Calibri"/>
        </w:rPr>
      </w:pPr>
      <w:r w:rsidRPr="00EF744C">
        <w:rPr>
          <w:rFonts w:ascii="Calibri" w:eastAsia="Calibri" w:hAnsi="Calibri" w:cs="Calibri"/>
          <w:b/>
        </w:rPr>
        <w:t>Ke</w:t>
      </w:r>
      <w:r w:rsidRPr="00EF744C">
        <w:rPr>
          <w:rFonts w:ascii="Calibri" w:eastAsia="Calibri" w:hAnsi="Calibri" w:cs="Calibri"/>
          <w:b/>
          <w:spacing w:val="-1"/>
        </w:rPr>
        <w:t>y</w:t>
      </w:r>
      <w:r w:rsidRPr="00EF744C">
        <w:rPr>
          <w:rFonts w:ascii="Calibri" w:eastAsia="Calibri" w:hAnsi="Calibri" w:cs="Calibri"/>
          <w:b/>
        </w:rPr>
        <w:t>wo</w:t>
      </w:r>
      <w:r w:rsidRPr="00EF744C">
        <w:rPr>
          <w:rFonts w:ascii="Calibri" w:eastAsia="Calibri" w:hAnsi="Calibri" w:cs="Calibri"/>
          <w:b/>
          <w:spacing w:val="-1"/>
        </w:rPr>
        <w:t>r</w:t>
      </w:r>
      <w:r w:rsidRPr="00EF744C">
        <w:rPr>
          <w:rFonts w:ascii="Calibri" w:eastAsia="Calibri" w:hAnsi="Calibri" w:cs="Calibri"/>
          <w:b/>
        </w:rPr>
        <w:t>d</w:t>
      </w:r>
      <w:r w:rsidRPr="00EF744C">
        <w:rPr>
          <w:rFonts w:ascii="Calibri" w:eastAsia="Calibri" w:hAnsi="Calibri" w:cs="Calibri"/>
          <w:b/>
          <w:spacing w:val="1"/>
        </w:rPr>
        <w:t>s</w:t>
      </w:r>
      <w:r w:rsidRPr="00EF744C">
        <w:rPr>
          <w:rFonts w:ascii="Calibri" w:eastAsia="Calibri" w:hAnsi="Calibri" w:cs="Calibri"/>
          <w:b/>
        </w:rPr>
        <w:t xml:space="preserve">: </w:t>
      </w:r>
      <w:r w:rsidRPr="00EF744C">
        <w:rPr>
          <w:rFonts w:ascii="Calibri" w:eastAsia="Calibri" w:hAnsi="Calibri" w:cs="Calibri"/>
        </w:rPr>
        <w:t>Income Inequality; Economic Growth; Poverty</w:t>
      </w:r>
    </w:p>
    <w:p w14:paraId="7FD3C17C" w14:textId="357CF26B" w:rsidR="000B0AC6" w:rsidRPr="00EF744C" w:rsidRDefault="004C2EE7" w:rsidP="009129EE">
      <w:pPr>
        <w:spacing w:before="2"/>
        <w:ind w:right="3342"/>
        <w:jc w:val="both"/>
        <w:rPr>
          <w:sz w:val="11"/>
          <w:szCs w:val="11"/>
        </w:rPr>
      </w:pPr>
      <w:r w:rsidRPr="00EF744C">
        <w:rPr>
          <w:noProof/>
        </w:rPr>
        <mc:AlternateContent>
          <mc:Choice Requires="wpg">
            <w:drawing>
              <wp:anchor distT="0" distB="0" distL="114300" distR="114300" simplePos="0" relativeHeight="251656192" behindDoc="1" locked="0" layoutInCell="1" allowOverlap="1" wp14:anchorId="5D5A863C" wp14:editId="63830C55">
                <wp:simplePos x="0" y="0"/>
                <wp:positionH relativeFrom="page">
                  <wp:posOffset>2545715</wp:posOffset>
                </wp:positionH>
                <wp:positionV relativeFrom="paragraph">
                  <wp:posOffset>414020</wp:posOffset>
                </wp:positionV>
                <wp:extent cx="4170680" cy="0"/>
                <wp:effectExtent l="12065" t="13335" r="8255" b="1524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680" cy="0"/>
                          <a:chOff x="4009" y="652"/>
                          <a:chExt cx="6568" cy="0"/>
                        </a:xfrm>
                      </wpg:grpSpPr>
                      <wps:wsp>
                        <wps:cNvPr id="8" name="Freeform 40"/>
                        <wps:cNvSpPr>
                          <a:spLocks/>
                        </wps:cNvSpPr>
                        <wps:spPr bwMode="auto">
                          <a:xfrm>
                            <a:off x="4009" y="652"/>
                            <a:ext cx="6568" cy="0"/>
                          </a:xfrm>
                          <a:custGeom>
                            <a:avLst/>
                            <a:gdLst>
                              <a:gd name="T0" fmla="+- 0 4009 4009"/>
                              <a:gd name="T1" fmla="*/ T0 w 6568"/>
                              <a:gd name="T2" fmla="+- 0 10577 4009"/>
                              <a:gd name="T3" fmla="*/ T2 w 6568"/>
                            </a:gdLst>
                            <a:ahLst/>
                            <a:cxnLst>
                              <a:cxn ang="0">
                                <a:pos x="T1" y="0"/>
                              </a:cxn>
                              <a:cxn ang="0">
                                <a:pos x="T3" y="0"/>
                              </a:cxn>
                            </a:cxnLst>
                            <a:rect l="0" t="0" r="r" b="b"/>
                            <a:pathLst>
                              <a:path w="6568">
                                <a:moveTo>
                                  <a:pt x="0" y="0"/>
                                </a:moveTo>
                                <a:lnTo>
                                  <a:pt x="6568" y="0"/>
                                </a:lnTo>
                              </a:path>
                            </a:pathLst>
                          </a:custGeom>
                          <a:noFill/>
                          <a:ln w="1397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897F0" id="Group 39" o:spid="_x0000_s1026" style="position:absolute;margin-left:200.45pt;margin-top:32.6pt;width:328.4pt;height:0;z-index:-251660288;mso-position-horizontal-relative:page" coordorigin="4009,652" coordsize="6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">
                <v:shape id="Freeform 40" o:spid="_x0000_s1027" style="position:absolute;left:4009;top:652;width:6568;height:0;visibility:visible;mso-wrap-style:square;v-text-anchor:top" coordsize="6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" path="m,l6568,e" filled="f" strokecolor="#9f9f9f" strokeweight="1.1pt">
                  <v:path arrowok="t" o:connecttype="custom" o:connectlocs="0,0;6568,0" o:connectangles="0,0"/>
                </v:shape>
                <w10:wrap anchorx="page"/>
              </v:group>
            </w:pict>
          </mc:Fallback>
        </mc:AlternateContent>
      </w:r>
      <w:r w:rsidRPr="00EF744C">
        <w:rPr>
          <w:noProof/>
        </w:rPr>
        <w:drawing>
          <wp:anchor distT="0" distB="0" distL="114300" distR="114300" simplePos="0" relativeHeight="251658240" behindDoc="1" locked="0" layoutInCell="1" allowOverlap="1" wp14:anchorId="74DC9BA9" wp14:editId="6AF798F7">
            <wp:simplePos x="0" y="0"/>
            <wp:positionH relativeFrom="page">
              <wp:posOffset>6197600</wp:posOffset>
            </wp:positionH>
            <wp:positionV relativeFrom="paragraph">
              <wp:posOffset>156210</wp:posOffset>
            </wp:positionV>
            <wp:extent cx="522605" cy="182880"/>
            <wp:effectExtent l="0" t="0" r="0"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605" cy="182880"/>
                    </a:xfrm>
                    <a:prstGeom prst="rect">
                      <a:avLst/>
                    </a:prstGeom>
                    <a:noFill/>
                  </pic:spPr>
                </pic:pic>
              </a:graphicData>
            </a:graphic>
            <wp14:sizeRelH relativeFrom="page">
              <wp14:pctWidth>0</wp14:pctWidth>
            </wp14:sizeRelH>
            <wp14:sizeRelV relativeFrom="page">
              <wp14:pctHeight>0</wp14:pctHeight>
            </wp14:sizeRelV>
          </wp:anchor>
        </w:drawing>
      </w:r>
      <w:r w:rsidR="009129EE" w:rsidRPr="00EF744C">
        <w:rPr>
          <w:rFonts w:ascii="Calibri" w:eastAsia="Calibri" w:hAnsi="Calibri" w:cs="Calibri"/>
          <w:b/>
        </w:rPr>
        <w:t>JEL</w:t>
      </w:r>
      <w:r w:rsidR="009129EE" w:rsidRPr="00EF744C">
        <w:rPr>
          <w:rFonts w:ascii="Calibri" w:eastAsia="Calibri" w:hAnsi="Calibri" w:cs="Calibri"/>
          <w:b/>
          <w:spacing w:val="1"/>
        </w:rPr>
        <w:t xml:space="preserve"> </w:t>
      </w:r>
      <w:r w:rsidR="009129EE" w:rsidRPr="00EF744C">
        <w:rPr>
          <w:rFonts w:ascii="Calibri" w:eastAsia="Calibri" w:hAnsi="Calibri" w:cs="Calibri"/>
          <w:b/>
        </w:rPr>
        <w:t>Cl</w:t>
      </w:r>
      <w:r w:rsidR="009129EE" w:rsidRPr="00EF744C">
        <w:rPr>
          <w:rFonts w:ascii="Calibri" w:eastAsia="Calibri" w:hAnsi="Calibri" w:cs="Calibri"/>
          <w:b/>
          <w:spacing w:val="-1"/>
        </w:rPr>
        <w:t>as</w:t>
      </w:r>
      <w:r w:rsidR="009129EE" w:rsidRPr="00EF744C">
        <w:rPr>
          <w:rFonts w:ascii="Calibri" w:eastAsia="Calibri" w:hAnsi="Calibri" w:cs="Calibri"/>
          <w:b/>
        </w:rPr>
        <w:t>sif</w:t>
      </w:r>
      <w:r w:rsidR="009129EE" w:rsidRPr="00EF744C">
        <w:rPr>
          <w:rFonts w:ascii="Calibri" w:eastAsia="Calibri" w:hAnsi="Calibri" w:cs="Calibri"/>
          <w:b/>
          <w:spacing w:val="-1"/>
        </w:rPr>
        <w:t>i</w:t>
      </w:r>
      <w:r w:rsidR="009129EE" w:rsidRPr="00EF744C">
        <w:rPr>
          <w:rFonts w:ascii="Calibri" w:eastAsia="Calibri" w:hAnsi="Calibri" w:cs="Calibri"/>
          <w:b/>
        </w:rPr>
        <w:t>cat</w:t>
      </w:r>
      <w:r w:rsidR="009129EE" w:rsidRPr="00EF744C">
        <w:rPr>
          <w:rFonts w:ascii="Calibri" w:eastAsia="Calibri" w:hAnsi="Calibri" w:cs="Calibri"/>
          <w:b/>
          <w:spacing w:val="-1"/>
        </w:rPr>
        <w:t>i</w:t>
      </w:r>
      <w:r w:rsidR="009129EE" w:rsidRPr="00EF744C">
        <w:rPr>
          <w:rFonts w:ascii="Calibri" w:eastAsia="Calibri" w:hAnsi="Calibri" w:cs="Calibri"/>
          <w:b/>
        </w:rPr>
        <w:t>o</w:t>
      </w:r>
      <w:r w:rsidR="009129EE" w:rsidRPr="00EF744C">
        <w:rPr>
          <w:rFonts w:ascii="Calibri" w:eastAsia="Calibri" w:hAnsi="Calibri" w:cs="Calibri"/>
          <w:b/>
          <w:spacing w:val="1"/>
        </w:rPr>
        <w:t>n</w:t>
      </w:r>
      <w:r w:rsidR="009129EE" w:rsidRPr="00EF744C">
        <w:rPr>
          <w:rFonts w:ascii="Calibri" w:eastAsia="Calibri" w:hAnsi="Calibri" w:cs="Calibri"/>
          <w:sz w:val="18"/>
          <w:szCs w:val="18"/>
        </w:rPr>
        <w:t xml:space="preserve">: </w:t>
      </w:r>
      <w:r w:rsidR="009129EE" w:rsidRPr="00EF744C">
        <w:rPr>
          <w:rFonts w:ascii="Calibri" w:eastAsia="Calibri" w:hAnsi="Calibri" w:cs="Calibri"/>
          <w:spacing w:val="-1"/>
        </w:rPr>
        <w:t>I31; O11; O15; O40</w:t>
      </w:r>
    </w:p>
    <w:p w14:paraId="79B29D0B" w14:textId="77777777" w:rsidR="000B0AC6" w:rsidRPr="00EF744C" w:rsidRDefault="000B0AC6">
      <w:pPr>
        <w:spacing w:line="200" w:lineRule="exact"/>
      </w:pPr>
    </w:p>
    <w:p w14:paraId="543F9785" w14:textId="77777777" w:rsidR="000B0AC6" w:rsidRPr="00EF744C" w:rsidRDefault="000B0AC6">
      <w:pPr>
        <w:spacing w:line="200" w:lineRule="exact"/>
      </w:pPr>
    </w:p>
    <w:p w14:paraId="26A4B225" w14:textId="77777777" w:rsidR="000B0AC6" w:rsidRPr="00EF744C" w:rsidRDefault="000B0AC6">
      <w:pPr>
        <w:spacing w:line="200" w:lineRule="exact"/>
      </w:pPr>
    </w:p>
    <w:p w14:paraId="1752ED57" w14:textId="0241A923" w:rsidR="000B0AC6" w:rsidRPr="00EF744C" w:rsidRDefault="0094539D">
      <w:pPr>
        <w:ind w:right="5233"/>
        <w:jc w:val="both"/>
        <w:rPr>
          <w:rFonts w:ascii="Garamond" w:eastAsia="Garamond" w:hAnsi="Garamond" w:cs="Garamond"/>
          <w:sz w:val="28"/>
          <w:szCs w:val="28"/>
          <w:lang w:val="id-ID"/>
        </w:rPr>
      </w:pPr>
      <w:r w:rsidRPr="00EF744C">
        <w:rPr>
          <w:rFonts w:ascii="Garamond" w:eastAsia="Garamond" w:hAnsi="Garamond" w:cs="Garamond"/>
          <w:b/>
          <w:sz w:val="28"/>
          <w:szCs w:val="28"/>
          <w:lang w:val="id-ID"/>
        </w:rPr>
        <w:t>Introduction</w:t>
      </w:r>
    </w:p>
    <w:p w14:paraId="6367E969" w14:textId="77777777" w:rsidR="000B0AC6" w:rsidRPr="00EF744C" w:rsidRDefault="000B0AC6">
      <w:pPr>
        <w:spacing w:before="20" w:line="220" w:lineRule="exact"/>
        <w:rPr>
          <w:sz w:val="22"/>
          <w:szCs w:val="22"/>
        </w:rPr>
      </w:pPr>
    </w:p>
    <w:p w14:paraId="2B24A131" w14:textId="6248B4F7" w:rsidR="00184B88" w:rsidRPr="00EF744C" w:rsidRDefault="00C4265B">
      <w:pPr>
        <w:ind w:right="68"/>
        <w:jc w:val="both"/>
        <w:rPr>
          <w:rFonts w:ascii="Calibri" w:eastAsia="Calibri" w:hAnsi="Calibri" w:cs="Calibri"/>
          <w:sz w:val="22"/>
          <w:szCs w:val="22"/>
        </w:rPr>
      </w:pPr>
      <w:r w:rsidRPr="00C4265B">
        <w:rPr>
          <w:rFonts w:ascii="Calibri" w:eastAsia="Calibri" w:hAnsi="Calibri" w:cs="Calibri"/>
          <w:sz w:val="22"/>
          <w:szCs w:val="22"/>
        </w:rPr>
        <w:t xml:space="preserve">Since the 1950s, development economics has promoted economic expansion at the expense of inequality. It is based on the notion that rising inequality in emerging nations is essentially inescapable and does not affect the economy as long as poverty is diminishing annually. Policy efforts seem likely that measures to </w:t>
      </w:r>
      <w:proofErr w:type="spellStart"/>
      <w:r w:rsidRPr="00C4265B">
        <w:rPr>
          <w:rFonts w:ascii="Calibri" w:eastAsia="Calibri" w:hAnsi="Calibri" w:cs="Calibri"/>
          <w:sz w:val="22"/>
          <w:szCs w:val="22"/>
        </w:rPr>
        <w:t>minimi</w:t>
      </w:r>
      <w:proofErr w:type="spellEnd"/>
      <w:r w:rsidR="000A4964">
        <w:rPr>
          <w:rFonts w:ascii="Calibri" w:eastAsia="Calibri" w:hAnsi="Calibri" w:cs="Calibri"/>
          <w:sz w:val="22"/>
          <w:szCs w:val="22"/>
          <w:lang w:val="id-ID"/>
        </w:rPr>
        <w:t>z</w:t>
      </w:r>
      <w:r w:rsidRPr="00C4265B">
        <w:rPr>
          <w:rFonts w:ascii="Calibri" w:eastAsia="Calibri" w:hAnsi="Calibri" w:cs="Calibri"/>
          <w:sz w:val="22"/>
          <w:szCs w:val="22"/>
        </w:rPr>
        <w:t>e inequality will impair economic growth and poverty alleviation (</w:t>
      </w:r>
      <w:proofErr w:type="spellStart"/>
      <w:r w:rsidRPr="00C4265B">
        <w:rPr>
          <w:rFonts w:ascii="Calibri" w:eastAsia="Calibri" w:hAnsi="Calibri" w:cs="Calibri"/>
          <w:sz w:val="22"/>
          <w:szCs w:val="22"/>
        </w:rPr>
        <w:t>Ravallion</w:t>
      </w:r>
      <w:proofErr w:type="spellEnd"/>
      <w:r w:rsidRPr="00C4265B">
        <w:rPr>
          <w:rFonts w:ascii="Calibri" w:eastAsia="Calibri" w:hAnsi="Calibri" w:cs="Calibri"/>
          <w:sz w:val="22"/>
          <w:szCs w:val="22"/>
        </w:rPr>
        <w:t>, 2014).</w:t>
      </w:r>
    </w:p>
    <w:p w14:paraId="78CE2D5A" w14:textId="77777777" w:rsidR="00184B88" w:rsidRPr="00EF744C" w:rsidRDefault="00184B88">
      <w:pPr>
        <w:ind w:right="68"/>
        <w:jc w:val="both"/>
        <w:rPr>
          <w:rFonts w:ascii="Calibri" w:eastAsia="Calibri" w:hAnsi="Calibri" w:cs="Calibri"/>
          <w:sz w:val="22"/>
          <w:szCs w:val="22"/>
        </w:rPr>
      </w:pPr>
    </w:p>
    <w:p w14:paraId="247253F0" w14:textId="31FE2DD1" w:rsidR="000B0AC6" w:rsidRDefault="00C4265B">
      <w:pPr>
        <w:ind w:right="68"/>
        <w:jc w:val="both"/>
        <w:rPr>
          <w:rFonts w:ascii="Calibri" w:eastAsia="Calibri" w:hAnsi="Calibri" w:cs="Calibri"/>
          <w:sz w:val="22"/>
          <w:szCs w:val="22"/>
        </w:rPr>
      </w:pPr>
      <w:r w:rsidRPr="00C4265B">
        <w:rPr>
          <w:rFonts w:ascii="Calibri" w:eastAsia="Calibri" w:hAnsi="Calibri" w:cs="Calibri"/>
          <w:sz w:val="22"/>
          <w:szCs w:val="22"/>
        </w:rPr>
        <w:t>Then, in the 2000s, a new challenge cast doubt on this long-held pro-poverty perspective. It was discovered that achieving equity was critical for achieving other important goals like human growth and poverty alleviation. High inequality will be seen as a threat to the nation's progress.</w:t>
      </w:r>
    </w:p>
    <w:p w14:paraId="4ADB5B38" w14:textId="77777777" w:rsidR="00C4265B" w:rsidRDefault="00C4265B">
      <w:pPr>
        <w:ind w:right="68"/>
        <w:jc w:val="both"/>
        <w:rPr>
          <w:rFonts w:ascii="Calibri" w:eastAsia="Calibri" w:hAnsi="Calibri" w:cs="Calibri"/>
          <w:sz w:val="22"/>
          <w:szCs w:val="22"/>
        </w:rPr>
      </w:pPr>
    </w:p>
    <w:p w14:paraId="7F306DD5" w14:textId="0FF217F3" w:rsidR="00C4265B" w:rsidRPr="00EF744C" w:rsidRDefault="00C4265B">
      <w:pPr>
        <w:ind w:right="68"/>
        <w:jc w:val="both"/>
        <w:rPr>
          <w:rFonts w:ascii="Calibri" w:eastAsia="Calibri" w:hAnsi="Calibri" w:cs="Calibri"/>
          <w:sz w:val="22"/>
          <w:szCs w:val="22"/>
        </w:rPr>
      </w:pPr>
      <w:r w:rsidRPr="00C4265B">
        <w:rPr>
          <w:rFonts w:ascii="Calibri" w:eastAsia="Calibri" w:hAnsi="Calibri" w:cs="Calibri"/>
          <w:sz w:val="22"/>
          <w:szCs w:val="22"/>
        </w:rPr>
        <w:t xml:space="preserve">One of the Sustainable Development Goals (SDGs) agenda is reducing inequality. Unchecked income inequality can impede economic growth in several ways (Wan et al. 2006). Between 1980 and 2000, China had strong economic growth and a decrease in poverty, but the prevalence of income inequality increased the risk of continuing to live </w:t>
      </w:r>
      <w:r w:rsidR="00290A8A">
        <w:rPr>
          <w:rFonts w:ascii="Calibri" w:eastAsia="Calibri" w:hAnsi="Calibri" w:cs="Calibri"/>
          <w:sz w:val="22"/>
          <w:szCs w:val="22"/>
          <w:lang w:val="id-ID"/>
        </w:rPr>
        <w:t>in</w:t>
      </w:r>
      <w:r w:rsidRPr="00C4265B">
        <w:rPr>
          <w:rFonts w:ascii="Calibri" w:eastAsia="Calibri" w:hAnsi="Calibri" w:cs="Calibri"/>
          <w:sz w:val="22"/>
          <w:szCs w:val="22"/>
        </w:rPr>
        <w:t xml:space="preserve"> poverty (Wan, 2008). Additionally, income inequality adversely affects the provision of public goods and services because elites have more authority (Bourguignon &amp; Dessus, 2009). As a result, income inequality can have an impact from both an economic and social perspective.</w:t>
      </w:r>
    </w:p>
    <w:p w14:paraId="510ADC27" w14:textId="77777777" w:rsidR="000B0AC6" w:rsidRPr="00EF744C" w:rsidRDefault="000B0AC6">
      <w:pPr>
        <w:spacing w:before="8" w:line="260" w:lineRule="exact"/>
        <w:rPr>
          <w:sz w:val="26"/>
          <w:szCs w:val="26"/>
        </w:rPr>
      </w:pPr>
    </w:p>
    <w:p w14:paraId="28ACA653" w14:textId="6232CB7C" w:rsidR="000B0AC6" w:rsidRPr="00EF744C" w:rsidRDefault="000B0AC6">
      <w:pPr>
        <w:ind w:right="67"/>
        <w:jc w:val="both"/>
        <w:rPr>
          <w:rFonts w:ascii="Calibri" w:eastAsia="Calibri" w:hAnsi="Calibri" w:cs="Calibri"/>
          <w:sz w:val="22"/>
          <w:szCs w:val="22"/>
        </w:rPr>
        <w:sectPr w:rsidR="000B0AC6" w:rsidRPr="00EF744C">
          <w:type w:val="continuous"/>
          <w:pgSz w:w="11920" w:h="16840"/>
          <w:pgMar w:top="1360" w:right="1120" w:bottom="280" w:left="1080" w:header="720" w:footer="720" w:gutter="0"/>
          <w:cols w:num="2" w:space="720" w:equalWidth="0">
            <w:col w:w="2699" w:space="231"/>
            <w:col w:w="6790"/>
          </w:cols>
        </w:sectPr>
      </w:pPr>
      <w:bookmarkStart w:id="0" w:name="_Hlk119745062"/>
    </w:p>
    <w:bookmarkEnd w:id="0"/>
    <w:p w14:paraId="0275960C" w14:textId="6AE1957D" w:rsidR="000B0AC6" w:rsidRPr="00EF744C" w:rsidRDefault="000B0AC6">
      <w:pPr>
        <w:spacing w:before="3" w:line="100" w:lineRule="exact"/>
        <w:rPr>
          <w:sz w:val="10"/>
          <w:szCs w:val="10"/>
        </w:rPr>
      </w:pPr>
    </w:p>
    <w:p w14:paraId="740A004E" w14:textId="77777777" w:rsidR="000B0AC6" w:rsidRPr="00EF744C" w:rsidRDefault="000B0AC6">
      <w:pPr>
        <w:spacing w:line="200" w:lineRule="exact"/>
      </w:pPr>
    </w:p>
    <w:p w14:paraId="3EBAA826" w14:textId="77777777" w:rsidR="000B0AC6" w:rsidRPr="00EF744C" w:rsidRDefault="000B0AC6">
      <w:pPr>
        <w:spacing w:line="200" w:lineRule="exact"/>
      </w:pPr>
    </w:p>
    <w:p w14:paraId="19D1954B" w14:textId="6DEF34B6" w:rsidR="000B0AC6" w:rsidRPr="00EF744C" w:rsidRDefault="00C4265B">
      <w:pPr>
        <w:spacing w:before="11"/>
        <w:ind w:left="305" w:right="265"/>
        <w:jc w:val="both"/>
        <w:rPr>
          <w:rFonts w:ascii="Calibri" w:eastAsia="Calibri" w:hAnsi="Calibri" w:cs="Calibri"/>
          <w:sz w:val="22"/>
          <w:szCs w:val="22"/>
        </w:rPr>
      </w:pPr>
      <w:r w:rsidRPr="00C4265B">
        <w:rPr>
          <w:rFonts w:ascii="Calibri" w:eastAsia="Calibri" w:hAnsi="Calibri" w:cs="Calibri"/>
          <w:sz w:val="22"/>
          <w:szCs w:val="22"/>
        </w:rPr>
        <w:t>In Indonesia, one of the measures employed to describe inequality is the Gini ratio. As illustrated in Figure 1, within the decade, the movement of the income Gini ratio in Indonesia showed a negative trend, as it started from a moderate level of Gini ratio (&gt; 0.4) to a low level of Gini ratio (&lt; 0.4).</w:t>
      </w:r>
      <w:r w:rsidR="009871A8" w:rsidRPr="00EF744C">
        <w:rPr>
          <w:rFonts w:ascii="Calibri" w:eastAsia="Calibri" w:hAnsi="Calibri" w:cs="Calibri"/>
          <w:sz w:val="22"/>
          <w:szCs w:val="22"/>
        </w:rPr>
        <w:t xml:space="preserve"> </w:t>
      </w:r>
    </w:p>
    <w:p w14:paraId="18592FC5" w14:textId="77777777" w:rsidR="000B0AC6" w:rsidRPr="00EF744C" w:rsidRDefault="000B0AC6">
      <w:pPr>
        <w:spacing w:before="9" w:line="260" w:lineRule="exact"/>
        <w:rPr>
          <w:sz w:val="26"/>
          <w:szCs w:val="26"/>
        </w:rPr>
      </w:pPr>
    </w:p>
    <w:p w14:paraId="6B03CA75" w14:textId="033E2F8C" w:rsidR="004001EA" w:rsidRPr="00EF744C" w:rsidRDefault="00876344">
      <w:pPr>
        <w:ind w:left="305" w:right="264"/>
        <w:jc w:val="both"/>
        <w:rPr>
          <w:rFonts w:ascii="Calibri" w:eastAsia="Calibri" w:hAnsi="Calibri" w:cs="Calibri"/>
          <w:sz w:val="22"/>
          <w:szCs w:val="22"/>
        </w:rPr>
      </w:pPr>
      <w:r w:rsidRPr="00EF744C">
        <w:rPr>
          <w:noProof/>
        </w:rPr>
        <w:drawing>
          <wp:inline distT="0" distB="0" distL="0" distR="0" wp14:anchorId="03B2C310" wp14:editId="2CFC1486">
            <wp:extent cx="5054600" cy="2743200"/>
            <wp:effectExtent l="0" t="0" r="12700" b="0"/>
            <wp:docPr id="11" name="Chart 11">
              <a:extLst xmlns:a="http://schemas.openxmlformats.org/drawingml/2006/main">
                <a:ext uri="{FF2B5EF4-FFF2-40B4-BE49-F238E27FC236}">
                  <a16:creationId xmlns:a16="http://schemas.microsoft.com/office/drawing/2014/main" id="{E015C5D6-CFE0-4EB6-9E5A-136ADDF88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C23F2A" w14:textId="07747163" w:rsidR="004001EA" w:rsidRPr="00EF744C" w:rsidRDefault="004001EA" w:rsidP="002163DC">
      <w:pPr>
        <w:ind w:left="305" w:right="264"/>
        <w:jc w:val="center"/>
        <w:rPr>
          <w:rFonts w:ascii="Calibri" w:eastAsia="Calibri" w:hAnsi="Calibri" w:cs="Calibri"/>
          <w:sz w:val="22"/>
          <w:szCs w:val="22"/>
        </w:rPr>
      </w:pPr>
      <w:r w:rsidRPr="00EF744C">
        <w:rPr>
          <w:rFonts w:ascii="Calibri" w:eastAsia="Calibri" w:hAnsi="Calibri" w:cs="Calibri"/>
          <w:b/>
          <w:bCs/>
          <w:sz w:val="22"/>
          <w:szCs w:val="22"/>
        </w:rPr>
        <w:t>Figure 1.</w:t>
      </w:r>
      <w:r w:rsidRPr="00EF744C">
        <w:rPr>
          <w:rFonts w:ascii="Calibri" w:eastAsia="Calibri" w:hAnsi="Calibri" w:cs="Calibri"/>
          <w:sz w:val="22"/>
          <w:szCs w:val="22"/>
        </w:rPr>
        <w:t xml:space="preserve"> The Evolution of The Gini Ratio in </w:t>
      </w:r>
      <w:r w:rsidR="006E77BC" w:rsidRPr="00EF744C">
        <w:rPr>
          <w:rFonts w:ascii="Calibri" w:eastAsia="Calibri" w:hAnsi="Calibri" w:cs="Calibri"/>
          <w:sz w:val="22"/>
          <w:szCs w:val="22"/>
        </w:rPr>
        <w:t>Yogyakarta Province</w:t>
      </w:r>
      <w:r w:rsidRPr="00EF744C">
        <w:rPr>
          <w:rFonts w:ascii="Calibri" w:eastAsia="Calibri" w:hAnsi="Calibri" w:cs="Calibri"/>
          <w:sz w:val="22"/>
          <w:szCs w:val="22"/>
        </w:rPr>
        <w:t xml:space="preserve"> and Indonesia for the Period 2010-2021.</w:t>
      </w:r>
    </w:p>
    <w:p w14:paraId="192EA3A1" w14:textId="3038E0DE" w:rsidR="009871A8" w:rsidRPr="00EF744C" w:rsidRDefault="009871A8" w:rsidP="00184B88">
      <w:pPr>
        <w:ind w:left="305" w:right="264"/>
        <w:rPr>
          <w:rFonts w:ascii="Calibri" w:eastAsia="Calibri" w:hAnsi="Calibri" w:cs="Calibri"/>
          <w:sz w:val="22"/>
          <w:szCs w:val="22"/>
          <w:lang w:val="id-ID"/>
        </w:rPr>
      </w:pPr>
      <w:r w:rsidRPr="00EF744C">
        <w:rPr>
          <w:rFonts w:ascii="Calibri" w:eastAsia="Calibri" w:hAnsi="Calibri" w:cs="Calibri"/>
          <w:b/>
          <w:bCs/>
          <w:sz w:val="22"/>
          <w:szCs w:val="22"/>
        </w:rPr>
        <w:t>Source:</w:t>
      </w:r>
      <w:r w:rsidRPr="00EF744C">
        <w:rPr>
          <w:rFonts w:ascii="Calibri" w:eastAsia="Calibri" w:hAnsi="Calibri" w:cs="Calibri"/>
          <w:sz w:val="22"/>
          <w:szCs w:val="22"/>
        </w:rPr>
        <w:t xml:space="preserve"> Central Bureau of Statistics</w:t>
      </w:r>
      <w:r w:rsidR="00876344" w:rsidRPr="00EF744C">
        <w:rPr>
          <w:rFonts w:ascii="Calibri" w:eastAsia="Calibri" w:hAnsi="Calibri" w:cs="Calibri"/>
          <w:sz w:val="22"/>
          <w:szCs w:val="22"/>
          <w:lang w:val="id-ID"/>
        </w:rPr>
        <w:t>.</w:t>
      </w:r>
    </w:p>
    <w:p w14:paraId="0103FDA5" w14:textId="77777777" w:rsidR="004001EA" w:rsidRPr="00EF744C" w:rsidRDefault="004001EA" w:rsidP="004001EA">
      <w:pPr>
        <w:ind w:left="305" w:right="264"/>
        <w:jc w:val="both"/>
        <w:rPr>
          <w:rFonts w:ascii="Calibri" w:eastAsia="Calibri" w:hAnsi="Calibri" w:cs="Calibri"/>
          <w:sz w:val="22"/>
          <w:szCs w:val="22"/>
        </w:rPr>
      </w:pPr>
    </w:p>
    <w:p w14:paraId="08CF6720" w14:textId="46898251" w:rsidR="0003537D" w:rsidRPr="00EF744C" w:rsidRDefault="00C4265B" w:rsidP="00CA01BB">
      <w:pPr>
        <w:spacing w:before="11"/>
        <w:ind w:left="305" w:right="265"/>
        <w:jc w:val="both"/>
        <w:rPr>
          <w:rFonts w:ascii="Calibri" w:eastAsia="Calibri" w:hAnsi="Calibri" w:cs="Calibri"/>
          <w:sz w:val="22"/>
          <w:szCs w:val="22"/>
          <w:lang w:val="id-ID"/>
        </w:rPr>
      </w:pPr>
      <w:r w:rsidRPr="00C4265B">
        <w:rPr>
          <w:rFonts w:ascii="Calibri" w:eastAsia="Calibri" w:hAnsi="Calibri" w:cs="Calibri"/>
          <w:sz w:val="22"/>
          <w:szCs w:val="22"/>
        </w:rPr>
        <w:t xml:space="preserve">Although Indonesia is generally having a low level of Gini ratio, it is found that several regions have a moderate Gini ratio, including Yogyakarta Province. Yogyakarta Province is expected to have the highest Gini ratio in 2021 out of all 33 provinces. As shown in Figure 1, Yogyakarta Province's average Gini ratio between 2010 and 2021 was higher than 0.4 (moderate category), continually exceeding the nation's level of inequality. In 2021, the Gini ratio was 0.441. Based on the districts in Yogyakarta Province, which are </w:t>
      </w:r>
      <w:proofErr w:type="spellStart"/>
      <w:r w:rsidRPr="00C4265B">
        <w:rPr>
          <w:rFonts w:ascii="Calibri" w:eastAsia="Calibri" w:hAnsi="Calibri" w:cs="Calibri"/>
          <w:sz w:val="22"/>
          <w:szCs w:val="22"/>
        </w:rPr>
        <w:t>Kulon</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Progo</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Gunungkidul</w:t>
      </w:r>
      <w:proofErr w:type="spellEnd"/>
      <w:r w:rsidRPr="00C4265B">
        <w:rPr>
          <w:rFonts w:ascii="Calibri" w:eastAsia="Calibri" w:hAnsi="Calibri" w:cs="Calibri"/>
          <w:sz w:val="22"/>
          <w:szCs w:val="22"/>
        </w:rPr>
        <w:t>, Bantul, Sleman, and Yogyakarta, the Gini ratio tend to be higher in urban area such as Sleman dan Yogyakarta.</w:t>
      </w:r>
    </w:p>
    <w:p w14:paraId="78754D32" w14:textId="77777777" w:rsidR="00473471" w:rsidRPr="00EF744C" w:rsidRDefault="00473471" w:rsidP="0003537D">
      <w:pPr>
        <w:spacing w:before="11"/>
        <w:ind w:left="305" w:right="265"/>
        <w:jc w:val="both"/>
        <w:rPr>
          <w:rFonts w:ascii="Calibri" w:eastAsia="Calibri" w:hAnsi="Calibri" w:cs="Calibri"/>
          <w:sz w:val="22"/>
          <w:szCs w:val="22"/>
        </w:rPr>
      </w:pPr>
    </w:p>
    <w:p w14:paraId="5555B792" w14:textId="1FE0FF65" w:rsidR="00184B88" w:rsidRPr="00EF744C" w:rsidRDefault="00C4265B" w:rsidP="00042F28">
      <w:pPr>
        <w:spacing w:before="11"/>
        <w:ind w:left="305" w:right="265"/>
        <w:jc w:val="both"/>
        <w:rPr>
          <w:rFonts w:ascii="Calibri" w:eastAsia="Calibri" w:hAnsi="Calibri" w:cs="Calibri"/>
          <w:sz w:val="22"/>
          <w:szCs w:val="22"/>
          <w:lang w:val="id-ID"/>
        </w:rPr>
      </w:pPr>
      <w:bookmarkStart w:id="1" w:name="_Hlk119745219"/>
      <w:r w:rsidRPr="00C4265B">
        <w:rPr>
          <w:rFonts w:ascii="Calibri" w:eastAsia="Calibri" w:hAnsi="Calibri" w:cs="Calibri"/>
          <w:sz w:val="22"/>
          <w:szCs w:val="22"/>
          <w:lang w:val="id-ID"/>
        </w:rPr>
        <w:t>Another measure that can describe income inequality is the distribution of expenditure among the population. Based on that, Yogyakarta Province sees a 20% increase in the wealthiest residents' spending, which accounts for 50% of all expenditures. However, the poorest 40% of the population only contribute up to 15% of total expenses. According to the World Bank, moderate inequality exists when the distribution of expenditure from 40% of the poorest ranges from 12</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to 17</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of all expenditure</w:t>
      </w:r>
      <w:r w:rsidR="00290A8A">
        <w:rPr>
          <w:rFonts w:ascii="Calibri" w:eastAsia="Calibri" w:hAnsi="Calibri" w:cs="Calibri"/>
          <w:sz w:val="22"/>
          <w:szCs w:val="22"/>
          <w:lang w:val="id-ID"/>
        </w:rPr>
        <w:t>s</w:t>
      </w:r>
      <w:r w:rsidRPr="00C4265B">
        <w:rPr>
          <w:rFonts w:ascii="Calibri" w:eastAsia="Calibri" w:hAnsi="Calibri" w:cs="Calibri"/>
          <w:sz w:val="22"/>
          <w:szCs w:val="22"/>
          <w:lang w:val="id-ID"/>
        </w:rPr>
        <w:t>. Hence, the distribution of expenditure data also shows moderate income inequality in Yogyakarta Province.</w:t>
      </w:r>
      <w:r w:rsidR="0094539D" w:rsidRPr="00EF744C">
        <w:rPr>
          <w:rFonts w:ascii="Calibri" w:eastAsia="Calibri" w:hAnsi="Calibri" w:cs="Calibri"/>
          <w:sz w:val="22"/>
          <w:szCs w:val="22"/>
          <w:lang w:val="id-ID"/>
        </w:rPr>
        <w:t xml:space="preserve"> </w:t>
      </w:r>
    </w:p>
    <w:bookmarkEnd w:id="1"/>
    <w:p w14:paraId="0461F201" w14:textId="7E59B6AC" w:rsidR="004001EA" w:rsidRPr="00EF744C" w:rsidRDefault="003C3A43" w:rsidP="004001EA">
      <w:pPr>
        <w:ind w:left="305" w:right="264"/>
        <w:jc w:val="both"/>
        <w:rPr>
          <w:rFonts w:ascii="Calibri" w:eastAsia="Calibri" w:hAnsi="Calibri" w:cs="Calibri"/>
          <w:sz w:val="22"/>
          <w:szCs w:val="22"/>
          <w:lang w:val="id-ID"/>
        </w:rPr>
      </w:pPr>
      <w:r w:rsidRPr="00EF744C">
        <w:rPr>
          <w:rFonts w:ascii="Calibri" w:eastAsia="Calibri" w:hAnsi="Calibri" w:cs="Calibri"/>
          <w:sz w:val="22"/>
          <w:szCs w:val="22"/>
          <w:lang w:val="id-ID"/>
        </w:rPr>
        <w:t xml:space="preserve"> </w:t>
      </w:r>
    </w:p>
    <w:p w14:paraId="482BEA49" w14:textId="3CB503D3" w:rsidR="000B0AC6" w:rsidRPr="00EF744C" w:rsidRDefault="00C4265B" w:rsidP="00AC1F14">
      <w:pPr>
        <w:ind w:left="305" w:right="264"/>
        <w:jc w:val="both"/>
        <w:rPr>
          <w:rFonts w:ascii="Calibri" w:eastAsia="Calibri" w:hAnsi="Calibri" w:cs="Calibri"/>
          <w:sz w:val="22"/>
          <w:szCs w:val="22"/>
          <w:lang w:val="id-ID"/>
        </w:rPr>
      </w:pPr>
      <w:r w:rsidRPr="00C4265B">
        <w:rPr>
          <w:rFonts w:ascii="Calibri" w:eastAsia="Calibri" w:hAnsi="Calibri" w:cs="Calibri"/>
          <w:sz w:val="22"/>
          <w:szCs w:val="22"/>
          <w:lang w:val="id-ID"/>
        </w:rPr>
        <w:t xml:space="preserve">Income inequality research is constantly expanding. One of them is the analysis of income inequality through a macroeconomic approach. This approach relies on cross-country data on inequality, poverty, and growth rates. When economic growth is strong, the decomposition frequently favors growth. Thus, changes in income disparity can affect whether poverty is increasing or decreasing while economic development is slowing </w:t>
      </w:r>
      <w:r w:rsidRPr="00C4265B">
        <w:rPr>
          <w:rFonts w:ascii="Calibri" w:eastAsia="Calibri" w:hAnsi="Calibri" w:cs="Calibri"/>
          <w:sz w:val="22"/>
          <w:szCs w:val="22"/>
          <w:lang w:val="id-ID"/>
        </w:rPr>
        <w:lastRenderedPageBreak/>
        <w:t>(Ferreira, 2010). According to Breunig and Majeed (2020), when a region has a high rate of poverty, income disparity has a negative effect on economic growth. The study found that when poverty rates approach 60%, inequality has a detrimental influence on economic growth, and it gets worse as poverty levels rise. In other words, the rate of economic growth acceleration, the decline in inequality, and the eradication of poverty are all directly tied to the level of development pursued by a nation (Todaro, 2012). Another study by wan (2008) discovered that China's rapid economic growth was a miracle and had a strong positive impact on the reduction of poverty. However, this growth, which traded off efficiency (growth) for inequality, resulted in a sharp rise in inequality across the board and increased urban poor. The analysis of income disparity, economic growth, and poverty must be methodical, exhaustive, and cogent to fully grasp the development process in developing nations (Wan et al., 2021).</w:t>
      </w:r>
    </w:p>
    <w:p w14:paraId="105C3206" w14:textId="77777777" w:rsidR="00AC1F14" w:rsidRPr="00EF744C" w:rsidRDefault="00AC1F14" w:rsidP="00AC1F14">
      <w:pPr>
        <w:ind w:left="305" w:right="264"/>
        <w:jc w:val="both"/>
        <w:rPr>
          <w:sz w:val="26"/>
          <w:szCs w:val="26"/>
        </w:rPr>
      </w:pPr>
    </w:p>
    <w:p w14:paraId="425074B2" w14:textId="154F8CF8" w:rsidR="004001EA" w:rsidRPr="00EF744C" w:rsidRDefault="00C4265B" w:rsidP="0003537D">
      <w:pPr>
        <w:ind w:left="305" w:right="264"/>
        <w:jc w:val="both"/>
        <w:rPr>
          <w:rFonts w:ascii="Calibri" w:eastAsia="Calibri" w:hAnsi="Calibri" w:cs="Calibri"/>
          <w:sz w:val="22"/>
          <w:szCs w:val="22"/>
        </w:rPr>
      </w:pPr>
      <w:bookmarkStart w:id="2" w:name="_Hlk119745358"/>
      <w:r w:rsidRPr="00C4265B">
        <w:rPr>
          <w:rFonts w:ascii="Calibri" w:eastAsia="Calibri" w:hAnsi="Calibri" w:cs="Calibri"/>
          <w:sz w:val="22"/>
          <w:szCs w:val="22"/>
          <w:lang w:val="id-ID"/>
        </w:rPr>
        <w:t>Previous studies have found that growth can have a variety</w:t>
      </w:r>
      <w:r w:rsidR="00290A8A">
        <w:rPr>
          <w:rFonts w:ascii="Calibri" w:eastAsia="Calibri" w:hAnsi="Calibri" w:cs="Calibri"/>
          <w:sz w:val="22"/>
          <w:szCs w:val="22"/>
          <w:lang w:val="id-ID"/>
        </w:rPr>
        <w:t xml:space="preserve"> of</w:t>
      </w:r>
      <w:r w:rsidRPr="00C4265B">
        <w:rPr>
          <w:rFonts w:ascii="Calibri" w:eastAsia="Calibri" w:hAnsi="Calibri" w:cs="Calibri"/>
          <w:sz w:val="22"/>
          <w:szCs w:val="22"/>
          <w:lang w:val="id-ID"/>
        </w:rPr>
        <w:t xml:space="preserve"> effect</w:t>
      </w:r>
      <w:r w:rsidR="00290A8A">
        <w:rPr>
          <w:rFonts w:ascii="Calibri" w:eastAsia="Calibri" w:hAnsi="Calibri" w:cs="Calibri"/>
          <w:sz w:val="22"/>
          <w:szCs w:val="22"/>
          <w:lang w:val="id-ID"/>
        </w:rPr>
        <w:t>s</w:t>
      </w:r>
      <w:r w:rsidRPr="00C4265B">
        <w:rPr>
          <w:rFonts w:ascii="Calibri" w:eastAsia="Calibri" w:hAnsi="Calibri" w:cs="Calibri"/>
          <w:sz w:val="22"/>
          <w:szCs w:val="22"/>
          <w:lang w:val="id-ID"/>
        </w:rPr>
        <w:t xml:space="preserve"> on income disparity. The nexus of inequality growth has produced conflicting results. On the other side, income disparity affects both growth and the spread of poverty. Therefore, further research is required to understand better the connection between inequality, growth, and poverty.  One approach that can be utili</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ed to comprehend this complex relationship is the Poverty-Growth-Inequality (PGI) triangle model, which was conducted by Buourguignon (2004). From the study, Bourguignon (2004) found that changes in poverty are caused by changes in people's average income and income inequality. Wan (2008) emphasi</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es the value of investigating the PGI model. Essentially, the PGI model is hinged on inequality issues. The future poverty reduction may be influenced by trends in inequality. The PGI model explains how inequality and poverty are distributed globally and offers the government fresh perspectives on how to solve these issues while promoting economic progress. In addition, The PGI model can also be used to group nations according to how well-equipped they are to handle economic difficulties. It included economic growth and inequality and how they interact with poverty (Michálek &amp; Výbošťok, 2019).</w:t>
      </w:r>
    </w:p>
    <w:p w14:paraId="568434AA" w14:textId="64A88B23" w:rsidR="001E55EC" w:rsidRPr="00EF744C" w:rsidRDefault="001E55EC" w:rsidP="0003537D">
      <w:pPr>
        <w:ind w:left="305" w:right="264"/>
        <w:jc w:val="both"/>
        <w:rPr>
          <w:rFonts w:ascii="Calibri" w:eastAsia="Calibri" w:hAnsi="Calibri" w:cs="Calibri"/>
          <w:sz w:val="22"/>
          <w:szCs w:val="22"/>
        </w:rPr>
      </w:pPr>
    </w:p>
    <w:p w14:paraId="4EEAD538" w14:textId="3C01CEA2" w:rsidR="001E55EC" w:rsidRPr="00EF744C" w:rsidRDefault="00C4265B" w:rsidP="001E55EC">
      <w:pPr>
        <w:ind w:left="305" w:right="269"/>
        <w:jc w:val="both"/>
        <w:rPr>
          <w:rFonts w:ascii="Calibri" w:eastAsia="Calibri" w:hAnsi="Calibri" w:cs="Calibri"/>
          <w:sz w:val="22"/>
          <w:szCs w:val="22"/>
        </w:rPr>
      </w:pPr>
      <w:r w:rsidRPr="00C4265B">
        <w:rPr>
          <w:rFonts w:ascii="Calibri" w:eastAsia="Calibri" w:hAnsi="Calibri" w:cs="Calibri"/>
          <w:sz w:val="22"/>
          <w:szCs w:val="22"/>
        </w:rPr>
        <w:t xml:space="preserve">The PGI model has been used by </w:t>
      </w:r>
      <w:proofErr w:type="spellStart"/>
      <w:r w:rsidRPr="00C4265B">
        <w:rPr>
          <w:rFonts w:ascii="Calibri" w:eastAsia="Calibri" w:hAnsi="Calibri" w:cs="Calibri"/>
          <w:sz w:val="22"/>
          <w:szCs w:val="22"/>
        </w:rPr>
        <w:t>Dartanto</w:t>
      </w:r>
      <w:proofErr w:type="spellEnd"/>
      <w:r w:rsidRPr="00C4265B">
        <w:rPr>
          <w:rFonts w:ascii="Calibri" w:eastAsia="Calibri" w:hAnsi="Calibri" w:cs="Calibri"/>
          <w:sz w:val="22"/>
          <w:szCs w:val="22"/>
        </w:rPr>
        <w:t xml:space="preserve"> (2013) to </w:t>
      </w:r>
      <w:proofErr w:type="spellStart"/>
      <w:r w:rsidRPr="00C4265B">
        <w:rPr>
          <w:rFonts w:ascii="Calibri" w:eastAsia="Calibri" w:hAnsi="Calibri" w:cs="Calibri"/>
          <w:sz w:val="22"/>
          <w:szCs w:val="22"/>
        </w:rPr>
        <w:t>analy</w:t>
      </w:r>
      <w:proofErr w:type="spellEnd"/>
      <w:r w:rsidR="00290A8A">
        <w:rPr>
          <w:rFonts w:ascii="Calibri" w:eastAsia="Calibri" w:hAnsi="Calibri" w:cs="Calibri"/>
          <w:sz w:val="22"/>
          <w:szCs w:val="22"/>
          <w:lang w:val="id-ID"/>
        </w:rPr>
        <w:t>z</w:t>
      </w:r>
      <w:r w:rsidRPr="00C4265B">
        <w:rPr>
          <w:rFonts w:ascii="Calibri" w:eastAsia="Calibri" w:hAnsi="Calibri" w:cs="Calibri"/>
          <w:sz w:val="22"/>
          <w:szCs w:val="22"/>
        </w:rPr>
        <w:t>e the relationship between poverty, growth, and inequality in Indonesia. Inclusive growth had less impact on poverty and inequality than in previous periods, as Indonesia's economic sector has turned toward economic services and capital-intensive sectors. These sectors need skilled personnel, which makes them unaffordable for the poor and leads to inequality. However, no one has investigated income disparity in Yogyakarta Province using the PGI approach.</w:t>
      </w:r>
      <w:r w:rsidR="001E55EC" w:rsidRPr="00EF744C">
        <w:rPr>
          <w:rFonts w:ascii="Calibri" w:eastAsia="Calibri" w:hAnsi="Calibri" w:cs="Calibri"/>
          <w:sz w:val="22"/>
          <w:szCs w:val="22"/>
        </w:rPr>
        <w:t xml:space="preserve"> </w:t>
      </w:r>
    </w:p>
    <w:p w14:paraId="2C1CCCB1" w14:textId="77777777" w:rsidR="00AC1F14" w:rsidRPr="00EF744C" w:rsidRDefault="00AC1F14" w:rsidP="00184B88">
      <w:pPr>
        <w:ind w:right="264"/>
        <w:jc w:val="both"/>
        <w:rPr>
          <w:rFonts w:ascii="Calibri" w:eastAsia="Calibri" w:hAnsi="Calibri" w:cs="Calibri"/>
          <w:sz w:val="22"/>
          <w:szCs w:val="22"/>
        </w:rPr>
      </w:pPr>
    </w:p>
    <w:p w14:paraId="7E840BCE" w14:textId="18362635" w:rsidR="00343D21" w:rsidRPr="00EF744C" w:rsidRDefault="00C4265B" w:rsidP="00343D21">
      <w:pPr>
        <w:ind w:left="284" w:right="267"/>
        <w:jc w:val="both"/>
        <w:rPr>
          <w:rFonts w:ascii="Calibri" w:eastAsia="Calibri" w:hAnsi="Calibri" w:cs="Calibri"/>
          <w:sz w:val="22"/>
          <w:szCs w:val="22"/>
          <w:lang w:val="id-ID"/>
        </w:rPr>
      </w:pPr>
      <w:r w:rsidRPr="00C4265B">
        <w:rPr>
          <w:rFonts w:ascii="Calibri" w:eastAsia="Calibri" w:hAnsi="Calibri" w:cs="Calibri"/>
          <w:sz w:val="22"/>
          <w:szCs w:val="22"/>
        </w:rPr>
        <w:t>The macro goals in Yogyakarta Province's development planning document (RPJMD) for the 2017–2022 period include reducing poverty, promoting economic growth, and reducing inequality. The government is targeting economic growth to reach 5.34</w:t>
      </w:r>
      <w:r w:rsidR="004129CA">
        <w:rPr>
          <w:rFonts w:ascii="Calibri" w:eastAsia="Calibri" w:hAnsi="Calibri" w:cs="Calibri"/>
          <w:sz w:val="22"/>
          <w:szCs w:val="22"/>
          <w:lang w:val="id-ID"/>
        </w:rPr>
        <w:t>%</w:t>
      </w:r>
      <w:r w:rsidRPr="00C4265B">
        <w:rPr>
          <w:rFonts w:ascii="Calibri" w:eastAsia="Calibri" w:hAnsi="Calibri" w:cs="Calibri"/>
          <w:sz w:val="22"/>
          <w:szCs w:val="22"/>
        </w:rPr>
        <w:t>; the poverty rate at 7</w:t>
      </w:r>
      <w:r w:rsidR="004129CA">
        <w:rPr>
          <w:rFonts w:ascii="Calibri" w:eastAsia="Calibri" w:hAnsi="Calibri" w:cs="Calibri"/>
          <w:sz w:val="22"/>
          <w:szCs w:val="22"/>
          <w:lang w:val="id-ID"/>
        </w:rPr>
        <w:t>%</w:t>
      </w:r>
      <w:r w:rsidRPr="00C4265B">
        <w:rPr>
          <w:rFonts w:ascii="Calibri" w:eastAsia="Calibri" w:hAnsi="Calibri" w:cs="Calibri"/>
          <w:sz w:val="22"/>
          <w:szCs w:val="22"/>
        </w:rPr>
        <w:t>; and income inequality with a Gini ratio of 0.36 in 2021. The Yogyakarta Province's Central Bureau of Statistics reports that in 2021, the economy grew by 5.53</w:t>
      </w:r>
      <w:r w:rsidR="004129CA">
        <w:rPr>
          <w:rFonts w:ascii="Calibri" w:eastAsia="Calibri" w:hAnsi="Calibri" w:cs="Calibri"/>
          <w:sz w:val="22"/>
          <w:szCs w:val="22"/>
          <w:lang w:val="id-ID"/>
        </w:rPr>
        <w:t>%</w:t>
      </w:r>
      <w:r w:rsidRPr="00C4265B">
        <w:rPr>
          <w:rFonts w:ascii="Calibri" w:eastAsia="Calibri" w:hAnsi="Calibri" w:cs="Calibri"/>
          <w:sz w:val="22"/>
          <w:szCs w:val="22"/>
        </w:rPr>
        <w:t>, above the desired rate. For poverty, its rate was 12.8</w:t>
      </w:r>
      <w:r w:rsidR="004129CA">
        <w:rPr>
          <w:rFonts w:ascii="Calibri" w:eastAsia="Calibri" w:hAnsi="Calibri" w:cs="Calibri"/>
          <w:sz w:val="22"/>
          <w:szCs w:val="22"/>
          <w:lang w:val="id-ID"/>
        </w:rPr>
        <w:t xml:space="preserve">% </w:t>
      </w:r>
      <w:r w:rsidRPr="00C4265B">
        <w:rPr>
          <w:rFonts w:ascii="Calibri" w:eastAsia="Calibri" w:hAnsi="Calibri" w:cs="Calibri"/>
          <w:sz w:val="22"/>
          <w:szCs w:val="22"/>
        </w:rPr>
        <w:t>in 2021. The poverty rate in this country exceeded the national average (which was 10.14</w:t>
      </w:r>
      <w:r w:rsidR="004129CA">
        <w:rPr>
          <w:rFonts w:ascii="Calibri" w:eastAsia="Calibri" w:hAnsi="Calibri" w:cs="Calibri"/>
          <w:sz w:val="22"/>
          <w:szCs w:val="22"/>
          <w:lang w:val="id-ID"/>
        </w:rPr>
        <w:t>%</w:t>
      </w:r>
      <w:r w:rsidRPr="00C4265B">
        <w:rPr>
          <w:rFonts w:ascii="Calibri" w:eastAsia="Calibri" w:hAnsi="Calibri" w:cs="Calibri"/>
          <w:sz w:val="22"/>
          <w:szCs w:val="22"/>
        </w:rPr>
        <w:t xml:space="preserve"> throughout Indonesia) and fell short of the RPJMD target). Moreover, some districts have a more than 20</w:t>
      </w:r>
      <w:r w:rsidR="004129CA">
        <w:rPr>
          <w:rFonts w:ascii="Calibri" w:eastAsia="Calibri" w:hAnsi="Calibri" w:cs="Calibri"/>
          <w:sz w:val="22"/>
          <w:szCs w:val="22"/>
          <w:lang w:val="id-ID"/>
        </w:rPr>
        <w:t>%</w:t>
      </w:r>
      <w:r w:rsidRPr="00C4265B">
        <w:rPr>
          <w:rFonts w:ascii="Calibri" w:eastAsia="Calibri" w:hAnsi="Calibri" w:cs="Calibri"/>
          <w:sz w:val="22"/>
          <w:szCs w:val="22"/>
        </w:rPr>
        <w:t xml:space="preserve"> poverty rate during the 2010-2016 period, such as </w:t>
      </w:r>
      <w:proofErr w:type="spellStart"/>
      <w:r w:rsidRPr="00C4265B">
        <w:rPr>
          <w:rFonts w:ascii="Calibri" w:eastAsia="Calibri" w:hAnsi="Calibri" w:cs="Calibri"/>
          <w:sz w:val="22"/>
          <w:szCs w:val="22"/>
        </w:rPr>
        <w:t>Kulon</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Progo</w:t>
      </w:r>
      <w:proofErr w:type="spellEnd"/>
      <w:r w:rsidRPr="00C4265B">
        <w:rPr>
          <w:rFonts w:ascii="Calibri" w:eastAsia="Calibri" w:hAnsi="Calibri" w:cs="Calibri"/>
          <w:sz w:val="22"/>
          <w:szCs w:val="22"/>
        </w:rPr>
        <w:t xml:space="preserve"> dan </w:t>
      </w:r>
      <w:proofErr w:type="spellStart"/>
      <w:r w:rsidRPr="00C4265B">
        <w:rPr>
          <w:rFonts w:ascii="Calibri" w:eastAsia="Calibri" w:hAnsi="Calibri" w:cs="Calibri"/>
          <w:sz w:val="22"/>
          <w:szCs w:val="22"/>
        </w:rPr>
        <w:t>Gunung</w:t>
      </w:r>
      <w:proofErr w:type="spellEnd"/>
      <w:r w:rsidR="00F35CDD">
        <w:rPr>
          <w:rFonts w:ascii="Calibri" w:eastAsia="Calibri" w:hAnsi="Calibri" w:cs="Calibri"/>
          <w:sz w:val="22"/>
          <w:szCs w:val="22"/>
          <w:lang w:val="id-ID"/>
        </w:rPr>
        <w:t xml:space="preserve"> K</w:t>
      </w:r>
      <w:proofErr w:type="spellStart"/>
      <w:r w:rsidRPr="00C4265B">
        <w:rPr>
          <w:rFonts w:ascii="Calibri" w:eastAsia="Calibri" w:hAnsi="Calibri" w:cs="Calibri"/>
          <w:sz w:val="22"/>
          <w:szCs w:val="22"/>
        </w:rPr>
        <w:t>idul</w:t>
      </w:r>
      <w:proofErr w:type="spellEnd"/>
      <w:r w:rsidRPr="00C4265B">
        <w:rPr>
          <w:rFonts w:ascii="Calibri" w:eastAsia="Calibri" w:hAnsi="Calibri" w:cs="Calibri"/>
          <w:sz w:val="22"/>
          <w:szCs w:val="22"/>
        </w:rPr>
        <w:t>. Therefore, on the income inequality side, it is demonstrated that the Gini ratio of Yogyakarta Province did not yet reach the RPJMD's target in 2021.</w:t>
      </w:r>
    </w:p>
    <w:bookmarkEnd w:id="2"/>
    <w:p w14:paraId="658F8FF4" w14:textId="35EDCAA6" w:rsidR="004001EA" w:rsidRPr="00EF744C" w:rsidRDefault="004001EA" w:rsidP="00165231">
      <w:pPr>
        <w:ind w:left="284" w:right="267"/>
        <w:jc w:val="both"/>
        <w:rPr>
          <w:rFonts w:ascii="Calibri" w:eastAsia="Calibri" w:hAnsi="Calibri" w:cs="Calibri"/>
          <w:sz w:val="22"/>
          <w:szCs w:val="22"/>
        </w:rPr>
      </w:pPr>
      <w:r w:rsidRPr="00EF744C">
        <w:rPr>
          <w:noProof/>
          <w:lang w:val="en-AU" w:eastAsia="en-AU"/>
        </w:rPr>
        <w:lastRenderedPageBreak/>
        <w:drawing>
          <wp:inline distT="0" distB="0" distL="0" distR="0" wp14:anchorId="4809C3DD" wp14:editId="01796A44">
            <wp:extent cx="5043268" cy="2165350"/>
            <wp:effectExtent l="0" t="0" r="5080" b="6350"/>
            <wp:docPr id="1" name="Chart 1">
              <a:extLst xmlns:a="http://schemas.openxmlformats.org/drawingml/2006/main">
                <a:ext uri="{FF2B5EF4-FFF2-40B4-BE49-F238E27FC236}">
                  <a16:creationId xmlns:a16="http://schemas.microsoft.com/office/drawing/2014/main" id="{9DD7B4C2-9C56-4AE4-A55E-2F318053B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6BE313" w14:textId="4AD8C997" w:rsidR="004001EA" w:rsidRPr="00EF744C" w:rsidRDefault="004001EA" w:rsidP="004001EA">
      <w:pPr>
        <w:ind w:left="305" w:right="267"/>
        <w:jc w:val="center"/>
        <w:rPr>
          <w:rFonts w:ascii="Calibri" w:eastAsia="Calibri" w:hAnsi="Calibri" w:cs="Calibri"/>
          <w:sz w:val="22"/>
          <w:szCs w:val="22"/>
        </w:rPr>
      </w:pPr>
      <w:r w:rsidRPr="00EF744C">
        <w:rPr>
          <w:rFonts w:ascii="Calibri" w:eastAsia="Calibri" w:hAnsi="Calibri" w:cs="Calibri"/>
          <w:b/>
          <w:bCs/>
          <w:sz w:val="22"/>
          <w:szCs w:val="22"/>
        </w:rPr>
        <w:t>Figure 2.</w:t>
      </w:r>
      <w:r w:rsidRPr="00EF744C">
        <w:rPr>
          <w:rFonts w:ascii="Calibri" w:eastAsia="Calibri" w:hAnsi="Calibri" w:cs="Calibri"/>
          <w:sz w:val="22"/>
          <w:szCs w:val="22"/>
        </w:rPr>
        <w:t xml:space="preserve"> The Evolution of Poverty, Growth,</w:t>
      </w:r>
      <w:r w:rsidR="00A30D52" w:rsidRPr="00EF744C">
        <w:rPr>
          <w:rFonts w:ascii="Calibri" w:eastAsia="Calibri" w:hAnsi="Calibri" w:cs="Calibri"/>
          <w:sz w:val="22"/>
          <w:szCs w:val="22"/>
          <w:lang w:val="id-ID"/>
        </w:rPr>
        <w:t xml:space="preserve"> and</w:t>
      </w:r>
      <w:r w:rsidRPr="00EF744C">
        <w:rPr>
          <w:rFonts w:ascii="Calibri" w:eastAsia="Calibri" w:hAnsi="Calibri" w:cs="Calibri"/>
          <w:sz w:val="22"/>
          <w:szCs w:val="22"/>
        </w:rPr>
        <w:t xml:space="preserve"> Inequality in </w:t>
      </w:r>
      <w:r w:rsidR="00296F54" w:rsidRPr="00EF744C">
        <w:rPr>
          <w:rFonts w:ascii="Calibri" w:eastAsia="Calibri" w:hAnsi="Calibri" w:cs="Calibri"/>
          <w:sz w:val="22"/>
          <w:szCs w:val="22"/>
        </w:rPr>
        <w:t>Yogyakarta Province</w:t>
      </w:r>
      <w:r w:rsidRPr="00EF744C">
        <w:rPr>
          <w:rFonts w:ascii="Calibri" w:eastAsia="Calibri" w:hAnsi="Calibri" w:cs="Calibri"/>
          <w:sz w:val="22"/>
          <w:szCs w:val="22"/>
        </w:rPr>
        <w:t xml:space="preserve"> Period 2010 – 2021</w:t>
      </w:r>
    </w:p>
    <w:p w14:paraId="0AEE2C82" w14:textId="77777777" w:rsidR="002E0ACE" w:rsidRPr="00EF744C" w:rsidRDefault="002E0ACE" w:rsidP="002E0ACE">
      <w:pPr>
        <w:ind w:left="305" w:right="268"/>
        <w:jc w:val="both"/>
        <w:rPr>
          <w:rFonts w:ascii="Calibri" w:eastAsia="Calibri" w:hAnsi="Calibri" w:cs="Calibri"/>
          <w:sz w:val="22"/>
          <w:szCs w:val="22"/>
          <w:lang w:val="id-ID"/>
        </w:rPr>
      </w:pPr>
    </w:p>
    <w:p w14:paraId="3E07B646" w14:textId="1DFBEC82" w:rsidR="002E0ACE" w:rsidRPr="00EF744C" w:rsidRDefault="00C4265B" w:rsidP="00184B88">
      <w:pPr>
        <w:ind w:left="284" w:right="267"/>
        <w:jc w:val="both"/>
        <w:rPr>
          <w:rFonts w:ascii="Calibri" w:eastAsia="Calibri" w:hAnsi="Calibri" w:cs="Calibri"/>
          <w:sz w:val="22"/>
          <w:szCs w:val="22"/>
        </w:rPr>
      </w:pPr>
      <w:bookmarkStart w:id="3" w:name="_Hlk119745430"/>
      <w:r w:rsidRPr="00C4265B">
        <w:rPr>
          <w:rFonts w:ascii="Calibri" w:eastAsia="Calibri" w:hAnsi="Calibri" w:cs="Calibri"/>
          <w:sz w:val="22"/>
          <w:szCs w:val="22"/>
          <w:lang w:val="id-ID"/>
        </w:rPr>
        <w:t>Based on the previous explanation, referring to Bourguignon (2004), this study assumes that income inequality changes also contribute to economic growth and poverty. As shown in Figure 3, there is a complex link in Yogyakarta Province between poverty, growth, and inequality. Thus, the purpose of this study is to examine the relationship between income inequality, economic growth, and poverty in Yogyakarta Province using the PGI Triangle Model.</w:t>
      </w:r>
      <w:r w:rsidR="002E0ACE" w:rsidRPr="00EF744C">
        <w:rPr>
          <w:rFonts w:ascii="Calibri" w:eastAsia="Calibri" w:hAnsi="Calibri" w:cs="Calibri"/>
          <w:sz w:val="22"/>
          <w:szCs w:val="22"/>
          <w:lang w:val="id-ID"/>
        </w:rPr>
        <w:t xml:space="preserve"> </w:t>
      </w:r>
    </w:p>
    <w:bookmarkEnd w:id="3"/>
    <w:p w14:paraId="47663C24" w14:textId="77777777" w:rsidR="000B0AC6" w:rsidRPr="00EF744C" w:rsidRDefault="000B0AC6" w:rsidP="0094539D">
      <w:pPr>
        <w:tabs>
          <w:tab w:val="center" w:pos="4298"/>
        </w:tabs>
        <w:ind w:right="269"/>
        <w:rPr>
          <w:sz w:val="26"/>
          <w:szCs w:val="26"/>
        </w:rPr>
      </w:pPr>
    </w:p>
    <w:p w14:paraId="637327FB" w14:textId="77777777" w:rsidR="002E0ACE" w:rsidRPr="00EF744C" w:rsidRDefault="002E0ACE" w:rsidP="002E0ACE">
      <w:pPr>
        <w:ind w:left="305" w:right="269"/>
        <w:jc w:val="both"/>
        <w:rPr>
          <w:rFonts w:ascii="Calibri" w:eastAsia="Calibri" w:hAnsi="Calibri" w:cs="Calibri"/>
          <w:sz w:val="22"/>
          <w:szCs w:val="22"/>
        </w:rPr>
      </w:pPr>
      <w:r w:rsidRPr="00EF744C">
        <w:rPr>
          <w:rFonts w:cstheme="minorHAnsi"/>
          <w:noProof/>
          <w:lang w:val="en-AU" w:eastAsia="en-AU"/>
        </w:rPr>
        <w:drawing>
          <wp:inline distT="0" distB="0" distL="0" distR="0" wp14:anchorId="31017B26" wp14:editId="20DE2956">
            <wp:extent cx="4982015" cy="1193694"/>
            <wp:effectExtent l="19050" t="19050" r="9525"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9185" cy="1202600"/>
                    </a:xfrm>
                    <a:prstGeom prst="rect">
                      <a:avLst/>
                    </a:prstGeom>
                    <a:ln>
                      <a:solidFill>
                        <a:schemeClr val="tx1"/>
                      </a:solidFill>
                    </a:ln>
                  </pic:spPr>
                </pic:pic>
              </a:graphicData>
            </a:graphic>
          </wp:inline>
        </w:drawing>
      </w:r>
    </w:p>
    <w:p w14:paraId="53D1C1B7" w14:textId="77777777" w:rsidR="002E0ACE" w:rsidRPr="00EF744C" w:rsidRDefault="002E0ACE" w:rsidP="002E0ACE">
      <w:pPr>
        <w:ind w:left="305" w:right="264"/>
        <w:jc w:val="both"/>
        <w:rPr>
          <w:rFonts w:ascii="Calibri" w:eastAsia="Calibri" w:hAnsi="Calibri" w:cs="Calibri"/>
          <w:sz w:val="22"/>
          <w:szCs w:val="22"/>
        </w:rPr>
      </w:pPr>
      <w:r w:rsidRPr="00EF744C">
        <w:rPr>
          <w:rFonts w:ascii="Calibri" w:eastAsia="Calibri" w:hAnsi="Calibri" w:cs="Calibri"/>
          <w:b/>
          <w:bCs/>
          <w:sz w:val="22"/>
          <w:szCs w:val="22"/>
        </w:rPr>
        <w:tab/>
        <w:t>Figure 3.</w:t>
      </w:r>
      <w:r w:rsidRPr="00EF744C">
        <w:rPr>
          <w:rFonts w:ascii="Calibri" w:eastAsia="Calibri" w:hAnsi="Calibri" w:cs="Calibri"/>
          <w:sz w:val="22"/>
          <w:szCs w:val="22"/>
        </w:rPr>
        <w:t xml:space="preserve">  The Poverty, Growth, and Inequality (PGI Triangle).</w:t>
      </w:r>
    </w:p>
    <w:p w14:paraId="7B1E9204" w14:textId="60B486E7" w:rsidR="006D5183" w:rsidRPr="00EF744C" w:rsidRDefault="006D5183" w:rsidP="00184B88">
      <w:pPr>
        <w:ind w:right="268"/>
        <w:jc w:val="both"/>
        <w:rPr>
          <w:rFonts w:ascii="Calibri" w:eastAsia="Calibri" w:hAnsi="Calibri" w:cs="Calibri"/>
          <w:sz w:val="22"/>
          <w:szCs w:val="22"/>
          <w:lang w:val="id-ID"/>
        </w:rPr>
      </w:pPr>
      <w:bookmarkStart w:id="4" w:name="_Hlk114778413"/>
    </w:p>
    <w:p w14:paraId="4844B157" w14:textId="4D2C8438" w:rsidR="00A53E33" w:rsidRPr="00EF744C" w:rsidRDefault="00C4265B">
      <w:pPr>
        <w:ind w:left="305" w:right="268"/>
        <w:jc w:val="both"/>
        <w:rPr>
          <w:rFonts w:ascii="Calibri" w:eastAsia="Calibri" w:hAnsi="Calibri" w:cs="Calibri"/>
          <w:sz w:val="22"/>
          <w:szCs w:val="22"/>
          <w:lang w:val="id-ID"/>
        </w:rPr>
      </w:pPr>
      <w:r w:rsidRPr="00C4265B">
        <w:rPr>
          <w:rFonts w:ascii="Calibri" w:eastAsia="Calibri" w:hAnsi="Calibri" w:cs="Calibri"/>
          <w:sz w:val="22"/>
          <w:szCs w:val="22"/>
          <w:lang w:val="id-ID"/>
        </w:rPr>
        <w:t>Prior studies related to income inequality in Yogyakarta Province analy</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ed poverty on income inequality (Dewi &amp; Rachmawatie, 2020) or growth on income inequality separately (Suryani &amp; Woyanti). These earlier investigations examined the relationships between the variables in isolation, which revealed a one-way link. However, this study views the interaction between them as an ongoing, interconnected relationship (two-way direction). In addition, this study about income inequality in Yogyakarta using the PGI (Poverty-Growth-Inequality) Triangle Model is still limited.</w:t>
      </w:r>
      <w:r w:rsidR="009D0C8B" w:rsidRPr="00EF744C">
        <w:rPr>
          <w:rFonts w:ascii="Calibri" w:eastAsia="Calibri" w:hAnsi="Calibri" w:cs="Calibri"/>
          <w:sz w:val="22"/>
          <w:szCs w:val="22"/>
          <w:lang w:val="id-ID"/>
        </w:rPr>
        <w:t xml:space="preserve"> </w:t>
      </w:r>
    </w:p>
    <w:p w14:paraId="141752D5" w14:textId="77777777" w:rsidR="00A53E33" w:rsidRPr="00EF744C" w:rsidRDefault="00A53E33">
      <w:pPr>
        <w:ind w:left="305" w:right="268"/>
        <w:jc w:val="both"/>
        <w:rPr>
          <w:rFonts w:ascii="Calibri" w:eastAsia="Calibri" w:hAnsi="Calibri" w:cs="Calibri"/>
          <w:sz w:val="22"/>
          <w:szCs w:val="22"/>
          <w:lang w:val="id-ID"/>
        </w:rPr>
      </w:pPr>
    </w:p>
    <w:p w14:paraId="381E108A" w14:textId="09DFE5CA" w:rsidR="000B0AC6" w:rsidRPr="00EF744C" w:rsidRDefault="00C4265B">
      <w:pPr>
        <w:ind w:left="305" w:right="268"/>
        <w:jc w:val="both"/>
        <w:rPr>
          <w:rFonts w:ascii="Calibri" w:eastAsia="Calibri" w:hAnsi="Calibri" w:cs="Calibri"/>
          <w:sz w:val="22"/>
          <w:szCs w:val="22"/>
        </w:rPr>
      </w:pPr>
      <w:bookmarkStart w:id="5" w:name="_Hlk119745478"/>
      <w:bookmarkEnd w:id="4"/>
      <w:r w:rsidRPr="00C4265B">
        <w:rPr>
          <w:rFonts w:ascii="Calibri" w:eastAsia="Calibri" w:hAnsi="Calibri" w:cs="Calibri"/>
          <w:sz w:val="22"/>
          <w:szCs w:val="22"/>
          <w:lang w:val="id-ID"/>
        </w:rPr>
        <w:t>Therefore, the novelties of this study are the use of the PGI model in the analysis and see the simultaneous relationship between variables. This study provides a new perspective on the relationship between income inequality, economic growth, and poverty in Yogyakarta Province. This study's writing is organi</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 xml:space="preserve">ed as follows. The study approach connected to the pertinent analytical methods and the model used </w:t>
      </w:r>
      <w:r w:rsidR="00290A8A">
        <w:rPr>
          <w:rFonts w:ascii="Calibri" w:eastAsia="Calibri" w:hAnsi="Calibri" w:cs="Calibri"/>
          <w:sz w:val="22"/>
          <w:szCs w:val="22"/>
          <w:lang w:val="id-ID"/>
        </w:rPr>
        <w:t>is</w:t>
      </w:r>
      <w:r w:rsidRPr="00C4265B">
        <w:rPr>
          <w:rFonts w:ascii="Calibri" w:eastAsia="Calibri" w:hAnsi="Calibri" w:cs="Calibri"/>
          <w:sz w:val="22"/>
          <w:szCs w:val="22"/>
          <w:lang w:val="id-ID"/>
        </w:rPr>
        <w:t xml:space="preserve"> discussed in Section 2. Section 3 will give the empirical findings and a discussion of the selected model, and Section 4 will conclude with recommendations for government action.</w:t>
      </w:r>
    </w:p>
    <w:bookmarkEnd w:id="5"/>
    <w:p w14:paraId="1164CE25" w14:textId="77777777" w:rsidR="00F52BF1" w:rsidRPr="00EF744C" w:rsidRDefault="00F52BF1">
      <w:pPr>
        <w:spacing w:line="200" w:lineRule="exact"/>
      </w:pPr>
    </w:p>
    <w:p w14:paraId="564952ED" w14:textId="77777777" w:rsidR="00C356AF" w:rsidRPr="00EF744C" w:rsidRDefault="00C356AF">
      <w:pPr>
        <w:spacing w:line="200" w:lineRule="exact"/>
      </w:pPr>
    </w:p>
    <w:p w14:paraId="0ECC54C8" w14:textId="77777777" w:rsidR="000B0AC6" w:rsidRPr="00EF744C" w:rsidRDefault="009129EE">
      <w:pPr>
        <w:ind w:left="3187" w:right="3189"/>
        <w:jc w:val="center"/>
        <w:rPr>
          <w:rFonts w:ascii="Garamond" w:eastAsia="Garamond" w:hAnsi="Garamond" w:cs="Garamond"/>
          <w:sz w:val="28"/>
          <w:szCs w:val="28"/>
        </w:rPr>
      </w:pPr>
      <w:r w:rsidRPr="00EF744C">
        <w:rPr>
          <w:rFonts w:ascii="Garamond" w:eastAsia="Garamond" w:hAnsi="Garamond" w:cs="Garamond"/>
          <w:b/>
          <w:sz w:val="28"/>
          <w:szCs w:val="28"/>
        </w:rPr>
        <w:lastRenderedPageBreak/>
        <w:t>Research</w:t>
      </w:r>
      <w:r w:rsidRPr="00EF744C">
        <w:rPr>
          <w:rFonts w:ascii="Garamond" w:eastAsia="Garamond" w:hAnsi="Garamond" w:cs="Garamond"/>
          <w:b/>
          <w:spacing w:val="-10"/>
          <w:sz w:val="28"/>
          <w:szCs w:val="28"/>
        </w:rPr>
        <w:t xml:space="preserve"> </w:t>
      </w:r>
      <w:r w:rsidRPr="00EF744C">
        <w:rPr>
          <w:rFonts w:ascii="Garamond" w:eastAsia="Garamond" w:hAnsi="Garamond" w:cs="Garamond"/>
          <w:b/>
          <w:w w:val="99"/>
          <w:sz w:val="28"/>
          <w:szCs w:val="28"/>
        </w:rPr>
        <w:t>Method</w:t>
      </w:r>
    </w:p>
    <w:p w14:paraId="4FDD40EA" w14:textId="77777777" w:rsidR="000B0AC6" w:rsidRPr="00EF744C" w:rsidRDefault="000B0AC6">
      <w:pPr>
        <w:spacing w:before="4" w:line="260" w:lineRule="exact"/>
        <w:rPr>
          <w:sz w:val="26"/>
          <w:szCs w:val="26"/>
        </w:rPr>
      </w:pPr>
    </w:p>
    <w:p w14:paraId="4A3D80EC" w14:textId="1A47564A" w:rsidR="005B1156" w:rsidRPr="00EF744C" w:rsidRDefault="00C4265B">
      <w:pPr>
        <w:ind w:left="305" w:right="264"/>
        <w:jc w:val="both"/>
        <w:rPr>
          <w:rFonts w:ascii="Calibri" w:eastAsia="Calibri" w:hAnsi="Calibri" w:cs="Calibri"/>
          <w:sz w:val="22"/>
          <w:szCs w:val="22"/>
          <w:lang w:val="id-ID"/>
        </w:rPr>
      </w:pPr>
      <w:bookmarkStart w:id="6" w:name="_Hlk119745500"/>
      <w:r w:rsidRPr="00C4265B">
        <w:rPr>
          <w:rFonts w:ascii="Calibri" w:eastAsia="Calibri" w:hAnsi="Calibri" w:cs="Calibri"/>
          <w:sz w:val="22"/>
          <w:szCs w:val="22"/>
        </w:rPr>
        <w:t xml:space="preserve">This study relies on secondary data from </w:t>
      </w:r>
      <w:r w:rsidR="00290A8A">
        <w:rPr>
          <w:rFonts w:ascii="Calibri" w:eastAsia="Calibri" w:hAnsi="Calibri" w:cs="Calibri"/>
          <w:sz w:val="22"/>
          <w:szCs w:val="22"/>
          <w:lang w:val="id-ID"/>
        </w:rPr>
        <w:t xml:space="preserve">the </w:t>
      </w:r>
      <w:r>
        <w:rPr>
          <w:rFonts w:ascii="Calibri" w:eastAsia="Calibri" w:hAnsi="Calibri" w:cs="Calibri"/>
          <w:sz w:val="22"/>
          <w:szCs w:val="22"/>
          <w:lang w:val="id-ID"/>
        </w:rPr>
        <w:t xml:space="preserve">Central Bureau of </w:t>
      </w:r>
      <w:r w:rsidRPr="00C4265B">
        <w:rPr>
          <w:rFonts w:ascii="Calibri" w:eastAsia="Calibri" w:hAnsi="Calibri" w:cs="Calibri"/>
          <w:sz w:val="22"/>
          <w:szCs w:val="22"/>
        </w:rPr>
        <w:t xml:space="preserve">Statistics Indonesia. Panel data were used in 5 districts of Yogyakarta Province from 2010 to 2021. The districts in this study are </w:t>
      </w:r>
      <w:proofErr w:type="spellStart"/>
      <w:r w:rsidRPr="00C4265B">
        <w:rPr>
          <w:rFonts w:ascii="Calibri" w:eastAsia="Calibri" w:hAnsi="Calibri" w:cs="Calibri"/>
          <w:sz w:val="22"/>
          <w:szCs w:val="22"/>
        </w:rPr>
        <w:t>Kulon</w:t>
      </w:r>
      <w:proofErr w:type="spellEnd"/>
      <w:r w:rsidRPr="00C4265B">
        <w:rPr>
          <w:rFonts w:ascii="Calibri" w:eastAsia="Calibri" w:hAnsi="Calibri" w:cs="Calibri"/>
          <w:sz w:val="22"/>
          <w:szCs w:val="22"/>
        </w:rPr>
        <w:t xml:space="preserve"> </w:t>
      </w:r>
      <w:r w:rsidR="00F27281">
        <w:rPr>
          <w:rFonts w:ascii="Calibri" w:eastAsia="Calibri" w:hAnsi="Calibri" w:cs="Calibri"/>
          <w:sz w:val="22"/>
          <w:szCs w:val="22"/>
          <w:lang w:val="id-ID"/>
        </w:rPr>
        <w:t>P</w:t>
      </w:r>
      <w:proofErr w:type="spellStart"/>
      <w:r w:rsidRPr="00C4265B">
        <w:rPr>
          <w:rFonts w:ascii="Calibri" w:eastAsia="Calibri" w:hAnsi="Calibri" w:cs="Calibri"/>
          <w:sz w:val="22"/>
          <w:szCs w:val="22"/>
        </w:rPr>
        <w:t>rogo</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Gunung</w:t>
      </w:r>
      <w:proofErr w:type="spellEnd"/>
      <w:r w:rsidR="00F27281">
        <w:rPr>
          <w:rFonts w:ascii="Calibri" w:eastAsia="Calibri" w:hAnsi="Calibri" w:cs="Calibri"/>
          <w:sz w:val="22"/>
          <w:szCs w:val="22"/>
          <w:lang w:val="id-ID"/>
        </w:rPr>
        <w:t xml:space="preserve"> K</w:t>
      </w:r>
      <w:proofErr w:type="spellStart"/>
      <w:r w:rsidRPr="00C4265B">
        <w:rPr>
          <w:rFonts w:ascii="Calibri" w:eastAsia="Calibri" w:hAnsi="Calibri" w:cs="Calibri"/>
          <w:sz w:val="22"/>
          <w:szCs w:val="22"/>
        </w:rPr>
        <w:t>idul</w:t>
      </w:r>
      <w:proofErr w:type="spellEnd"/>
      <w:r w:rsidRPr="00C4265B">
        <w:rPr>
          <w:rFonts w:ascii="Calibri" w:eastAsia="Calibri" w:hAnsi="Calibri" w:cs="Calibri"/>
          <w:sz w:val="22"/>
          <w:szCs w:val="22"/>
        </w:rPr>
        <w:t>, Bantul, Sleman, and Yogyakarta. The dependent variables of this study are income inequality, economic growth, and poverty. While, the predetermined variables are unemployment, investment, education, and wage. The data collected include the Regional Gross Domestic Product (economic growth) the number of poor people (poverty), the Gini ratio (income inequality), the open unemployment rate (unemployment), gross fixed capital (investment), the average length of schooling (education), and district minimum wage (wage).</w:t>
      </w:r>
      <w:r w:rsidR="00184B88" w:rsidRPr="00EF744C">
        <w:rPr>
          <w:rFonts w:ascii="Calibri" w:eastAsia="Calibri" w:hAnsi="Calibri" w:cs="Calibri"/>
          <w:sz w:val="22"/>
          <w:szCs w:val="22"/>
          <w:lang w:val="id-ID"/>
        </w:rPr>
        <w:t xml:space="preserve"> </w:t>
      </w:r>
      <w:r w:rsidR="00184B88" w:rsidRPr="00EF744C" w:rsidDel="00184B88">
        <w:rPr>
          <w:rFonts w:ascii="Calibri" w:eastAsia="Calibri" w:hAnsi="Calibri" w:cs="Calibri"/>
          <w:sz w:val="22"/>
          <w:szCs w:val="22"/>
        </w:rPr>
        <w:t xml:space="preserve"> </w:t>
      </w:r>
      <w:bookmarkEnd w:id="6"/>
    </w:p>
    <w:p w14:paraId="3487BD45" w14:textId="77777777" w:rsidR="005B1156" w:rsidRPr="00EF744C" w:rsidRDefault="005B1156" w:rsidP="005B1156">
      <w:pPr>
        <w:ind w:left="305" w:right="264"/>
        <w:jc w:val="both"/>
        <w:rPr>
          <w:rFonts w:ascii="Calibri" w:eastAsia="Calibri" w:hAnsi="Calibri" w:cs="Calibri"/>
          <w:sz w:val="22"/>
          <w:szCs w:val="22"/>
          <w:lang w:val="id-ID"/>
        </w:rPr>
      </w:pPr>
    </w:p>
    <w:p w14:paraId="407A55A8" w14:textId="0487CFD4" w:rsidR="003E27FA" w:rsidRPr="00EF744C" w:rsidRDefault="00C4265B" w:rsidP="004001EA">
      <w:pPr>
        <w:ind w:left="305" w:right="264"/>
        <w:jc w:val="both"/>
        <w:rPr>
          <w:rFonts w:ascii="Calibri" w:eastAsia="Calibri" w:hAnsi="Calibri" w:cs="Calibri"/>
          <w:sz w:val="22"/>
          <w:szCs w:val="22"/>
        </w:rPr>
      </w:pPr>
      <w:r w:rsidRPr="00C4265B">
        <w:rPr>
          <w:rFonts w:ascii="Calibri" w:eastAsia="Calibri" w:hAnsi="Calibri" w:cs="Calibri"/>
          <w:sz w:val="22"/>
          <w:szCs w:val="22"/>
        </w:rPr>
        <w:t>This study employs contemporaneous interdependence between the dependent variables as a method of quantitative analysis. Therefore, a system of simultaneous equations model (SEM) was developed to examine the connection between income disparity, economic growth, and poverty. By considering the data from other equations, this model might allow a reciprocal interaction between variables (</w:t>
      </w:r>
      <w:proofErr w:type="spellStart"/>
      <w:r w:rsidRPr="00C4265B">
        <w:rPr>
          <w:rFonts w:ascii="Calibri" w:eastAsia="Calibri" w:hAnsi="Calibri" w:cs="Calibri"/>
          <w:sz w:val="22"/>
          <w:szCs w:val="22"/>
        </w:rPr>
        <w:t>Guiga</w:t>
      </w:r>
      <w:proofErr w:type="spellEnd"/>
      <w:r w:rsidRPr="00C4265B">
        <w:rPr>
          <w:rFonts w:ascii="Calibri" w:eastAsia="Calibri" w:hAnsi="Calibri" w:cs="Calibri"/>
          <w:sz w:val="22"/>
          <w:szCs w:val="22"/>
        </w:rPr>
        <w:t xml:space="preserve"> &amp; </w:t>
      </w:r>
      <w:proofErr w:type="spellStart"/>
      <w:r w:rsidRPr="00C4265B">
        <w:rPr>
          <w:rFonts w:ascii="Calibri" w:eastAsia="Calibri" w:hAnsi="Calibri" w:cs="Calibri"/>
          <w:sz w:val="22"/>
          <w:szCs w:val="22"/>
        </w:rPr>
        <w:t>Rejeb</w:t>
      </w:r>
      <w:proofErr w:type="spellEnd"/>
      <w:r w:rsidRPr="00C4265B">
        <w:rPr>
          <w:rFonts w:ascii="Calibri" w:eastAsia="Calibri" w:hAnsi="Calibri" w:cs="Calibri"/>
          <w:sz w:val="22"/>
          <w:szCs w:val="22"/>
        </w:rPr>
        <w:t>, 2012) which would make the relationship highly complex. Additionally, the two-way link between the variable and this model can be examined using this model (</w:t>
      </w:r>
      <w:proofErr w:type="spellStart"/>
      <w:r w:rsidRPr="00C4265B">
        <w:rPr>
          <w:rFonts w:ascii="Calibri" w:eastAsia="Calibri" w:hAnsi="Calibri" w:cs="Calibri"/>
          <w:sz w:val="22"/>
          <w:szCs w:val="22"/>
        </w:rPr>
        <w:t>Suriani</w:t>
      </w:r>
      <w:proofErr w:type="spellEnd"/>
      <w:r w:rsidRPr="00C4265B">
        <w:rPr>
          <w:rFonts w:ascii="Calibri" w:eastAsia="Calibri" w:hAnsi="Calibri" w:cs="Calibri"/>
          <w:sz w:val="22"/>
          <w:szCs w:val="22"/>
        </w:rPr>
        <w:t xml:space="preserve"> &amp; </w:t>
      </w:r>
      <w:proofErr w:type="spellStart"/>
      <w:r w:rsidRPr="00C4265B">
        <w:rPr>
          <w:rFonts w:ascii="Calibri" w:eastAsia="Calibri" w:hAnsi="Calibri" w:cs="Calibri"/>
          <w:sz w:val="22"/>
          <w:szCs w:val="22"/>
        </w:rPr>
        <w:t>Seftarita</w:t>
      </w:r>
      <w:proofErr w:type="spellEnd"/>
      <w:r w:rsidRPr="00C4265B">
        <w:rPr>
          <w:rFonts w:ascii="Calibri" w:eastAsia="Calibri" w:hAnsi="Calibri" w:cs="Calibri"/>
          <w:sz w:val="22"/>
          <w:szCs w:val="22"/>
        </w:rPr>
        <w:t>, 2022).</w:t>
      </w:r>
    </w:p>
    <w:p w14:paraId="6D9D40A6" w14:textId="77777777" w:rsidR="003E27FA" w:rsidRPr="00EF744C" w:rsidRDefault="003E27FA" w:rsidP="004001EA">
      <w:pPr>
        <w:ind w:left="305" w:right="264"/>
        <w:jc w:val="both"/>
        <w:rPr>
          <w:rFonts w:ascii="Calibri" w:eastAsia="Calibri" w:hAnsi="Calibri" w:cs="Calibri"/>
          <w:sz w:val="22"/>
          <w:szCs w:val="22"/>
        </w:rPr>
      </w:pPr>
    </w:p>
    <w:p w14:paraId="747239DC" w14:textId="26C724D4" w:rsidR="004001EA" w:rsidRPr="00EF744C" w:rsidRDefault="00C4265B" w:rsidP="003E27FA">
      <w:pPr>
        <w:ind w:left="305" w:right="264"/>
        <w:jc w:val="both"/>
        <w:rPr>
          <w:rFonts w:ascii="Calibri" w:eastAsia="Calibri" w:hAnsi="Calibri" w:cs="Calibri"/>
          <w:sz w:val="22"/>
          <w:szCs w:val="22"/>
        </w:rPr>
      </w:pPr>
      <w:r w:rsidRPr="00C4265B">
        <w:rPr>
          <w:rFonts w:ascii="Calibri" w:eastAsia="Calibri" w:hAnsi="Calibri" w:cs="Calibri"/>
          <w:sz w:val="22"/>
          <w:szCs w:val="22"/>
        </w:rPr>
        <w:t xml:space="preserve">Due to its consistency and efficiency compared to estimates based on a single equation or 2SLS (two-stage-least-square) (Zellner &amp; Theil, 1962), this study uses the three-stage-least-square (3SLS) estimation method. This method allows for unobserved correlation disturbances across multiple equations (Bakhsh et al., 2017). Based on </w:t>
      </w:r>
      <w:proofErr w:type="spellStart"/>
      <w:r w:rsidRPr="00C4265B">
        <w:rPr>
          <w:rFonts w:ascii="Calibri" w:eastAsia="Calibri" w:hAnsi="Calibri" w:cs="Calibri"/>
          <w:sz w:val="22"/>
          <w:szCs w:val="22"/>
        </w:rPr>
        <w:t>Guiga</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Rejeb's</w:t>
      </w:r>
      <w:proofErr w:type="spellEnd"/>
      <w:r w:rsidRPr="00C4265B">
        <w:rPr>
          <w:rFonts w:ascii="Calibri" w:eastAsia="Calibri" w:hAnsi="Calibri" w:cs="Calibri"/>
          <w:sz w:val="22"/>
          <w:szCs w:val="22"/>
        </w:rPr>
        <w:t xml:space="preserve"> (2012) work, the simultaneous equations model's system is adjusted in this study and can be observed as follows:</w:t>
      </w:r>
    </w:p>
    <w:p w14:paraId="4AC2D70C" w14:textId="77777777" w:rsidR="004001EA" w:rsidRPr="00EF744C" w:rsidRDefault="004001EA" w:rsidP="004001EA">
      <w:pPr>
        <w:spacing w:before="56"/>
        <w:ind w:right="1060"/>
        <w:jc w:val="both"/>
        <w:rPr>
          <w:rFonts w:cstheme="minorHAnsi"/>
        </w:rPr>
      </w:pPr>
    </w:p>
    <w:p w14:paraId="4F327D8B" w14:textId="2E1E631C" w:rsidR="004001EA" w:rsidRPr="00EF744C" w:rsidRDefault="00677020" w:rsidP="004001EA">
      <w:pPr>
        <w:tabs>
          <w:tab w:val="left" w:pos="7938"/>
        </w:tabs>
        <w:spacing w:before="56"/>
        <w:ind w:right="196" w:firstLine="284"/>
        <w:jc w:val="both"/>
        <w:rPr>
          <w:rFonts w:asciiTheme="minorHAnsi" w:eastAsiaTheme="minorEastAsia" w:hAnsiTheme="minorHAnsi" w:cstheme="minorHAnsi"/>
          <w:iCs/>
          <w:sz w:val="22"/>
          <w:szCs w:val="22"/>
        </w:rPr>
      </w:pPr>
      <m:oMath>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RGDP</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m:t>
            </m:r>
          </m:e>
          <m:sub>
            <m:r>
              <m:rPr>
                <m:sty m:val="p"/>
              </m:rPr>
              <w:rPr>
                <w:rFonts w:ascii="Cambria Math" w:hAnsi="Cambria Math" w:cstheme="minorHAnsi"/>
                <w:sz w:val="22"/>
                <w:szCs w:val="22"/>
              </w:rPr>
              <m:t>1</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11</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 xml:space="preserve">Pov </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12</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Gini</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13</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Inv</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ε</m:t>
            </m:r>
          </m:e>
          <m:sub>
            <m:r>
              <m:rPr>
                <m:sty m:val="p"/>
              </m:rPr>
              <w:rPr>
                <w:rFonts w:ascii="Cambria Math" w:hAnsi="Cambria Math" w:cstheme="minorHAnsi"/>
                <w:sz w:val="22"/>
                <w:szCs w:val="22"/>
              </w:rPr>
              <m:t>1it</m:t>
            </m:r>
          </m:sub>
        </m:sSub>
      </m:oMath>
      <w:r w:rsidR="004001EA" w:rsidRPr="00EF744C">
        <w:rPr>
          <w:rFonts w:asciiTheme="minorHAnsi" w:eastAsiaTheme="minorEastAsia" w:hAnsiTheme="minorHAnsi" w:cstheme="minorHAnsi"/>
          <w:iCs/>
          <w:sz w:val="22"/>
          <w:szCs w:val="22"/>
        </w:rPr>
        <w:t xml:space="preserve"> </w:t>
      </w:r>
      <w:r w:rsidR="004001EA" w:rsidRPr="00EF744C">
        <w:rPr>
          <w:rFonts w:asciiTheme="minorHAnsi" w:eastAsiaTheme="minorEastAsia" w:hAnsiTheme="minorHAnsi" w:cstheme="minorHAnsi"/>
          <w:iCs/>
          <w:sz w:val="22"/>
          <w:szCs w:val="22"/>
        </w:rPr>
        <w:tab/>
        <w:t xml:space="preserve"> (1)</w:t>
      </w:r>
    </w:p>
    <w:p w14:paraId="4DE26214" w14:textId="5328838B" w:rsidR="004001EA" w:rsidRPr="00EF744C" w:rsidRDefault="004001EA" w:rsidP="004001EA">
      <w:pPr>
        <w:tabs>
          <w:tab w:val="left" w:pos="7938"/>
        </w:tabs>
        <w:spacing w:before="56"/>
        <w:ind w:right="196" w:firstLine="284"/>
        <w:jc w:val="both"/>
        <w:rPr>
          <w:rFonts w:asciiTheme="minorHAnsi" w:eastAsiaTheme="minorEastAsia" w:hAnsiTheme="minorHAnsi" w:cstheme="minorHAnsi"/>
          <w:iCs/>
          <w:sz w:val="22"/>
          <w:szCs w:val="22"/>
        </w:rPr>
      </w:pPr>
      <m:oMath>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Pov</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m:t>
            </m:r>
          </m:e>
          <m:sub>
            <m:r>
              <m:rPr>
                <m:sty m:val="p"/>
              </m:rPr>
              <w:rPr>
                <w:rFonts w:ascii="Cambria Math" w:hAnsi="Cambria Math" w:cstheme="minorHAnsi"/>
                <w:sz w:val="22"/>
                <w:szCs w:val="22"/>
              </w:rPr>
              <m:t>2</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21</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LnGini</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22</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RGDP</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23</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LnEdu</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24</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Un</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+ε</m:t>
            </m:r>
          </m:e>
          <m:sub>
            <m:r>
              <m:rPr>
                <m:sty m:val="p"/>
              </m:rPr>
              <w:rPr>
                <w:rFonts w:ascii="Cambria Math" w:hAnsi="Cambria Math" w:cstheme="minorHAnsi"/>
                <w:sz w:val="22"/>
                <w:szCs w:val="22"/>
              </w:rPr>
              <m:t>2it</m:t>
            </m:r>
          </m:sub>
        </m:sSub>
      </m:oMath>
      <w:r w:rsidRPr="00EF744C">
        <w:rPr>
          <w:rFonts w:asciiTheme="minorHAnsi" w:eastAsiaTheme="minorEastAsia" w:hAnsiTheme="minorHAnsi" w:cstheme="minorHAnsi"/>
          <w:sz w:val="22"/>
          <w:szCs w:val="22"/>
        </w:rPr>
        <w:t xml:space="preserve"> </w:t>
      </w:r>
      <w:r w:rsidRPr="00EF744C">
        <w:rPr>
          <w:rFonts w:asciiTheme="minorHAnsi" w:eastAsiaTheme="minorEastAsia" w:hAnsiTheme="minorHAnsi" w:cstheme="minorHAnsi"/>
          <w:sz w:val="22"/>
          <w:szCs w:val="22"/>
        </w:rPr>
        <w:tab/>
        <w:t xml:space="preserve"> (2)</w:t>
      </w:r>
    </w:p>
    <w:p w14:paraId="256EB9DF" w14:textId="3E592604" w:rsidR="004001EA" w:rsidRPr="00EF744C" w:rsidRDefault="004001EA" w:rsidP="004001EA">
      <w:pPr>
        <w:spacing w:before="56"/>
        <w:ind w:right="196" w:firstLine="284"/>
        <w:jc w:val="both"/>
        <w:rPr>
          <w:rFonts w:asciiTheme="minorHAnsi" w:eastAsiaTheme="minorEastAsia" w:hAnsiTheme="minorHAnsi" w:cstheme="minorHAnsi"/>
          <w:iCs/>
          <w:sz w:val="22"/>
          <w:szCs w:val="22"/>
        </w:rPr>
      </w:pPr>
      <m:oMath>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Gini</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 xml:space="preserve">= </m:t>
        </m:r>
        <m:sSub>
          <m:sSubPr>
            <m:ctrlPr>
              <w:rPr>
                <w:rFonts w:ascii="Cambria Math" w:hAnsi="Cambria Math" w:cstheme="minorHAnsi"/>
                <w:iCs/>
                <w:sz w:val="22"/>
                <w:szCs w:val="22"/>
              </w:rPr>
            </m:ctrlPr>
          </m:sSubPr>
          <m:e>
            <m:r>
              <m:rPr>
                <m:sty m:val="p"/>
              </m:rPr>
              <w:rPr>
                <w:rFonts w:ascii="Cambria Math" w:hAnsi="Cambria Math" w:cstheme="minorHAnsi"/>
                <w:sz w:val="22"/>
                <w:szCs w:val="22"/>
              </w:rPr>
              <m:t>∝</m:t>
            </m:r>
          </m:e>
          <m:sub>
            <m:r>
              <m:rPr>
                <m:sty m:val="p"/>
              </m:rPr>
              <w:rPr>
                <w:rFonts w:ascii="Cambria Math" w:hAnsi="Cambria Math" w:cstheme="minorHAnsi"/>
                <w:sz w:val="22"/>
                <w:szCs w:val="22"/>
              </w:rPr>
              <m:t>3</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31</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Pov</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32</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RGDP</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33</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 xml:space="preserve">LnWage </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34</m:t>
            </m:r>
          </m:sub>
        </m:sSub>
        <m: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 xml:space="preserve">Edu </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ε</m:t>
            </m:r>
          </m:e>
          <m:sub>
            <m:r>
              <m:rPr>
                <m:sty m:val="p"/>
              </m:rPr>
              <w:rPr>
                <w:rFonts w:ascii="Cambria Math" w:hAnsi="Cambria Math" w:cstheme="minorHAnsi"/>
                <w:sz w:val="22"/>
                <w:szCs w:val="22"/>
              </w:rPr>
              <m:t>3it</m:t>
            </m:r>
          </m:sub>
        </m:sSub>
      </m:oMath>
      <w:r w:rsidRPr="00EF744C">
        <w:rPr>
          <w:rFonts w:asciiTheme="minorHAnsi" w:eastAsiaTheme="minorEastAsia" w:hAnsiTheme="minorHAnsi" w:cstheme="minorHAnsi"/>
          <w:sz w:val="22"/>
          <w:szCs w:val="22"/>
        </w:rPr>
        <w:t xml:space="preserve"> </w:t>
      </w:r>
      <w:r w:rsidRPr="00EF744C">
        <w:rPr>
          <w:rFonts w:asciiTheme="minorHAnsi" w:eastAsiaTheme="minorEastAsia" w:hAnsiTheme="minorHAnsi" w:cstheme="minorHAnsi"/>
          <w:sz w:val="22"/>
          <w:szCs w:val="22"/>
        </w:rPr>
        <w:tab/>
      </w:r>
      <w:r w:rsidR="00860386" w:rsidRPr="00EF744C">
        <w:rPr>
          <w:rFonts w:asciiTheme="minorHAnsi" w:eastAsiaTheme="minorEastAsia" w:hAnsiTheme="minorHAnsi" w:cstheme="minorHAnsi"/>
          <w:sz w:val="22"/>
          <w:szCs w:val="22"/>
        </w:rPr>
        <w:t xml:space="preserve"> </w:t>
      </w:r>
      <w:r w:rsidRPr="00EF744C">
        <w:rPr>
          <w:rFonts w:asciiTheme="minorHAnsi" w:eastAsiaTheme="minorEastAsia" w:hAnsiTheme="minorHAnsi" w:cstheme="minorHAnsi"/>
          <w:sz w:val="22"/>
          <w:szCs w:val="22"/>
        </w:rPr>
        <w:t>(3)</w:t>
      </w:r>
    </w:p>
    <w:p w14:paraId="376FB424" w14:textId="77777777" w:rsidR="004001EA" w:rsidRPr="00EF744C" w:rsidRDefault="004001EA" w:rsidP="004001EA">
      <w:pPr>
        <w:ind w:left="305" w:right="264"/>
        <w:jc w:val="both"/>
        <w:rPr>
          <w:rFonts w:ascii="Calibri" w:eastAsia="Calibri" w:hAnsi="Calibri" w:cs="Calibri"/>
          <w:sz w:val="22"/>
          <w:szCs w:val="22"/>
          <w:lang w:val="id-ID"/>
        </w:rPr>
      </w:pPr>
    </w:p>
    <w:p w14:paraId="41E79938" w14:textId="649C7FA7" w:rsidR="000C2E89" w:rsidRPr="00C4265B" w:rsidRDefault="00C4265B" w:rsidP="004001EA">
      <w:pPr>
        <w:ind w:left="305" w:right="264"/>
        <w:jc w:val="both"/>
        <w:rPr>
          <w:rFonts w:asciiTheme="minorHAnsi" w:eastAsia="Calibri" w:hAnsiTheme="minorHAnsi" w:cstheme="minorHAnsi"/>
          <w:lang w:val="id-ID"/>
        </w:rPr>
      </w:pPr>
      <w:bookmarkStart w:id="7" w:name="_Hlk114779744"/>
      <w:r w:rsidRPr="00C4265B">
        <w:rPr>
          <w:rFonts w:asciiTheme="minorHAnsi" w:eastAsia="Calibri" w:hAnsiTheme="minorHAnsi" w:cstheme="minorHAnsi"/>
          <w:sz w:val="22"/>
          <w:szCs w:val="22"/>
          <w:lang w:val="en-GB"/>
        </w:rPr>
        <w:t xml:space="preserve">Where </w:t>
      </w:r>
      <m:oMath>
        <m:sSub>
          <m:sSubPr>
            <m:ctrlPr>
              <w:rPr>
                <w:rFonts w:ascii="Cambria Math" w:hAnsi="Cambria Math" w:cstheme="minorHAnsi"/>
                <w:iCs/>
                <w:sz w:val="22"/>
                <w:szCs w:val="22"/>
                <w:lang w:val="en-GB"/>
              </w:rPr>
            </m:ctrlPr>
          </m:sSubPr>
          <m:e>
            <m:r>
              <m:rPr>
                <m:sty m:val="p"/>
              </m:rPr>
              <w:rPr>
                <w:rFonts w:ascii="Cambria Math" w:hAnsi="Cambria Math" w:cstheme="minorHAnsi"/>
                <w:sz w:val="22"/>
                <w:szCs w:val="22"/>
                <w:lang w:val="en-GB"/>
              </w:rPr>
              <m:t>∝</m:t>
            </m:r>
          </m:e>
          <m:sub>
            <m:r>
              <m:rPr>
                <m:sty m:val="p"/>
              </m:rPr>
              <w:rPr>
                <w:rFonts w:ascii="Cambria Math" w:hAnsi="Cambria Math" w:cstheme="minorHAnsi"/>
                <w:sz w:val="22"/>
                <w:szCs w:val="22"/>
                <w:lang w:val="en-GB"/>
              </w:rPr>
              <m:t>1, 2, 3</m:t>
            </m:r>
          </m:sub>
        </m:sSub>
        <m:r>
          <w:rPr>
            <w:rFonts w:ascii="Cambria Math" w:hAnsi="Cambria Math" w:cstheme="minorHAnsi"/>
            <w:sz w:val="22"/>
            <w:szCs w:val="22"/>
            <w:lang w:val="en-GB"/>
          </w:rPr>
          <m:t xml:space="preserve">  </m:t>
        </m:r>
      </m:oMath>
      <w:r w:rsidRPr="00C4265B">
        <w:rPr>
          <w:rFonts w:asciiTheme="minorHAnsi" w:eastAsia="Calibri" w:hAnsiTheme="minorHAnsi" w:cstheme="minorHAnsi"/>
          <w:sz w:val="22"/>
          <w:szCs w:val="22"/>
          <w:lang w:val="en-GB"/>
        </w:rPr>
        <w:t xml:space="preserve">are constant coefficients </w:t>
      </w:r>
      <m:oMath>
        <m:r>
          <w:rPr>
            <w:rFonts w:ascii="Cambria Math" w:eastAsia="Calibri" w:hAnsi="Cambria Math" w:cstheme="minorHAnsi"/>
            <w:sz w:val="22"/>
            <w:szCs w:val="22"/>
            <w:lang w:val="en-GB"/>
          </w:rPr>
          <m:t xml:space="preserve"> </m:t>
        </m:r>
        <m:sSub>
          <m:sSubPr>
            <m:ctrlPr>
              <w:rPr>
                <w:rFonts w:ascii="Cambria Math" w:hAnsi="Cambria Math" w:cstheme="minorHAnsi"/>
                <w:iCs/>
                <w:sz w:val="22"/>
                <w:szCs w:val="22"/>
                <w:lang w:val="en-GB"/>
              </w:rPr>
            </m:ctrlPr>
          </m:sSubPr>
          <m:e>
            <m:r>
              <m:rPr>
                <m:sty m:val="p"/>
              </m:rPr>
              <w:rPr>
                <w:rFonts w:ascii="Cambria Math" w:hAnsi="Cambria Math" w:cstheme="minorHAnsi"/>
                <w:sz w:val="22"/>
                <w:szCs w:val="22"/>
                <w:lang w:val="en-GB"/>
              </w:rPr>
              <m:t>β</m:t>
            </m:r>
          </m:e>
          <m:sub>
            <m:r>
              <m:rPr>
                <m:sty m:val="p"/>
              </m:rPr>
              <w:rPr>
                <w:rFonts w:ascii="Cambria Math" w:hAnsi="Cambria Math" w:cstheme="minorHAnsi"/>
                <w:sz w:val="22"/>
                <w:szCs w:val="22"/>
                <w:lang w:val="en-GB"/>
              </w:rPr>
              <m:t xml:space="preserve">11,12,.., 34  </m:t>
            </m:r>
          </m:sub>
        </m:sSub>
      </m:oMath>
      <w:r w:rsidRPr="00C4265B">
        <w:rPr>
          <w:rFonts w:asciiTheme="minorHAnsi" w:eastAsia="Calibri" w:hAnsiTheme="minorHAnsi" w:cstheme="minorHAnsi"/>
          <w:iCs/>
          <w:sz w:val="22"/>
          <w:szCs w:val="22"/>
          <w:lang w:val="en-GB"/>
        </w:rPr>
        <w:t xml:space="preserve">subscription </w:t>
      </w:r>
      <w:r w:rsidRPr="00C4265B">
        <w:rPr>
          <w:rFonts w:asciiTheme="minorHAnsi" w:eastAsia="Calibri" w:hAnsiTheme="minorHAnsi" w:cstheme="minorHAnsi"/>
          <w:sz w:val="22"/>
          <w:szCs w:val="22"/>
          <w:lang w:val="en-GB"/>
        </w:rPr>
        <w:t xml:space="preserve">parameter coefficients, </w:t>
      </w:r>
      <m:oMath>
        <m:sSub>
          <m:sSubPr>
            <m:ctrlPr>
              <w:rPr>
                <w:rFonts w:ascii="Cambria Math" w:hAnsi="Cambria Math" w:cstheme="minorHAnsi"/>
                <w:iCs/>
                <w:sz w:val="22"/>
                <w:szCs w:val="22"/>
                <w:lang w:val="en-GB"/>
              </w:rPr>
            </m:ctrlPr>
          </m:sSubPr>
          <m:e>
            <m:r>
              <m:rPr>
                <m:sty m:val="p"/>
              </m:rPr>
              <w:rPr>
                <w:rFonts w:ascii="Cambria Math" w:hAnsi="Cambria Math" w:cstheme="minorHAnsi"/>
                <w:sz w:val="22"/>
                <w:szCs w:val="22"/>
                <w:lang w:val="en-GB"/>
              </w:rPr>
              <m:t>ε</m:t>
            </m:r>
          </m:e>
          <m:sub>
            <m:r>
              <m:rPr>
                <m:sty m:val="p"/>
              </m:rPr>
              <w:rPr>
                <w:rFonts w:ascii="Cambria Math" w:hAnsi="Cambria Math" w:cstheme="minorHAnsi"/>
                <w:sz w:val="22"/>
                <w:szCs w:val="22"/>
                <w:lang w:val="en-GB"/>
              </w:rPr>
              <m:t>1it,2it, 3it</m:t>
            </m:r>
          </m:sub>
        </m:sSub>
      </m:oMath>
      <w:r w:rsidRPr="00C4265B">
        <w:rPr>
          <w:rFonts w:asciiTheme="minorHAnsi" w:eastAsia="Calibri" w:hAnsiTheme="minorHAnsi" w:cstheme="minorHAnsi"/>
          <w:sz w:val="22"/>
          <w:szCs w:val="22"/>
          <w:lang w:val="en-GB"/>
        </w:rPr>
        <w:t xml:space="preserve">   are residuals, RGDP is the regional domestic product, Pov is the number of the poor population, Gini is the income Gini ratio, Inv is gross fixed capital, Edu is the average length of schooling, Un is the open unemployment rate, and Wage is the district minimum wages in each district.</w:t>
      </w:r>
      <w:bookmarkEnd w:id="7"/>
    </w:p>
    <w:p w14:paraId="6BF178A8" w14:textId="77777777" w:rsidR="000C2E89" w:rsidRPr="00EF744C" w:rsidRDefault="000C2E89" w:rsidP="004001EA">
      <w:pPr>
        <w:ind w:left="305" w:right="264"/>
        <w:jc w:val="both"/>
        <w:rPr>
          <w:rFonts w:ascii="Calibri" w:eastAsia="Calibri" w:hAnsi="Calibri" w:cs="Calibri"/>
          <w:sz w:val="22"/>
          <w:szCs w:val="22"/>
          <w:lang w:val="id-ID"/>
        </w:rPr>
      </w:pPr>
    </w:p>
    <w:p w14:paraId="5151914D" w14:textId="09F5AB6F" w:rsidR="004001EA" w:rsidRPr="00EF744C" w:rsidRDefault="00C4265B" w:rsidP="004001EA">
      <w:pPr>
        <w:ind w:left="305" w:right="264"/>
        <w:jc w:val="both"/>
        <w:rPr>
          <w:rFonts w:ascii="Calibri" w:eastAsia="Calibri" w:hAnsi="Calibri" w:cs="Calibri"/>
          <w:sz w:val="22"/>
          <w:szCs w:val="22"/>
          <w:lang w:val="id-ID"/>
        </w:rPr>
      </w:pPr>
      <w:r w:rsidRPr="00C4265B">
        <w:rPr>
          <w:rFonts w:ascii="Calibri" w:eastAsia="Calibri" w:hAnsi="Calibri" w:cs="Calibri"/>
          <w:sz w:val="22"/>
          <w:szCs w:val="22"/>
          <w:lang w:val="id-ID"/>
        </w:rPr>
        <w:t>This system of equations includes three structural models. The first model expresses the economic growth equation. The second model represents the poverty equation and the third model is the income inequality equation. The endogenous variables on the system equation are economic growth (RGDP), poverty (Pov), and income inequality (Gini). The independent variables (in SEM, it is called predetermined variables) are investment (Inv), unemployment (Un), education (Edu), and district minimum wage (Wage). The RGDP, Pov, Gini, Edu, and Wage are expressed in the natural logarithmic form indicating their growth so that in its interpretation, they are expressed in percentage. Inv is expressed in billion rupiahs and Un is expressed in percentages.</w:t>
      </w:r>
    </w:p>
    <w:p w14:paraId="15219B8A" w14:textId="042D1410" w:rsidR="0065217C" w:rsidRPr="00EF744C" w:rsidRDefault="0065217C" w:rsidP="004001EA">
      <w:pPr>
        <w:ind w:left="305" w:right="264"/>
        <w:jc w:val="both"/>
        <w:rPr>
          <w:rFonts w:ascii="Calibri" w:eastAsia="Calibri" w:hAnsi="Calibri" w:cs="Calibri"/>
          <w:sz w:val="22"/>
          <w:szCs w:val="22"/>
          <w:lang w:val="id-ID"/>
        </w:rPr>
      </w:pPr>
    </w:p>
    <w:p w14:paraId="3E9B9C74" w14:textId="0016D89A" w:rsidR="0065217C" w:rsidRPr="00EF744C" w:rsidRDefault="00C4265B" w:rsidP="004001EA">
      <w:pPr>
        <w:ind w:left="305" w:right="264"/>
        <w:jc w:val="both"/>
        <w:rPr>
          <w:rFonts w:ascii="Calibri" w:eastAsia="Calibri" w:hAnsi="Calibri" w:cs="Calibri"/>
          <w:sz w:val="22"/>
          <w:szCs w:val="22"/>
        </w:rPr>
      </w:pPr>
      <w:r w:rsidRPr="00C4265B">
        <w:rPr>
          <w:rFonts w:ascii="Calibri" w:eastAsia="Calibri" w:hAnsi="Calibri" w:cs="Calibri"/>
          <w:sz w:val="22"/>
          <w:szCs w:val="22"/>
          <w:lang w:val="id-ID"/>
        </w:rPr>
        <w:lastRenderedPageBreak/>
        <w:t>Economic growth is the total economic output from each district (regional gross domestic product) in the form of a natural logarithm as a proxy for economic growth on an annual basis based on fixed prices in 2010. This study uses data for the month of March for the population of the poor in each district, which is based on semi-annual statistics. Income inequality is the income Gini ratio that describes the income inequality in each district, which is semi-annual data, and the Gini ratio used is for the March period. Investment is gross fixed capital in each district, collected annually on fixed prices in 2010. Unemployment is the ratio of unemployed individuals to the labor force, often known as the open unemployment rate. This analysis utili</w:t>
      </w:r>
      <w:r w:rsidR="000A4964">
        <w:rPr>
          <w:rFonts w:ascii="Calibri" w:eastAsia="Calibri" w:hAnsi="Calibri" w:cs="Calibri"/>
          <w:sz w:val="22"/>
          <w:szCs w:val="22"/>
          <w:lang w:val="id-ID"/>
        </w:rPr>
        <w:t>z</w:t>
      </w:r>
      <w:r w:rsidRPr="00C4265B">
        <w:rPr>
          <w:rFonts w:ascii="Calibri" w:eastAsia="Calibri" w:hAnsi="Calibri" w:cs="Calibri"/>
          <w:sz w:val="22"/>
          <w:szCs w:val="22"/>
          <w:lang w:val="id-ID"/>
        </w:rPr>
        <w:t>es the semi-annual statistics for the open unemployment rate for the month of August. In the form of annual data, education is the average length of schooling in each district. Annual data represents the district minimum wage in each district.</w:t>
      </w:r>
    </w:p>
    <w:p w14:paraId="543BD16E" w14:textId="77777777" w:rsidR="004001EA" w:rsidRPr="00EF744C" w:rsidRDefault="004001EA" w:rsidP="004001EA">
      <w:pPr>
        <w:ind w:left="305" w:right="264"/>
        <w:jc w:val="both"/>
        <w:rPr>
          <w:rFonts w:ascii="Calibri" w:eastAsia="Calibri" w:hAnsi="Calibri" w:cs="Calibri"/>
          <w:sz w:val="22"/>
          <w:szCs w:val="22"/>
          <w:lang w:val="id-ID"/>
        </w:rPr>
      </w:pPr>
    </w:p>
    <w:p w14:paraId="363D6D95" w14:textId="0AE9AC53" w:rsidR="004001EA" w:rsidRPr="00EF744C" w:rsidRDefault="00C4265B" w:rsidP="004001EA">
      <w:pPr>
        <w:ind w:left="305" w:right="264"/>
        <w:jc w:val="both"/>
        <w:rPr>
          <w:rFonts w:ascii="Calibri" w:eastAsia="Calibri" w:hAnsi="Calibri" w:cs="Calibri"/>
          <w:sz w:val="22"/>
          <w:szCs w:val="22"/>
          <w:lang w:val="id-ID"/>
        </w:rPr>
      </w:pPr>
      <w:bookmarkStart w:id="8" w:name="_Hlk119745629"/>
      <w:r w:rsidRPr="00C4265B">
        <w:rPr>
          <w:rFonts w:ascii="Calibri" w:eastAsia="Calibri" w:hAnsi="Calibri" w:cs="Calibri"/>
          <w:sz w:val="22"/>
          <w:szCs w:val="22"/>
          <w:lang w:val="id-ID"/>
        </w:rPr>
        <w:t>The steps for this research method are as follows. First, the simultaneity problem or endogeneity of the variables (economic growth, poverty, and income inequality) will be tested using the Hausman Simultaneity Test (Gujarati, 2009). Second, identify the structural equation to ensure the 3SLS estimation method can be used. 'K' is the sum of predetermined variables in the system, and k is the sum of predetermined variables in each structural equation. 'm' is the sum of endogenous variables in each structural equation. The structural equation is Over-identified if K-k &gt; m-1, Exactly-identified if K-k = m-1, and Under-identified K-k &lt; m-1 (Gujarati, 2009). For estimation to be carried out, the equation identification results must be exactly identified or overidentified (K-k ˃ m-1).</w:t>
      </w:r>
      <w:r w:rsidR="004001EA" w:rsidRPr="00EF744C">
        <w:rPr>
          <w:rFonts w:ascii="Calibri" w:eastAsia="Calibri" w:hAnsi="Calibri" w:cs="Calibri"/>
          <w:sz w:val="22"/>
          <w:szCs w:val="22"/>
          <w:lang w:val="id-ID"/>
        </w:rPr>
        <w:t xml:space="preserve"> </w:t>
      </w:r>
      <w:bookmarkEnd w:id="8"/>
    </w:p>
    <w:p w14:paraId="6DA1CB76" w14:textId="77777777" w:rsidR="004001EA" w:rsidRPr="00EF744C" w:rsidRDefault="004001EA" w:rsidP="004001EA">
      <w:pPr>
        <w:ind w:left="305" w:right="264"/>
        <w:jc w:val="both"/>
        <w:rPr>
          <w:rFonts w:ascii="Calibri" w:eastAsia="Calibri" w:hAnsi="Calibri" w:cs="Calibri"/>
          <w:sz w:val="22"/>
          <w:szCs w:val="22"/>
          <w:lang w:val="id-ID"/>
        </w:rPr>
      </w:pPr>
    </w:p>
    <w:p w14:paraId="58C77360" w14:textId="4656EBEB" w:rsidR="000B0AC6" w:rsidRPr="00EF744C" w:rsidRDefault="00C4265B" w:rsidP="00C356AF">
      <w:pPr>
        <w:ind w:left="305" w:right="264"/>
        <w:jc w:val="both"/>
        <w:rPr>
          <w:rFonts w:ascii="Calibri" w:eastAsia="Calibri" w:hAnsi="Calibri" w:cs="Calibri"/>
          <w:sz w:val="22"/>
          <w:szCs w:val="22"/>
          <w:lang w:val="id-ID"/>
        </w:rPr>
      </w:pPr>
      <w:bookmarkStart w:id="9" w:name="_Hlk119745643"/>
      <w:r w:rsidRPr="00C4265B">
        <w:rPr>
          <w:rFonts w:ascii="Calibri" w:eastAsia="Calibri" w:hAnsi="Calibri" w:cs="Calibri"/>
          <w:sz w:val="22"/>
          <w:szCs w:val="22"/>
          <w:lang w:val="id-ID"/>
        </w:rPr>
        <w:t>Third, estimate the system equation model using STATA using the 3SLS approach. Fourth, the estimation of the model must typically be checked for the classical assumptions using the normality test, heteroscedasticity test, multicollinearity test, and autocorrelation test (Karina &amp; Syahnur 2021). The purpose of these assumptions is to guarantee that the estimators are the Best Linear Unbiased Estimators (BLUE). The assumption of autocorrelation is unnecessary because the data used is panel data. The F-test and t-test are employed to examine the impact of the independent variable on the dependent variable.</w:t>
      </w:r>
    </w:p>
    <w:bookmarkEnd w:id="9"/>
    <w:p w14:paraId="3BA71781" w14:textId="143D73C0" w:rsidR="00D74E94" w:rsidRPr="00EF744C" w:rsidRDefault="00D74E94" w:rsidP="003174BA">
      <w:pPr>
        <w:ind w:right="264"/>
        <w:jc w:val="both"/>
        <w:rPr>
          <w:lang w:val="id-ID"/>
        </w:rPr>
      </w:pPr>
    </w:p>
    <w:p w14:paraId="148E55F5" w14:textId="77777777" w:rsidR="00D74E94" w:rsidRPr="00EF744C" w:rsidRDefault="00D74E94" w:rsidP="003174BA">
      <w:pPr>
        <w:ind w:right="264"/>
        <w:jc w:val="both"/>
        <w:rPr>
          <w:lang w:val="id-ID"/>
        </w:rPr>
      </w:pPr>
    </w:p>
    <w:p w14:paraId="76A2146C" w14:textId="77777777" w:rsidR="000B0AC6" w:rsidRPr="00EF744C" w:rsidRDefault="009129EE">
      <w:pPr>
        <w:ind w:left="2904" w:right="2907"/>
        <w:jc w:val="center"/>
        <w:rPr>
          <w:rFonts w:ascii="Garamond" w:eastAsia="Garamond" w:hAnsi="Garamond" w:cs="Garamond"/>
          <w:sz w:val="28"/>
          <w:szCs w:val="28"/>
        </w:rPr>
      </w:pPr>
      <w:r w:rsidRPr="00EF744C">
        <w:rPr>
          <w:rFonts w:ascii="Garamond" w:eastAsia="Garamond" w:hAnsi="Garamond" w:cs="Garamond"/>
          <w:b/>
          <w:sz w:val="28"/>
          <w:szCs w:val="28"/>
        </w:rPr>
        <w:t>Resu</w:t>
      </w:r>
      <w:r w:rsidRPr="00EF744C">
        <w:rPr>
          <w:rFonts w:ascii="Garamond" w:eastAsia="Garamond" w:hAnsi="Garamond" w:cs="Garamond"/>
          <w:b/>
          <w:spacing w:val="1"/>
          <w:sz w:val="28"/>
          <w:szCs w:val="28"/>
        </w:rPr>
        <w:t>l</w:t>
      </w:r>
      <w:r w:rsidRPr="00EF744C">
        <w:rPr>
          <w:rFonts w:ascii="Garamond" w:eastAsia="Garamond" w:hAnsi="Garamond" w:cs="Garamond"/>
          <w:b/>
          <w:sz w:val="28"/>
          <w:szCs w:val="28"/>
        </w:rPr>
        <w:t>t</w:t>
      </w:r>
      <w:r w:rsidRPr="00EF744C">
        <w:rPr>
          <w:rFonts w:ascii="Garamond" w:eastAsia="Garamond" w:hAnsi="Garamond" w:cs="Garamond"/>
          <w:b/>
          <w:spacing w:val="-7"/>
          <w:sz w:val="28"/>
          <w:szCs w:val="28"/>
        </w:rPr>
        <w:t xml:space="preserve"> </w:t>
      </w:r>
      <w:r w:rsidRPr="00EF744C">
        <w:rPr>
          <w:rFonts w:ascii="Garamond" w:eastAsia="Garamond" w:hAnsi="Garamond" w:cs="Garamond"/>
          <w:b/>
          <w:sz w:val="28"/>
          <w:szCs w:val="28"/>
        </w:rPr>
        <w:t>and</w:t>
      </w:r>
      <w:r w:rsidRPr="00EF744C">
        <w:rPr>
          <w:rFonts w:ascii="Garamond" w:eastAsia="Garamond" w:hAnsi="Garamond" w:cs="Garamond"/>
          <w:b/>
          <w:spacing w:val="-4"/>
          <w:sz w:val="28"/>
          <w:szCs w:val="28"/>
        </w:rPr>
        <w:t xml:space="preserve"> </w:t>
      </w:r>
      <w:r w:rsidRPr="00EF744C">
        <w:rPr>
          <w:rFonts w:ascii="Garamond" w:eastAsia="Garamond" w:hAnsi="Garamond" w:cs="Garamond"/>
          <w:b/>
          <w:w w:val="99"/>
          <w:sz w:val="28"/>
          <w:szCs w:val="28"/>
        </w:rPr>
        <w:t>Discus</w:t>
      </w:r>
      <w:r w:rsidRPr="00EF744C">
        <w:rPr>
          <w:rFonts w:ascii="Garamond" w:eastAsia="Garamond" w:hAnsi="Garamond" w:cs="Garamond"/>
          <w:b/>
          <w:spacing w:val="1"/>
          <w:w w:val="99"/>
          <w:sz w:val="28"/>
          <w:szCs w:val="28"/>
        </w:rPr>
        <w:t>s</w:t>
      </w:r>
      <w:r w:rsidRPr="00EF744C">
        <w:rPr>
          <w:rFonts w:ascii="Garamond" w:eastAsia="Garamond" w:hAnsi="Garamond" w:cs="Garamond"/>
          <w:b/>
          <w:w w:val="99"/>
          <w:sz w:val="28"/>
          <w:szCs w:val="28"/>
        </w:rPr>
        <w:t>ion</w:t>
      </w:r>
    </w:p>
    <w:p w14:paraId="3D900343" w14:textId="77777777" w:rsidR="000B0AC6" w:rsidRPr="00EF744C" w:rsidRDefault="000B0AC6">
      <w:pPr>
        <w:spacing w:before="10" w:line="260" w:lineRule="exact"/>
        <w:rPr>
          <w:sz w:val="26"/>
          <w:szCs w:val="26"/>
        </w:rPr>
      </w:pPr>
    </w:p>
    <w:p w14:paraId="3687790C" w14:textId="40F5112D" w:rsidR="000B0AC6" w:rsidRPr="00EF744C" w:rsidRDefault="00C4265B">
      <w:pPr>
        <w:ind w:left="305" w:right="204"/>
        <w:jc w:val="both"/>
        <w:rPr>
          <w:rFonts w:ascii="Calibri" w:eastAsia="Calibri" w:hAnsi="Calibri" w:cs="Calibri"/>
          <w:sz w:val="22"/>
          <w:szCs w:val="22"/>
        </w:rPr>
      </w:pPr>
      <w:bookmarkStart w:id="10" w:name="_Hlk119745664"/>
      <w:r w:rsidRPr="00C4265B">
        <w:rPr>
          <w:rFonts w:ascii="Calibri" w:eastAsia="Calibri" w:hAnsi="Calibri" w:cs="Calibri"/>
          <w:sz w:val="22"/>
          <w:szCs w:val="22"/>
        </w:rPr>
        <w:t>Before the model was estimated, the Hausman Simultaneity Test was conducted. A rejection of the null hypothesis indicates that the Ordinary Least Square (OLS) estimator will not be consistent. Hence, instrumental variable techniques are required, such as the simultaneous equation model (</w:t>
      </w:r>
      <w:proofErr w:type="spellStart"/>
      <w:r w:rsidRPr="00C4265B">
        <w:rPr>
          <w:rFonts w:ascii="Calibri" w:eastAsia="Calibri" w:hAnsi="Calibri" w:cs="Calibri"/>
          <w:sz w:val="22"/>
          <w:szCs w:val="22"/>
        </w:rPr>
        <w:t>Omri</w:t>
      </w:r>
      <w:proofErr w:type="spellEnd"/>
      <w:r w:rsidRPr="00C4265B">
        <w:rPr>
          <w:rFonts w:ascii="Calibri" w:eastAsia="Calibri" w:hAnsi="Calibri" w:cs="Calibri"/>
          <w:sz w:val="22"/>
          <w:szCs w:val="22"/>
        </w:rPr>
        <w:t xml:space="preserve">, 2013). Table 1 provides information about the Hausman Simultaneity Test in the system equations. Res_1 significant at </w:t>
      </w:r>
      <w:r w:rsidR="004129CA">
        <w:rPr>
          <w:rFonts w:ascii="Calibri" w:eastAsia="Calibri" w:hAnsi="Calibri" w:cs="Calibri"/>
          <w:sz w:val="22"/>
          <w:szCs w:val="22"/>
        </w:rPr>
        <w:t>α</w:t>
      </w:r>
      <w:r w:rsidR="004129CA">
        <w:rPr>
          <w:rFonts w:ascii="Calibri" w:eastAsia="Calibri" w:hAnsi="Calibri" w:cs="Calibri"/>
          <w:sz w:val="22"/>
          <w:szCs w:val="22"/>
          <w:lang w:val="id-ID"/>
        </w:rPr>
        <w:t>=</w:t>
      </w:r>
      <w:r w:rsidRPr="00C4265B">
        <w:rPr>
          <w:rFonts w:ascii="Calibri" w:eastAsia="Calibri" w:hAnsi="Calibri" w:cs="Calibri"/>
          <w:sz w:val="22"/>
          <w:szCs w:val="22"/>
        </w:rPr>
        <w:t xml:space="preserve">5% shows that there is a simultaneity problem between </w:t>
      </w:r>
      <w:proofErr w:type="spellStart"/>
      <w:r w:rsidRPr="00C4265B">
        <w:rPr>
          <w:rFonts w:ascii="Calibri" w:eastAsia="Calibri" w:hAnsi="Calibri" w:cs="Calibri"/>
          <w:sz w:val="22"/>
          <w:szCs w:val="22"/>
        </w:rPr>
        <w:t>LnRGDP</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LnPov</w:t>
      </w:r>
      <w:proofErr w:type="spellEnd"/>
      <w:r w:rsidRPr="00C4265B">
        <w:rPr>
          <w:rFonts w:ascii="Calibri" w:eastAsia="Calibri" w:hAnsi="Calibri" w:cs="Calibri"/>
          <w:sz w:val="22"/>
          <w:szCs w:val="22"/>
        </w:rPr>
        <w:t xml:space="preserve">. Res_2 is also significant at </w:t>
      </w:r>
      <w:r w:rsidR="004129CA">
        <w:rPr>
          <w:rFonts w:ascii="Calibri" w:eastAsia="Calibri" w:hAnsi="Calibri" w:cs="Calibri"/>
          <w:sz w:val="22"/>
          <w:szCs w:val="22"/>
        </w:rPr>
        <w:t>α</w:t>
      </w:r>
      <w:r w:rsidR="004129CA">
        <w:rPr>
          <w:rFonts w:ascii="Calibri" w:eastAsia="Calibri" w:hAnsi="Calibri" w:cs="Calibri"/>
          <w:sz w:val="22"/>
          <w:szCs w:val="22"/>
          <w:lang w:val="id-ID"/>
        </w:rPr>
        <w:t>=</w:t>
      </w:r>
      <w:r w:rsidRPr="00C4265B">
        <w:rPr>
          <w:rFonts w:ascii="Calibri" w:eastAsia="Calibri" w:hAnsi="Calibri" w:cs="Calibri"/>
          <w:sz w:val="22"/>
          <w:szCs w:val="22"/>
        </w:rPr>
        <w:t xml:space="preserve">5%, showing that there is a simultaneity problem between </w:t>
      </w:r>
      <w:proofErr w:type="spellStart"/>
      <w:r w:rsidRPr="00C4265B">
        <w:rPr>
          <w:rFonts w:ascii="Calibri" w:eastAsia="Calibri" w:hAnsi="Calibri" w:cs="Calibri"/>
          <w:sz w:val="22"/>
          <w:szCs w:val="22"/>
        </w:rPr>
        <w:t>LnRGDP</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LnGini</w:t>
      </w:r>
      <w:proofErr w:type="spellEnd"/>
      <w:r w:rsidRPr="00C4265B">
        <w:rPr>
          <w:rFonts w:ascii="Calibri" w:eastAsia="Calibri" w:hAnsi="Calibri" w:cs="Calibri"/>
          <w:sz w:val="22"/>
          <w:szCs w:val="22"/>
        </w:rPr>
        <w:t xml:space="preserve">. Res_3 significant at 10% shows that there is a simultaneity problem between </w:t>
      </w:r>
      <w:proofErr w:type="spellStart"/>
      <w:r w:rsidRPr="00C4265B">
        <w:rPr>
          <w:rFonts w:ascii="Calibri" w:eastAsia="Calibri" w:hAnsi="Calibri" w:cs="Calibri"/>
          <w:sz w:val="22"/>
          <w:szCs w:val="22"/>
        </w:rPr>
        <w:t>LnPov</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LnGini</w:t>
      </w:r>
      <w:proofErr w:type="spellEnd"/>
      <w:r w:rsidRPr="00C4265B">
        <w:rPr>
          <w:rFonts w:ascii="Calibri" w:eastAsia="Calibri" w:hAnsi="Calibri" w:cs="Calibri"/>
          <w:sz w:val="22"/>
          <w:szCs w:val="22"/>
        </w:rPr>
        <w:t>. These results support that a simultaneous equation model is more appropriate to use.</w:t>
      </w:r>
      <w:r w:rsidR="004001EA" w:rsidRPr="00EF744C">
        <w:rPr>
          <w:rFonts w:ascii="Calibri" w:eastAsia="Calibri" w:hAnsi="Calibri" w:cs="Calibri"/>
          <w:sz w:val="22"/>
          <w:szCs w:val="22"/>
        </w:rPr>
        <w:t xml:space="preserve"> </w:t>
      </w:r>
    </w:p>
    <w:bookmarkEnd w:id="10"/>
    <w:p w14:paraId="3695B285" w14:textId="77777777" w:rsidR="004001EA" w:rsidRPr="00EF744C" w:rsidRDefault="004001EA">
      <w:pPr>
        <w:ind w:left="305" w:right="204"/>
        <w:jc w:val="both"/>
        <w:rPr>
          <w:rFonts w:ascii="Calibri" w:eastAsia="Calibri" w:hAnsi="Calibri" w:cs="Calibri"/>
          <w:sz w:val="22"/>
          <w:szCs w:val="22"/>
        </w:rPr>
      </w:pPr>
    </w:p>
    <w:p w14:paraId="712926F0" w14:textId="44560985" w:rsidR="004001EA" w:rsidRPr="00EF744C" w:rsidRDefault="004001EA">
      <w:pPr>
        <w:ind w:left="305" w:right="204"/>
        <w:jc w:val="both"/>
        <w:rPr>
          <w:rFonts w:ascii="Calibri" w:eastAsia="Calibri" w:hAnsi="Calibri" w:cs="Calibri"/>
          <w:sz w:val="22"/>
          <w:szCs w:val="22"/>
        </w:rPr>
      </w:pPr>
      <w:r w:rsidRPr="00EF744C">
        <w:rPr>
          <w:rFonts w:ascii="Calibri" w:eastAsia="Calibri" w:hAnsi="Calibri" w:cs="Calibri"/>
          <w:b/>
          <w:bCs/>
          <w:sz w:val="22"/>
          <w:szCs w:val="22"/>
        </w:rPr>
        <w:t>Table 1</w:t>
      </w:r>
      <w:r w:rsidRPr="00EF744C">
        <w:rPr>
          <w:rFonts w:ascii="Calibri" w:eastAsia="Calibri" w:hAnsi="Calibri" w:cs="Calibri"/>
          <w:b/>
          <w:bCs/>
          <w:sz w:val="22"/>
          <w:szCs w:val="22"/>
          <w:lang w:val="id-ID"/>
        </w:rPr>
        <w:t>.</w:t>
      </w:r>
      <w:r w:rsidRPr="00EF744C">
        <w:rPr>
          <w:rFonts w:ascii="Calibri" w:eastAsia="Calibri" w:hAnsi="Calibri" w:cs="Calibri"/>
          <w:sz w:val="22"/>
          <w:szCs w:val="22"/>
        </w:rPr>
        <w:t xml:space="preserve"> Result of </w:t>
      </w:r>
      <w:r w:rsidR="00A30D52" w:rsidRPr="00EF744C">
        <w:rPr>
          <w:rFonts w:ascii="Calibri" w:eastAsia="Calibri" w:hAnsi="Calibri" w:cs="Calibri"/>
          <w:sz w:val="22"/>
          <w:szCs w:val="22"/>
          <w:lang w:val="id-ID"/>
        </w:rPr>
        <w:t xml:space="preserve">The </w:t>
      </w:r>
      <w:r w:rsidRPr="00EF744C">
        <w:rPr>
          <w:rFonts w:ascii="Calibri" w:eastAsia="Calibri" w:hAnsi="Calibri" w:cs="Calibri"/>
          <w:sz w:val="22"/>
          <w:szCs w:val="22"/>
        </w:rPr>
        <w:t>Hausman Simultaneity Test</w:t>
      </w:r>
    </w:p>
    <w:tbl>
      <w:tblPr>
        <w:tblStyle w:val="TableGrid"/>
        <w:tblW w:w="0" w:type="auto"/>
        <w:tblInd w:w="284" w:type="dxa"/>
        <w:tblLook w:val="04A0" w:firstRow="1" w:lastRow="0" w:firstColumn="1" w:lastColumn="0" w:noHBand="0" w:noVBand="1"/>
      </w:tblPr>
      <w:tblGrid>
        <w:gridCol w:w="2126"/>
        <w:gridCol w:w="2268"/>
        <w:gridCol w:w="1985"/>
        <w:gridCol w:w="1701"/>
      </w:tblGrid>
      <w:tr w:rsidR="004001EA" w:rsidRPr="00EF744C" w14:paraId="388FD0B0" w14:textId="77777777" w:rsidTr="004001EA">
        <w:tc>
          <w:tcPr>
            <w:tcW w:w="2126" w:type="dxa"/>
            <w:tcBorders>
              <w:top w:val="single" w:sz="4" w:space="0" w:color="auto"/>
              <w:left w:val="nil"/>
              <w:bottom w:val="single" w:sz="4" w:space="0" w:color="auto"/>
              <w:right w:val="nil"/>
            </w:tcBorders>
            <w:shd w:val="clear" w:color="auto" w:fill="A4A4A4"/>
          </w:tcPr>
          <w:p w14:paraId="52C7C397"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Variables</w:t>
            </w:r>
          </w:p>
        </w:tc>
        <w:tc>
          <w:tcPr>
            <w:tcW w:w="2268" w:type="dxa"/>
            <w:tcBorders>
              <w:top w:val="single" w:sz="4" w:space="0" w:color="auto"/>
              <w:left w:val="nil"/>
              <w:bottom w:val="single" w:sz="4" w:space="0" w:color="auto"/>
              <w:right w:val="nil"/>
            </w:tcBorders>
            <w:shd w:val="clear" w:color="auto" w:fill="A4A4A4"/>
          </w:tcPr>
          <w:p w14:paraId="54A7622E"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Residual</w:t>
            </w:r>
          </w:p>
        </w:tc>
        <w:tc>
          <w:tcPr>
            <w:tcW w:w="1985" w:type="dxa"/>
            <w:tcBorders>
              <w:top w:val="single" w:sz="4" w:space="0" w:color="auto"/>
              <w:left w:val="nil"/>
              <w:bottom w:val="single" w:sz="4" w:space="0" w:color="auto"/>
              <w:right w:val="nil"/>
            </w:tcBorders>
            <w:shd w:val="clear" w:color="auto" w:fill="A4A4A4"/>
          </w:tcPr>
          <w:p w14:paraId="346E4EE3"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Statistics</w:t>
            </w:r>
          </w:p>
        </w:tc>
        <w:tc>
          <w:tcPr>
            <w:tcW w:w="1701" w:type="dxa"/>
            <w:tcBorders>
              <w:top w:val="single" w:sz="4" w:space="0" w:color="auto"/>
              <w:left w:val="nil"/>
              <w:bottom w:val="single" w:sz="4" w:space="0" w:color="auto"/>
              <w:right w:val="nil"/>
            </w:tcBorders>
            <w:shd w:val="clear" w:color="auto" w:fill="A4A4A4"/>
          </w:tcPr>
          <w:p w14:paraId="06D51B95"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3F125C33" w14:textId="77777777" w:rsidTr="004001EA">
        <w:tc>
          <w:tcPr>
            <w:tcW w:w="2126" w:type="dxa"/>
            <w:tcBorders>
              <w:top w:val="single" w:sz="4" w:space="0" w:color="auto"/>
              <w:left w:val="nil"/>
              <w:bottom w:val="nil"/>
              <w:right w:val="nil"/>
            </w:tcBorders>
            <w:shd w:val="clear" w:color="auto" w:fill="ECECEC"/>
          </w:tcPr>
          <w:p w14:paraId="0045B434" w14:textId="77777777" w:rsidR="004001EA" w:rsidRPr="00EF744C" w:rsidRDefault="004001EA" w:rsidP="004001EA">
            <w:pPr>
              <w:pStyle w:val="ListParagraph"/>
              <w:spacing w:after="0"/>
              <w:ind w:left="0"/>
              <w:rPr>
                <w:rFonts w:cstheme="minorHAnsi"/>
                <w:sz w:val="20"/>
                <w:szCs w:val="20"/>
              </w:rPr>
            </w:pPr>
            <w:r w:rsidRPr="00EF744C">
              <w:rPr>
                <w:rFonts w:cstheme="minorHAnsi"/>
                <w:sz w:val="20"/>
                <w:szCs w:val="20"/>
              </w:rPr>
              <w:t>LnRGDP-LnPov</w:t>
            </w:r>
          </w:p>
        </w:tc>
        <w:tc>
          <w:tcPr>
            <w:tcW w:w="2268" w:type="dxa"/>
            <w:tcBorders>
              <w:top w:val="single" w:sz="4" w:space="0" w:color="auto"/>
              <w:left w:val="nil"/>
              <w:bottom w:val="nil"/>
              <w:right w:val="nil"/>
            </w:tcBorders>
            <w:shd w:val="clear" w:color="auto" w:fill="ECECEC"/>
          </w:tcPr>
          <w:p w14:paraId="0D1ECE3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Res_1</w:t>
            </w:r>
          </w:p>
        </w:tc>
        <w:tc>
          <w:tcPr>
            <w:tcW w:w="1985" w:type="dxa"/>
            <w:tcBorders>
              <w:top w:val="single" w:sz="4" w:space="0" w:color="auto"/>
              <w:left w:val="nil"/>
              <w:bottom w:val="nil"/>
              <w:right w:val="nil"/>
            </w:tcBorders>
            <w:shd w:val="clear" w:color="auto" w:fill="ECECEC"/>
          </w:tcPr>
          <w:p w14:paraId="71D9C49C"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2.94</w:t>
            </w:r>
          </w:p>
        </w:tc>
        <w:tc>
          <w:tcPr>
            <w:tcW w:w="1701" w:type="dxa"/>
            <w:tcBorders>
              <w:top w:val="single" w:sz="4" w:space="0" w:color="auto"/>
              <w:left w:val="nil"/>
              <w:bottom w:val="nil"/>
              <w:right w:val="nil"/>
            </w:tcBorders>
            <w:shd w:val="clear" w:color="auto" w:fill="ECECEC"/>
          </w:tcPr>
          <w:p w14:paraId="4A58787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0.005</w:t>
            </w:r>
          </w:p>
        </w:tc>
      </w:tr>
      <w:tr w:rsidR="004001EA" w:rsidRPr="00EF744C" w14:paraId="4E5AAC49" w14:textId="77777777" w:rsidTr="004001EA">
        <w:tc>
          <w:tcPr>
            <w:tcW w:w="2126" w:type="dxa"/>
            <w:tcBorders>
              <w:top w:val="nil"/>
              <w:left w:val="nil"/>
              <w:bottom w:val="nil"/>
              <w:right w:val="nil"/>
            </w:tcBorders>
          </w:tcPr>
          <w:p w14:paraId="3E67EABE" w14:textId="77777777" w:rsidR="004001EA" w:rsidRPr="00EF744C" w:rsidRDefault="004001EA" w:rsidP="004001EA">
            <w:pPr>
              <w:pStyle w:val="ListParagraph"/>
              <w:spacing w:after="0"/>
              <w:ind w:left="0"/>
              <w:rPr>
                <w:rFonts w:cstheme="minorHAnsi"/>
                <w:sz w:val="20"/>
                <w:szCs w:val="20"/>
              </w:rPr>
            </w:pPr>
            <w:r w:rsidRPr="00EF744C">
              <w:rPr>
                <w:rFonts w:cstheme="minorHAnsi"/>
                <w:sz w:val="20"/>
                <w:szCs w:val="20"/>
              </w:rPr>
              <w:t>LnRGDP-LnGini</w:t>
            </w:r>
          </w:p>
        </w:tc>
        <w:tc>
          <w:tcPr>
            <w:tcW w:w="2268" w:type="dxa"/>
            <w:tcBorders>
              <w:top w:val="nil"/>
              <w:left w:val="nil"/>
              <w:bottom w:val="nil"/>
              <w:right w:val="nil"/>
            </w:tcBorders>
          </w:tcPr>
          <w:p w14:paraId="33A5492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Res_2</w:t>
            </w:r>
          </w:p>
        </w:tc>
        <w:tc>
          <w:tcPr>
            <w:tcW w:w="1985" w:type="dxa"/>
            <w:tcBorders>
              <w:top w:val="nil"/>
              <w:left w:val="nil"/>
              <w:bottom w:val="nil"/>
              <w:right w:val="nil"/>
            </w:tcBorders>
          </w:tcPr>
          <w:p w14:paraId="66F5082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-2.12</w:t>
            </w:r>
          </w:p>
        </w:tc>
        <w:tc>
          <w:tcPr>
            <w:tcW w:w="1701" w:type="dxa"/>
            <w:tcBorders>
              <w:top w:val="nil"/>
              <w:left w:val="nil"/>
              <w:bottom w:val="nil"/>
              <w:right w:val="nil"/>
            </w:tcBorders>
          </w:tcPr>
          <w:p w14:paraId="6145D07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0.039</w:t>
            </w:r>
          </w:p>
        </w:tc>
      </w:tr>
      <w:tr w:rsidR="004001EA" w:rsidRPr="00EF744C" w14:paraId="53D892F3" w14:textId="77777777" w:rsidTr="004001EA">
        <w:tc>
          <w:tcPr>
            <w:tcW w:w="2126" w:type="dxa"/>
            <w:tcBorders>
              <w:top w:val="nil"/>
              <w:left w:val="nil"/>
              <w:bottom w:val="single" w:sz="4" w:space="0" w:color="auto"/>
              <w:right w:val="nil"/>
            </w:tcBorders>
            <w:shd w:val="clear" w:color="auto" w:fill="ECECEC"/>
          </w:tcPr>
          <w:p w14:paraId="07904490" w14:textId="77777777" w:rsidR="004001EA" w:rsidRPr="00EF744C" w:rsidRDefault="004001EA" w:rsidP="004001EA">
            <w:pPr>
              <w:pStyle w:val="ListParagraph"/>
              <w:spacing w:after="0"/>
              <w:ind w:left="0"/>
              <w:rPr>
                <w:rFonts w:cstheme="minorHAnsi"/>
                <w:sz w:val="20"/>
                <w:szCs w:val="20"/>
              </w:rPr>
            </w:pPr>
            <w:r w:rsidRPr="00EF744C">
              <w:rPr>
                <w:rFonts w:cstheme="minorHAnsi"/>
                <w:sz w:val="20"/>
                <w:szCs w:val="20"/>
              </w:rPr>
              <w:lastRenderedPageBreak/>
              <w:t>LnPov-LnGini</w:t>
            </w:r>
          </w:p>
        </w:tc>
        <w:tc>
          <w:tcPr>
            <w:tcW w:w="2268" w:type="dxa"/>
            <w:tcBorders>
              <w:top w:val="nil"/>
              <w:left w:val="nil"/>
              <w:bottom w:val="single" w:sz="4" w:space="0" w:color="auto"/>
              <w:right w:val="nil"/>
            </w:tcBorders>
            <w:shd w:val="clear" w:color="auto" w:fill="ECECEC"/>
          </w:tcPr>
          <w:p w14:paraId="44A30C3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Res_3</w:t>
            </w:r>
          </w:p>
        </w:tc>
        <w:tc>
          <w:tcPr>
            <w:tcW w:w="1985" w:type="dxa"/>
            <w:tcBorders>
              <w:top w:val="nil"/>
              <w:left w:val="nil"/>
              <w:bottom w:val="single" w:sz="4" w:space="0" w:color="auto"/>
              <w:right w:val="nil"/>
            </w:tcBorders>
            <w:shd w:val="clear" w:color="auto" w:fill="ECECEC"/>
          </w:tcPr>
          <w:p w14:paraId="3E17C9BC"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-1.93</w:t>
            </w:r>
          </w:p>
        </w:tc>
        <w:tc>
          <w:tcPr>
            <w:tcW w:w="1701" w:type="dxa"/>
            <w:tcBorders>
              <w:top w:val="nil"/>
              <w:left w:val="nil"/>
              <w:bottom w:val="single" w:sz="4" w:space="0" w:color="auto"/>
              <w:right w:val="nil"/>
            </w:tcBorders>
            <w:shd w:val="clear" w:color="auto" w:fill="ECECEC"/>
          </w:tcPr>
          <w:p w14:paraId="31A2F68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0.059</w:t>
            </w:r>
          </w:p>
        </w:tc>
      </w:tr>
    </w:tbl>
    <w:p w14:paraId="33CD23AE" w14:textId="77777777" w:rsidR="004001EA" w:rsidRPr="00EF744C" w:rsidRDefault="004001EA">
      <w:pPr>
        <w:ind w:left="305" w:right="204"/>
        <w:jc w:val="both"/>
        <w:rPr>
          <w:rFonts w:ascii="Calibri" w:eastAsia="Calibri" w:hAnsi="Calibri" w:cs="Calibri"/>
          <w:sz w:val="22"/>
          <w:szCs w:val="22"/>
        </w:rPr>
      </w:pPr>
    </w:p>
    <w:p w14:paraId="2A148E5A" w14:textId="35247D7D" w:rsidR="004001EA" w:rsidRPr="00EF744C" w:rsidRDefault="00C4265B">
      <w:pPr>
        <w:ind w:left="305" w:right="204"/>
        <w:jc w:val="both"/>
        <w:rPr>
          <w:rFonts w:ascii="Calibri" w:eastAsia="Calibri" w:hAnsi="Calibri" w:cs="Calibri"/>
          <w:sz w:val="22"/>
          <w:szCs w:val="22"/>
        </w:rPr>
      </w:pPr>
      <w:bookmarkStart w:id="11" w:name="_Hlk119745677"/>
      <w:r w:rsidRPr="00C4265B">
        <w:rPr>
          <w:rFonts w:ascii="Calibri" w:eastAsia="Calibri" w:hAnsi="Calibri" w:cs="Calibri"/>
          <w:sz w:val="22"/>
          <w:szCs w:val="22"/>
        </w:rPr>
        <w:t xml:space="preserve">The simultaneous model in this study has three structural equations with three endogenous variables (m=3) and four predetermined variables (K=4) in the system equation. The findings of the identification models are reported in Table 2. For the </w:t>
      </w:r>
      <w:proofErr w:type="spellStart"/>
      <w:r w:rsidRPr="00C4265B">
        <w:rPr>
          <w:rFonts w:ascii="Calibri" w:eastAsia="Calibri" w:hAnsi="Calibri" w:cs="Calibri"/>
          <w:sz w:val="22"/>
          <w:szCs w:val="22"/>
        </w:rPr>
        <w:t>LnRGDP</w:t>
      </w:r>
      <w:proofErr w:type="spellEnd"/>
      <w:r w:rsidRPr="00C4265B">
        <w:rPr>
          <w:rFonts w:ascii="Calibri" w:eastAsia="Calibri" w:hAnsi="Calibri" w:cs="Calibri"/>
          <w:sz w:val="22"/>
          <w:szCs w:val="22"/>
        </w:rPr>
        <w:t xml:space="preserve"> model, since K-k &gt; m-1, the equation is overidentified. For the </w:t>
      </w:r>
      <w:proofErr w:type="spellStart"/>
      <w:r w:rsidRPr="00C4265B">
        <w:rPr>
          <w:rFonts w:ascii="Calibri" w:eastAsia="Calibri" w:hAnsi="Calibri" w:cs="Calibri"/>
          <w:sz w:val="22"/>
          <w:szCs w:val="22"/>
        </w:rPr>
        <w:t>LnPov</w:t>
      </w:r>
      <w:proofErr w:type="spellEnd"/>
      <w:r w:rsidRPr="00C4265B">
        <w:rPr>
          <w:rFonts w:ascii="Calibri" w:eastAsia="Calibri" w:hAnsi="Calibri" w:cs="Calibri"/>
          <w:sz w:val="22"/>
          <w:szCs w:val="22"/>
        </w:rPr>
        <w:t xml:space="preserve"> model and </w:t>
      </w:r>
      <w:proofErr w:type="spellStart"/>
      <w:r w:rsidRPr="00C4265B">
        <w:rPr>
          <w:rFonts w:ascii="Calibri" w:eastAsia="Calibri" w:hAnsi="Calibri" w:cs="Calibri"/>
          <w:sz w:val="22"/>
          <w:szCs w:val="22"/>
        </w:rPr>
        <w:t>LnGini</w:t>
      </w:r>
      <w:proofErr w:type="spellEnd"/>
      <w:r w:rsidRPr="00C4265B">
        <w:rPr>
          <w:rFonts w:ascii="Calibri" w:eastAsia="Calibri" w:hAnsi="Calibri" w:cs="Calibri"/>
          <w:sz w:val="22"/>
          <w:szCs w:val="22"/>
        </w:rPr>
        <w:t>, since in their K-k = m-1, each equation is exactly identified. These identification results show that the 3SLS estimation method can be carried out.</w:t>
      </w:r>
    </w:p>
    <w:bookmarkEnd w:id="11"/>
    <w:p w14:paraId="02D81352" w14:textId="77777777" w:rsidR="004001EA" w:rsidRPr="00EF744C" w:rsidRDefault="004001EA" w:rsidP="004001EA">
      <w:pPr>
        <w:rPr>
          <w:rFonts w:ascii="Calibri" w:eastAsia="Calibri" w:hAnsi="Calibri" w:cs="Calibri"/>
          <w:sz w:val="22"/>
          <w:szCs w:val="22"/>
        </w:rPr>
      </w:pPr>
    </w:p>
    <w:p w14:paraId="59BBE1BF" w14:textId="77777777" w:rsidR="004001EA" w:rsidRPr="00EF744C" w:rsidRDefault="004001EA" w:rsidP="004001EA">
      <w:pPr>
        <w:spacing w:before="56"/>
        <w:ind w:left="284" w:right="1060"/>
        <w:rPr>
          <w:rFonts w:asciiTheme="minorHAnsi" w:hAnsiTheme="minorHAnsi" w:cstheme="minorHAnsi"/>
          <w:b/>
          <w:bCs/>
          <w:sz w:val="22"/>
          <w:szCs w:val="22"/>
        </w:rPr>
      </w:pPr>
      <w:r w:rsidRPr="00EF744C">
        <w:rPr>
          <w:rFonts w:asciiTheme="minorHAnsi" w:hAnsiTheme="minorHAnsi" w:cstheme="minorHAnsi"/>
          <w:b/>
          <w:bCs/>
          <w:sz w:val="22"/>
          <w:szCs w:val="22"/>
        </w:rPr>
        <w:t xml:space="preserve">Table 2. </w:t>
      </w:r>
      <w:r w:rsidRPr="00EF744C">
        <w:rPr>
          <w:rFonts w:asciiTheme="minorHAnsi" w:hAnsiTheme="minorHAnsi" w:cstheme="minorHAnsi"/>
          <w:sz w:val="22"/>
          <w:szCs w:val="22"/>
        </w:rPr>
        <w:t>Results of Structural Model Identification</w:t>
      </w:r>
    </w:p>
    <w:tbl>
      <w:tblPr>
        <w:tblStyle w:val="TableGrid"/>
        <w:tblW w:w="7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0"/>
        <w:gridCol w:w="703"/>
        <w:gridCol w:w="703"/>
        <w:gridCol w:w="964"/>
        <w:gridCol w:w="964"/>
        <w:gridCol w:w="2628"/>
      </w:tblGrid>
      <w:tr w:rsidR="004001EA" w:rsidRPr="00EF744C" w14:paraId="26A6C27A" w14:textId="77777777" w:rsidTr="00F52BF1">
        <w:trPr>
          <w:jc w:val="center"/>
        </w:trPr>
        <w:tc>
          <w:tcPr>
            <w:tcW w:w="1276" w:type="dxa"/>
            <w:tcBorders>
              <w:top w:val="single" w:sz="4" w:space="0" w:color="auto"/>
              <w:bottom w:val="single" w:sz="4" w:space="0" w:color="auto"/>
            </w:tcBorders>
            <w:shd w:val="clear" w:color="auto" w:fill="A4A4A4"/>
          </w:tcPr>
          <w:p w14:paraId="17D04391" w14:textId="77777777" w:rsidR="004001EA" w:rsidRPr="00EF744C" w:rsidRDefault="004001EA" w:rsidP="00C356AF">
            <w:pPr>
              <w:ind w:firstLine="29"/>
              <w:jc w:val="center"/>
              <w:rPr>
                <w:rFonts w:cstheme="minorHAnsi"/>
                <w:b/>
                <w:bCs/>
                <w:color w:val="FFFFFF" w:themeColor="background1"/>
                <w:sz w:val="20"/>
                <w:szCs w:val="20"/>
              </w:rPr>
            </w:pPr>
            <w:r w:rsidRPr="00EF744C">
              <w:rPr>
                <w:rFonts w:cstheme="minorHAnsi"/>
                <w:b/>
                <w:bCs/>
                <w:color w:val="FFFFFF" w:themeColor="background1"/>
                <w:sz w:val="20"/>
                <w:szCs w:val="20"/>
              </w:rPr>
              <w:t>Structural Equation</w:t>
            </w:r>
          </w:p>
        </w:tc>
        <w:tc>
          <w:tcPr>
            <w:tcW w:w="700" w:type="dxa"/>
            <w:tcBorders>
              <w:top w:val="single" w:sz="4" w:space="0" w:color="auto"/>
              <w:bottom w:val="single" w:sz="4" w:space="0" w:color="auto"/>
            </w:tcBorders>
            <w:shd w:val="clear" w:color="auto" w:fill="A4A4A4"/>
          </w:tcPr>
          <w:p w14:paraId="2BBCC9B9" w14:textId="77777777" w:rsidR="004001EA" w:rsidRPr="00EF744C" w:rsidRDefault="004001EA" w:rsidP="00C356AF">
            <w:pPr>
              <w:spacing w:before="56"/>
              <w:ind w:right="69" w:firstLine="29"/>
              <w:jc w:val="center"/>
              <w:rPr>
                <w:rFonts w:cstheme="minorHAnsi"/>
                <w:b/>
                <w:bCs/>
                <w:color w:val="FFFFFF" w:themeColor="background1"/>
                <w:sz w:val="20"/>
                <w:szCs w:val="20"/>
              </w:rPr>
            </w:pPr>
            <w:r w:rsidRPr="00EF744C">
              <w:rPr>
                <w:rFonts w:cstheme="minorHAnsi"/>
                <w:b/>
                <w:bCs/>
                <w:color w:val="FFFFFF" w:themeColor="background1"/>
                <w:sz w:val="20"/>
                <w:szCs w:val="20"/>
              </w:rPr>
              <w:t>K</w:t>
            </w:r>
          </w:p>
        </w:tc>
        <w:tc>
          <w:tcPr>
            <w:tcW w:w="703" w:type="dxa"/>
            <w:tcBorders>
              <w:top w:val="single" w:sz="4" w:space="0" w:color="auto"/>
              <w:bottom w:val="single" w:sz="4" w:space="0" w:color="auto"/>
            </w:tcBorders>
            <w:shd w:val="clear" w:color="auto" w:fill="A4A4A4"/>
          </w:tcPr>
          <w:p w14:paraId="049392F4" w14:textId="77777777" w:rsidR="004001EA" w:rsidRPr="00EF744C" w:rsidRDefault="004001EA" w:rsidP="00C356AF">
            <w:pPr>
              <w:spacing w:before="56"/>
              <w:ind w:right="-97" w:firstLine="29"/>
              <w:jc w:val="center"/>
              <w:rPr>
                <w:rFonts w:cstheme="minorHAnsi"/>
                <w:b/>
                <w:bCs/>
                <w:color w:val="FFFFFF" w:themeColor="background1"/>
                <w:sz w:val="20"/>
                <w:szCs w:val="20"/>
              </w:rPr>
            </w:pPr>
            <w:r w:rsidRPr="00EF744C">
              <w:rPr>
                <w:rFonts w:cstheme="minorHAnsi"/>
                <w:b/>
                <w:bCs/>
                <w:color w:val="FFFFFF" w:themeColor="background1"/>
                <w:sz w:val="20"/>
                <w:szCs w:val="20"/>
              </w:rPr>
              <w:t>k</w:t>
            </w:r>
          </w:p>
        </w:tc>
        <w:tc>
          <w:tcPr>
            <w:tcW w:w="703" w:type="dxa"/>
            <w:tcBorders>
              <w:top w:val="single" w:sz="4" w:space="0" w:color="auto"/>
              <w:bottom w:val="single" w:sz="4" w:space="0" w:color="auto"/>
            </w:tcBorders>
            <w:shd w:val="clear" w:color="auto" w:fill="A4A4A4"/>
          </w:tcPr>
          <w:p w14:paraId="2C795ED4" w14:textId="77777777" w:rsidR="004001EA" w:rsidRPr="00EF744C" w:rsidRDefault="004001EA" w:rsidP="00C356AF">
            <w:pPr>
              <w:spacing w:before="56"/>
              <w:ind w:right="-84" w:firstLine="29"/>
              <w:jc w:val="center"/>
              <w:rPr>
                <w:rFonts w:cstheme="minorHAnsi"/>
                <w:b/>
                <w:bCs/>
                <w:color w:val="FFFFFF" w:themeColor="background1"/>
                <w:sz w:val="20"/>
                <w:szCs w:val="20"/>
              </w:rPr>
            </w:pPr>
            <w:r w:rsidRPr="00EF744C">
              <w:rPr>
                <w:rFonts w:cstheme="minorHAnsi"/>
                <w:b/>
                <w:bCs/>
                <w:color w:val="FFFFFF" w:themeColor="background1"/>
                <w:sz w:val="20"/>
                <w:szCs w:val="20"/>
              </w:rPr>
              <w:t>m</w:t>
            </w:r>
          </w:p>
        </w:tc>
        <w:tc>
          <w:tcPr>
            <w:tcW w:w="964" w:type="dxa"/>
            <w:tcBorders>
              <w:top w:val="single" w:sz="4" w:space="0" w:color="auto"/>
              <w:bottom w:val="single" w:sz="4" w:space="0" w:color="auto"/>
            </w:tcBorders>
            <w:shd w:val="clear" w:color="auto" w:fill="A4A4A4"/>
          </w:tcPr>
          <w:p w14:paraId="4737A9BB" w14:textId="77777777" w:rsidR="004001EA" w:rsidRPr="00EF744C" w:rsidRDefault="004001EA" w:rsidP="00C356AF">
            <w:pPr>
              <w:spacing w:before="56"/>
              <w:ind w:right="-71" w:firstLine="29"/>
              <w:jc w:val="center"/>
              <w:rPr>
                <w:rFonts w:cstheme="minorHAnsi"/>
                <w:b/>
                <w:bCs/>
                <w:color w:val="FFFFFF" w:themeColor="background1"/>
                <w:sz w:val="20"/>
                <w:szCs w:val="20"/>
              </w:rPr>
            </w:pPr>
            <w:r w:rsidRPr="00EF744C">
              <w:rPr>
                <w:rFonts w:cstheme="minorHAnsi"/>
                <w:b/>
                <w:bCs/>
                <w:color w:val="FFFFFF" w:themeColor="background1"/>
                <w:sz w:val="20"/>
                <w:szCs w:val="20"/>
              </w:rPr>
              <w:t>K-k</w:t>
            </w:r>
          </w:p>
        </w:tc>
        <w:tc>
          <w:tcPr>
            <w:tcW w:w="964" w:type="dxa"/>
            <w:tcBorders>
              <w:top w:val="single" w:sz="4" w:space="0" w:color="auto"/>
              <w:bottom w:val="single" w:sz="4" w:space="0" w:color="auto"/>
            </w:tcBorders>
            <w:shd w:val="clear" w:color="auto" w:fill="A4A4A4"/>
          </w:tcPr>
          <w:p w14:paraId="3D77460C" w14:textId="77777777" w:rsidR="004001EA" w:rsidRPr="00EF744C" w:rsidRDefault="004001EA" w:rsidP="00C356AF">
            <w:pPr>
              <w:spacing w:before="56"/>
              <w:ind w:firstLine="29"/>
              <w:jc w:val="center"/>
              <w:rPr>
                <w:rFonts w:cstheme="minorHAnsi"/>
                <w:b/>
                <w:bCs/>
                <w:color w:val="FFFFFF" w:themeColor="background1"/>
                <w:sz w:val="20"/>
                <w:szCs w:val="20"/>
              </w:rPr>
            </w:pPr>
            <w:r w:rsidRPr="00EF744C">
              <w:rPr>
                <w:rFonts w:cstheme="minorHAnsi"/>
                <w:b/>
                <w:bCs/>
                <w:color w:val="FFFFFF" w:themeColor="background1"/>
                <w:sz w:val="20"/>
                <w:szCs w:val="20"/>
              </w:rPr>
              <w:t>m-1</w:t>
            </w:r>
          </w:p>
        </w:tc>
        <w:tc>
          <w:tcPr>
            <w:tcW w:w="2628" w:type="dxa"/>
            <w:tcBorders>
              <w:top w:val="single" w:sz="4" w:space="0" w:color="auto"/>
              <w:bottom w:val="single" w:sz="4" w:space="0" w:color="auto"/>
            </w:tcBorders>
            <w:shd w:val="clear" w:color="auto" w:fill="A4A4A4"/>
          </w:tcPr>
          <w:p w14:paraId="23C70F68" w14:textId="77777777" w:rsidR="004001EA" w:rsidRPr="00EF744C" w:rsidRDefault="004001EA" w:rsidP="00C356AF">
            <w:pPr>
              <w:spacing w:before="56"/>
              <w:ind w:firstLine="29"/>
              <w:jc w:val="center"/>
              <w:rPr>
                <w:rFonts w:cstheme="minorHAnsi"/>
                <w:b/>
                <w:bCs/>
                <w:color w:val="FFFFFF" w:themeColor="background1"/>
                <w:sz w:val="20"/>
                <w:szCs w:val="20"/>
              </w:rPr>
            </w:pPr>
            <w:r w:rsidRPr="00EF744C">
              <w:rPr>
                <w:rFonts w:cstheme="minorHAnsi"/>
                <w:b/>
                <w:bCs/>
                <w:color w:val="FFFFFF" w:themeColor="background1"/>
                <w:sz w:val="20"/>
                <w:szCs w:val="20"/>
              </w:rPr>
              <w:t>Identification</w:t>
            </w:r>
          </w:p>
        </w:tc>
      </w:tr>
      <w:tr w:rsidR="004001EA" w:rsidRPr="00EF744C" w14:paraId="42CF5B27" w14:textId="77777777" w:rsidTr="00F52BF1">
        <w:trPr>
          <w:jc w:val="center"/>
        </w:trPr>
        <w:tc>
          <w:tcPr>
            <w:tcW w:w="1276" w:type="dxa"/>
            <w:tcBorders>
              <w:top w:val="single" w:sz="4" w:space="0" w:color="auto"/>
            </w:tcBorders>
            <w:shd w:val="clear" w:color="auto" w:fill="ECECEC"/>
          </w:tcPr>
          <w:p w14:paraId="667F96EA"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LnRGDP</w:t>
            </w:r>
          </w:p>
        </w:tc>
        <w:tc>
          <w:tcPr>
            <w:tcW w:w="700" w:type="dxa"/>
            <w:tcBorders>
              <w:top w:val="single" w:sz="4" w:space="0" w:color="auto"/>
            </w:tcBorders>
            <w:shd w:val="clear" w:color="auto" w:fill="ECECEC"/>
          </w:tcPr>
          <w:p w14:paraId="47CD6B9E" w14:textId="77777777" w:rsidR="004001EA" w:rsidRPr="00EF744C" w:rsidRDefault="004001EA" w:rsidP="00C356AF">
            <w:pPr>
              <w:spacing w:before="56"/>
              <w:ind w:right="69" w:firstLine="12"/>
              <w:jc w:val="center"/>
              <w:rPr>
                <w:rFonts w:cstheme="minorHAnsi"/>
                <w:sz w:val="20"/>
                <w:szCs w:val="20"/>
              </w:rPr>
            </w:pPr>
            <w:r w:rsidRPr="00EF744C">
              <w:rPr>
                <w:rFonts w:cstheme="minorHAnsi"/>
                <w:sz w:val="20"/>
                <w:szCs w:val="20"/>
              </w:rPr>
              <w:t>4</w:t>
            </w:r>
          </w:p>
        </w:tc>
        <w:tc>
          <w:tcPr>
            <w:tcW w:w="703" w:type="dxa"/>
            <w:tcBorders>
              <w:top w:val="single" w:sz="4" w:space="0" w:color="auto"/>
            </w:tcBorders>
            <w:shd w:val="clear" w:color="auto" w:fill="ECECEC"/>
          </w:tcPr>
          <w:p w14:paraId="2EA679B8" w14:textId="77777777" w:rsidR="004001EA" w:rsidRPr="00EF744C" w:rsidRDefault="004001EA" w:rsidP="00C356AF">
            <w:pPr>
              <w:spacing w:before="56"/>
              <w:ind w:right="-97" w:firstLine="12"/>
              <w:jc w:val="center"/>
              <w:rPr>
                <w:rFonts w:cstheme="minorHAnsi"/>
                <w:sz w:val="20"/>
                <w:szCs w:val="20"/>
              </w:rPr>
            </w:pPr>
            <w:r w:rsidRPr="00EF744C">
              <w:rPr>
                <w:rFonts w:cstheme="minorHAnsi"/>
                <w:sz w:val="20"/>
                <w:szCs w:val="20"/>
              </w:rPr>
              <w:t>1</w:t>
            </w:r>
          </w:p>
        </w:tc>
        <w:tc>
          <w:tcPr>
            <w:tcW w:w="703" w:type="dxa"/>
            <w:tcBorders>
              <w:top w:val="single" w:sz="4" w:space="0" w:color="auto"/>
            </w:tcBorders>
            <w:shd w:val="clear" w:color="auto" w:fill="ECECEC"/>
          </w:tcPr>
          <w:p w14:paraId="43986235" w14:textId="77777777" w:rsidR="004001EA" w:rsidRPr="00EF744C" w:rsidRDefault="004001EA" w:rsidP="00C356AF">
            <w:pPr>
              <w:spacing w:before="56"/>
              <w:ind w:right="-84" w:firstLine="12"/>
              <w:jc w:val="center"/>
              <w:rPr>
                <w:rFonts w:cstheme="minorHAnsi"/>
                <w:sz w:val="20"/>
                <w:szCs w:val="20"/>
              </w:rPr>
            </w:pPr>
            <w:r w:rsidRPr="00EF744C">
              <w:rPr>
                <w:rFonts w:cstheme="minorHAnsi"/>
                <w:sz w:val="20"/>
                <w:szCs w:val="20"/>
              </w:rPr>
              <w:t>3</w:t>
            </w:r>
          </w:p>
        </w:tc>
        <w:tc>
          <w:tcPr>
            <w:tcW w:w="964" w:type="dxa"/>
            <w:tcBorders>
              <w:top w:val="single" w:sz="4" w:space="0" w:color="auto"/>
            </w:tcBorders>
            <w:shd w:val="clear" w:color="auto" w:fill="ECECEC"/>
          </w:tcPr>
          <w:p w14:paraId="47FC6757" w14:textId="77777777" w:rsidR="004001EA" w:rsidRPr="00EF744C" w:rsidRDefault="004001EA" w:rsidP="00C356AF">
            <w:pPr>
              <w:spacing w:before="56"/>
              <w:ind w:right="-71" w:firstLine="12"/>
              <w:jc w:val="center"/>
              <w:rPr>
                <w:rFonts w:cstheme="minorHAnsi"/>
                <w:sz w:val="20"/>
                <w:szCs w:val="20"/>
              </w:rPr>
            </w:pPr>
            <w:r w:rsidRPr="00EF744C">
              <w:rPr>
                <w:rFonts w:cstheme="minorHAnsi"/>
                <w:sz w:val="20"/>
                <w:szCs w:val="20"/>
              </w:rPr>
              <w:t>4-1 =3</w:t>
            </w:r>
          </w:p>
        </w:tc>
        <w:tc>
          <w:tcPr>
            <w:tcW w:w="964" w:type="dxa"/>
            <w:tcBorders>
              <w:top w:val="single" w:sz="4" w:space="0" w:color="auto"/>
            </w:tcBorders>
            <w:shd w:val="clear" w:color="auto" w:fill="ECECEC"/>
          </w:tcPr>
          <w:p w14:paraId="39155783" w14:textId="77777777" w:rsidR="004001EA" w:rsidRPr="00EF744C" w:rsidRDefault="004001EA" w:rsidP="00C356AF">
            <w:pPr>
              <w:spacing w:before="56"/>
              <w:ind w:firstLine="12"/>
              <w:jc w:val="center"/>
              <w:rPr>
                <w:rFonts w:cstheme="minorHAnsi"/>
                <w:sz w:val="20"/>
                <w:szCs w:val="20"/>
              </w:rPr>
            </w:pPr>
            <w:r w:rsidRPr="00EF744C">
              <w:rPr>
                <w:rFonts w:cstheme="minorHAnsi"/>
                <w:sz w:val="20"/>
                <w:szCs w:val="20"/>
              </w:rPr>
              <w:t>3-1 =2</w:t>
            </w:r>
          </w:p>
        </w:tc>
        <w:tc>
          <w:tcPr>
            <w:tcW w:w="2628" w:type="dxa"/>
            <w:tcBorders>
              <w:top w:val="single" w:sz="4" w:space="0" w:color="auto"/>
            </w:tcBorders>
            <w:shd w:val="clear" w:color="auto" w:fill="ECECEC"/>
          </w:tcPr>
          <w:p w14:paraId="02CB0D71"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Overidentified</w:t>
            </w:r>
          </w:p>
        </w:tc>
      </w:tr>
      <w:tr w:rsidR="004001EA" w:rsidRPr="00EF744C" w14:paraId="32AE2EC2" w14:textId="77777777" w:rsidTr="00F52BF1">
        <w:trPr>
          <w:jc w:val="center"/>
        </w:trPr>
        <w:tc>
          <w:tcPr>
            <w:tcW w:w="1276" w:type="dxa"/>
          </w:tcPr>
          <w:p w14:paraId="27E8BC5E" w14:textId="68B2F9C2"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LnPo</w:t>
            </w:r>
          </w:p>
        </w:tc>
        <w:tc>
          <w:tcPr>
            <w:tcW w:w="700" w:type="dxa"/>
          </w:tcPr>
          <w:p w14:paraId="268F1A6C" w14:textId="77777777" w:rsidR="004001EA" w:rsidRPr="00EF744C" w:rsidRDefault="004001EA" w:rsidP="00C356AF">
            <w:pPr>
              <w:spacing w:before="56"/>
              <w:ind w:right="69" w:firstLine="12"/>
              <w:jc w:val="center"/>
              <w:rPr>
                <w:rFonts w:cstheme="minorHAnsi"/>
                <w:sz w:val="20"/>
                <w:szCs w:val="20"/>
              </w:rPr>
            </w:pPr>
            <w:r w:rsidRPr="00EF744C">
              <w:rPr>
                <w:rFonts w:cstheme="minorHAnsi"/>
                <w:sz w:val="20"/>
                <w:szCs w:val="20"/>
              </w:rPr>
              <w:t>4</w:t>
            </w:r>
          </w:p>
        </w:tc>
        <w:tc>
          <w:tcPr>
            <w:tcW w:w="703" w:type="dxa"/>
          </w:tcPr>
          <w:p w14:paraId="5AF56485" w14:textId="77777777" w:rsidR="004001EA" w:rsidRPr="00EF744C" w:rsidRDefault="004001EA" w:rsidP="00C356AF">
            <w:pPr>
              <w:spacing w:before="56"/>
              <w:ind w:right="-97" w:firstLine="12"/>
              <w:jc w:val="center"/>
              <w:rPr>
                <w:rFonts w:cstheme="minorHAnsi"/>
                <w:sz w:val="20"/>
                <w:szCs w:val="20"/>
              </w:rPr>
            </w:pPr>
            <w:r w:rsidRPr="00EF744C">
              <w:rPr>
                <w:rFonts w:cstheme="minorHAnsi"/>
                <w:sz w:val="20"/>
                <w:szCs w:val="20"/>
              </w:rPr>
              <w:t>2</w:t>
            </w:r>
          </w:p>
        </w:tc>
        <w:tc>
          <w:tcPr>
            <w:tcW w:w="703" w:type="dxa"/>
          </w:tcPr>
          <w:p w14:paraId="131E2081" w14:textId="77777777" w:rsidR="004001EA" w:rsidRPr="00EF744C" w:rsidRDefault="004001EA" w:rsidP="00C356AF">
            <w:pPr>
              <w:spacing w:before="56"/>
              <w:ind w:right="-84" w:firstLine="12"/>
              <w:jc w:val="center"/>
              <w:rPr>
                <w:rFonts w:cstheme="minorHAnsi"/>
                <w:sz w:val="20"/>
                <w:szCs w:val="20"/>
              </w:rPr>
            </w:pPr>
            <w:r w:rsidRPr="00EF744C">
              <w:rPr>
                <w:rFonts w:cstheme="minorHAnsi"/>
                <w:sz w:val="20"/>
                <w:szCs w:val="20"/>
              </w:rPr>
              <w:t>3</w:t>
            </w:r>
          </w:p>
        </w:tc>
        <w:tc>
          <w:tcPr>
            <w:tcW w:w="964" w:type="dxa"/>
          </w:tcPr>
          <w:p w14:paraId="05D1B4B5" w14:textId="77777777" w:rsidR="004001EA" w:rsidRPr="00EF744C" w:rsidRDefault="004001EA" w:rsidP="00C356AF">
            <w:pPr>
              <w:spacing w:before="56"/>
              <w:ind w:right="-71" w:firstLine="12"/>
              <w:jc w:val="center"/>
              <w:rPr>
                <w:rFonts w:cstheme="minorHAnsi"/>
                <w:sz w:val="20"/>
                <w:szCs w:val="20"/>
              </w:rPr>
            </w:pPr>
            <w:r w:rsidRPr="00EF744C">
              <w:rPr>
                <w:rFonts w:cstheme="minorHAnsi"/>
                <w:sz w:val="20"/>
                <w:szCs w:val="20"/>
              </w:rPr>
              <w:t>4-2 = 2</w:t>
            </w:r>
          </w:p>
        </w:tc>
        <w:tc>
          <w:tcPr>
            <w:tcW w:w="964" w:type="dxa"/>
          </w:tcPr>
          <w:p w14:paraId="590E2DF0" w14:textId="77777777" w:rsidR="004001EA" w:rsidRPr="00EF744C" w:rsidRDefault="004001EA" w:rsidP="00C356AF">
            <w:pPr>
              <w:spacing w:before="56"/>
              <w:ind w:firstLine="12"/>
              <w:jc w:val="center"/>
              <w:rPr>
                <w:rFonts w:cstheme="minorHAnsi"/>
                <w:sz w:val="20"/>
                <w:szCs w:val="20"/>
              </w:rPr>
            </w:pPr>
            <w:r w:rsidRPr="00EF744C">
              <w:rPr>
                <w:rFonts w:cstheme="minorHAnsi"/>
                <w:sz w:val="20"/>
                <w:szCs w:val="20"/>
              </w:rPr>
              <w:t>3-1 =2</w:t>
            </w:r>
          </w:p>
        </w:tc>
        <w:tc>
          <w:tcPr>
            <w:tcW w:w="2628" w:type="dxa"/>
          </w:tcPr>
          <w:p w14:paraId="10053425"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Exactly identified</w:t>
            </w:r>
          </w:p>
        </w:tc>
      </w:tr>
      <w:tr w:rsidR="004001EA" w:rsidRPr="00EF744C" w14:paraId="60804EA5" w14:textId="77777777" w:rsidTr="00F52BF1">
        <w:trPr>
          <w:jc w:val="center"/>
        </w:trPr>
        <w:tc>
          <w:tcPr>
            <w:tcW w:w="1276" w:type="dxa"/>
            <w:shd w:val="clear" w:color="auto" w:fill="ECECEC"/>
          </w:tcPr>
          <w:p w14:paraId="5F448E9C"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LnGini</w:t>
            </w:r>
          </w:p>
        </w:tc>
        <w:tc>
          <w:tcPr>
            <w:tcW w:w="700" w:type="dxa"/>
            <w:shd w:val="clear" w:color="auto" w:fill="ECECEC"/>
          </w:tcPr>
          <w:p w14:paraId="641FD11C" w14:textId="77777777" w:rsidR="004001EA" w:rsidRPr="00EF744C" w:rsidRDefault="004001EA" w:rsidP="00C356AF">
            <w:pPr>
              <w:spacing w:before="56"/>
              <w:ind w:right="69" w:firstLine="12"/>
              <w:jc w:val="center"/>
              <w:rPr>
                <w:rFonts w:cstheme="minorHAnsi"/>
                <w:sz w:val="20"/>
                <w:szCs w:val="20"/>
              </w:rPr>
            </w:pPr>
            <w:r w:rsidRPr="00EF744C">
              <w:rPr>
                <w:rFonts w:cstheme="minorHAnsi"/>
                <w:sz w:val="20"/>
                <w:szCs w:val="20"/>
              </w:rPr>
              <w:t>4</w:t>
            </w:r>
          </w:p>
        </w:tc>
        <w:tc>
          <w:tcPr>
            <w:tcW w:w="703" w:type="dxa"/>
            <w:shd w:val="clear" w:color="auto" w:fill="ECECEC"/>
          </w:tcPr>
          <w:p w14:paraId="33A6023A" w14:textId="77777777" w:rsidR="004001EA" w:rsidRPr="00EF744C" w:rsidRDefault="004001EA" w:rsidP="00C356AF">
            <w:pPr>
              <w:spacing w:before="56"/>
              <w:ind w:right="-97" w:firstLine="12"/>
              <w:jc w:val="center"/>
              <w:rPr>
                <w:rFonts w:cstheme="minorHAnsi"/>
                <w:sz w:val="20"/>
                <w:szCs w:val="20"/>
              </w:rPr>
            </w:pPr>
            <w:r w:rsidRPr="00EF744C">
              <w:rPr>
                <w:rFonts w:cstheme="minorHAnsi"/>
                <w:sz w:val="20"/>
                <w:szCs w:val="20"/>
              </w:rPr>
              <w:t>2</w:t>
            </w:r>
          </w:p>
        </w:tc>
        <w:tc>
          <w:tcPr>
            <w:tcW w:w="703" w:type="dxa"/>
            <w:shd w:val="clear" w:color="auto" w:fill="ECECEC"/>
          </w:tcPr>
          <w:p w14:paraId="02B049DC" w14:textId="77777777" w:rsidR="004001EA" w:rsidRPr="00EF744C" w:rsidRDefault="004001EA" w:rsidP="00C356AF">
            <w:pPr>
              <w:spacing w:before="56"/>
              <w:ind w:right="-84" w:firstLine="12"/>
              <w:jc w:val="center"/>
              <w:rPr>
                <w:rFonts w:cstheme="minorHAnsi"/>
                <w:sz w:val="20"/>
                <w:szCs w:val="20"/>
              </w:rPr>
            </w:pPr>
            <w:r w:rsidRPr="00EF744C">
              <w:rPr>
                <w:rFonts w:cstheme="minorHAnsi"/>
                <w:sz w:val="20"/>
                <w:szCs w:val="20"/>
              </w:rPr>
              <w:t>3</w:t>
            </w:r>
          </w:p>
        </w:tc>
        <w:tc>
          <w:tcPr>
            <w:tcW w:w="964" w:type="dxa"/>
            <w:shd w:val="clear" w:color="auto" w:fill="ECECEC"/>
          </w:tcPr>
          <w:p w14:paraId="400E27C8" w14:textId="77777777" w:rsidR="004001EA" w:rsidRPr="00EF744C" w:rsidRDefault="004001EA" w:rsidP="00C356AF">
            <w:pPr>
              <w:spacing w:before="56"/>
              <w:ind w:right="-71" w:firstLine="12"/>
              <w:jc w:val="center"/>
              <w:rPr>
                <w:rFonts w:cstheme="minorHAnsi"/>
                <w:sz w:val="20"/>
                <w:szCs w:val="20"/>
              </w:rPr>
            </w:pPr>
            <w:r w:rsidRPr="00EF744C">
              <w:rPr>
                <w:rFonts w:cstheme="minorHAnsi"/>
                <w:sz w:val="20"/>
                <w:szCs w:val="20"/>
              </w:rPr>
              <w:t>4-2 = 2</w:t>
            </w:r>
          </w:p>
        </w:tc>
        <w:tc>
          <w:tcPr>
            <w:tcW w:w="964" w:type="dxa"/>
            <w:shd w:val="clear" w:color="auto" w:fill="ECECEC"/>
          </w:tcPr>
          <w:p w14:paraId="7A18F999" w14:textId="77777777" w:rsidR="004001EA" w:rsidRPr="00EF744C" w:rsidRDefault="004001EA" w:rsidP="00C356AF">
            <w:pPr>
              <w:spacing w:before="56"/>
              <w:ind w:firstLine="12"/>
              <w:jc w:val="center"/>
              <w:rPr>
                <w:rFonts w:cstheme="minorHAnsi"/>
                <w:sz w:val="20"/>
                <w:szCs w:val="20"/>
              </w:rPr>
            </w:pPr>
            <w:r w:rsidRPr="00EF744C">
              <w:rPr>
                <w:rFonts w:cstheme="minorHAnsi"/>
                <w:sz w:val="20"/>
                <w:szCs w:val="20"/>
              </w:rPr>
              <w:t>3-1 =2</w:t>
            </w:r>
          </w:p>
        </w:tc>
        <w:tc>
          <w:tcPr>
            <w:tcW w:w="2628" w:type="dxa"/>
            <w:shd w:val="clear" w:color="auto" w:fill="ECECEC"/>
          </w:tcPr>
          <w:p w14:paraId="2B2C608A"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Exactly identified</w:t>
            </w:r>
          </w:p>
        </w:tc>
      </w:tr>
    </w:tbl>
    <w:p w14:paraId="641CFBAD" w14:textId="77777777" w:rsidR="004001EA" w:rsidRPr="00EF744C" w:rsidRDefault="004001EA" w:rsidP="004001EA">
      <w:pPr>
        <w:spacing w:before="11"/>
        <w:ind w:left="305" w:right="204"/>
        <w:jc w:val="both"/>
        <w:rPr>
          <w:rFonts w:ascii="Calibri" w:eastAsia="Calibri" w:hAnsi="Calibri" w:cs="Calibri"/>
          <w:sz w:val="22"/>
          <w:szCs w:val="22"/>
          <w:lang w:val="id-ID"/>
        </w:rPr>
      </w:pPr>
    </w:p>
    <w:p w14:paraId="2E09612F" w14:textId="5433BC95" w:rsidR="004001EA" w:rsidRPr="00EF744C" w:rsidRDefault="00C4265B" w:rsidP="004001EA">
      <w:pPr>
        <w:spacing w:before="11"/>
        <w:ind w:left="305" w:right="204"/>
        <w:jc w:val="both"/>
        <w:rPr>
          <w:rFonts w:ascii="Calibri" w:eastAsia="Calibri" w:hAnsi="Calibri" w:cs="Calibri"/>
          <w:sz w:val="22"/>
          <w:szCs w:val="22"/>
          <w:lang w:val="id-ID"/>
        </w:rPr>
      </w:pPr>
      <w:bookmarkStart w:id="12" w:name="_Hlk119745707"/>
      <w:r w:rsidRPr="00C4265B">
        <w:rPr>
          <w:rFonts w:ascii="Calibri" w:eastAsia="Calibri" w:hAnsi="Calibri" w:cs="Calibri"/>
          <w:sz w:val="22"/>
          <w:szCs w:val="22"/>
          <w:lang w:val="id-ID"/>
        </w:rPr>
        <w:t>The estimation result can be shown in Table 3. To ensure the estimation result is BLUE, it is necessary to do some classical assumption tests (normality, heteroscedasticity, and multicollinearity). For the normality assumption, the overall system normality test using the Anderson-Darling Z test shows that the statistic value is 0.0092 with a probability is 0.9885. It can conclude that the overall system fulfil</w:t>
      </w:r>
      <w:r w:rsidR="00290A8A">
        <w:rPr>
          <w:rFonts w:ascii="Calibri" w:eastAsia="Calibri" w:hAnsi="Calibri" w:cs="Calibri"/>
          <w:sz w:val="22"/>
          <w:szCs w:val="22"/>
          <w:lang w:val="id-ID"/>
        </w:rPr>
        <w:t>l</w:t>
      </w:r>
      <w:r w:rsidRPr="00C4265B">
        <w:rPr>
          <w:rFonts w:ascii="Calibri" w:eastAsia="Calibri" w:hAnsi="Calibri" w:cs="Calibri"/>
          <w:sz w:val="22"/>
          <w:szCs w:val="22"/>
          <w:lang w:val="id-ID"/>
        </w:rPr>
        <w:t xml:space="preserve">s the normality assumption as its p-value is not significant at </w:t>
      </w:r>
      <w:r w:rsidR="004129CA">
        <w:rPr>
          <w:rFonts w:ascii="Calibri" w:eastAsia="Calibri" w:hAnsi="Calibri" w:cs="Calibri"/>
          <w:sz w:val="22"/>
          <w:szCs w:val="22"/>
          <w:lang w:val="id-ID"/>
        </w:rPr>
        <w:t>α=5%</w:t>
      </w:r>
      <w:r w:rsidRPr="00C4265B">
        <w:rPr>
          <w:rFonts w:ascii="Calibri" w:eastAsia="Calibri" w:hAnsi="Calibri" w:cs="Calibri"/>
          <w:sz w:val="22"/>
          <w:szCs w:val="22"/>
          <w:lang w:val="id-ID"/>
        </w:rPr>
        <w:t xml:space="preserve">. For the heteroscedasticity assumption, on overall system heteroscedasticity test using the Breusch-Pagan LM test shows that the statistic value is 5.4425 with a probability of 0.1421. It can conclude that there is no heteroscedasticity problem as its p-value is not significant at </w:t>
      </w:r>
      <w:r w:rsidR="004129CA">
        <w:rPr>
          <w:rFonts w:ascii="Calibri" w:eastAsia="Calibri" w:hAnsi="Calibri" w:cs="Calibri"/>
          <w:sz w:val="22"/>
          <w:szCs w:val="22"/>
          <w:lang w:val="id-ID"/>
        </w:rPr>
        <w:t>α=</w:t>
      </w:r>
      <w:r w:rsidRPr="00C4265B">
        <w:rPr>
          <w:rFonts w:ascii="Calibri" w:eastAsia="Calibri" w:hAnsi="Calibri" w:cs="Calibri"/>
          <w:sz w:val="22"/>
          <w:szCs w:val="22"/>
          <w:lang w:val="id-ID"/>
        </w:rPr>
        <w:t>5</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Multicollinearity based on the cross-correlation among variables shows that the majority correlation value is low, except for the correlation between the LnRGDP and Inv variables, which is fairly high (0.8690). However, this study uses simultaneous equation models, which be used to develop accurate final multiple regression models when collinearities among explanatory variables are thought to be present, then this is not a problem (Graham, 2003).</w:t>
      </w:r>
    </w:p>
    <w:p w14:paraId="518D359C" w14:textId="77777777" w:rsidR="004001EA" w:rsidRPr="00EF744C" w:rsidRDefault="004001EA" w:rsidP="004001EA">
      <w:pPr>
        <w:spacing w:before="11"/>
        <w:ind w:left="305" w:right="204"/>
        <w:jc w:val="both"/>
        <w:rPr>
          <w:rFonts w:ascii="Calibri" w:eastAsia="Calibri" w:hAnsi="Calibri" w:cs="Calibri"/>
          <w:sz w:val="22"/>
          <w:szCs w:val="22"/>
          <w:lang w:val="id-ID"/>
        </w:rPr>
      </w:pPr>
    </w:p>
    <w:bookmarkEnd w:id="12"/>
    <w:p w14:paraId="46EFF6F6" w14:textId="1083A9C0" w:rsidR="004001EA" w:rsidRPr="00EF744C" w:rsidRDefault="00C4265B" w:rsidP="004001EA">
      <w:pPr>
        <w:spacing w:before="11"/>
        <w:ind w:left="305" w:right="204"/>
        <w:jc w:val="both"/>
        <w:rPr>
          <w:rFonts w:ascii="Calibri" w:eastAsia="Calibri" w:hAnsi="Calibri" w:cs="Calibri"/>
          <w:sz w:val="22"/>
          <w:szCs w:val="22"/>
          <w:lang w:val="id-ID"/>
        </w:rPr>
      </w:pPr>
      <w:r w:rsidRPr="00C4265B">
        <w:rPr>
          <w:rFonts w:ascii="Calibri" w:eastAsia="Calibri" w:hAnsi="Calibri" w:cs="Calibri"/>
          <w:sz w:val="22"/>
          <w:szCs w:val="22"/>
          <w:lang w:val="id-ID"/>
        </w:rPr>
        <w:t xml:space="preserve">Based on the F- test, each equation, LnRGDP, LnPov, and LnGini is significant as its p-value is lower than 0.05 (significant at </w:t>
      </w:r>
      <w:r w:rsidR="004129CA">
        <w:rPr>
          <w:rFonts w:ascii="Calibri" w:eastAsia="Calibri" w:hAnsi="Calibri" w:cs="Calibri"/>
          <w:sz w:val="22"/>
          <w:szCs w:val="22"/>
          <w:lang w:val="id-ID"/>
        </w:rPr>
        <w:t>α=</w:t>
      </w:r>
      <w:r w:rsidRPr="00C4265B">
        <w:rPr>
          <w:rFonts w:ascii="Calibri" w:eastAsia="Calibri" w:hAnsi="Calibri" w:cs="Calibri"/>
          <w:sz w:val="22"/>
          <w:szCs w:val="22"/>
          <w:lang w:val="id-ID"/>
        </w:rPr>
        <w:t>5</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Growing income disparity, poverty, and investment all have a big impact on economic growth. Meanwhile, economic growth, the growth of income inequality and education, and unemployment have effects on poverty growth. Moreover, economic growth, the growth of poverty, education, and district minimum wage have significant effects on income inequality growth.</w:t>
      </w:r>
    </w:p>
    <w:p w14:paraId="7EE21068" w14:textId="77777777" w:rsidR="004001EA" w:rsidRPr="00EF744C" w:rsidRDefault="004001EA" w:rsidP="004001EA">
      <w:pPr>
        <w:spacing w:before="11"/>
        <w:ind w:left="305" w:right="204"/>
        <w:jc w:val="both"/>
        <w:rPr>
          <w:rFonts w:ascii="Calibri" w:eastAsia="Calibri" w:hAnsi="Calibri" w:cs="Calibri"/>
          <w:sz w:val="22"/>
          <w:szCs w:val="22"/>
          <w:lang w:val="id-ID"/>
        </w:rPr>
      </w:pPr>
    </w:p>
    <w:p w14:paraId="64B16F95" w14:textId="7E55F9DB" w:rsidR="000B0AC6" w:rsidRPr="00EF744C" w:rsidRDefault="00C4265B">
      <w:pPr>
        <w:spacing w:before="11"/>
        <w:ind w:left="305" w:right="204"/>
        <w:jc w:val="both"/>
        <w:rPr>
          <w:rFonts w:ascii="Calibri" w:eastAsia="Calibri" w:hAnsi="Calibri" w:cs="Calibri"/>
          <w:sz w:val="22"/>
          <w:szCs w:val="22"/>
          <w:lang w:val="id-ID"/>
        </w:rPr>
      </w:pPr>
      <w:r w:rsidRPr="00C4265B">
        <w:rPr>
          <w:rFonts w:ascii="Calibri" w:eastAsia="Calibri" w:hAnsi="Calibri" w:cs="Calibri"/>
          <w:sz w:val="22"/>
          <w:szCs w:val="22"/>
          <w:lang w:val="id-ID"/>
        </w:rPr>
        <w:t>On the economic growth (LnRGDP) model, poverty has a negative effect on economic growth. It means that an increase in poverty growth by 1</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will reduce economic growth by 0.268</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This result is in line with the study by Perry et al. (2006), that poor regions cannot contribute to national growth. Poverty harms economic growth caused by limited access to credit and financial funding, and health problems that can interfere with productivity and low levels of education, so their human capital stock is also of low quality. In addition, the investment variable also has a positive and significant on economic growth. An increase of 1 billion rupiahs in investment will increase economic growth by 1.67x10-7</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This result is in line with the study by Almfraji &amp; Almsafir, the investment may significantly give a positive effect on economic growth influenced by several factors such as well-developed </w:t>
      </w:r>
      <w:r w:rsidRPr="00C4265B">
        <w:rPr>
          <w:rFonts w:ascii="Calibri" w:eastAsia="Calibri" w:hAnsi="Calibri" w:cs="Calibri"/>
          <w:sz w:val="22"/>
          <w:szCs w:val="22"/>
          <w:lang w:val="id-ID"/>
        </w:rPr>
        <w:lastRenderedPageBreak/>
        <w:t>financial markets, adequate levels of human capital, open trade regimes, and the complementarity between domestic and foreign investment. Meanwhile, the result differs from the study by Yuliadi (2020), who found that the investment (foreign investment, domestic investment, and length of road) had no significant effect on economic growth.</w:t>
      </w:r>
    </w:p>
    <w:p w14:paraId="64518238" w14:textId="25FD7796" w:rsidR="00314FF4" w:rsidRPr="00EF744C" w:rsidRDefault="00314FF4" w:rsidP="004001EA">
      <w:pPr>
        <w:spacing w:before="11"/>
        <w:ind w:left="305" w:right="204"/>
        <w:jc w:val="both"/>
        <w:rPr>
          <w:rFonts w:ascii="Calibri" w:eastAsia="Calibri" w:hAnsi="Calibri" w:cs="Calibri"/>
          <w:sz w:val="22"/>
          <w:szCs w:val="22"/>
          <w:lang w:val="id-ID"/>
        </w:rPr>
      </w:pPr>
    </w:p>
    <w:p w14:paraId="07E175C9" w14:textId="02270DAA" w:rsidR="00314FF4" w:rsidRPr="00EF744C" w:rsidRDefault="00C4265B" w:rsidP="004001EA">
      <w:pPr>
        <w:spacing w:before="11"/>
        <w:ind w:left="305" w:right="204"/>
        <w:jc w:val="both"/>
        <w:rPr>
          <w:rFonts w:ascii="Calibri" w:eastAsia="Calibri" w:hAnsi="Calibri" w:cs="Calibri"/>
          <w:sz w:val="22"/>
          <w:szCs w:val="22"/>
        </w:rPr>
      </w:pPr>
      <w:bookmarkStart w:id="13" w:name="_Hlk119745772"/>
      <w:r w:rsidRPr="00C4265B">
        <w:rPr>
          <w:rFonts w:ascii="Calibri" w:eastAsia="Calibri" w:hAnsi="Calibri" w:cs="Calibri"/>
          <w:sz w:val="22"/>
          <w:szCs w:val="22"/>
          <w:lang w:val="id-ID"/>
        </w:rPr>
        <w:t>On the other hand, in the poverty (LnPov) model, economic growth has a significant positive effect on poverty. An increase in economic growth by 1</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will increase poverty growth by 0.603</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The possibility of a positive association between economic growth on poverty cannot be ruled out (Gupta &amp; Mitra, 2004). This positive result can happen since the region's income inequality is still considered high. As the results of a study by Wan (2008), rapid economic growth without considering income inequality can trigger new poverty.</w:t>
      </w:r>
    </w:p>
    <w:bookmarkEnd w:id="13"/>
    <w:p w14:paraId="061297FA" w14:textId="77777777" w:rsidR="000B0AC6" w:rsidRPr="00EF744C" w:rsidRDefault="000B0AC6">
      <w:pPr>
        <w:spacing w:before="9" w:line="260" w:lineRule="exact"/>
        <w:rPr>
          <w:sz w:val="26"/>
          <w:szCs w:val="26"/>
        </w:rPr>
      </w:pPr>
    </w:p>
    <w:p w14:paraId="130BE407" w14:textId="0FCCCD06" w:rsidR="000B0AC6" w:rsidRPr="00EF744C" w:rsidRDefault="004001EA" w:rsidP="004001EA">
      <w:pPr>
        <w:spacing w:before="3" w:line="0" w:lineRule="atLeast"/>
        <w:ind w:firstLine="305"/>
        <w:rPr>
          <w:sz w:val="1"/>
          <w:szCs w:val="1"/>
        </w:rPr>
      </w:pPr>
      <w:r w:rsidRPr="00EF744C">
        <w:rPr>
          <w:rFonts w:ascii="Calibri" w:eastAsia="Calibri" w:hAnsi="Calibri" w:cs="Calibri"/>
          <w:b/>
          <w:sz w:val="22"/>
          <w:szCs w:val="22"/>
        </w:rPr>
        <w:t xml:space="preserve">Table 3. </w:t>
      </w:r>
      <w:r w:rsidRPr="00EF744C">
        <w:rPr>
          <w:rFonts w:ascii="Calibri" w:eastAsia="Calibri" w:hAnsi="Calibri" w:cs="Calibri"/>
          <w:bCs/>
          <w:sz w:val="22"/>
          <w:szCs w:val="22"/>
        </w:rPr>
        <w:t>Result of Estimation of Simultaneous Equation</w:t>
      </w:r>
    </w:p>
    <w:tbl>
      <w:tblPr>
        <w:tblStyle w:val="TableGrid"/>
        <w:tblW w:w="8080" w:type="dxa"/>
        <w:tblInd w:w="284" w:type="dxa"/>
        <w:tblLook w:val="04A0" w:firstRow="1" w:lastRow="0" w:firstColumn="1" w:lastColumn="0" w:noHBand="0" w:noVBand="1"/>
      </w:tblPr>
      <w:tblGrid>
        <w:gridCol w:w="2740"/>
        <w:gridCol w:w="1512"/>
        <w:gridCol w:w="2139"/>
        <w:gridCol w:w="1689"/>
      </w:tblGrid>
      <w:tr w:rsidR="004001EA" w:rsidRPr="00EF744C" w14:paraId="6826A10B" w14:textId="77777777" w:rsidTr="004001EA">
        <w:tc>
          <w:tcPr>
            <w:tcW w:w="8080" w:type="dxa"/>
            <w:gridSpan w:val="4"/>
            <w:tcBorders>
              <w:top w:val="single" w:sz="4" w:space="0" w:color="auto"/>
              <w:left w:val="nil"/>
              <w:bottom w:val="single" w:sz="4" w:space="0" w:color="auto"/>
              <w:right w:val="nil"/>
            </w:tcBorders>
            <w:shd w:val="clear" w:color="auto" w:fill="A4A4A4"/>
          </w:tcPr>
          <w:p w14:paraId="52642D31"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Three-Stage-Least-Square</w:t>
            </w:r>
          </w:p>
        </w:tc>
      </w:tr>
      <w:tr w:rsidR="004001EA" w:rsidRPr="00EF744C" w14:paraId="05C2EF54" w14:textId="77777777" w:rsidTr="004001EA">
        <w:tc>
          <w:tcPr>
            <w:tcW w:w="2740" w:type="dxa"/>
            <w:tcBorders>
              <w:top w:val="single" w:sz="4" w:space="0" w:color="auto"/>
              <w:left w:val="nil"/>
              <w:bottom w:val="single" w:sz="4" w:space="0" w:color="auto"/>
              <w:right w:val="nil"/>
            </w:tcBorders>
            <w:shd w:val="clear" w:color="auto" w:fill="A4A4A4"/>
          </w:tcPr>
          <w:p w14:paraId="2CFD0095"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Equation</w:t>
            </w:r>
          </w:p>
        </w:tc>
        <w:tc>
          <w:tcPr>
            <w:tcW w:w="1512" w:type="dxa"/>
            <w:tcBorders>
              <w:top w:val="single" w:sz="4" w:space="0" w:color="auto"/>
              <w:left w:val="nil"/>
              <w:bottom w:val="single" w:sz="4" w:space="0" w:color="auto"/>
              <w:right w:val="nil"/>
            </w:tcBorders>
            <w:shd w:val="clear" w:color="auto" w:fill="A4A4A4"/>
          </w:tcPr>
          <w:p w14:paraId="010C28F4"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Observation</w:t>
            </w:r>
          </w:p>
        </w:tc>
        <w:tc>
          <w:tcPr>
            <w:tcW w:w="2139" w:type="dxa"/>
            <w:tcBorders>
              <w:top w:val="single" w:sz="4" w:space="0" w:color="auto"/>
              <w:left w:val="nil"/>
              <w:bottom w:val="single" w:sz="4" w:space="0" w:color="auto"/>
              <w:right w:val="nil"/>
            </w:tcBorders>
            <w:shd w:val="clear" w:color="auto" w:fill="A4A4A4"/>
          </w:tcPr>
          <w:p w14:paraId="4A8BBD6E"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'R-Sq'</w:t>
            </w:r>
          </w:p>
        </w:tc>
        <w:tc>
          <w:tcPr>
            <w:tcW w:w="1689" w:type="dxa"/>
            <w:tcBorders>
              <w:top w:val="single" w:sz="4" w:space="0" w:color="auto"/>
              <w:left w:val="nil"/>
              <w:bottom w:val="single" w:sz="4" w:space="0" w:color="auto"/>
              <w:right w:val="nil"/>
            </w:tcBorders>
            <w:shd w:val="clear" w:color="auto" w:fill="A4A4A4"/>
          </w:tcPr>
          <w:p w14:paraId="6DEF05EB" w14:textId="77777777" w:rsidR="004001EA" w:rsidRPr="00EF744C" w:rsidRDefault="004001EA" w:rsidP="004001EA">
            <w:pPr>
              <w:pStyle w:val="ListParagraph"/>
              <w:spacing w:after="0"/>
              <w:ind w:left="0"/>
              <w:jc w:val="both"/>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52C7543B" w14:textId="77777777" w:rsidTr="004001EA">
        <w:tc>
          <w:tcPr>
            <w:tcW w:w="2740" w:type="dxa"/>
            <w:tcBorders>
              <w:top w:val="single" w:sz="4" w:space="0" w:color="auto"/>
              <w:left w:val="nil"/>
              <w:bottom w:val="nil"/>
              <w:right w:val="nil"/>
            </w:tcBorders>
            <w:shd w:val="clear" w:color="auto" w:fill="ECECEC"/>
          </w:tcPr>
          <w:p w14:paraId="22640CCF"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LnRGDP</w:t>
            </w:r>
          </w:p>
        </w:tc>
        <w:tc>
          <w:tcPr>
            <w:tcW w:w="1512" w:type="dxa"/>
            <w:tcBorders>
              <w:top w:val="single" w:sz="4" w:space="0" w:color="auto"/>
              <w:left w:val="nil"/>
              <w:bottom w:val="nil"/>
              <w:right w:val="nil"/>
            </w:tcBorders>
            <w:shd w:val="clear" w:color="auto" w:fill="ECECEC"/>
          </w:tcPr>
          <w:p w14:paraId="734C29E0"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60</w:t>
            </w:r>
          </w:p>
        </w:tc>
        <w:tc>
          <w:tcPr>
            <w:tcW w:w="2139" w:type="dxa"/>
            <w:tcBorders>
              <w:top w:val="single" w:sz="4" w:space="0" w:color="auto"/>
              <w:left w:val="nil"/>
              <w:bottom w:val="nil"/>
              <w:right w:val="nil"/>
            </w:tcBorders>
            <w:shd w:val="clear" w:color="auto" w:fill="ECECEC"/>
          </w:tcPr>
          <w:p w14:paraId="4BEF7DEB" w14:textId="77777777" w:rsidR="004001EA" w:rsidRPr="00EF744C" w:rsidRDefault="004001EA" w:rsidP="004001EA">
            <w:pPr>
              <w:pStyle w:val="ListParagraph"/>
              <w:spacing w:after="0"/>
              <w:ind w:left="-113"/>
              <w:jc w:val="center"/>
              <w:rPr>
                <w:rFonts w:cstheme="minorHAnsi"/>
                <w:sz w:val="20"/>
                <w:szCs w:val="20"/>
                <w:lang w:val="en-US"/>
              </w:rPr>
            </w:pPr>
            <w:r w:rsidRPr="00EF744C">
              <w:rPr>
                <w:rFonts w:cstheme="minorHAnsi"/>
                <w:sz w:val="20"/>
                <w:szCs w:val="20"/>
                <w:lang w:val="en-US"/>
              </w:rPr>
              <w:t xml:space="preserve"> </w:t>
            </w:r>
            <w:r w:rsidRPr="00EF744C">
              <w:rPr>
                <w:rFonts w:cstheme="minorHAnsi"/>
                <w:sz w:val="20"/>
                <w:szCs w:val="20"/>
              </w:rPr>
              <w:t>0.73</w:t>
            </w:r>
            <w:r w:rsidRPr="00EF744C">
              <w:rPr>
                <w:rFonts w:cstheme="minorHAnsi"/>
                <w:sz w:val="20"/>
                <w:szCs w:val="20"/>
                <w:lang w:val="en-US"/>
              </w:rPr>
              <w:t>8</w:t>
            </w:r>
          </w:p>
        </w:tc>
        <w:tc>
          <w:tcPr>
            <w:tcW w:w="1689" w:type="dxa"/>
            <w:tcBorders>
              <w:top w:val="single" w:sz="4" w:space="0" w:color="auto"/>
              <w:left w:val="nil"/>
              <w:bottom w:val="nil"/>
              <w:right w:val="nil"/>
            </w:tcBorders>
            <w:shd w:val="clear" w:color="auto" w:fill="ECECEC"/>
          </w:tcPr>
          <w:p w14:paraId="3DBE90D7"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0.000*</w:t>
            </w:r>
          </w:p>
        </w:tc>
      </w:tr>
      <w:tr w:rsidR="004001EA" w:rsidRPr="00EF744C" w14:paraId="2F4191B5" w14:textId="77777777" w:rsidTr="004001EA">
        <w:tc>
          <w:tcPr>
            <w:tcW w:w="2740" w:type="dxa"/>
            <w:tcBorders>
              <w:top w:val="nil"/>
              <w:left w:val="nil"/>
              <w:bottom w:val="nil"/>
              <w:right w:val="nil"/>
            </w:tcBorders>
          </w:tcPr>
          <w:p w14:paraId="43F74A4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LnPov</w:t>
            </w:r>
          </w:p>
        </w:tc>
        <w:tc>
          <w:tcPr>
            <w:tcW w:w="1512" w:type="dxa"/>
            <w:tcBorders>
              <w:top w:val="nil"/>
              <w:left w:val="nil"/>
              <w:bottom w:val="nil"/>
              <w:right w:val="nil"/>
            </w:tcBorders>
          </w:tcPr>
          <w:p w14:paraId="00E86BE5"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60</w:t>
            </w:r>
          </w:p>
        </w:tc>
        <w:tc>
          <w:tcPr>
            <w:tcW w:w="2139" w:type="dxa"/>
            <w:tcBorders>
              <w:top w:val="nil"/>
              <w:left w:val="nil"/>
              <w:bottom w:val="nil"/>
              <w:right w:val="nil"/>
            </w:tcBorders>
          </w:tcPr>
          <w:p w14:paraId="6F7FE038"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0.487</w:t>
            </w:r>
          </w:p>
        </w:tc>
        <w:tc>
          <w:tcPr>
            <w:tcW w:w="1689" w:type="dxa"/>
            <w:tcBorders>
              <w:top w:val="nil"/>
              <w:left w:val="nil"/>
              <w:bottom w:val="nil"/>
              <w:right w:val="nil"/>
            </w:tcBorders>
          </w:tcPr>
          <w:p w14:paraId="17C9AEBF"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0.000*</w:t>
            </w:r>
          </w:p>
        </w:tc>
      </w:tr>
      <w:tr w:rsidR="004001EA" w:rsidRPr="00EF744C" w14:paraId="419C08B6" w14:textId="77777777" w:rsidTr="004001EA">
        <w:tc>
          <w:tcPr>
            <w:tcW w:w="2740" w:type="dxa"/>
            <w:tcBorders>
              <w:top w:val="nil"/>
              <w:left w:val="nil"/>
              <w:bottom w:val="single" w:sz="4" w:space="0" w:color="auto"/>
              <w:right w:val="nil"/>
            </w:tcBorders>
            <w:shd w:val="clear" w:color="auto" w:fill="ECECEC"/>
          </w:tcPr>
          <w:p w14:paraId="017F88B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LnGini</w:t>
            </w:r>
          </w:p>
        </w:tc>
        <w:tc>
          <w:tcPr>
            <w:tcW w:w="1512" w:type="dxa"/>
            <w:tcBorders>
              <w:top w:val="nil"/>
              <w:left w:val="nil"/>
              <w:bottom w:val="single" w:sz="4" w:space="0" w:color="auto"/>
              <w:right w:val="nil"/>
            </w:tcBorders>
            <w:shd w:val="clear" w:color="auto" w:fill="ECECEC"/>
          </w:tcPr>
          <w:p w14:paraId="14ABFA7F"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60</w:t>
            </w:r>
          </w:p>
        </w:tc>
        <w:tc>
          <w:tcPr>
            <w:tcW w:w="2139" w:type="dxa"/>
            <w:tcBorders>
              <w:top w:val="nil"/>
              <w:left w:val="nil"/>
              <w:bottom w:val="single" w:sz="4" w:space="0" w:color="auto"/>
              <w:right w:val="nil"/>
            </w:tcBorders>
            <w:shd w:val="clear" w:color="auto" w:fill="ECECEC"/>
          </w:tcPr>
          <w:p w14:paraId="24B587D9" w14:textId="77777777" w:rsidR="004001EA" w:rsidRPr="00EF744C" w:rsidRDefault="004001EA" w:rsidP="004001EA">
            <w:pPr>
              <w:pStyle w:val="ListParagraph"/>
              <w:spacing w:after="0"/>
              <w:ind w:left="-113"/>
              <w:jc w:val="center"/>
              <w:rPr>
                <w:rFonts w:cstheme="minorHAnsi"/>
                <w:sz w:val="20"/>
                <w:szCs w:val="20"/>
                <w:lang w:val="en-US"/>
              </w:rPr>
            </w:pPr>
            <w:r w:rsidRPr="00EF744C">
              <w:rPr>
                <w:rFonts w:cstheme="minorHAnsi"/>
                <w:sz w:val="20"/>
                <w:szCs w:val="20"/>
                <w:lang w:val="en-US"/>
              </w:rPr>
              <w:t xml:space="preserve"> </w:t>
            </w:r>
            <w:r w:rsidRPr="00EF744C">
              <w:rPr>
                <w:rFonts w:cstheme="minorHAnsi"/>
                <w:sz w:val="20"/>
                <w:szCs w:val="20"/>
              </w:rPr>
              <w:t>0.48</w:t>
            </w:r>
            <w:r w:rsidRPr="00EF744C">
              <w:rPr>
                <w:rFonts w:cstheme="minorHAnsi"/>
                <w:sz w:val="20"/>
                <w:szCs w:val="20"/>
                <w:lang w:val="en-US"/>
              </w:rPr>
              <w:t>1</w:t>
            </w:r>
          </w:p>
        </w:tc>
        <w:tc>
          <w:tcPr>
            <w:tcW w:w="1689" w:type="dxa"/>
            <w:tcBorders>
              <w:top w:val="nil"/>
              <w:left w:val="nil"/>
              <w:bottom w:val="single" w:sz="4" w:space="0" w:color="auto"/>
              <w:right w:val="nil"/>
            </w:tcBorders>
            <w:shd w:val="clear" w:color="auto" w:fill="ECECEC"/>
          </w:tcPr>
          <w:p w14:paraId="6329472A"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0.000*</w:t>
            </w:r>
          </w:p>
        </w:tc>
      </w:tr>
      <w:tr w:rsidR="004001EA" w:rsidRPr="00EF744C" w14:paraId="0CF2073C" w14:textId="77777777" w:rsidTr="004001EA">
        <w:tc>
          <w:tcPr>
            <w:tcW w:w="2740" w:type="dxa"/>
            <w:tcBorders>
              <w:top w:val="single" w:sz="4" w:space="0" w:color="auto"/>
              <w:left w:val="nil"/>
              <w:bottom w:val="single" w:sz="4" w:space="0" w:color="auto"/>
              <w:right w:val="nil"/>
            </w:tcBorders>
            <w:shd w:val="clear" w:color="auto" w:fill="A4A4A4"/>
          </w:tcPr>
          <w:p w14:paraId="1A07063C"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LnRGDP</w:t>
            </w:r>
          </w:p>
        </w:tc>
        <w:tc>
          <w:tcPr>
            <w:tcW w:w="1512" w:type="dxa"/>
            <w:tcBorders>
              <w:top w:val="single" w:sz="4" w:space="0" w:color="auto"/>
              <w:left w:val="nil"/>
              <w:bottom w:val="single" w:sz="4" w:space="0" w:color="auto"/>
              <w:right w:val="nil"/>
            </w:tcBorders>
            <w:shd w:val="clear" w:color="auto" w:fill="A4A4A4"/>
          </w:tcPr>
          <w:p w14:paraId="1A86F6A7"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Coefficient</w:t>
            </w:r>
          </w:p>
        </w:tc>
        <w:tc>
          <w:tcPr>
            <w:tcW w:w="2139" w:type="dxa"/>
            <w:tcBorders>
              <w:top w:val="single" w:sz="4" w:space="0" w:color="auto"/>
              <w:left w:val="nil"/>
              <w:bottom w:val="single" w:sz="4" w:space="0" w:color="auto"/>
              <w:right w:val="nil"/>
            </w:tcBorders>
            <w:shd w:val="clear" w:color="auto" w:fill="A4A4A4"/>
          </w:tcPr>
          <w:p w14:paraId="46B129C0"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t-student</w:t>
            </w:r>
          </w:p>
        </w:tc>
        <w:tc>
          <w:tcPr>
            <w:tcW w:w="1689" w:type="dxa"/>
            <w:tcBorders>
              <w:top w:val="single" w:sz="4" w:space="0" w:color="auto"/>
              <w:left w:val="nil"/>
              <w:bottom w:val="single" w:sz="4" w:space="0" w:color="auto"/>
              <w:right w:val="nil"/>
            </w:tcBorders>
            <w:shd w:val="clear" w:color="auto" w:fill="A4A4A4"/>
          </w:tcPr>
          <w:p w14:paraId="159B96B9"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33CE505F" w14:textId="77777777" w:rsidTr="004001EA">
        <w:tc>
          <w:tcPr>
            <w:tcW w:w="2740" w:type="dxa"/>
            <w:tcBorders>
              <w:top w:val="single" w:sz="4" w:space="0" w:color="auto"/>
              <w:left w:val="nil"/>
              <w:bottom w:val="nil"/>
              <w:right w:val="nil"/>
            </w:tcBorders>
            <w:shd w:val="clear" w:color="auto" w:fill="ECECEC"/>
          </w:tcPr>
          <w:p w14:paraId="3C0C3BF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Cons</w:t>
            </w:r>
          </w:p>
        </w:tc>
        <w:tc>
          <w:tcPr>
            <w:tcW w:w="1512" w:type="dxa"/>
            <w:tcBorders>
              <w:top w:val="single" w:sz="4" w:space="0" w:color="auto"/>
              <w:left w:val="nil"/>
              <w:bottom w:val="nil"/>
              <w:right w:val="nil"/>
            </w:tcBorders>
            <w:shd w:val="clear" w:color="auto" w:fill="ECECEC"/>
          </w:tcPr>
          <w:p w14:paraId="3C659B9F"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17.105</w:t>
            </w:r>
          </w:p>
        </w:tc>
        <w:tc>
          <w:tcPr>
            <w:tcW w:w="2139" w:type="dxa"/>
            <w:tcBorders>
              <w:top w:val="single" w:sz="4" w:space="0" w:color="auto"/>
              <w:left w:val="nil"/>
              <w:bottom w:val="nil"/>
              <w:right w:val="nil"/>
            </w:tcBorders>
            <w:shd w:val="clear" w:color="auto" w:fill="ECECEC"/>
          </w:tcPr>
          <w:p w14:paraId="210FE64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34.80</w:t>
            </w:r>
          </w:p>
        </w:tc>
        <w:tc>
          <w:tcPr>
            <w:tcW w:w="1689" w:type="dxa"/>
            <w:tcBorders>
              <w:top w:val="single" w:sz="4" w:space="0" w:color="auto"/>
              <w:left w:val="nil"/>
              <w:bottom w:val="nil"/>
              <w:right w:val="nil"/>
            </w:tcBorders>
            <w:shd w:val="clear" w:color="auto" w:fill="ECECEC"/>
          </w:tcPr>
          <w:p w14:paraId="7A01D827"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1C94F853" w14:textId="77777777" w:rsidTr="004001EA">
        <w:tc>
          <w:tcPr>
            <w:tcW w:w="2740" w:type="dxa"/>
            <w:tcBorders>
              <w:top w:val="nil"/>
              <w:left w:val="nil"/>
              <w:bottom w:val="nil"/>
              <w:right w:val="nil"/>
            </w:tcBorders>
          </w:tcPr>
          <w:p w14:paraId="0CEE1E4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LnPov</w:t>
            </w:r>
          </w:p>
        </w:tc>
        <w:tc>
          <w:tcPr>
            <w:tcW w:w="1512" w:type="dxa"/>
            <w:tcBorders>
              <w:top w:val="nil"/>
              <w:left w:val="nil"/>
              <w:bottom w:val="nil"/>
              <w:right w:val="nil"/>
            </w:tcBorders>
          </w:tcPr>
          <w:p w14:paraId="260BAA5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-0.268</w:t>
            </w:r>
          </w:p>
        </w:tc>
        <w:tc>
          <w:tcPr>
            <w:tcW w:w="2139" w:type="dxa"/>
            <w:tcBorders>
              <w:top w:val="nil"/>
              <w:left w:val="nil"/>
              <w:bottom w:val="nil"/>
              <w:right w:val="nil"/>
            </w:tcBorders>
          </w:tcPr>
          <w:p w14:paraId="28926F5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-2.78</w:t>
            </w:r>
          </w:p>
        </w:tc>
        <w:tc>
          <w:tcPr>
            <w:tcW w:w="1689" w:type="dxa"/>
            <w:tcBorders>
              <w:top w:val="nil"/>
              <w:left w:val="nil"/>
              <w:bottom w:val="nil"/>
              <w:right w:val="nil"/>
            </w:tcBorders>
          </w:tcPr>
          <w:p w14:paraId="14C67576"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0.005*</w:t>
            </w:r>
          </w:p>
        </w:tc>
      </w:tr>
      <w:tr w:rsidR="004001EA" w:rsidRPr="00EF744C" w14:paraId="37D03B47" w14:textId="77777777" w:rsidTr="004001EA">
        <w:tc>
          <w:tcPr>
            <w:tcW w:w="2740" w:type="dxa"/>
            <w:tcBorders>
              <w:top w:val="nil"/>
              <w:left w:val="nil"/>
              <w:bottom w:val="nil"/>
              <w:right w:val="nil"/>
            </w:tcBorders>
            <w:shd w:val="clear" w:color="auto" w:fill="ECECEC"/>
          </w:tcPr>
          <w:p w14:paraId="1A07546F"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LnGini</w:t>
            </w:r>
          </w:p>
        </w:tc>
        <w:tc>
          <w:tcPr>
            <w:tcW w:w="1512" w:type="dxa"/>
            <w:tcBorders>
              <w:top w:val="nil"/>
              <w:left w:val="nil"/>
              <w:bottom w:val="nil"/>
              <w:right w:val="nil"/>
            </w:tcBorders>
            <w:shd w:val="clear" w:color="auto" w:fill="ECECEC"/>
          </w:tcPr>
          <w:p w14:paraId="263ED65B"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0.1</w:t>
            </w:r>
            <w:r w:rsidRPr="00EF744C">
              <w:rPr>
                <w:rFonts w:cstheme="minorHAnsi"/>
                <w:sz w:val="20"/>
                <w:szCs w:val="20"/>
                <w:lang w:val="en-US"/>
              </w:rPr>
              <w:t>20</w:t>
            </w:r>
          </w:p>
        </w:tc>
        <w:tc>
          <w:tcPr>
            <w:tcW w:w="2139" w:type="dxa"/>
            <w:tcBorders>
              <w:top w:val="nil"/>
              <w:left w:val="nil"/>
              <w:bottom w:val="nil"/>
              <w:right w:val="nil"/>
            </w:tcBorders>
            <w:shd w:val="clear" w:color="auto" w:fill="ECECEC"/>
          </w:tcPr>
          <w:p w14:paraId="53B2251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0.31</w:t>
            </w:r>
          </w:p>
        </w:tc>
        <w:tc>
          <w:tcPr>
            <w:tcW w:w="1689" w:type="dxa"/>
            <w:tcBorders>
              <w:top w:val="nil"/>
              <w:left w:val="nil"/>
              <w:bottom w:val="nil"/>
              <w:right w:val="nil"/>
            </w:tcBorders>
            <w:shd w:val="clear" w:color="auto" w:fill="ECECEC"/>
          </w:tcPr>
          <w:p w14:paraId="7445E0DC" w14:textId="34DE28BA"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0.757</w:t>
            </w:r>
          </w:p>
        </w:tc>
      </w:tr>
      <w:tr w:rsidR="004001EA" w:rsidRPr="00EF744C" w14:paraId="3B2C25DA" w14:textId="77777777" w:rsidTr="004001EA">
        <w:tc>
          <w:tcPr>
            <w:tcW w:w="2740" w:type="dxa"/>
            <w:tcBorders>
              <w:top w:val="nil"/>
              <w:left w:val="nil"/>
              <w:bottom w:val="single" w:sz="4" w:space="0" w:color="auto"/>
              <w:right w:val="nil"/>
            </w:tcBorders>
          </w:tcPr>
          <w:p w14:paraId="4A7EE73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Inv</w:t>
            </w:r>
          </w:p>
        </w:tc>
        <w:tc>
          <w:tcPr>
            <w:tcW w:w="1512" w:type="dxa"/>
            <w:tcBorders>
              <w:top w:val="nil"/>
              <w:left w:val="nil"/>
              <w:bottom w:val="single" w:sz="4" w:space="0" w:color="auto"/>
              <w:right w:val="nil"/>
            </w:tcBorders>
          </w:tcPr>
          <w:p w14:paraId="0179DDD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1.62e-7</w:t>
            </w:r>
          </w:p>
        </w:tc>
        <w:tc>
          <w:tcPr>
            <w:tcW w:w="2139" w:type="dxa"/>
            <w:tcBorders>
              <w:top w:val="nil"/>
              <w:left w:val="nil"/>
              <w:bottom w:val="single" w:sz="4" w:space="0" w:color="auto"/>
              <w:right w:val="nil"/>
            </w:tcBorders>
          </w:tcPr>
          <w:p w14:paraId="3B4029F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9.79</w:t>
            </w:r>
          </w:p>
        </w:tc>
        <w:tc>
          <w:tcPr>
            <w:tcW w:w="1689" w:type="dxa"/>
            <w:tcBorders>
              <w:top w:val="nil"/>
              <w:left w:val="nil"/>
              <w:bottom w:val="single" w:sz="4" w:space="0" w:color="auto"/>
              <w:right w:val="nil"/>
            </w:tcBorders>
          </w:tcPr>
          <w:p w14:paraId="2795DC2B"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505A8A3C" w14:textId="77777777" w:rsidTr="004001EA">
        <w:tc>
          <w:tcPr>
            <w:tcW w:w="2740" w:type="dxa"/>
            <w:tcBorders>
              <w:top w:val="single" w:sz="4" w:space="0" w:color="auto"/>
              <w:left w:val="nil"/>
              <w:bottom w:val="single" w:sz="4" w:space="0" w:color="auto"/>
              <w:right w:val="nil"/>
            </w:tcBorders>
            <w:shd w:val="clear" w:color="auto" w:fill="A4A4A4"/>
          </w:tcPr>
          <w:p w14:paraId="27B4F9EF"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LnPov</w:t>
            </w:r>
          </w:p>
        </w:tc>
        <w:tc>
          <w:tcPr>
            <w:tcW w:w="1512" w:type="dxa"/>
            <w:tcBorders>
              <w:top w:val="single" w:sz="4" w:space="0" w:color="auto"/>
              <w:left w:val="nil"/>
              <w:bottom w:val="single" w:sz="4" w:space="0" w:color="auto"/>
              <w:right w:val="nil"/>
            </w:tcBorders>
            <w:shd w:val="clear" w:color="auto" w:fill="A4A4A4"/>
          </w:tcPr>
          <w:p w14:paraId="64E50237"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Coefficient</w:t>
            </w:r>
          </w:p>
        </w:tc>
        <w:tc>
          <w:tcPr>
            <w:tcW w:w="2139" w:type="dxa"/>
            <w:tcBorders>
              <w:top w:val="single" w:sz="4" w:space="0" w:color="auto"/>
              <w:left w:val="nil"/>
              <w:bottom w:val="single" w:sz="4" w:space="0" w:color="auto"/>
              <w:right w:val="nil"/>
            </w:tcBorders>
            <w:shd w:val="clear" w:color="auto" w:fill="A4A4A4"/>
          </w:tcPr>
          <w:p w14:paraId="4092E141"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t-student</w:t>
            </w:r>
          </w:p>
        </w:tc>
        <w:tc>
          <w:tcPr>
            <w:tcW w:w="1689" w:type="dxa"/>
            <w:tcBorders>
              <w:top w:val="single" w:sz="4" w:space="0" w:color="auto"/>
              <w:left w:val="nil"/>
              <w:bottom w:val="single" w:sz="4" w:space="0" w:color="auto"/>
              <w:right w:val="nil"/>
            </w:tcBorders>
            <w:shd w:val="clear" w:color="auto" w:fill="A4A4A4"/>
          </w:tcPr>
          <w:p w14:paraId="5DD85C51"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665857CA" w14:textId="77777777" w:rsidTr="004001EA">
        <w:tc>
          <w:tcPr>
            <w:tcW w:w="2740" w:type="dxa"/>
            <w:tcBorders>
              <w:top w:val="single" w:sz="4" w:space="0" w:color="auto"/>
              <w:left w:val="nil"/>
              <w:bottom w:val="nil"/>
              <w:right w:val="nil"/>
            </w:tcBorders>
            <w:shd w:val="clear" w:color="auto" w:fill="ECECEC"/>
          </w:tcPr>
          <w:p w14:paraId="3C75EE7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Cons</w:t>
            </w:r>
          </w:p>
        </w:tc>
        <w:tc>
          <w:tcPr>
            <w:tcW w:w="1512" w:type="dxa"/>
            <w:tcBorders>
              <w:top w:val="single" w:sz="4" w:space="0" w:color="auto"/>
              <w:left w:val="nil"/>
              <w:bottom w:val="nil"/>
              <w:right w:val="nil"/>
            </w:tcBorders>
            <w:shd w:val="clear" w:color="auto" w:fill="ECECEC"/>
          </w:tcPr>
          <w:p w14:paraId="134A672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-3.43</w:t>
            </w:r>
            <w:r w:rsidRPr="00EF744C">
              <w:rPr>
                <w:rFonts w:cstheme="minorHAnsi"/>
                <w:sz w:val="20"/>
                <w:szCs w:val="20"/>
                <w:lang w:val="en-US"/>
              </w:rPr>
              <w:t>1</w:t>
            </w:r>
          </w:p>
        </w:tc>
        <w:tc>
          <w:tcPr>
            <w:tcW w:w="2139" w:type="dxa"/>
            <w:tcBorders>
              <w:top w:val="single" w:sz="4" w:space="0" w:color="auto"/>
              <w:left w:val="nil"/>
              <w:bottom w:val="nil"/>
              <w:right w:val="nil"/>
            </w:tcBorders>
            <w:shd w:val="clear" w:color="auto" w:fill="ECECEC"/>
          </w:tcPr>
          <w:p w14:paraId="2864432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-1.01</w:t>
            </w:r>
          </w:p>
        </w:tc>
        <w:tc>
          <w:tcPr>
            <w:tcW w:w="1689" w:type="dxa"/>
            <w:tcBorders>
              <w:top w:val="single" w:sz="4" w:space="0" w:color="auto"/>
              <w:left w:val="nil"/>
              <w:bottom w:val="nil"/>
              <w:right w:val="nil"/>
            </w:tcBorders>
            <w:shd w:val="clear" w:color="auto" w:fill="ECECEC"/>
          </w:tcPr>
          <w:p w14:paraId="2970C593" w14:textId="5B8B6241"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0.310</w:t>
            </w:r>
          </w:p>
        </w:tc>
      </w:tr>
      <w:tr w:rsidR="004001EA" w:rsidRPr="00EF744C" w14:paraId="2044FE95" w14:textId="77777777" w:rsidTr="004001EA">
        <w:tc>
          <w:tcPr>
            <w:tcW w:w="2740" w:type="dxa"/>
            <w:tcBorders>
              <w:top w:val="nil"/>
              <w:left w:val="nil"/>
              <w:bottom w:val="nil"/>
              <w:right w:val="nil"/>
            </w:tcBorders>
          </w:tcPr>
          <w:p w14:paraId="662CD3D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LnGini</w:t>
            </w:r>
          </w:p>
        </w:tc>
        <w:tc>
          <w:tcPr>
            <w:tcW w:w="1512" w:type="dxa"/>
            <w:tcBorders>
              <w:top w:val="nil"/>
              <w:left w:val="nil"/>
              <w:bottom w:val="nil"/>
              <w:right w:val="nil"/>
            </w:tcBorders>
          </w:tcPr>
          <w:p w14:paraId="60C8022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-1.42</w:t>
            </w:r>
            <w:r w:rsidRPr="00EF744C">
              <w:rPr>
                <w:rFonts w:cstheme="minorHAnsi"/>
                <w:sz w:val="20"/>
                <w:szCs w:val="20"/>
                <w:lang w:val="en-US"/>
              </w:rPr>
              <w:t>4</w:t>
            </w:r>
          </w:p>
        </w:tc>
        <w:tc>
          <w:tcPr>
            <w:tcW w:w="2139" w:type="dxa"/>
            <w:tcBorders>
              <w:top w:val="nil"/>
              <w:left w:val="nil"/>
              <w:bottom w:val="nil"/>
              <w:right w:val="nil"/>
            </w:tcBorders>
          </w:tcPr>
          <w:p w14:paraId="74074F3B"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-2.03</w:t>
            </w:r>
          </w:p>
        </w:tc>
        <w:tc>
          <w:tcPr>
            <w:tcW w:w="1689" w:type="dxa"/>
            <w:tcBorders>
              <w:top w:val="nil"/>
              <w:left w:val="nil"/>
              <w:bottom w:val="nil"/>
              <w:right w:val="nil"/>
            </w:tcBorders>
          </w:tcPr>
          <w:p w14:paraId="57778C0F" w14:textId="50758EFB"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0.042**</w:t>
            </w:r>
          </w:p>
        </w:tc>
      </w:tr>
      <w:tr w:rsidR="004001EA" w:rsidRPr="00EF744C" w14:paraId="7529CAE8" w14:textId="77777777" w:rsidTr="004001EA">
        <w:tc>
          <w:tcPr>
            <w:tcW w:w="2740" w:type="dxa"/>
            <w:tcBorders>
              <w:top w:val="nil"/>
              <w:left w:val="nil"/>
              <w:bottom w:val="nil"/>
              <w:right w:val="nil"/>
            </w:tcBorders>
            <w:shd w:val="clear" w:color="auto" w:fill="ECECEC"/>
          </w:tcPr>
          <w:p w14:paraId="11E7598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LnRGDP</w:t>
            </w:r>
          </w:p>
        </w:tc>
        <w:tc>
          <w:tcPr>
            <w:tcW w:w="1512" w:type="dxa"/>
            <w:tcBorders>
              <w:top w:val="nil"/>
              <w:left w:val="nil"/>
              <w:bottom w:val="nil"/>
              <w:right w:val="nil"/>
            </w:tcBorders>
            <w:shd w:val="clear" w:color="auto" w:fill="ECECEC"/>
          </w:tcPr>
          <w:p w14:paraId="7362106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0.60</w:t>
            </w:r>
            <w:r w:rsidRPr="00EF744C">
              <w:rPr>
                <w:rFonts w:cstheme="minorHAnsi"/>
                <w:sz w:val="20"/>
                <w:szCs w:val="20"/>
                <w:lang w:val="en-US"/>
              </w:rPr>
              <w:t>3</w:t>
            </w:r>
          </w:p>
        </w:tc>
        <w:tc>
          <w:tcPr>
            <w:tcW w:w="2139" w:type="dxa"/>
            <w:tcBorders>
              <w:top w:val="nil"/>
              <w:left w:val="nil"/>
              <w:bottom w:val="nil"/>
              <w:right w:val="nil"/>
            </w:tcBorders>
            <w:shd w:val="clear" w:color="auto" w:fill="ECECEC"/>
          </w:tcPr>
          <w:p w14:paraId="141CAF3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3.36</w:t>
            </w:r>
          </w:p>
        </w:tc>
        <w:tc>
          <w:tcPr>
            <w:tcW w:w="1689" w:type="dxa"/>
            <w:tcBorders>
              <w:top w:val="nil"/>
              <w:left w:val="nil"/>
              <w:bottom w:val="nil"/>
              <w:right w:val="nil"/>
            </w:tcBorders>
            <w:shd w:val="clear" w:color="auto" w:fill="ECECEC"/>
          </w:tcPr>
          <w:p w14:paraId="2B79A7DE" w14:textId="48FB0A8D"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0.001**</w:t>
            </w:r>
          </w:p>
        </w:tc>
      </w:tr>
      <w:tr w:rsidR="004001EA" w:rsidRPr="00EF744C" w14:paraId="17DC913B" w14:textId="77777777" w:rsidTr="004001EA">
        <w:tc>
          <w:tcPr>
            <w:tcW w:w="2740" w:type="dxa"/>
            <w:tcBorders>
              <w:top w:val="nil"/>
              <w:left w:val="nil"/>
              <w:bottom w:val="nil"/>
              <w:right w:val="nil"/>
            </w:tcBorders>
          </w:tcPr>
          <w:p w14:paraId="5F5A2FA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LnEdu</w:t>
            </w:r>
          </w:p>
        </w:tc>
        <w:tc>
          <w:tcPr>
            <w:tcW w:w="1512" w:type="dxa"/>
            <w:tcBorders>
              <w:top w:val="nil"/>
              <w:left w:val="nil"/>
              <w:bottom w:val="nil"/>
              <w:right w:val="nil"/>
            </w:tcBorders>
          </w:tcPr>
          <w:p w14:paraId="21E1E50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-1.269</w:t>
            </w:r>
          </w:p>
        </w:tc>
        <w:tc>
          <w:tcPr>
            <w:tcW w:w="2139" w:type="dxa"/>
            <w:tcBorders>
              <w:top w:val="nil"/>
              <w:left w:val="nil"/>
              <w:bottom w:val="nil"/>
              <w:right w:val="nil"/>
            </w:tcBorders>
          </w:tcPr>
          <w:p w14:paraId="721BA6C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-2.24</w:t>
            </w:r>
          </w:p>
        </w:tc>
        <w:tc>
          <w:tcPr>
            <w:tcW w:w="1689" w:type="dxa"/>
            <w:tcBorders>
              <w:top w:val="nil"/>
              <w:left w:val="nil"/>
              <w:bottom w:val="nil"/>
              <w:right w:val="nil"/>
            </w:tcBorders>
          </w:tcPr>
          <w:p w14:paraId="29D97EA7" w14:textId="61D0951E"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0.025**</w:t>
            </w:r>
          </w:p>
        </w:tc>
      </w:tr>
      <w:tr w:rsidR="004001EA" w:rsidRPr="00EF744C" w14:paraId="5BD359ED" w14:textId="77777777" w:rsidTr="004001EA">
        <w:tc>
          <w:tcPr>
            <w:tcW w:w="2740" w:type="dxa"/>
            <w:tcBorders>
              <w:top w:val="nil"/>
              <w:left w:val="nil"/>
              <w:bottom w:val="single" w:sz="4" w:space="0" w:color="auto"/>
              <w:right w:val="nil"/>
            </w:tcBorders>
            <w:shd w:val="clear" w:color="auto" w:fill="ECECEC"/>
          </w:tcPr>
          <w:p w14:paraId="03BC3FA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Un</w:t>
            </w:r>
          </w:p>
        </w:tc>
        <w:tc>
          <w:tcPr>
            <w:tcW w:w="1512" w:type="dxa"/>
            <w:tcBorders>
              <w:top w:val="nil"/>
              <w:left w:val="nil"/>
              <w:bottom w:val="single" w:sz="4" w:space="0" w:color="auto"/>
              <w:right w:val="nil"/>
            </w:tcBorders>
            <w:shd w:val="clear" w:color="auto" w:fill="ECECEC"/>
          </w:tcPr>
          <w:p w14:paraId="67E1C9F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-0.175</w:t>
            </w:r>
          </w:p>
        </w:tc>
        <w:tc>
          <w:tcPr>
            <w:tcW w:w="2139" w:type="dxa"/>
            <w:tcBorders>
              <w:top w:val="nil"/>
              <w:left w:val="nil"/>
              <w:bottom w:val="single" w:sz="4" w:space="0" w:color="auto"/>
              <w:right w:val="nil"/>
            </w:tcBorders>
            <w:shd w:val="clear" w:color="auto" w:fill="ECECEC"/>
          </w:tcPr>
          <w:p w14:paraId="5C0F128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-3.57</w:t>
            </w:r>
          </w:p>
        </w:tc>
        <w:tc>
          <w:tcPr>
            <w:tcW w:w="1689" w:type="dxa"/>
            <w:tcBorders>
              <w:top w:val="nil"/>
              <w:left w:val="nil"/>
              <w:bottom w:val="single" w:sz="4" w:space="0" w:color="auto"/>
              <w:right w:val="nil"/>
            </w:tcBorders>
            <w:shd w:val="clear" w:color="auto" w:fill="ECECEC"/>
          </w:tcPr>
          <w:p w14:paraId="4947A009" w14:textId="19F58E32"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666A3E69" w14:textId="77777777" w:rsidTr="004001EA">
        <w:tc>
          <w:tcPr>
            <w:tcW w:w="2740" w:type="dxa"/>
            <w:tcBorders>
              <w:top w:val="single" w:sz="4" w:space="0" w:color="auto"/>
              <w:left w:val="nil"/>
              <w:bottom w:val="single" w:sz="4" w:space="0" w:color="auto"/>
              <w:right w:val="nil"/>
            </w:tcBorders>
            <w:shd w:val="clear" w:color="auto" w:fill="A4A4A4"/>
          </w:tcPr>
          <w:p w14:paraId="562DBF13"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LnGini</w:t>
            </w:r>
          </w:p>
        </w:tc>
        <w:tc>
          <w:tcPr>
            <w:tcW w:w="1512" w:type="dxa"/>
            <w:tcBorders>
              <w:top w:val="single" w:sz="4" w:space="0" w:color="auto"/>
              <w:left w:val="nil"/>
              <w:bottom w:val="single" w:sz="4" w:space="0" w:color="auto"/>
              <w:right w:val="nil"/>
            </w:tcBorders>
            <w:shd w:val="clear" w:color="auto" w:fill="A4A4A4"/>
          </w:tcPr>
          <w:p w14:paraId="34081DE9"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Coefficient</w:t>
            </w:r>
          </w:p>
        </w:tc>
        <w:tc>
          <w:tcPr>
            <w:tcW w:w="2139" w:type="dxa"/>
            <w:tcBorders>
              <w:top w:val="single" w:sz="4" w:space="0" w:color="auto"/>
              <w:left w:val="nil"/>
              <w:bottom w:val="single" w:sz="4" w:space="0" w:color="auto"/>
              <w:right w:val="nil"/>
            </w:tcBorders>
            <w:shd w:val="clear" w:color="auto" w:fill="A4A4A4"/>
          </w:tcPr>
          <w:p w14:paraId="36703D9A"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t-student</w:t>
            </w:r>
          </w:p>
        </w:tc>
        <w:tc>
          <w:tcPr>
            <w:tcW w:w="1689" w:type="dxa"/>
            <w:tcBorders>
              <w:top w:val="single" w:sz="4" w:space="0" w:color="auto"/>
              <w:left w:val="nil"/>
              <w:bottom w:val="single" w:sz="4" w:space="0" w:color="auto"/>
              <w:right w:val="nil"/>
            </w:tcBorders>
            <w:shd w:val="clear" w:color="auto" w:fill="A4A4A4"/>
          </w:tcPr>
          <w:p w14:paraId="0AF7FB24"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6A1498F4" w14:textId="77777777" w:rsidTr="004001EA">
        <w:tc>
          <w:tcPr>
            <w:tcW w:w="2740" w:type="dxa"/>
            <w:tcBorders>
              <w:top w:val="single" w:sz="4" w:space="0" w:color="auto"/>
              <w:left w:val="nil"/>
              <w:bottom w:val="nil"/>
              <w:right w:val="nil"/>
            </w:tcBorders>
            <w:shd w:val="clear" w:color="auto" w:fill="ECECEC"/>
          </w:tcPr>
          <w:p w14:paraId="14E9340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Cons</w:t>
            </w:r>
          </w:p>
        </w:tc>
        <w:tc>
          <w:tcPr>
            <w:tcW w:w="1512" w:type="dxa"/>
            <w:tcBorders>
              <w:top w:val="single" w:sz="4" w:space="0" w:color="auto"/>
              <w:left w:val="nil"/>
              <w:bottom w:val="nil"/>
              <w:right w:val="nil"/>
            </w:tcBorders>
            <w:shd w:val="clear" w:color="auto" w:fill="ECECEC"/>
          </w:tcPr>
          <w:p w14:paraId="517E1AB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-6.872</w:t>
            </w:r>
          </w:p>
        </w:tc>
        <w:tc>
          <w:tcPr>
            <w:tcW w:w="2139" w:type="dxa"/>
            <w:tcBorders>
              <w:top w:val="single" w:sz="4" w:space="0" w:color="auto"/>
              <w:left w:val="nil"/>
              <w:bottom w:val="nil"/>
              <w:right w:val="nil"/>
            </w:tcBorders>
            <w:shd w:val="clear" w:color="auto" w:fill="ECECEC"/>
          </w:tcPr>
          <w:p w14:paraId="6DD358A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-6.78</w:t>
            </w:r>
          </w:p>
        </w:tc>
        <w:tc>
          <w:tcPr>
            <w:tcW w:w="1689" w:type="dxa"/>
            <w:tcBorders>
              <w:top w:val="single" w:sz="4" w:space="0" w:color="auto"/>
              <w:left w:val="nil"/>
              <w:bottom w:val="nil"/>
              <w:right w:val="nil"/>
            </w:tcBorders>
            <w:shd w:val="clear" w:color="auto" w:fill="ECECEC"/>
          </w:tcPr>
          <w:p w14:paraId="5FFC389C"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5864464F" w14:textId="77777777" w:rsidTr="004001EA">
        <w:tc>
          <w:tcPr>
            <w:tcW w:w="2740" w:type="dxa"/>
            <w:tcBorders>
              <w:top w:val="nil"/>
              <w:left w:val="nil"/>
              <w:bottom w:val="nil"/>
              <w:right w:val="nil"/>
            </w:tcBorders>
          </w:tcPr>
          <w:p w14:paraId="333CB22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LnPov</w:t>
            </w:r>
          </w:p>
        </w:tc>
        <w:tc>
          <w:tcPr>
            <w:tcW w:w="1512" w:type="dxa"/>
            <w:tcBorders>
              <w:top w:val="nil"/>
              <w:left w:val="nil"/>
              <w:bottom w:val="nil"/>
              <w:right w:val="nil"/>
            </w:tcBorders>
          </w:tcPr>
          <w:p w14:paraId="3A8ADF5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0.105</w:t>
            </w:r>
          </w:p>
        </w:tc>
        <w:tc>
          <w:tcPr>
            <w:tcW w:w="2139" w:type="dxa"/>
            <w:tcBorders>
              <w:top w:val="nil"/>
              <w:left w:val="nil"/>
              <w:bottom w:val="nil"/>
              <w:right w:val="nil"/>
            </w:tcBorders>
          </w:tcPr>
          <w:p w14:paraId="7CA6619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1.12</w:t>
            </w:r>
          </w:p>
        </w:tc>
        <w:tc>
          <w:tcPr>
            <w:tcW w:w="1689" w:type="dxa"/>
            <w:tcBorders>
              <w:top w:val="nil"/>
              <w:left w:val="nil"/>
              <w:bottom w:val="nil"/>
              <w:right w:val="nil"/>
            </w:tcBorders>
          </w:tcPr>
          <w:p w14:paraId="15FAFA62" w14:textId="6C768AF5"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0.263</w:t>
            </w:r>
          </w:p>
        </w:tc>
      </w:tr>
      <w:tr w:rsidR="004001EA" w:rsidRPr="00EF744C" w14:paraId="7C93E513" w14:textId="77777777" w:rsidTr="004001EA">
        <w:tc>
          <w:tcPr>
            <w:tcW w:w="2740" w:type="dxa"/>
            <w:tcBorders>
              <w:top w:val="nil"/>
              <w:left w:val="nil"/>
              <w:bottom w:val="nil"/>
              <w:right w:val="nil"/>
            </w:tcBorders>
            <w:shd w:val="clear" w:color="auto" w:fill="ECECEC"/>
          </w:tcPr>
          <w:p w14:paraId="19EA343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LnRGDP</w:t>
            </w:r>
          </w:p>
        </w:tc>
        <w:tc>
          <w:tcPr>
            <w:tcW w:w="1512" w:type="dxa"/>
            <w:tcBorders>
              <w:top w:val="nil"/>
              <w:left w:val="nil"/>
              <w:bottom w:val="nil"/>
              <w:right w:val="nil"/>
            </w:tcBorders>
            <w:shd w:val="clear" w:color="auto" w:fill="ECECEC"/>
          </w:tcPr>
          <w:p w14:paraId="48E1206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-0.027</w:t>
            </w:r>
          </w:p>
        </w:tc>
        <w:tc>
          <w:tcPr>
            <w:tcW w:w="2139" w:type="dxa"/>
            <w:tcBorders>
              <w:top w:val="nil"/>
              <w:left w:val="nil"/>
              <w:bottom w:val="nil"/>
              <w:right w:val="nil"/>
            </w:tcBorders>
            <w:shd w:val="clear" w:color="auto" w:fill="ECECEC"/>
          </w:tcPr>
          <w:p w14:paraId="7FA5F3A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-0.39</w:t>
            </w:r>
          </w:p>
        </w:tc>
        <w:tc>
          <w:tcPr>
            <w:tcW w:w="1689" w:type="dxa"/>
            <w:tcBorders>
              <w:top w:val="nil"/>
              <w:left w:val="nil"/>
              <w:bottom w:val="nil"/>
              <w:right w:val="nil"/>
            </w:tcBorders>
            <w:shd w:val="clear" w:color="auto" w:fill="ECECEC"/>
          </w:tcPr>
          <w:p w14:paraId="1C802EE6" w14:textId="1ABDDD2E"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0.694</w:t>
            </w:r>
          </w:p>
        </w:tc>
      </w:tr>
      <w:tr w:rsidR="004001EA" w:rsidRPr="00EF744C" w14:paraId="0C87465D" w14:textId="77777777" w:rsidTr="004001EA">
        <w:tc>
          <w:tcPr>
            <w:tcW w:w="2740" w:type="dxa"/>
            <w:tcBorders>
              <w:top w:val="nil"/>
              <w:left w:val="nil"/>
              <w:bottom w:val="nil"/>
              <w:right w:val="nil"/>
            </w:tcBorders>
          </w:tcPr>
          <w:p w14:paraId="50C7FA9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LnWage</w:t>
            </w:r>
          </w:p>
        </w:tc>
        <w:tc>
          <w:tcPr>
            <w:tcW w:w="1512" w:type="dxa"/>
            <w:tcBorders>
              <w:top w:val="nil"/>
              <w:left w:val="nil"/>
              <w:bottom w:val="nil"/>
              <w:right w:val="nil"/>
            </w:tcBorders>
          </w:tcPr>
          <w:p w14:paraId="22E57A4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0.341</w:t>
            </w:r>
          </w:p>
        </w:tc>
        <w:tc>
          <w:tcPr>
            <w:tcW w:w="2139" w:type="dxa"/>
            <w:tcBorders>
              <w:top w:val="nil"/>
              <w:left w:val="nil"/>
              <w:bottom w:val="nil"/>
              <w:right w:val="nil"/>
            </w:tcBorders>
          </w:tcPr>
          <w:p w14:paraId="588FCBB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5.44</w:t>
            </w:r>
          </w:p>
        </w:tc>
        <w:tc>
          <w:tcPr>
            <w:tcW w:w="1689" w:type="dxa"/>
            <w:tcBorders>
              <w:top w:val="nil"/>
              <w:left w:val="nil"/>
              <w:bottom w:val="nil"/>
              <w:right w:val="nil"/>
            </w:tcBorders>
          </w:tcPr>
          <w:p w14:paraId="1F86AC28"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6D79F572" w14:textId="77777777" w:rsidTr="004001EA">
        <w:tc>
          <w:tcPr>
            <w:tcW w:w="2740" w:type="dxa"/>
            <w:tcBorders>
              <w:top w:val="nil"/>
              <w:left w:val="nil"/>
              <w:bottom w:val="single" w:sz="4" w:space="0" w:color="auto"/>
              <w:right w:val="nil"/>
            </w:tcBorders>
            <w:shd w:val="clear" w:color="auto" w:fill="ECECEC"/>
          </w:tcPr>
          <w:p w14:paraId="3CA30A5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LnEdu</w:t>
            </w:r>
          </w:p>
        </w:tc>
        <w:tc>
          <w:tcPr>
            <w:tcW w:w="1512" w:type="dxa"/>
            <w:tcBorders>
              <w:top w:val="nil"/>
              <w:left w:val="nil"/>
              <w:bottom w:val="single" w:sz="4" w:space="0" w:color="auto"/>
              <w:right w:val="nil"/>
            </w:tcBorders>
            <w:shd w:val="clear" w:color="auto" w:fill="ECECEC"/>
          </w:tcPr>
          <w:p w14:paraId="55D194E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0.475</w:t>
            </w:r>
          </w:p>
        </w:tc>
        <w:tc>
          <w:tcPr>
            <w:tcW w:w="2139" w:type="dxa"/>
            <w:tcBorders>
              <w:top w:val="nil"/>
              <w:left w:val="nil"/>
              <w:bottom w:val="single" w:sz="4" w:space="0" w:color="auto"/>
              <w:right w:val="nil"/>
            </w:tcBorders>
            <w:shd w:val="clear" w:color="auto" w:fill="ECECEC"/>
          </w:tcPr>
          <w:p w14:paraId="644A838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1.72</w:t>
            </w:r>
          </w:p>
        </w:tc>
        <w:tc>
          <w:tcPr>
            <w:tcW w:w="1689" w:type="dxa"/>
            <w:tcBorders>
              <w:top w:val="nil"/>
              <w:left w:val="nil"/>
              <w:bottom w:val="single" w:sz="4" w:space="0" w:color="auto"/>
              <w:right w:val="nil"/>
            </w:tcBorders>
            <w:shd w:val="clear" w:color="auto" w:fill="ECECEC"/>
          </w:tcPr>
          <w:p w14:paraId="19A51742" w14:textId="00DAF113"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0.086***</w:t>
            </w:r>
          </w:p>
        </w:tc>
      </w:tr>
      <w:tr w:rsidR="004001EA" w:rsidRPr="00EF744C" w14:paraId="362019BB" w14:textId="77777777" w:rsidTr="004001EA">
        <w:tc>
          <w:tcPr>
            <w:tcW w:w="8080" w:type="dxa"/>
            <w:gridSpan w:val="4"/>
            <w:tcBorders>
              <w:top w:val="single" w:sz="4" w:space="0" w:color="auto"/>
              <w:left w:val="nil"/>
              <w:bottom w:val="nil"/>
              <w:right w:val="nil"/>
            </w:tcBorders>
          </w:tcPr>
          <w:p w14:paraId="7ACA18A3" w14:textId="77777777" w:rsidR="004001EA" w:rsidRPr="00EF744C" w:rsidRDefault="004001EA" w:rsidP="004001EA">
            <w:pPr>
              <w:pStyle w:val="ListParagraph"/>
              <w:spacing w:after="0"/>
              <w:ind w:left="0"/>
              <w:jc w:val="both"/>
              <w:rPr>
                <w:rFonts w:cstheme="minorHAnsi"/>
                <w:sz w:val="20"/>
                <w:szCs w:val="20"/>
              </w:rPr>
            </w:pPr>
            <w:r w:rsidRPr="00EF744C">
              <w:rPr>
                <w:rFonts w:cstheme="minorHAnsi"/>
              </w:rPr>
              <w:t>Endogenous variables: LnRGDP, LNPov, LnGini</w:t>
            </w:r>
          </w:p>
        </w:tc>
      </w:tr>
      <w:tr w:rsidR="004001EA" w:rsidRPr="00EF744C" w14:paraId="5FA145D0" w14:textId="77777777" w:rsidTr="004001EA">
        <w:tc>
          <w:tcPr>
            <w:tcW w:w="8080" w:type="dxa"/>
            <w:gridSpan w:val="4"/>
            <w:tcBorders>
              <w:top w:val="nil"/>
              <w:left w:val="nil"/>
              <w:bottom w:val="single" w:sz="4" w:space="0" w:color="auto"/>
              <w:right w:val="nil"/>
            </w:tcBorders>
          </w:tcPr>
          <w:p w14:paraId="0887DFCC" w14:textId="77777777" w:rsidR="004001EA" w:rsidRPr="00EF744C" w:rsidRDefault="004001EA" w:rsidP="004001EA">
            <w:pPr>
              <w:pStyle w:val="ListParagraph"/>
              <w:spacing w:after="0"/>
              <w:ind w:left="0"/>
              <w:jc w:val="both"/>
              <w:rPr>
                <w:rFonts w:cstheme="minorHAnsi"/>
              </w:rPr>
            </w:pPr>
            <w:r w:rsidRPr="00EF744C">
              <w:rPr>
                <w:rFonts w:cstheme="minorHAnsi"/>
              </w:rPr>
              <w:t>Exogenous variables: Inv LnEdu Un LnWage</w:t>
            </w:r>
          </w:p>
        </w:tc>
      </w:tr>
    </w:tbl>
    <w:p w14:paraId="41556E04" w14:textId="3A413D84" w:rsidR="004001EA" w:rsidRPr="00EF744C" w:rsidRDefault="004001EA" w:rsidP="00314FF4">
      <w:pPr>
        <w:spacing w:before="12" w:line="240" w:lineRule="exact"/>
        <w:ind w:left="284"/>
        <w:rPr>
          <w:rFonts w:asciiTheme="minorHAnsi" w:hAnsiTheme="minorHAnsi" w:cstheme="minorHAnsi"/>
          <w:sz w:val="22"/>
          <w:szCs w:val="22"/>
        </w:rPr>
      </w:pPr>
      <w:r w:rsidRPr="00EF744C">
        <w:rPr>
          <w:rFonts w:asciiTheme="minorHAnsi" w:hAnsiTheme="minorHAnsi" w:cstheme="minorHAnsi"/>
          <w:sz w:val="22"/>
          <w:szCs w:val="22"/>
        </w:rPr>
        <w:t>Note: Indicates significance: *at 1</w:t>
      </w:r>
      <w:r w:rsidR="00777D45" w:rsidRPr="00EF744C">
        <w:rPr>
          <w:rFonts w:asciiTheme="minorHAnsi" w:hAnsiTheme="minorHAnsi" w:cstheme="minorHAnsi"/>
          <w:sz w:val="22"/>
          <w:szCs w:val="22"/>
        </w:rPr>
        <w:t>%</w:t>
      </w:r>
      <w:r w:rsidRPr="00EF744C">
        <w:rPr>
          <w:rFonts w:asciiTheme="minorHAnsi" w:hAnsiTheme="minorHAnsi" w:cstheme="minorHAnsi"/>
          <w:sz w:val="22"/>
          <w:szCs w:val="22"/>
        </w:rPr>
        <w:t xml:space="preserve"> level, ** at 5</w:t>
      </w:r>
      <w:r w:rsidR="00777D45" w:rsidRPr="00EF744C">
        <w:rPr>
          <w:rFonts w:asciiTheme="minorHAnsi" w:hAnsiTheme="minorHAnsi" w:cstheme="minorHAnsi"/>
          <w:sz w:val="22"/>
          <w:szCs w:val="22"/>
        </w:rPr>
        <w:t xml:space="preserve"> %</w:t>
      </w:r>
      <w:r w:rsidRPr="00EF744C">
        <w:rPr>
          <w:rFonts w:asciiTheme="minorHAnsi" w:hAnsiTheme="minorHAnsi" w:cstheme="minorHAnsi"/>
          <w:sz w:val="22"/>
          <w:szCs w:val="22"/>
        </w:rPr>
        <w:t xml:space="preserve"> level, *** indicates at</w:t>
      </w:r>
      <w:r w:rsidR="00465648" w:rsidRPr="00EF744C">
        <w:rPr>
          <w:rFonts w:asciiTheme="minorHAnsi" w:hAnsiTheme="minorHAnsi" w:cstheme="minorHAnsi"/>
          <w:sz w:val="22"/>
          <w:szCs w:val="22"/>
        </w:rPr>
        <w:t xml:space="preserve"> </w:t>
      </w:r>
      <w:r w:rsidRPr="00EF744C">
        <w:rPr>
          <w:rFonts w:asciiTheme="minorHAnsi" w:hAnsiTheme="minorHAnsi" w:cstheme="minorHAnsi"/>
          <w:sz w:val="22"/>
          <w:szCs w:val="22"/>
        </w:rPr>
        <w:t>10</w:t>
      </w:r>
      <w:r w:rsidR="00777D45" w:rsidRPr="00EF744C">
        <w:rPr>
          <w:rFonts w:asciiTheme="minorHAnsi" w:hAnsiTheme="minorHAnsi" w:cstheme="minorHAnsi"/>
          <w:sz w:val="22"/>
          <w:szCs w:val="22"/>
        </w:rPr>
        <w:t xml:space="preserve"> %</w:t>
      </w:r>
      <w:r w:rsidRPr="00EF744C">
        <w:rPr>
          <w:rFonts w:asciiTheme="minorHAnsi" w:hAnsiTheme="minorHAnsi" w:cstheme="minorHAnsi"/>
          <w:sz w:val="22"/>
          <w:szCs w:val="22"/>
        </w:rPr>
        <w:t xml:space="preserve"> level.</w:t>
      </w:r>
    </w:p>
    <w:p w14:paraId="056A63AD" w14:textId="77777777" w:rsidR="004001EA" w:rsidRPr="00EF744C" w:rsidRDefault="004001EA" w:rsidP="004001EA">
      <w:pPr>
        <w:spacing w:before="11"/>
        <w:ind w:left="305" w:right="210"/>
        <w:jc w:val="both"/>
        <w:rPr>
          <w:rFonts w:ascii="Calibri" w:eastAsia="Calibri" w:hAnsi="Calibri" w:cs="Calibri"/>
          <w:sz w:val="22"/>
          <w:szCs w:val="22"/>
          <w:lang w:val="id-ID"/>
        </w:rPr>
      </w:pPr>
    </w:p>
    <w:p w14:paraId="5D7E9D9E" w14:textId="42B4F2A0" w:rsidR="004001EA" w:rsidRPr="00EF744C" w:rsidRDefault="00C4265B" w:rsidP="004001EA">
      <w:pPr>
        <w:spacing w:before="11"/>
        <w:ind w:left="305" w:right="210"/>
        <w:jc w:val="both"/>
        <w:rPr>
          <w:rFonts w:ascii="Calibri" w:eastAsia="Calibri" w:hAnsi="Calibri" w:cs="Calibri"/>
          <w:sz w:val="22"/>
          <w:szCs w:val="22"/>
          <w:lang w:val="id-ID"/>
        </w:rPr>
      </w:pPr>
      <w:bookmarkStart w:id="14" w:name="_Hlk119745836"/>
      <w:r w:rsidRPr="00C4265B">
        <w:rPr>
          <w:rFonts w:ascii="Calibri" w:eastAsia="Calibri" w:hAnsi="Calibri" w:cs="Calibri"/>
          <w:sz w:val="22"/>
          <w:szCs w:val="22"/>
          <w:lang w:val="id-ID"/>
        </w:rPr>
        <w:t>According to the economic growth model, the influence of income disparity on economic growth is minimal. This is consistent with the findings of Benos and Karagiannis (2018), which discovered that changes in income inequality do not affect economic growth. Similarly, under the model of income disparity, economic growth does not affect income inequality. This finding is congruent with the findings of Niyimbanira (2017), who revealed that economic growth reduced poverty but had no effect on income inequality. These outcomes may have occu</w:t>
      </w:r>
      <w:r w:rsidR="00290A8A">
        <w:rPr>
          <w:rFonts w:ascii="Calibri" w:eastAsia="Calibri" w:hAnsi="Calibri" w:cs="Calibri"/>
          <w:sz w:val="22"/>
          <w:szCs w:val="22"/>
          <w:lang w:val="id-ID"/>
        </w:rPr>
        <w:t>r</w:t>
      </w:r>
      <w:r w:rsidRPr="00C4265B">
        <w:rPr>
          <w:rFonts w:ascii="Calibri" w:eastAsia="Calibri" w:hAnsi="Calibri" w:cs="Calibri"/>
          <w:sz w:val="22"/>
          <w:szCs w:val="22"/>
          <w:lang w:val="id-ID"/>
        </w:rPr>
        <w:t>red due to the inequality in economic growth among the districts in Yogyakarta Province. In 2018-2019, for instance, the construction of the Yogyakarta International Airport (YIA) in Kulonprogo drove economic growth to reach more than 10</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w:t>
      </w:r>
      <w:r w:rsidRPr="00C4265B">
        <w:rPr>
          <w:rFonts w:ascii="Calibri" w:eastAsia="Calibri" w:hAnsi="Calibri" w:cs="Calibri"/>
          <w:sz w:val="22"/>
          <w:szCs w:val="22"/>
          <w:lang w:val="id-ID"/>
        </w:rPr>
        <w:lastRenderedPageBreak/>
        <w:t>Kulonprogo's economic growth reached its peak in 2019, which was about 13.49</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while other regions only achieved economic growth of around 5-6</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According to the Gini ratio, Kulonprogo has a low-income inequality during the 2010-2021 period (&lt; 0.4) with values that tend to be consistent.</w:t>
      </w:r>
    </w:p>
    <w:p w14:paraId="5D7191F6" w14:textId="77777777" w:rsidR="004001EA" w:rsidRPr="00EF744C" w:rsidRDefault="004001EA" w:rsidP="004001EA">
      <w:pPr>
        <w:spacing w:before="11"/>
        <w:ind w:left="305" w:right="210"/>
        <w:jc w:val="both"/>
        <w:rPr>
          <w:rFonts w:ascii="Calibri" w:eastAsia="Calibri" w:hAnsi="Calibri" w:cs="Calibri"/>
          <w:sz w:val="22"/>
          <w:szCs w:val="22"/>
          <w:lang w:val="id-ID"/>
        </w:rPr>
      </w:pPr>
    </w:p>
    <w:p w14:paraId="2F4920AE" w14:textId="17011EA0" w:rsidR="009660ED" w:rsidRPr="00EF744C" w:rsidRDefault="00A66A0B" w:rsidP="004001EA">
      <w:pPr>
        <w:spacing w:before="11"/>
        <w:ind w:left="305" w:right="210"/>
        <w:jc w:val="both"/>
        <w:rPr>
          <w:rFonts w:ascii="Calibri" w:eastAsia="Calibri" w:hAnsi="Calibri" w:cs="Calibri"/>
          <w:sz w:val="22"/>
          <w:szCs w:val="22"/>
          <w:lang w:val="id-ID"/>
        </w:rPr>
      </w:pPr>
      <w:r w:rsidRPr="00A66A0B">
        <w:rPr>
          <w:rFonts w:ascii="Calibri" w:eastAsia="Calibri" w:hAnsi="Calibri" w:cs="Calibri"/>
          <w:sz w:val="22"/>
          <w:szCs w:val="22"/>
          <w:lang w:val="id-ID"/>
        </w:rPr>
        <w:t>As illustrated in Table 3, on the poverty model, income inequality significantly affects poverty, an increase of 1</w:t>
      </w:r>
      <w:r w:rsidR="004129CA">
        <w:rPr>
          <w:rFonts w:ascii="Calibri" w:eastAsia="Calibri" w:hAnsi="Calibri" w:cs="Calibri"/>
          <w:sz w:val="22"/>
          <w:szCs w:val="22"/>
          <w:lang w:val="id-ID"/>
        </w:rPr>
        <w:t xml:space="preserve">% </w:t>
      </w:r>
      <w:r w:rsidRPr="00A66A0B">
        <w:rPr>
          <w:rFonts w:ascii="Calibri" w:eastAsia="Calibri" w:hAnsi="Calibri" w:cs="Calibri"/>
          <w:sz w:val="22"/>
          <w:szCs w:val="22"/>
          <w:lang w:val="id-ID"/>
        </w:rPr>
        <w:t>in the growth of the Gini ratio will reduce poverty growth by 1.423</w:t>
      </w:r>
      <w:r w:rsidR="004129CA">
        <w:rPr>
          <w:rFonts w:ascii="Calibri" w:eastAsia="Calibri" w:hAnsi="Calibri" w:cs="Calibri"/>
          <w:sz w:val="22"/>
          <w:szCs w:val="22"/>
          <w:lang w:val="id-ID"/>
        </w:rPr>
        <w:t>%</w:t>
      </w:r>
      <w:r w:rsidRPr="00A66A0B">
        <w:rPr>
          <w:rFonts w:ascii="Calibri" w:eastAsia="Calibri" w:hAnsi="Calibri" w:cs="Calibri"/>
          <w:sz w:val="22"/>
          <w:szCs w:val="22"/>
          <w:lang w:val="id-ID"/>
        </w:rPr>
        <w:t>. On the other side, poverty does not significantly affect income inequality. This is in line with a study by Suriani, et al. (2020), who found that there is a one-way causal relationship between income inequality and poverty. This study showed that income disparity has a significant effect on poverty in the long term. In Yogyakarta Province, income inequality and poverty are peculiar occurrences. Kulonprogo and Gunungkidul are regions with lower income inequality, but higher poverty rates compared to other regions. Moreover, based on the Poverty Severity Index (P2), which demonstrates the discrepancy in spending between the poor, both districts have a greater P2 index value than other regions. When the overall income Gini ratio in Kulonprogo and Gunungkidul is low, inequality among the poor is significantly greater than in other districts. The poverty level in some areas of Yogyakarta Province is still rather high, and there is still a discrepancy in spending among the poor people. Therefore, poverty has little effect on income inequality.</w:t>
      </w:r>
      <w:r w:rsidR="00AE5935" w:rsidRPr="00EF744C">
        <w:rPr>
          <w:rFonts w:ascii="Calibri" w:eastAsia="Calibri" w:hAnsi="Calibri" w:cs="Calibri"/>
          <w:sz w:val="22"/>
          <w:szCs w:val="22"/>
          <w:lang w:val="id-ID"/>
        </w:rPr>
        <w:t xml:space="preserve"> </w:t>
      </w:r>
    </w:p>
    <w:p w14:paraId="3A93929B" w14:textId="77777777" w:rsidR="009660ED" w:rsidRPr="00EF744C" w:rsidRDefault="009660ED" w:rsidP="004001EA">
      <w:pPr>
        <w:spacing w:before="11"/>
        <w:ind w:left="305" w:right="210"/>
        <w:jc w:val="both"/>
        <w:rPr>
          <w:rFonts w:ascii="Calibri" w:eastAsia="Calibri" w:hAnsi="Calibri" w:cs="Calibri"/>
          <w:sz w:val="22"/>
          <w:szCs w:val="22"/>
          <w:lang w:val="id-ID"/>
        </w:rPr>
      </w:pPr>
    </w:p>
    <w:bookmarkEnd w:id="14"/>
    <w:p w14:paraId="68F962DB" w14:textId="183FB1D2" w:rsidR="004001EA" w:rsidRPr="00EF744C" w:rsidRDefault="00A66A0B" w:rsidP="004001EA">
      <w:pPr>
        <w:spacing w:before="11"/>
        <w:ind w:left="305" w:right="210"/>
        <w:jc w:val="both"/>
        <w:rPr>
          <w:rFonts w:ascii="Calibri" w:eastAsia="Calibri" w:hAnsi="Calibri" w:cs="Calibri"/>
          <w:sz w:val="22"/>
          <w:szCs w:val="22"/>
          <w:lang w:val="id-ID"/>
        </w:rPr>
      </w:pPr>
      <w:r w:rsidRPr="00A66A0B">
        <w:rPr>
          <w:rFonts w:ascii="Calibri" w:eastAsia="Calibri" w:hAnsi="Calibri" w:cs="Calibri"/>
          <w:sz w:val="22"/>
          <w:szCs w:val="22"/>
          <w:lang w:val="id-ID"/>
        </w:rPr>
        <w:t>Based on the poverty model, unemployment has a negative and significant effect on poverty. The decline in the unemployment rate will increase the poverty rate. This is in line with the study by Wintara et al. (2021) found that the unskilled workers in Aceh cause a person's opportunity to become manual workers was greater so they will earn relatively small incomes and have the opportunity to be poor greater even though they are already working. Moreover, economic growth was found to affect significantly and positively on poverty. An increase of 1</w:t>
      </w:r>
      <w:r w:rsidR="004129CA">
        <w:rPr>
          <w:rFonts w:ascii="Calibri" w:eastAsia="Calibri" w:hAnsi="Calibri" w:cs="Calibri"/>
          <w:sz w:val="22"/>
          <w:szCs w:val="22"/>
          <w:lang w:val="id-ID"/>
        </w:rPr>
        <w:t xml:space="preserve">% </w:t>
      </w:r>
      <w:r w:rsidRPr="00A66A0B">
        <w:rPr>
          <w:rFonts w:ascii="Calibri" w:eastAsia="Calibri" w:hAnsi="Calibri" w:cs="Calibri"/>
          <w:sz w:val="22"/>
          <w:szCs w:val="22"/>
          <w:lang w:val="id-ID"/>
        </w:rPr>
        <w:t>in economic growth will increase the poverty rate by 0.603. The positive impact was possible due to</w:t>
      </w:r>
      <w:r w:rsidR="00290A8A">
        <w:rPr>
          <w:rFonts w:ascii="Calibri" w:eastAsia="Calibri" w:hAnsi="Calibri" w:cs="Calibri"/>
          <w:sz w:val="22"/>
          <w:szCs w:val="22"/>
          <w:lang w:val="id-ID"/>
        </w:rPr>
        <w:t xml:space="preserve"> the</w:t>
      </w:r>
      <w:r w:rsidRPr="00A66A0B">
        <w:rPr>
          <w:rFonts w:ascii="Calibri" w:eastAsia="Calibri" w:hAnsi="Calibri" w:cs="Calibri"/>
          <w:sz w:val="22"/>
          <w:szCs w:val="22"/>
          <w:lang w:val="id-ID"/>
        </w:rPr>
        <w:t xml:space="preserve"> unequal distribution of economic growth, higher population growth, and lower equality of human resources. Meanwhile, according to a study by Wau (2022), economic growth does not significantly affect poverty in underdeveloped regions due to the lower rate. Thus, the government needs to focus on accelerating economic growth, especially for those regions.</w:t>
      </w:r>
    </w:p>
    <w:p w14:paraId="6C36E974" w14:textId="39E0B9E8" w:rsidR="004001EA" w:rsidRPr="00EF744C" w:rsidRDefault="004001EA" w:rsidP="00BF4DE3">
      <w:pPr>
        <w:spacing w:before="11"/>
        <w:ind w:left="305" w:right="210"/>
        <w:jc w:val="both"/>
        <w:rPr>
          <w:rFonts w:ascii="Calibri" w:eastAsia="Calibri" w:hAnsi="Calibri" w:cs="Calibri"/>
          <w:sz w:val="22"/>
          <w:szCs w:val="22"/>
          <w:lang w:val="id-ID"/>
        </w:rPr>
      </w:pPr>
      <w:r w:rsidRPr="00EF744C">
        <w:rPr>
          <w:rFonts w:ascii="Calibri" w:eastAsia="Calibri" w:hAnsi="Calibri" w:cs="Calibri"/>
          <w:sz w:val="22"/>
          <w:szCs w:val="22"/>
          <w:lang w:val="id-ID"/>
        </w:rPr>
        <w:t xml:space="preserve"> </w:t>
      </w:r>
    </w:p>
    <w:p w14:paraId="11A6F4FD" w14:textId="07ED48B5" w:rsidR="004001EA" w:rsidRPr="00EF744C" w:rsidRDefault="00A66A0B" w:rsidP="004001EA">
      <w:pPr>
        <w:spacing w:before="11"/>
        <w:ind w:left="305" w:right="210"/>
        <w:jc w:val="both"/>
        <w:rPr>
          <w:rFonts w:ascii="Calibri" w:eastAsia="Calibri" w:hAnsi="Calibri" w:cs="Calibri"/>
          <w:sz w:val="22"/>
          <w:szCs w:val="22"/>
          <w:lang w:val="id-ID"/>
        </w:rPr>
      </w:pPr>
      <w:bookmarkStart w:id="15" w:name="_Hlk119745933"/>
      <w:r w:rsidRPr="00A66A0B">
        <w:rPr>
          <w:rFonts w:ascii="Calibri" w:eastAsia="Calibri" w:hAnsi="Calibri" w:cs="Calibri"/>
          <w:sz w:val="22"/>
          <w:szCs w:val="22"/>
          <w:lang w:val="id-ID"/>
        </w:rPr>
        <w:t>Furthermore, on the income inequality model, the district minimum wage has a significant effect (α=</w:t>
      </w:r>
      <w:r>
        <w:rPr>
          <w:rFonts w:ascii="Calibri" w:eastAsia="Calibri" w:hAnsi="Calibri" w:cs="Calibri"/>
          <w:sz w:val="22"/>
          <w:szCs w:val="22"/>
          <w:lang w:val="id-ID"/>
        </w:rPr>
        <w:t>5%</w:t>
      </w:r>
      <w:r w:rsidRPr="00A66A0B">
        <w:rPr>
          <w:rFonts w:ascii="Calibri" w:eastAsia="Calibri" w:hAnsi="Calibri" w:cs="Calibri"/>
          <w:sz w:val="22"/>
          <w:szCs w:val="22"/>
          <w:lang w:val="id-ID"/>
        </w:rPr>
        <w:t>), and education growth also has a significant effect (α=10</w:t>
      </w:r>
      <w:r>
        <w:rPr>
          <w:rFonts w:ascii="Calibri" w:eastAsia="Calibri" w:hAnsi="Calibri" w:cs="Calibri"/>
          <w:sz w:val="22"/>
          <w:szCs w:val="22"/>
          <w:lang w:val="id-ID"/>
        </w:rPr>
        <w:t>%</w:t>
      </w:r>
      <w:r w:rsidRPr="00A66A0B">
        <w:rPr>
          <w:rFonts w:ascii="Calibri" w:eastAsia="Calibri" w:hAnsi="Calibri" w:cs="Calibri"/>
          <w:sz w:val="22"/>
          <w:szCs w:val="22"/>
          <w:lang w:val="id-ID"/>
        </w:rPr>
        <w:t>) on income inequality. An increase in district minimum wage growth by 1</w:t>
      </w:r>
      <w:r w:rsidR="004129CA">
        <w:rPr>
          <w:rFonts w:ascii="Calibri" w:eastAsia="Calibri" w:hAnsi="Calibri" w:cs="Calibri"/>
          <w:sz w:val="22"/>
          <w:szCs w:val="22"/>
          <w:lang w:val="id-ID"/>
        </w:rPr>
        <w:t xml:space="preserve">% </w:t>
      </w:r>
      <w:r w:rsidRPr="00A66A0B">
        <w:rPr>
          <w:rFonts w:ascii="Calibri" w:eastAsia="Calibri" w:hAnsi="Calibri" w:cs="Calibri"/>
          <w:sz w:val="22"/>
          <w:szCs w:val="22"/>
          <w:lang w:val="id-ID"/>
        </w:rPr>
        <w:t>will increase Gini ratio growth by 0.341</w:t>
      </w:r>
      <w:r w:rsidR="004129CA">
        <w:rPr>
          <w:rFonts w:ascii="Calibri" w:eastAsia="Calibri" w:hAnsi="Calibri" w:cs="Calibri"/>
          <w:sz w:val="22"/>
          <w:szCs w:val="22"/>
          <w:lang w:val="id-ID"/>
        </w:rPr>
        <w:t>%</w:t>
      </w:r>
      <w:r w:rsidRPr="00A66A0B">
        <w:rPr>
          <w:rFonts w:ascii="Calibri" w:eastAsia="Calibri" w:hAnsi="Calibri" w:cs="Calibri"/>
          <w:sz w:val="22"/>
          <w:szCs w:val="22"/>
          <w:lang w:val="id-ID"/>
        </w:rPr>
        <w:t>. An increase in education growth by 1</w:t>
      </w:r>
      <w:r>
        <w:rPr>
          <w:rFonts w:ascii="Calibri" w:eastAsia="Calibri" w:hAnsi="Calibri" w:cs="Calibri"/>
          <w:sz w:val="22"/>
          <w:szCs w:val="22"/>
          <w:lang w:val="id-ID"/>
        </w:rPr>
        <w:t xml:space="preserve">% </w:t>
      </w:r>
      <w:r w:rsidRPr="00A66A0B">
        <w:rPr>
          <w:rFonts w:ascii="Calibri" w:eastAsia="Calibri" w:hAnsi="Calibri" w:cs="Calibri"/>
          <w:sz w:val="22"/>
          <w:szCs w:val="22"/>
          <w:lang w:val="id-ID"/>
        </w:rPr>
        <w:t>will increase the Gini ratio growth by 0.475</w:t>
      </w:r>
      <w:r w:rsidR="004129CA">
        <w:rPr>
          <w:rFonts w:ascii="Calibri" w:eastAsia="Calibri" w:hAnsi="Calibri" w:cs="Calibri"/>
          <w:sz w:val="22"/>
          <w:szCs w:val="22"/>
          <w:lang w:val="id-ID"/>
        </w:rPr>
        <w:t>%</w:t>
      </w:r>
      <w:r w:rsidRPr="00A66A0B">
        <w:rPr>
          <w:rFonts w:ascii="Calibri" w:eastAsia="Calibri" w:hAnsi="Calibri" w:cs="Calibri"/>
          <w:sz w:val="22"/>
          <w:szCs w:val="22"/>
          <w:lang w:val="id-ID"/>
        </w:rPr>
        <w:t>. This is in line with research by Sungkar et al. (2015), Hidayat et al. (2020), and Suryani &amp; Woyanti (2021), the increase in the district minimum wage shows that the price of labor is getting more expensive so that it can cause a decrease in demand for labor. The decline in the demand for labor will cause unemployment to increase and more people without an income, so income inequality is higher. As the neoclassical theory states that an increase in the minimum wage of workers will increase income inequality because a non-market will be instrumental in setting the minimum threshold in the labor market, so the demand for labor will decrease (Yuliani et al., 2021).</w:t>
      </w:r>
      <w:r w:rsidR="004001EA" w:rsidRPr="00EF744C">
        <w:rPr>
          <w:rFonts w:ascii="Calibri" w:eastAsia="Calibri" w:hAnsi="Calibri" w:cs="Calibri"/>
          <w:sz w:val="22"/>
          <w:szCs w:val="22"/>
          <w:lang w:val="id-ID"/>
        </w:rPr>
        <w:t xml:space="preserve"> </w:t>
      </w:r>
      <w:bookmarkEnd w:id="15"/>
    </w:p>
    <w:p w14:paraId="4D114C7A" w14:textId="77777777" w:rsidR="004001EA" w:rsidRPr="00EF744C" w:rsidRDefault="004001EA" w:rsidP="004001EA">
      <w:pPr>
        <w:spacing w:before="11"/>
        <w:ind w:left="305" w:right="210"/>
        <w:jc w:val="both"/>
        <w:rPr>
          <w:rFonts w:ascii="Calibri" w:eastAsia="Calibri" w:hAnsi="Calibri" w:cs="Calibri"/>
          <w:sz w:val="22"/>
          <w:szCs w:val="22"/>
          <w:lang w:val="id-ID"/>
        </w:rPr>
      </w:pPr>
    </w:p>
    <w:p w14:paraId="2BAFB17F" w14:textId="350AEB32" w:rsidR="004001EA" w:rsidRPr="00EF744C" w:rsidRDefault="00A66A0B" w:rsidP="004001EA">
      <w:pPr>
        <w:spacing w:before="11"/>
        <w:ind w:left="305" w:right="210"/>
        <w:jc w:val="both"/>
        <w:rPr>
          <w:rFonts w:ascii="Calibri" w:eastAsia="Calibri" w:hAnsi="Calibri" w:cs="Calibri"/>
          <w:sz w:val="22"/>
          <w:szCs w:val="22"/>
          <w:lang w:val="id-ID"/>
        </w:rPr>
      </w:pPr>
      <w:r w:rsidRPr="00A66A0B">
        <w:rPr>
          <w:rFonts w:ascii="Calibri" w:eastAsia="Calibri" w:hAnsi="Calibri" w:cs="Calibri"/>
          <w:sz w:val="22"/>
          <w:szCs w:val="22"/>
        </w:rPr>
        <w:t xml:space="preserve">The education variable has a significant positive effect on income inequality. This is in line with the research findings of </w:t>
      </w:r>
      <w:proofErr w:type="spellStart"/>
      <w:r w:rsidRPr="00A66A0B">
        <w:rPr>
          <w:rFonts w:ascii="Calibri" w:eastAsia="Calibri" w:hAnsi="Calibri" w:cs="Calibri"/>
          <w:sz w:val="22"/>
          <w:szCs w:val="22"/>
        </w:rPr>
        <w:t>Battistón</w:t>
      </w:r>
      <w:proofErr w:type="spellEnd"/>
      <w:r w:rsidRPr="00A66A0B">
        <w:rPr>
          <w:rFonts w:ascii="Calibri" w:eastAsia="Calibri" w:hAnsi="Calibri" w:cs="Calibri"/>
          <w:sz w:val="22"/>
          <w:szCs w:val="22"/>
        </w:rPr>
        <w:t xml:space="preserve"> et al. (2014) that an increase in the education sector increases inequality due to the convexity of returns to education on the labor market. </w:t>
      </w:r>
      <w:r w:rsidRPr="00A66A0B">
        <w:rPr>
          <w:rFonts w:ascii="Calibri" w:eastAsia="Calibri" w:hAnsi="Calibri" w:cs="Calibri"/>
          <w:sz w:val="22"/>
          <w:szCs w:val="22"/>
        </w:rPr>
        <w:lastRenderedPageBreak/>
        <w:t xml:space="preserve">However, investments in education are still needed because of the many positive implications for economic growth, poverty alleviation, inequality of opportunity, and others. The result of the study by </w:t>
      </w:r>
      <w:proofErr w:type="spellStart"/>
      <w:r w:rsidRPr="00A66A0B">
        <w:rPr>
          <w:rFonts w:ascii="Calibri" w:eastAsia="Calibri" w:hAnsi="Calibri" w:cs="Calibri"/>
          <w:sz w:val="22"/>
          <w:szCs w:val="22"/>
        </w:rPr>
        <w:t>Suriani</w:t>
      </w:r>
      <w:proofErr w:type="spellEnd"/>
      <w:r w:rsidRPr="00A66A0B">
        <w:rPr>
          <w:rFonts w:ascii="Calibri" w:eastAsia="Calibri" w:hAnsi="Calibri" w:cs="Calibri"/>
          <w:sz w:val="22"/>
          <w:szCs w:val="22"/>
        </w:rPr>
        <w:t>, et al. (2021) found that distribution in education, such as from zakat, is beneficial in achieving sustainable development goals.</w:t>
      </w:r>
    </w:p>
    <w:p w14:paraId="57BF385F" w14:textId="5DE28461" w:rsidR="004001EA" w:rsidRPr="00EF744C" w:rsidRDefault="004001EA" w:rsidP="00314FF4">
      <w:pPr>
        <w:spacing w:before="11"/>
        <w:ind w:right="210"/>
        <w:jc w:val="both"/>
        <w:rPr>
          <w:rFonts w:ascii="Calibri" w:eastAsia="Calibri" w:hAnsi="Calibri" w:cs="Calibri"/>
          <w:sz w:val="22"/>
          <w:szCs w:val="22"/>
          <w:lang w:val="id-ID"/>
        </w:rPr>
      </w:pPr>
    </w:p>
    <w:p w14:paraId="74193F64" w14:textId="5FEDDC8D" w:rsidR="004001EA" w:rsidRPr="00EF744C" w:rsidRDefault="004001EA" w:rsidP="004001EA">
      <w:pPr>
        <w:spacing w:before="56"/>
        <w:ind w:left="993" w:right="1060" w:hanging="709"/>
        <w:rPr>
          <w:rFonts w:asciiTheme="minorHAnsi" w:hAnsiTheme="minorHAnsi" w:cstheme="minorHAnsi"/>
          <w:sz w:val="22"/>
          <w:szCs w:val="22"/>
          <w:lang w:val="id-ID"/>
        </w:rPr>
      </w:pPr>
      <w:r w:rsidRPr="00EF744C">
        <w:rPr>
          <w:rFonts w:asciiTheme="minorHAnsi" w:hAnsiTheme="minorHAnsi" w:cstheme="minorHAnsi"/>
          <w:b/>
          <w:bCs/>
          <w:sz w:val="22"/>
          <w:szCs w:val="22"/>
        </w:rPr>
        <w:t>Table 4.</w:t>
      </w:r>
      <w:r w:rsidRPr="00EF744C">
        <w:rPr>
          <w:rFonts w:asciiTheme="minorHAnsi" w:hAnsiTheme="minorHAnsi" w:cstheme="minorHAnsi"/>
          <w:sz w:val="22"/>
          <w:szCs w:val="22"/>
        </w:rPr>
        <w:t xml:space="preserve"> </w:t>
      </w:r>
      <w:r w:rsidR="007339C8" w:rsidRPr="00EF744C">
        <w:rPr>
          <w:rFonts w:asciiTheme="minorHAnsi" w:hAnsiTheme="minorHAnsi" w:cstheme="minorHAnsi"/>
          <w:sz w:val="22"/>
          <w:szCs w:val="22"/>
          <w:lang w:val="id-ID"/>
        </w:rPr>
        <w:t xml:space="preserve">The </w:t>
      </w:r>
      <w:r w:rsidRPr="00EF744C">
        <w:rPr>
          <w:rFonts w:asciiTheme="minorHAnsi" w:hAnsiTheme="minorHAnsi" w:cstheme="minorHAnsi"/>
          <w:sz w:val="22"/>
          <w:szCs w:val="22"/>
        </w:rPr>
        <w:t>Government Budget</w:t>
      </w:r>
      <w:r w:rsidR="007339C8" w:rsidRPr="00EF744C">
        <w:rPr>
          <w:rFonts w:asciiTheme="minorHAnsi" w:hAnsiTheme="minorHAnsi" w:cstheme="minorHAnsi"/>
          <w:sz w:val="22"/>
          <w:szCs w:val="22"/>
          <w:lang w:val="id-ID"/>
        </w:rPr>
        <w:t xml:space="preserve"> of </w:t>
      </w:r>
      <w:r w:rsidR="00296F54" w:rsidRPr="00EF744C">
        <w:rPr>
          <w:rFonts w:asciiTheme="minorHAnsi" w:hAnsiTheme="minorHAnsi" w:cstheme="minorHAnsi"/>
          <w:sz w:val="22"/>
          <w:szCs w:val="22"/>
          <w:lang w:val="id-ID"/>
        </w:rPr>
        <w:t>Yogyakarta Province</w:t>
      </w:r>
      <w:r w:rsidRPr="00EF744C">
        <w:rPr>
          <w:rFonts w:asciiTheme="minorHAnsi" w:hAnsiTheme="minorHAnsi" w:cstheme="minorHAnsi"/>
          <w:sz w:val="22"/>
          <w:szCs w:val="22"/>
        </w:rPr>
        <w:t xml:space="preserve"> Related to Reducing Income Disparity from 2017 to 2021</w:t>
      </w:r>
      <w:r w:rsidR="007339C8" w:rsidRPr="00EF744C">
        <w:rPr>
          <w:rFonts w:asciiTheme="minorHAnsi" w:hAnsiTheme="minorHAnsi" w:cstheme="minorHAnsi"/>
          <w:sz w:val="22"/>
          <w:szCs w:val="22"/>
          <w:lang w:val="id-ID"/>
        </w:rPr>
        <w:t xml:space="preserve"> </w:t>
      </w:r>
    </w:p>
    <w:tbl>
      <w:tblPr>
        <w:tblStyle w:val="TableGrid"/>
        <w:tblW w:w="4720"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741"/>
        <w:gridCol w:w="1232"/>
        <w:gridCol w:w="1177"/>
        <w:gridCol w:w="2213"/>
        <w:gridCol w:w="2127"/>
      </w:tblGrid>
      <w:tr w:rsidR="004001EA" w:rsidRPr="00EF744C" w14:paraId="41CB0034" w14:textId="77777777" w:rsidTr="004001EA">
        <w:tc>
          <w:tcPr>
            <w:tcW w:w="366" w:type="pct"/>
            <w:tcBorders>
              <w:top w:val="single" w:sz="4" w:space="0" w:color="auto"/>
              <w:bottom w:val="single" w:sz="4" w:space="0" w:color="auto"/>
            </w:tcBorders>
            <w:shd w:val="clear" w:color="auto" w:fill="A4A4A4"/>
          </w:tcPr>
          <w:p w14:paraId="07A1CEFA"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No</w:t>
            </w:r>
          </w:p>
        </w:tc>
        <w:tc>
          <w:tcPr>
            <w:tcW w:w="459" w:type="pct"/>
            <w:tcBorders>
              <w:top w:val="single" w:sz="4" w:space="0" w:color="auto"/>
              <w:bottom w:val="single" w:sz="4" w:space="0" w:color="auto"/>
            </w:tcBorders>
            <w:shd w:val="clear" w:color="auto" w:fill="A4A4A4"/>
          </w:tcPr>
          <w:p w14:paraId="658DF2CF"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Year</w:t>
            </w:r>
          </w:p>
        </w:tc>
        <w:tc>
          <w:tcPr>
            <w:tcW w:w="762" w:type="pct"/>
            <w:tcBorders>
              <w:top w:val="single" w:sz="4" w:space="0" w:color="auto"/>
              <w:bottom w:val="single" w:sz="4" w:space="0" w:color="auto"/>
            </w:tcBorders>
            <w:shd w:val="clear" w:color="auto" w:fill="A4A4A4"/>
          </w:tcPr>
          <w:p w14:paraId="11A8CC90"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Programs</w:t>
            </w:r>
          </w:p>
        </w:tc>
        <w:tc>
          <w:tcPr>
            <w:tcW w:w="728" w:type="pct"/>
            <w:tcBorders>
              <w:top w:val="single" w:sz="4" w:space="0" w:color="auto"/>
              <w:bottom w:val="single" w:sz="4" w:space="0" w:color="auto"/>
            </w:tcBorders>
            <w:shd w:val="clear" w:color="auto" w:fill="A4A4A4"/>
          </w:tcPr>
          <w:p w14:paraId="13BC703B" w14:textId="77777777" w:rsidR="004001EA" w:rsidRPr="00EF744C" w:rsidRDefault="004001EA" w:rsidP="004001EA">
            <w:pPr>
              <w:pStyle w:val="ListParagraph"/>
              <w:spacing w:after="0"/>
              <w:ind w:left="0" w:right="-35"/>
              <w:jc w:val="center"/>
              <w:rPr>
                <w:rFonts w:cstheme="minorHAnsi"/>
                <w:b/>
                <w:bCs/>
                <w:color w:val="FFFFFF" w:themeColor="background1"/>
                <w:sz w:val="20"/>
                <w:szCs w:val="20"/>
              </w:rPr>
            </w:pPr>
            <w:r w:rsidRPr="00EF744C">
              <w:rPr>
                <w:rFonts w:cstheme="minorHAnsi"/>
                <w:b/>
                <w:bCs/>
                <w:color w:val="FFFFFF" w:themeColor="background1"/>
                <w:sz w:val="20"/>
                <w:szCs w:val="20"/>
              </w:rPr>
              <w:t>Activities</w:t>
            </w:r>
          </w:p>
        </w:tc>
        <w:tc>
          <w:tcPr>
            <w:tcW w:w="1369" w:type="pct"/>
            <w:tcBorders>
              <w:top w:val="single" w:sz="4" w:space="0" w:color="auto"/>
              <w:bottom w:val="single" w:sz="4" w:space="0" w:color="auto"/>
            </w:tcBorders>
            <w:shd w:val="clear" w:color="auto" w:fill="A4A4A4"/>
          </w:tcPr>
          <w:p w14:paraId="3F2A3896"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Budget (Billion Rupiah)</w:t>
            </w:r>
          </w:p>
        </w:tc>
        <w:tc>
          <w:tcPr>
            <w:tcW w:w="1316" w:type="pct"/>
            <w:tcBorders>
              <w:top w:val="single" w:sz="4" w:space="0" w:color="auto"/>
              <w:bottom w:val="single" w:sz="4" w:space="0" w:color="auto"/>
            </w:tcBorders>
            <w:shd w:val="clear" w:color="auto" w:fill="A4A4A4"/>
          </w:tcPr>
          <w:p w14:paraId="51C9B253"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Gini Ratio</w:t>
            </w:r>
          </w:p>
        </w:tc>
      </w:tr>
      <w:tr w:rsidR="004001EA" w:rsidRPr="00EF744C" w14:paraId="58DCADB5" w14:textId="77777777" w:rsidTr="004001EA">
        <w:tc>
          <w:tcPr>
            <w:tcW w:w="366" w:type="pct"/>
            <w:tcBorders>
              <w:top w:val="single" w:sz="4" w:space="0" w:color="auto"/>
            </w:tcBorders>
            <w:shd w:val="clear" w:color="auto" w:fill="ECECEC"/>
          </w:tcPr>
          <w:p w14:paraId="23D3B3D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w:t>
            </w:r>
          </w:p>
        </w:tc>
        <w:tc>
          <w:tcPr>
            <w:tcW w:w="459" w:type="pct"/>
            <w:tcBorders>
              <w:top w:val="single" w:sz="4" w:space="0" w:color="auto"/>
            </w:tcBorders>
            <w:shd w:val="clear" w:color="auto" w:fill="ECECEC"/>
          </w:tcPr>
          <w:p w14:paraId="0BA8117C"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2017</w:t>
            </w:r>
          </w:p>
        </w:tc>
        <w:tc>
          <w:tcPr>
            <w:tcW w:w="762" w:type="pct"/>
            <w:tcBorders>
              <w:top w:val="single" w:sz="4" w:space="0" w:color="auto"/>
            </w:tcBorders>
            <w:shd w:val="clear" w:color="auto" w:fill="ECECEC"/>
          </w:tcPr>
          <w:p w14:paraId="49B3809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tcBorders>
              <w:top w:val="single" w:sz="4" w:space="0" w:color="auto"/>
            </w:tcBorders>
            <w:shd w:val="clear" w:color="auto" w:fill="ECECEC"/>
          </w:tcPr>
          <w:p w14:paraId="0659D43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7</w:t>
            </w:r>
          </w:p>
        </w:tc>
        <w:tc>
          <w:tcPr>
            <w:tcW w:w="1369" w:type="pct"/>
            <w:tcBorders>
              <w:top w:val="single" w:sz="4" w:space="0" w:color="auto"/>
            </w:tcBorders>
            <w:shd w:val="clear" w:color="auto" w:fill="ECECEC"/>
          </w:tcPr>
          <w:p w14:paraId="3F2EF8E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58,40</w:t>
            </w:r>
          </w:p>
        </w:tc>
        <w:tc>
          <w:tcPr>
            <w:tcW w:w="1316" w:type="pct"/>
            <w:tcBorders>
              <w:top w:val="single" w:sz="4" w:space="0" w:color="auto"/>
            </w:tcBorders>
            <w:shd w:val="clear" w:color="auto" w:fill="ECECEC"/>
          </w:tcPr>
          <w:p w14:paraId="080F953B"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0.432</w:t>
            </w:r>
          </w:p>
        </w:tc>
      </w:tr>
      <w:tr w:rsidR="004001EA" w:rsidRPr="00EF744C" w14:paraId="0C0F64C1" w14:textId="77777777" w:rsidTr="004001EA">
        <w:tc>
          <w:tcPr>
            <w:tcW w:w="366" w:type="pct"/>
          </w:tcPr>
          <w:p w14:paraId="2500D83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w:t>
            </w:r>
          </w:p>
        </w:tc>
        <w:tc>
          <w:tcPr>
            <w:tcW w:w="459" w:type="pct"/>
          </w:tcPr>
          <w:p w14:paraId="2C73793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2018</w:t>
            </w:r>
          </w:p>
        </w:tc>
        <w:tc>
          <w:tcPr>
            <w:tcW w:w="762" w:type="pct"/>
          </w:tcPr>
          <w:p w14:paraId="64FD240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tcPr>
          <w:p w14:paraId="5E5B97C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tcPr>
          <w:p w14:paraId="7ADA7D7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163.00</w:t>
            </w:r>
          </w:p>
        </w:tc>
        <w:tc>
          <w:tcPr>
            <w:tcW w:w="1316" w:type="pct"/>
          </w:tcPr>
          <w:p w14:paraId="2B0C25B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0.441</w:t>
            </w:r>
          </w:p>
        </w:tc>
      </w:tr>
      <w:tr w:rsidR="004001EA" w:rsidRPr="00EF744C" w14:paraId="5E5223DF" w14:textId="77777777" w:rsidTr="004001EA">
        <w:tc>
          <w:tcPr>
            <w:tcW w:w="366" w:type="pct"/>
            <w:shd w:val="clear" w:color="auto" w:fill="ECECEC"/>
          </w:tcPr>
          <w:p w14:paraId="4598E4F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w:t>
            </w:r>
          </w:p>
        </w:tc>
        <w:tc>
          <w:tcPr>
            <w:tcW w:w="459" w:type="pct"/>
            <w:shd w:val="clear" w:color="auto" w:fill="ECECEC"/>
          </w:tcPr>
          <w:p w14:paraId="159532C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2019</w:t>
            </w:r>
          </w:p>
        </w:tc>
        <w:tc>
          <w:tcPr>
            <w:tcW w:w="762" w:type="pct"/>
            <w:shd w:val="clear" w:color="auto" w:fill="ECECEC"/>
          </w:tcPr>
          <w:p w14:paraId="17C8A0C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shd w:val="clear" w:color="auto" w:fill="ECECEC"/>
          </w:tcPr>
          <w:p w14:paraId="06CBDE0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shd w:val="clear" w:color="auto" w:fill="ECECEC"/>
          </w:tcPr>
          <w:p w14:paraId="5610E10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163.00</w:t>
            </w:r>
          </w:p>
        </w:tc>
        <w:tc>
          <w:tcPr>
            <w:tcW w:w="1316" w:type="pct"/>
            <w:shd w:val="clear" w:color="auto" w:fill="ECECEC"/>
          </w:tcPr>
          <w:p w14:paraId="6095650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0.423</w:t>
            </w:r>
          </w:p>
        </w:tc>
      </w:tr>
      <w:tr w:rsidR="004001EA" w:rsidRPr="00EF744C" w14:paraId="47B5310B" w14:textId="77777777" w:rsidTr="004001EA">
        <w:tc>
          <w:tcPr>
            <w:tcW w:w="366" w:type="pct"/>
          </w:tcPr>
          <w:p w14:paraId="103709C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4</w:t>
            </w:r>
          </w:p>
        </w:tc>
        <w:tc>
          <w:tcPr>
            <w:tcW w:w="459" w:type="pct"/>
          </w:tcPr>
          <w:p w14:paraId="2A7F53D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2020</w:t>
            </w:r>
          </w:p>
        </w:tc>
        <w:tc>
          <w:tcPr>
            <w:tcW w:w="762" w:type="pct"/>
          </w:tcPr>
          <w:p w14:paraId="71BF2CB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tcPr>
          <w:p w14:paraId="4E22BC9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tcPr>
          <w:p w14:paraId="25A91C7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163.00</w:t>
            </w:r>
          </w:p>
        </w:tc>
        <w:tc>
          <w:tcPr>
            <w:tcW w:w="1316" w:type="pct"/>
          </w:tcPr>
          <w:p w14:paraId="63B5922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0.434</w:t>
            </w:r>
          </w:p>
        </w:tc>
      </w:tr>
      <w:tr w:rsidR="004001EA" w:rsidRPr="00EF744C" w14:paraId="526D5175" w14:textId="77777777" w:rsidTr="004001EA">
        <w:tc>
          <w:tcPr>
            <w:tcW w:w="366" w:type="pct"/>
            <w:shd w:val="clear" w:color="auto" w:fill="ECECEC"/>
          </w:tcPr>
          <w:p w14:paraId="0D27606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459" w:type="pct"/>
            <w:shd w:val="clear" w:color="auto" w:fill="ECECEC"/>
          </w:tcPr>
          <w:p w14:paraId="3AA9BDA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2021</w:t>
            </w:r>
          </w:p>
        </w:tc>
        <w:tc>
          <w:tcPr>
            <w:tcW w:w="762" w:type="pct"/>
            <w:shd w:val="clear" w:color="auto" w:fill="ECECEC"/>
          </w:tcPr>
          <w:p w14:paraId="1CDDD45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13</w:t>
            </w:r>
          </w:p>
        </w:tc>
        <w:tc>
          <w:tcPr>
            <w:tcW w:w="728" w:type="pct"/>
            <w:shd w:val="clear" w:color="auto" w:fill="ECECEC"/>
          </w:tcPr>
          <w:p w14:paraId="0528B0B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shd w:val="clear" w:color="auto" w:fill="ECECEC"/>
          </w:tcPr>
          <w:p w14:paraId="050FB6B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324.82</w:t>
            </w:r>
          </w:p>
        </w:tc>
        <w:tc>
          <w:tcPr>
            <w:tcW w:w="1316" w:type="pct"/>
            <w:shd w:val="clear" w:color="auto" w:fill="ECECEC"/>
          </w:tcPr>
          <w:p w14:paraId="46E175B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0.441</w:t>
            </w:r>
          </w:p>
        </w:tc>
      </w:tr>
    </w:tbl>
    <w:p w14:paraId="5E377F42" w14:textId="77777777" w:rsidR="000B0AC6" w:rsidRPr="00EF744C" w:rsidRDefault="000B0AC6">
      <w:pPr>
        <w:spacing w:before="9" w:line="260" w:lineRule="exact"/>
        <w:rPr>
          <w:sz w:val="26"/>
          <w:szCs w:val="26"/>
        </w:rPr>
      </w:pPr>
    </w:p>
    <w:p w14:paraId="585A244F" w14:textId="4290EA31" w:rsidR="00314FF4" w:rsidRPr="00EF744C" w:rsidRDefault="00A66A0B" w:rsidP="00314FF4">
      <w:pPr>
        <w:spacing w:before="11"/>
        <w:ind w:left="305" w:right="210"/>
        <w:jc w:val="both"/>
        <w:rPr>
          <w:rFonts w:ascii="Calibri" w:eastAsia="Calibri" w:hAnsi="Calibri" w:cs="Calibri"/>
          <w:sz w:val="22"/>
          <w:szCs w:val="22"/>
          <w:lang w:val="id-ID"/>
        </w:rPr>
      </w:pPr>
      <w:bookmarkStart w:id="16" w:name="_Hlk119745970"/>
      <w:r w:rsidRPr="00A66A0B">
        <w:rPr>
          <w:rFonts w:ascii="Calibri" w:eastAsia="Calibri" w:hAnsi="Calibri" w:cs="Calibri"/>
          <w:sz w:val="22"/>
          <w:szCs w:val="22"/>
          <w:lang w:val="id-ID"/>
        </w:rPr>
        <w:t>Table 4 illustrates the effort of the local government of Yogyakarta Province to overcome income inequality. In the last five years, from 2017 to 2021, the government of Yogyakarta Province has established programs and activities designed by the Regional Development Planning Agency of Yogyakarta Province to overcome income inequality. The budget for reducing income inequality continues to increase from 58,40 billion rupiahs in 2017 to 324,82 billion rupiahs in 2021. This budget should be a potential for the government to overcome inequality. The conventional neoclassical model stated that an increase in government expenditure on the productive side would reduce income inequality in the long run (Turnovsky &amp; Erauskin, 2022).</w:t>
      </w:r>
      <w:r w:rsidR="00314FF4" w:rsidRPr="00EF744C">
        <w:rPr>
          <w:rFonts w:ascii="Calibri" w:eastAsia="Calibri" w:hAnsi="Calibri" w:cs="Calibri"/>
          <w:sz w:val="22"/>
          <w:szCs w:val="22"/>
          <w:lang w:val="id-ID"/>
        </w:rPr>
        <w:t xml:space="preserve"> </w:t>
      </w:r>
    </w:p>
    <w:p w14:paraId="653D4C2C" w14:textId="77777777" w:rsidR="00314FF4" w:rsidRPr="00EF744C" w:rsidRDefault="00314FF4" w:rsidP="004001EA">
      <w:pPr>
        <w:ind w:left="305" w:right="202"/>
        <w:jc w:val="both"/>
        <w:rPr>
          <w:rFonts w:ascii="Calibri" w:eastAsia="Calibri" w:hAnsi="Calibri" w:cs="Calibri"/>
          <w:sz w:val="22"/>
          <w:szCs w:val="22"/>
          <w:lang w:val="id-ID"/>
        </w:rPr>
      </w:pPr>
    </w:p>
    <w:bookmarkEnd w:id="16"/>
    <w:p w14:paraId="21A1DB73" w14:textId="71F0685E" w:rsidR="004001EA"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In 2022, they will prioriti</w:t>
      </w:r>
      <w:r w:rsidR="000A4964">
        <w:rPr>
          <w:rFonts w:ascii="Calibri" w:eastAsia="Calibri" w:hAnsi="Calibri" w:cs="Calibri"/>
          <w:sz w:val="22"/>
          <w:szCs w:val="22"/>
          <w:lang w:val="id-ID"/>
        </w:rPr>
        <w:t>z</w:t>
      </w:r>
      <w:r w:rsidRPr="00A66A0B">
        <w:rPr>
          <w:rFonts w:ascii="Calibri" w:eastAsia="Calibri" w:hAnsi="Calibri" w:cs="Calibri"/>
          <w:sz w:val="22"/>
          <w:szCs w:val="22"/>
          <w:lang w:val="id-ID"/>
        </w:rPr>
        <w:t>e equitable development, such as expanding access to health care, education, and infrastructure that can be felt by all individuals. These policies are expected to increase Human Development Index (HDI), as</w:t>
      </w:r>
      <w:r w:rsidR="000A4964">
        <w:rPr>
          <w:rFonts w:ascii="Calibri" w:eastAsia="Calibri" w:hAnsi="Calibri" w:cs="Calibri"/>
          <w:sz w:val="22"/>
          <w:szCs w:val="22"/>
          <w:lang w:val="id-ID"/>
        </w:rPr>
        <w:t xml:space="preserve"> </w:t>
      </w:r>
      <w:r w:rsidR="004129CA">
        <w:rPr>
          <w:rFonts w:ascii="Calibri" w:eastAsia="Calibri" w:hAnsi="Calibri" w:cs="Calibri"/>
          <w:sz w:val="22"/>
          <w:szCs w:val="22"/>
          <w:lang w:val="id-ID"/>
        </w:rPr>
        <w:t xml:space="preserve">the </w:t>
      </w:r>
      <w:r w:rsidRPr="00A66A0B">
        <w:rPr>
          <w:rFonts w:ascii="Calibri" w:eastAsia="Calibri" w:hAnsi="Calibri" w:cs="Calibri"/>
          <w:sz w:val="22"/>
          <w:szCs w:val="22"/>
          <w:lang w:val="id-ID"/>
        </w:rPr>
        <w:t>result of a study by Suryani &amp; Woyanti (2021) stated that increasing HDI will reduce income inequality. Labor productivity will rise when the quality of HDI gets better. The workers' pay is increased, and the community's welfare is more equitably distributed (Fadliansah, et al., 2021). The government expenditure on health and education had a considerable and favorable effect on social welfare (Wiksadana &amp; Sihaloho, 2021). This expenditure fosters economic growth to improve educational attainment and health. Accordingly, education-focused policies are suitable in light of the findings of this study.</w:t>
      </w:r>
    </w:p>
    <w:p w14:paraId="36768772" w14:textId="7C36E113" w:rsidR="0048054F" w:rsidRPr="00EF744C" w:rsidRDefault="0048054F" w:rsidP="004001EA">
      <w:pPr>
        <w:ind w:left="305" w:right="202"/>
        <w:jc w:val="both"/>
        <w:rPr>
          <w:rFonts w:ascii="Calibri" w:eastAsia="Calibri" w:hAnsi="Calibri" w:cs="Calibri"/>
          <w:sz w:val="22"/>
          <w:szCs w:val="22"/>
          <w:lang w:val="id-ID"/>
        </w:rPr>
      </w:pPr>
    </w:p>
    <w:p w14:paraId="60658CBD" w14:textId="4AB8C0C7" w:rsidR="0048054F"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The previous studies of Yogyakarta Province's income inequality found that economic growth did not have a significant effect on income inequality. It is caused by the unequal distribution of economic growth between the districts (Suryani &amp; Woyanti, 2021; Yuliani, 2021). Yogyakarta district, which is the cent</w:t>
      </w:r>
      <w:r w:rsidR="00290A8A">
        <w:rPr>
          <w:rFonts w:ascii="Calibri" w:eastAsia="Calibri" w:hAnsi="Calibri" w:cs="Calibri"/>
          <w:sz w:val="22"/>
          <w:szCs w:val="22"/>
          <w:lang w:val="id-ID"/>
        </w:rPr>
        <w:t>er</w:t>
      </w:r>
      <w:r w:rsidRPr="00A66A0B">
        <w:rPr>
          <w:rFonts w:ascii="Calibri" w:eastAsia="Calibri" w:hAnsi="Calibri" w:cs="Calibri"/>
          <w:sz w:val="22"/>
          <w:szCs w:val="22"/>
          <w:lang w:val="id-ID"/>
        </w:rPr>
        <w:t xml:space="preserve"> of the economy, tends to have higher economic growth. Tjahjadi et al. (2017) studied the impact of education on people's income in Yogyakarta Province. In 2007, the average income of high school graduates was 333 thousand rupiahs per month. It increased to 936 thousand rupiahs per month in 2014. This salary rise is more than that of individuals with a lesser level of education. Another study by Shid</w:t>
      </w:r>
      <w:r w:rsidR="00F27281">
        <w:rPr>
          <w:rFonts w:ascii="Calibri" w:eastAsia="Calibri" w:hAnsi="Calibri" w:cs="Calibri"/>
          <w:sz w:val="22"/>
          <w:szCs w:val="22"/>
          <w:lang w:val="id-ID"/>
        </w:rPr>
        <w:t>i</w:t>
      </w:r>
      <w:r w:rsidRPr="00A66A0B">
        <w:rPr>
          <w:rFonts w:ascii="Calibri" w:eastAsia="Calibri" w:hAnsi="Calibri" w:cs="Calibri"/>
          <w:sz w:val="22"/>
          <w:szCs w:val="22"/>
          <w:lang w:val="id-ID"/>
        </w:rPr>
        <w:t>qi &amp; Pasiya (2019) also stated that the educational attainment of manufacturing workers is dramatically increasing their incomes. It is likely that workers in manufacturing industries have a strong educational background and earn better wages, and this trend is expanding as a result of incremental education. Consequently, prior research confirms the findings of this study.</w:t>
      </w:r>
      <w:r w:rsidR="003368E9" w:rsidRPr="00EF744C">
        <w:rPr>
          <w:rFonts w:ascii="Calibri" w:eastAsia="Calibri" w:hAnsi="Calibri" w:cs="Calibri"/>
          <w:sz w:val="22"/>
          <w:szCs w:val="22"/>
          <w:lang w:val="id-ID"/>
        </w:rPr>
        <w:t xml:space="preserve"> </w:t>
      </w:r>
    </w:p>
    <w:p w14:paraId="596C81A0" w14:textId="77777777" w:rsidR="004001EA" w:rsidRPr="00EF744C" w:rsidRDefault="004001EA" w:rsidP="004001EA">
      <w:pPr>
        <w:ind w:left="305" w:right="202"/>
        <w:jc w:val="both"/>
        <w:rPr>
          <w:rFonts w:ascii="Calibri" w:eastAsia="Calibri" w:hAnsi="Calibri" w:cs="Calibri"/>
          <w:sz w:val="22"/>
          <w:szCs w:val="22"/>
          <w:lang w:val="id-ID"/>
        </w:rPr>
      </w:pPr>
    </w:p>
    <w:p w14:paraId="32B5AF77" w14:textId="0854C0B6" w:rsidR="004001EA" w:rsidRPr="00EF744C" w:rsidRDefault="00A66A0B">
      <w:pPr>
        <w:ind w:left="305" w:right="202"/>
        <w:jc w:val="both"/>
        <w:rPr>
          <w:rFonts w:ascii="Calibri" w:eastAsia="Calibri" w:hAnsi="Calibri" w:cs="Calibri"/>
          <w:sz w:val="22"/>
          <w:szCs w:val="22"/>
          <w:lang w:val="id-ID"/>
        </w:rPr>
      </w:pPr>
      <w:bookmarkStart w:id="17" w:name="_Hlk119746048"/>
      <w:r w:rsidRPr="00A66A0B">
        <w:rPr>
          <w:rFonts w:ascii="Calibri" w:eastAsia="Calibri" w:hAnsi="Calibri" w:cs="Calibri"/>
          <w:sz w:val="22"/>
          <w:szCs w:val="22"/>
          <w:lang w:val="id-ID"/>
        </w:rPr>
        <w:lastRenderedPageBreak/>
        <w:t>These findings suggest that neither economic development nor poverty effectively reduces income disparity. The objective of policies designed to minimi</w:t>
      </w:r>
      <w:r w:rsidR="000A4964">
        <w:rPr>
          <w:rFonts w:ascii="Calibri" w:eastAsia="Calibri" w:hAnsi="Calibri" w:cs="Calibri"/>
          <w:sz w:val="22"/>
          <w:szCs w:val="22"/>
          <w:lang w:val="id-ID"/>
        </w:rPr>
        <w:t>z</w:t>
      </w:r>
      <w:r w:rsidRPr="00A66A0B">
        <w:rPr>
          <w:rFonts w:ascii="Calibri" w:eastAsia="Calibri" w:hAnsi="Calibri" w:cs="Calibri"/>
          <w:sz w:val="22"/>
          <w:szCs w:val="22"/>
          <w:lang w:val="id-ID"/>
        </w:rPr>
        <w:t>e economic disparity should not be to improve social outcomes. It should contemplate continuing long-term expansion  (Cingano, 2014). Taxes and transfers, as redistribution policies, are an instrument for ensuring the equitable allocation of economic growth. Besides that, it is essential to promote equality of opportunity through accessibility and quality of education. In the end, the creation of productive human resources will ultimately be able to support economic growth and reduce inequality and poverty Murdiono &amp; Setiartiti (2014). This is also consistent with the primary objective of the government, which is equitable development.</w:t>
      </w:r>
      <w:r w:rsidR="00C924BF" w:rsidRPr="00EF744C">
        <w:rPr>
          <w:rFonts w:ascii="Calibri" w:eastAsia="Calibri" w:hAnsi="Calibri" w:cs="Calibri"/>
          <w:sz w:val="22"/>
          <w:szCs w:val="22"/>
          <w:lang w:val="id-ID"/>
        </w:rPr>
        <w:t xml:space="preserve"> </w:t>
      </w:r>
    </w:p>
    <w:p w14:paraId="262BB915" w14:textId="766817D8" w:rsidR="00A124DC" w:rsidRPr="00EF744C" w:rsidRDefault="00A124DC" w:rsidP="004001EA">
      <w:pPr>
        <w:ind w:left="305" w:right="202"/>
        <w:jc w:val="both"/>
        <w:rPr>
          <w:rFonts w:ascii="Calibri" w:eastAsia="Calibri" w:hAnsi="Calibri" w:cs="Calibri"/>
          <w:sz w:val="22"/>
          <w:szCs w:val="22"/>
          <w:lang w:val="id-ID"/>
        </w:rPr>
      </w:pPr>
    </w:p>
    <w:p w14:paraId="1267A2AC" w14:textId="425C2054" w:rsidR="00A124DC"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Although economic growth and poverty did not significantly affect income inequality, the local government cannot simply ignore these two economic indicators. This study found a two-way relationship between economic growth and poverty. Therefore, the policies related to increasing economic growth and poverty alleviation must be mutually sustainable. Economic growth must be felt, especially by the poor, or growth policies must be pro-poor growth (Odusola, 2019).</w:t>
      </w:r>
    </w:p>
    <w:p w14:paraId="7F1947FC" w14:textId="77777777" w:rsidR="004001EA" w:rsidRPr="00EF744C" w:rsidRDefault="004001EA" w:rsidP="004001EA">
      <w:pPr>
        <w:ind w:left="305" w:right="202"/>
        <w:jc w:val="both"/>
        <w:rPr>
          <w:rFonts w:ascii="Calibri" w:eastAsia="Calibri" w:hAnsi="Calibri" w:cs="Calibri"/>
          <w:sz w:val="22"/>
          <w:szCs w:val="22"/>
          <w:lang w:val="id-ID"/>
        </w:rPr>
      </w:pPr>
    </w:p>
    <w:p w14:paraId="1219E158" w14:textId="2377D05F" w:rsidR="004001EA"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The development process is inseparable from income inequality, particularly in the early stage of development. However, increasing income inequality must be restrained because it generates societal discontent and leads to a variety of horizontal conflicts (Suparmono &amp; Partina, 2021).</w:t>
      </w:r>
      <w:r w:rsidR="004001EA" w:rsidRPr="00EF744C">
        <w:rPr>
          <w:rFonts w:ascii="Calibri" w:eastAsia="Calibri" w:hAnsi="Calibri" w:cs="Calibri"/>
          <w:sz w:val="22"/>
          <w:szCs w:val="22"/>
          <w:lang w:val="id-ID"/>
        </w:rPr>
        <w:t xml:space="preserve"> </w:t>
      </w:r>
      <w:bookmarkEnd w:id="17"/>
    </w:p>
    <w:p w14:paraId="526FDB62" w14:textId="77777777" w:rsidR="000B0AC6" w:rsidRPr="00EF744C" w:rsidRDefault="000B0AC6">
      <w:pPr>
        <w:spacing w:line="200" w:lineRule="exact"/>
      </w:pPr>
    </w:p>
    <w:p w14:paraId="2840294D" w14:textId="77777777" w:rsidR="000B0AC6" w:rsidRPr="00EF744C" w:rsidRDefault="009129EE">
      <w:pPr>
        <w:ind w:left="3560" w:right="3561"/>
        <w:jc w:val="center"/>
        <w:rPr>
          <w:rFonts w:ascii="Garamond" w:eastAsia="Garamond" w:hAnsi="Garamond" w:cs="Garamond"/>
          <w:sz w:val="28"/>
          <w:szCs w:val="28"/>
        </w:rPr>
      </w:pPr>
      <w:r w:rsidRPr="00EF744C">
        <w:rPr>
          <w:rFonts w:ascii="Garamond" w:eastAsia="Garamond" w:hAnsi="Garamond" w:cs="Garamond"/>
          <w:b/>
          <w:w w:val="99"/>
          <w:sz w:val="28"/>
          <w:szCs w:val="28"/>
        </w:rPr>
        <w:t>Conclu</w:t>
      </w:r>
      <w:r w:rsidRPr="00EF744C">
        <w:rPr>
          <w:rFonts w:ascii="Garamond" w:eastAsia="Garamond" w:hAnsi="Garamond" w:cs="Garamond"/>
          <w:b/>
          <w:sz w:val="28"/>
          <w:szCs w:val="28"/>
        </w:rPr>
        <w:t>si</w:t>
      </w:r>
      <w:r w:rsidRPr="00EF744C">
        <w:rPr>
          <w:rFonts w:ascii="Garamond" w:eastAsia="Garamond" w:hAnsi="Garamond" w:cs="Garamond"/>
          <w:b/>
          <w:spacing w:val="1"/>
          <w:sz w:val="28"/>
          <w:szCs w:val="28"/>
        </w:rPr>
        <w:t>o</w:t>
      </w:r>
      <w:r w:rsidRPr="00EF744C">
        <w:rPr>
          <w:rFonts w:ascii="Garamond" w:eastAsia="Garamond" w:hAnsi="Garamond" w:cs="Garamond"/>
          <w:b/>
          <w:w w:val="99"/>
          <w:sz w:val="28"/>
          <w:szCs w:val="28"/>
        </w:rPr>
        <w:t>n</w:t>
      </w:r>
    </w:p>
    <w:p w14:paraId="407D3BA0" w14:textId="77777777" w:rsidR="000B0AC6" w:rsidRPr="00EF744C" w:rsidRDefault="000B0AC6">
      <w:pPr>
        <w:spacing w:before="5" w:line="260" w:lineRule="exact"/>
        <w:rPr>
          <w:sz w:val="26"/>
          <w:szCs w:val="26"/>
        </w:rPr>
      </w:pPr>
    </w:p>
    <w:p w14:paraId="1FEFE63C" w14:textId="250686EE" w:rsidR="00E64882" w:rsidRPr="00EF744C" w:rsidRDefault="00A66A0B" w:rsidP="00E64882">
      <w:pPr>
        <w:ind w:left="305" w:right="267"/>
        <w:jc w:val="both"/>
        <w:rPr>
          <w:rFonts w:ascii="Calibri" w:eastAsia="Calibri" w:hAnsi="Calibri" w:cs="Calibri"/>
          <w:sz w:val="22"/>
          <w:szCs w:val="22"/>
          <w:lang w:val="id-ID"/>
        </w:rPr>
      </w:pPr>
      <w:bookmarkStart w:id="18" w:name="_Hlk119746106"/>
      <w:r w:rsidRPr="00A66A0B">
        <w:rPr>
          <w:rFonts w:ascii="Calibri" w:eastAsia="Calibri" w:hAnsi="Calibri" w:cs="Calibri"/>
          <w:sz w:val="22"/>
          <w:szCs w:val="22"/>
        </w:rPr>
        <w:t xml:space="preserve">Based on the discussion of results, it can be concluded that there was no reciprocal relationship between income disparity, economic growth, and poverty in Yogyakarta Province between 2010 and 2021. Meanwhile, economic growth and poverty have a reciprocal relationship. The effects of economic growth and poverty on income disparity are negligible, hence lowering inequality by economic growth and poverty reduction is ineffective. Income inequality is affected by the growth of district minimum wage and education. Based on that, to overcome this income inequality, the recommendations to local government are: 1) ensure the equal distribution of economic growth in all districts/cities in Yogyakarta Province and all economic sectors; 2) ensure the equal distribution of education and its quality; 3) tax policy and its proper use; 4) reducing inequality in minimum wage among the districts/cities; 5) </w:t>
      </w:r>
      <w:proofErr w:type="spellStart"/>
      <w:r w:rsidRPr="00A66A0B">
        <w:rPr>
          <w:rFonts w:ascii="Calibri" w:eastAsia="Calibri" w:hAnsi="Calibri" w:cs="Calibri"/>
          <w:sz w:val="22"/>
          <w:szCs w:val="22"/>
        </w:rPr>
        <w:t>utili</w:t>
      </w:r>
      <w:proofErr w:type="spellEnd"/>
      <w:r w:rsidR="000A4964">
        <w:rPr>
          <w:rFonts w:ascii="Calibri" w:eastAsia="Calibri" w:hAnsi="Calibri" w:cs="Calibri"/>
          <w:sz w:val="22"/>
          <w:szCs w:val="22"/>
          <w:lang w:val="id-ID"/>
        </w:rPr>
        <w:t>z</w:t>
      </w:r>
      <w:r w:rsidRPr="00A66A0B">
        <w:rPr>
          <w:rFonts w:ascii="Calibri" w:eastAsia="Calibri" w:hAnsi="Calibri" w:cs="Calibri"/>
          <w:sz w:val="22"/>
          <w:szCs w:val="22"/>
        </w:rPr>
        <w:t>e the potential of the budget to determine strategic targets to reduce income inequality.</w:t>
      </w:r>
    </w:p>
    <w:bookmarkEnd w:id="18"/>
    <w:p w14:paraId="3AD0913F" w14:textId="77777777" w:rsidR="00474253" w:rsidRPr="00EF744C" w:rsidRDefault="00474253" w:rsidP="00474253">
      <w:pPr>
        <w:ind w:left="3580" w:right="3581"/>
        <w:jc w:val="center"/>
        <w:rPr>
          <w:rFonts w:ascii="Garamond" w:eastAsia="Garamond" w:hAnsi="Garamond" w:cs="Garamond"/>
          <w:b/>
          <w:w w:val="99"/>
          <w:sz w:val="28"/>
          <w:szCs w:val="28"/>
        </w:rPr>
      </w:pPr>
    </w:p>
    <w:p w14:paraId="5BA04A97" w14:textId="791AB862" w:rsidR="00474253" w:rsidRPr="00EF744C" w:rsidRDefault="00416FF0" w:rsidP="00416FF0">
      <w:pPr>
        <w:ind w:left="3119" w:right="3173"/>
        <w:jc w:val="center"/>
        <w:rPr>
          <w:rFonts w:ascii="Garamond" w:eastAsia="Garamond" w:hAnsi="Garamond" w:cs="Garamond"/>
          <w:sz w:val="28"/>
          <w:szCs w:val="28"/>
        </w:rPr>
      </w:pPr>
      <w:r w:rsidRPr="00EF744C">
        <w:rPr>
          <w:rFonts w:ascii="Garamond" w:eastAsia="Garamond" w:hAnsi="Garamond" w:cs="Garamond"/>
          <w:b/>
          <w:w w:val="99"/>
          <w:sz w:val="28"/>
          <w:szCs w:val="28"/>
        </w:rPr>
        <w:t>Acknowledgment</w:t>
      </w:r>
    </w:p>
    <w:p w14:paraId="7167E79D" w14:textId="3A2D6041" w:rsidR="00474253" w:rsidRPr="00EF744C" w:rsidRDefault="00474253" w:rsidP="00474253">
      <w:pPr>
        <w:ind w:right="267"/>
        <w:jc w:val="both"/>
        <w:rPr>
          <w:rFonts w:ascii="Garamond" w:eastAsia="Garamond" w:hAnsi="Garamond" w:cs="Garamond"/>
          <w:b/>
          <w:w w:val="99"/>
          <w:sz w:val="28"/>
          <w:szCs w:val="28"/>
          <w:lang w:val="id-ID"/>
        </w:rPr>
      </w:pPr>
    </w:p>
    <w:p w14:paraId="3838F5FD" w14:textId="0FDA7CB3" w:rsidR="00AE3C07" w:rsidRPr="00EF744C" w:rsidRDefault="00A66A0B" w:rsidP="00E64882">
      <w:pPr>
        <w:ind w:left="305" w:right="267"/>
        <w:jc w:val="both"/>
        <w:rPr>
          <w:rFonts w:ascii="Calibri" w:eastAsia="Calibri" w:hAnsi="Calibri" w:cs="Calibri"/>
          <w:sz w:val="22"/>
          <w:szCs w:val="22"/>
          <w:lang w:val="id-ID"/>
        </w:rPr>
      </w:pPr>
      <w:r w:rsidRPr="00A66A0B">
        <w:rPr>
          <w:rFonts w:ascii="Calibri" w:eastAsia="Calibri" w:hAnsi="Calibri" w:cs="Calibri"/>
          <w:sz w:val="22"/>
          <w:szCs w:val="22"/>
          <w:lang w:val="id-ID"/>
        </w:rPr>
        <w:t>The authors gratefully acknowledge a grant from the Indonesian Ministry of Education, Culture, Research, and Technology's Directorate General of Higher Education (DIKTI) for this research. On May 10, 2022, the following grants will be awarded: 145/E5/PG.02.00.PT/2022. The authors would also like to thank Syiah Kuala University's institute for research and community service (LPPM) for arranging grant funding for this study. On May 10, 2022, the following grants will be awarded: 88/UN11.2.1/PT.01.03/DPRM/2022.</w:t>
      </w:r>
    </w:p>
    <w:p w14:paraId="17EA13FB" w14:textId="0A0D33C4" w:rsidR="003B7F57" w:rsidRPr="00EF744C" w:rsidRDefault="003B7F57" w:rsidP="00E64882">
      <w:pPr>
        <w:ind w:left="305" w:right="267"/>
        <w:jc w:val="both"/>
        <w:rPr>
          <w:rFonts w:ascii="Calibri" w:eastAsia="Calibri" w:hAnsi="Calibri" w:cs="Calibri"/>
          <w:sz w:val="22"/>
          <w:szCs w:val="22"/>
          <w:lang w:val="id-ID"/>
        </w:rPr>
      </w:pPr>
    </w:p>
    <w:p w14:paraId="3787A6CB" w14:textId="199502BD" w:rsidR="003B7F57" w:rsidRPr="00EF744C" w:rsidRDefault="003B7F57" w:rsidP="00E64882">
      <w:pPr>
        <w:ind w:left="305" w:right="267"/>
        <w:jc w:val="both"/>
        <w:rPr>
          <w:rFonts w:ascii="Calibri" w:eastAsia="Calibri" w:hAnsi="Calibri" w:cs="Calibri"/>
          <w:sz w:val="22"/>
          <w:szCs w:val="22"/>
          <w:lang w:val="id-ID"/>
        </w:rPr>
      </w:pPr>
    </w:p>
    <w:p w14:paraId="0496DB57" w14:textId="5743B3BB" w:rsidR="00CF7FE2" w:rsidRPr="00EF744C" w:rsidRDefault="00CF7FE2" w:rsidP="00E64882">
      <w:pPr>
        <w:ind w:left="305" w:right="267"/>
        <w:jc w:val="both"/>
        <w:rPr>
          <w:rFonts w:ascii="Calibri" w:eastAsia="Calibri" w:hAnsi="Calibri" w:cs="Calibri"/>
          <w:sz w:val="22"/>
          <w:szCs w:val="22"/>
          <w:lang w:val="id-ID"/>
        </w:rPr>
      </w:pPr>
    </w:p>
    <w:p w14:paraId="5B52F05D" w14:textId="77777777" w:rsidR="00CF7FE2" w:rsidRPr="00EF744C" w:rsidRDefault="00CF7FE2" w:rsidP="00E64882">
      <w:pPr>
        <w:ind w:left="305" w:right="267"/>
        <w:jc w:val="both"/>
        <w:rPr>
          <w:rFonts w:ascii="Calibri" w:eastAsia="Calibri" w:hAnsi="Calibri" w:cs="Calibri"/>
          <w:sz w:val="22"/>
          <w:szCs w:val="22"/>
          <w:lang w:val="id-ID"/>
        </w:rPr>
      </w:pPr>
    </w:p>
    <w:p w14:paraId="4C1C86B0" w14:textId="3436820F" w:rsidR="000B0AC6" w:rsidRPr="00EF744C" w:rsidRDefault="00CF7FE2">
      <w:pPr>
        <w:ind w:left="3580" w:right="3581"/>
        <w:jc w:val="center"/>
        <w:rPr>
          <w:rFonts w:ascii="Garamond" w:eastAsia="Garamond" w:hAnsi="Garamond" w:cs="Garamond"/>
          <w:sz w:val="28"/>
          <w:szCs w:val="28"/>
          <w:lang w:val="id-ID"/>
        </w:rPr>
      </w:pPr>
      <w:r w:rsidRPr="00EF744C">
        <w:rPr>
          <w:rFonts w:ascii="Garamond" w:eastAsia="Garamond" w:hAnsi="Garamond" w:cs="Garamond"/>
          <w:b/>
          <w:w w:val="99"/>
          <w:sz w:val="28"/>
          <w:szCs w:val="28"/>
          <w:lang w:val="id-ID"/>
        </w:rPr>
        <w:t>References</w:t>
      </w:r>
    </w:p>
    <w:p w14:paraId="7D67EB4B" w14:textId="77777777" w:rsidR="000B0AC6" w:rsidRPr="00EF744C" w:rsidRDefault="000B0AC6">
      <w:pPr>
        <w:spacing w:before="7" w:line="240" w:lineRule="exact"/>
        <w:rPr>
          <w:sz w:val="24"/>
          <w:szCs w:val="24"/>
        </w:rPr>
      </w:pPr>
    </w:p>
    <w:p w14:paraId="4BDEF0A9" w14:textId="05C553E3" w:rsidR="006E28CD" w:rsidRPr="00EF744C" w:rsidRDefault="006E28CD">
      <w:pPr>
        <w:ind w:left="873" w:right="402" w:hanging="568"/>
        <w:jc w:val="both"/>
        <w:rPr>
          <w:rFonts w:ascii="Garamond" w:eastAsia="Garamond" w:hAnsi="Garamond" w:cs="Garamond"/>
          <w:sz w:val="22"/>
          <w:szCs w:val="22"/>
          <w:lang w:val="id-ID"/>
        </w:rPr>
      </w:pPr>
      <w:bookmarkStart w:id="19" w:name="_Hlk119746147"/>
      <w:proofErr w:type="spellStart"/>
      <w:r w:rsidRPr="00EF744C">
        <w:rPr>
          <w:rFonts w:ascii="Garamond" w:eastAsia="Garamond" w:hAnsi="Garamond" w:cs="Garamond"/>
          <w:sz w:val="22"/>
          <w:szCs w:val="22"/>
        </w:rPr>
        <w:t>Almfraji</w:t>
      </w:r>
      <w:proofErr w:type="spellEnd"/>
      <w:r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M.A., </w:t>
      </w:r>
      <w:proofErr w:type="spellStart"/>
      <w:r w:rsidRPr="00EF744C">
        <w:rPr>
          <w:rFonts w:ascii="Garamond" w:eastAsia="Garamond" w:hAnsi="Garamond" w:cs="Garamond"/>
          <w:sz w:val="22"/>
          <w:szCs w:val="22"/>
        </w:rPr>
        <w:t>Almsafir</w:t>
      </w:r>
      <w:proofErr w:type="spellEnd"/>
      <w:r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M.K. (2014). </w:t>
      </w:r>
      <w:r w:rsidRPr="00EF744C">
        <w:rPr>
          <w:rFonts w:ascii="Garamond" w:eastAsia="Garamond" w:hAnsi="Garamond" w:cs="Garamond"/>
          <w:sz w:val="22"/>
          <w:szCs w:val="22"/>
        </w:rPr>
        <w:t xml:space="preserve">Foreign </w:t>
      </w:r>
      <w:r w:rsidR="00C67A53" w:rsidRPr="00EF744C">
        <w:rPr>
          <w:rFonts w:ascii="Garamond" w:eastAsia="Garamond" w:hAnsi="Garamond" w:cs="Garamond"/>
          <w:sz w:val="22"/>
          <w:szCs w:val="22"/>
        </w:rPr>
        <w:t>direct investment and economic growth literature review</w:t>
      </w:r>
      <w:r w:rsidRPr="00EF744C">
        <w:rPr>
          <w:rFonts w:ascii="Garamond" w:eastAsia="Garamond" w:hAnsi="Garamond" w:cs="Garamond"/>
          <w:sz w:val="22"/>
          <w:szCs w:val="22"/>
        </w:rPr>
        <w:t xml:space="preserve"> from 1994 to 2012</w:t>
      </w:r>
      <w:r w:rsidRPr="00EF744C">
        <w:rPr>
          <w:rFonts w:ascii="Garamond" w:eastAsia="Garamond" w:hAnsi="Garamond" w:cs="Garamond"/>
          <w:sz w:val="22"/>
          <w:szCs w:val="22"/>
          <w:lang w:val="id-ID"/>
        </w:rPr>
        <w:t xml:space="preserve">. </w:t>
      </w:r>
      <w:r w:rsidRPr="00EF744C">
        <w:rPr>
          <w:rFonts w:ascii="Garamond" w:eastAsia="Garamond" w:hAnsi="Garamond" w:cs="Garamond"/>
          <w:i/>
          <w:iCs/>
          <w:sz w:val="22"/>
          <w:szCs w:val="22"/>
        </w:rPr>
        <w:t>Procedia - Social and Behavioral Sciences</w:t>
      </w:r>
      <w:r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129, 206-213</w:t>
      </w:r>
      <w:r w:rsidRPr="00EF744C">
        <w:rPr>
          <w:rFonts w:ascii="Garamond" w:eastAsia="Garamond" w:hAnsi="Garamond" w:cs="Garamond"/>
          <w:sz w:val="22"/>
          <w:szCs w:val="22"/>
          <w:lang w:val="id-ID"/>
        </w:rPr>
        <w:t xml:space="preserve">. </w:t>
      </w:r>
      <w:hyperlink r:id="rId14" w:history="1">
        <w:r w:rsidR="002B05E3" w:rsidRPr="00EF744C">
          <w:rPr>
            <w:rStyle w:val="Hyperlink"/>
            <w:rFonts w:eastAsia="Garamond"/>
            <w:u w:val="none"/>
          </w:rPr>
          <w:t>https://doi.org/10.1016/j.sbspro.2014.03.668</w:t>
        </w:r>
      </w:hyperlink>
      <w:r w:rsidR="002B05E3" w:rsidRPr="00EF744C">
        <w:rPr>
          <w:rFonts w:ascii="Garamond" w:eastAsia="Garamond" w:hAnsi="Garamond" w:cs="Garamond"/>
          <w:sz w:val="22"/>
          <w:szCs w:val="22"/>
          <w:lang w:val="id-ID"/>
        </w:rPr>
        <w:t xml:space="preserve"> </w:t>
      </w:r>
    </w:p>
    <w:p w14:paraId="4026C899" w14:textId="50807767" w:rsidR="00D20817" w:rsidRPr="00EF744C" w:rsidRDefault="00D20817" w:rsidP="0094539D">
      <w:pPr>
        <w:ind w:left="851" w:right="402" w:hanging="567"/>
        <w:jc w:val="both"/>
        <w:rPr>
          <w:rFonts w:ascii="Garamond" w:eastAsia="Garamond" w:hAnsi="Garamond" w:cs="Garamond"/>
          <w:sz w:val="22"/>
          <w:szCs w:val="22"/>
        </w:rPr>
      </w:pPr>
      <w:r w:rsidRPr="00EF744C">
        <w:rPr>
          <w:rFonts w:ascii="Garamond" w:eastAsia="Garamond" w:hAnsi="Garamond" w:cs="Garamond"/>
          <w:sz w:val="22"/>
          <w:szCs w:val="22"/>
        </w:rPr>
        <w:t xml:space="preserve">Bakhsh, K., Rose, S., Ali, M.F., Ahmad, N., </w:t>
      </w:r>
      <w:r w:rsidR="00DA4723" w:rsidRPr="00EF744C">
        <w:rPr>
          <w:rFonts w:ascii="Garamond" w:eastAsia="Garamond" w:hAnsi="Garamond" w:cs="Garamond"/>
          <w:sz w:val="22"/>
          <w:szCs w:val="22"/>
        </w:rPr>
        <w:t xml:space="preserve">&amp; </w:t>
      </w:r>
      <w:r w:rsidRPr="00EF744C">
        <w:rPr>
          <w:rFonts w:ascii="Garamond" w:eastAsia="Garamond" w:hAnsi="Garamond" w:cs="Garamond"/>
          <w:sz w:val="22"/>
          <w:szCs w:val="22"/>
        </w:rPr>
        <w:t xml:space="preserve">Shahbaz, M. (2017). Economic growth, CO2 emissions, renewable waste and FDI relation in Pakistan: new </w:t>
      </w:r>
      <w:r w:rsidR="00D476AE" w:rsidRPr="00EF744C">
        <w:rPr>
          <w:rFonts w:ascii="Garamond" w:eastAsia="Garamond" w:hAnsi="Garamond" w:cs="Garamond"/>
          <w:sz w:val="22"/>
          <w:szCs w:val="22"/>
        </w:rPr>
        <w:t>evidence</w:t>
      </w:r>
      <w:r w:rsidRPr="00EF744C">
        <w:rPr>
          <w:rFonts w:ascii="Garamond" w:eastAsia="Garamond" w:hAnsi="Garamond" w:cs="Garamond"/>
          <w:sz w:val="22"/>
          <w:szCs w:val="22"/>
        </w:rPr>
        <w:t xml:space="preserve"> from 3SLS. </w:t>
      </w:r>
      <w:r w:rsidRPr="00EF744C">
        <w:rPr>
          <w:rFonts w:ascii="Garamond" w:eastAsia="Garamond" w:hAnsi="Garamond" w:cs="Garamond"/>
          <w:i/>
          <w:iCs/>
          <w:sz w:val="22"/>
          <w:szCs w:val="22"/>
        </w:rPr>
        <w:t>Journal of Environmental Management, Elsevier,</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196, 627-632</w:t>
      </w:r>
      <w:r w:rsidR="002B05E3" w:rsidRPr="00EF744C">
        <w:rPr>
          <w:rFonts w:ascii="Garamond" w:eastAsia="Garamond" w:hAnsi="Garamond" w:cs="Garamond"/>
          <w:sz w:val="22"/>
          <w:szCs w:val="22"/>
          <w:lang w:val="id-ID"/>
        </w:rPr>
        <w:t>.</w:t>
      </w:r>
      <w:r w:rsidR="00D41A67" w:rsidRPr="00EF744C">
        <w:rPr>
          <w:rFonts w:ascii="Garamond" w:eastAsia="Garamond" w:hAnsi="Garamond" w:cs="Garamond"/>
          <w:sz w:val="22"/>
          <w:szCs w:val="22"/>
          <w:lang w:val="id-ID"/>
        </w:rPr>
        <w:t xml:space="preserve"> </w:t>
      </w:r>
      <w:hyperlink r:id="rId15" w:history="1">
        <w:r w:rsidR="00D41A67" w:rsidRPr="00EF744C">
          <w:rPr>
            <w:rStyle w:val="Hyperlink"/>
            <w:rFonts w:ascii="Garamond" w:eastAsia="Garamond" w:hAnsi="Garamond" w:cs="Garamond"/>
            <w:sz w:val="22"/>
            <w:szCs w:val="22"/>
          </w:rPr>
          <w:t>https://dx.doi.org/10.1016/j.jenvman.2017.03.029</w:t>
        </w:r>
      </w:hyperlink>
      <w:bookmarkEnd w:id="19"/>
      <w:r w:rsidR="002B05E3"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07B975E6" w14:textId="2003F7AF" w:rsidR="002C0578" w:rsidRPr="00EF744C" w:rsidRDefault="002C0578" w:rsidP="00D20817">
      <w:pPr>
        <w:ind w:left="873" w:right="402" w:hanging="568"/>
        <w:jc w:val="both"/>
        <w:rPr>
          <w:rFonts w:ascii="Garamond" w:eastAsia="Garamond" w:hAnsi="Garamond" w:cs="Garamond"/>
          <w:sz w:val="22"/>
          <w:szCs w:val="22"/>
          <w:lang w:val="id-ID"/>
        </w:rPr>
      </w:pPr>
      <w:bookmarkStart w:id="20" w:name="_Hlk119746173"/>
      <w:proofErr w:type="spellStart"/>
      <w:r w:rsidRPr="00EF744C">
        <w:rPr>
          <w:rFonts w:ascii="Garamond" w:eastAsia="Garamond" w:hAnsi="Garamond" w:cs="Garamond"/>
          <w:sz w:val="22"/>
          <w:szCs w:val="22"/>
        </w:rPr>
        <w:t>Battistón</w:t>
      </w:r>
      <w:proofErr w:type="spellEnd"/>
      <w:r w:rsidRPr="00EF744C">
        <w:rPr>
          <w:rFonts w:ascii="Garamond" w:eastAsia="Garamond" w:hAnsi="Garamond" w:cs="Garamond"/>
          <w:sz w:val="22"/>
          <w:szCs w:val="22"/>
        </w:rPr>
        <w:t>, D., García-</w:t>
      </w:r>
      <w:proofErr w:type="spellStart"/>
      <w:r w:rsidRPr="00EF744C">
        <w:rPr>
          <w:rFonts w:ascii="Garamond" w:eastAsia="Garamond" w:hAnsi="Garamond" w:cs="Garamond"/>
          <w:sz w:val="22"/>
          <w:szCs w:val="22"/>
        </w:rPr>
        <w:t>Domench</w:t>
      </w:r>
      <w:proofErr w:type="spellEnd"/>
      <w:r w:rsidRPr="00EF744C">
        <w:rPr>
          <w:rFonts w:ascii="Garamond" w:eastAsia="Garamond" w:hAnsi="Garamond" w:cs="Garamond"/>
          <w:sz w:val="22"/>
          <w:szCs w:val="22"/>
        </w:rPr>
        <w:t xml:space="preserve">, C., &amp; Gasparini, L. (2014). Could an increase in education raise income </w:t>
      </w:r>
      <w:proofErr w:type="gramStart"/>
      <w:r w:rsidRPr="00EF744C">
        <w:rPr>
          <w:rFonts w:ascii="Garamond" w:eastAsia="Garamond" w:hAnsi="Garamond" w:cs="Garamond"/>
          <w:sz w:val="22"/>
          <w:szCs w:val="22"/>
        </w:rPr>
        <w:t>inequality?:</w:t>
      </w:r>
      <w:proofErr w:type="gramEnd"/>
      <w:r w:rsidRPr="00EF744C">
        <w:rPr>
          <w:rFonts w:ascii="Garamond" w:eastAsia="Garamond" w:hAnsi="Garamond" w:cs="Garamond"/>
          <w:sz w:val="22"/>
          <w:szCs w:val="22"/>
        </w:rPr>
        <w:t xml:space="preserve"> evidence for Latin America. Latin American journal of economics, 51(1), 1-39</w:t>
      </w:r>
      <w:r w:rsidRPr="00EF744C">
        <w:rPr>
          <w:rFonts w:ascii="Garamond" w:eastAsia="Garamond" w:hAnsi="Garamond" w:cs="Garamond"/>
          <w:sz w:val="22"/>
          <w:szCs w:val="22"/>
          <w:lang w:val="id-ID"/>
        </w:rPr>
        <w:t xml:space="preserve">. </w:t>
      </w:r>
      <w:hyperlink r:id="rId16" w:history="1">
        <w:r w:rsidR="002B05E3" w:rsidRPr="00EF744C">
          <w:rPr>
            <w:rStyle w:val="Hyperlink"/>
            <w:rFonts w:eastAsia="Garamond"/>
            <w:u w:val="none"/>
          </w:rPr>
          <w:t>http://dx.doi.org/10.7764/LAJE.51.1.1</w:t>
        </w:r>
      </w:hyperlink>
      <w:r w:rsidR="002B05E3" w:rsidRPr="00EF744C">
        <w:rPr>
          <w:rFonts w:ascii="Garamond" w:eastAsia="Garamond" w:hAnsi="Garamond" w:cs="Garamond"/>
          <w:sz w:val="22"/>
          <w:szCs w:val="22"/>
          <w:lang w:val="id-ID"/>
        </w:rPr>
        <w:t xml:space="preserve"> </w:t>
      </w:r>
    </w:p>
    <w:p w14:paraId="1218A7B2" w14:textId="0BCDCC1D" w:rsidR="002C0578" w:rsidRPr="00EF744C" w:rsidRDefault="002C0578"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Benos</w:t>
      </w:r>
      <w:proofErr w:type="spellEnd"/>
      <w:r w:rsidRPr="00EF744C">
        <w:rPr>
          <w:rFonts w:ascii="Garamond" w:eastAsia="Garamond" w:hAnsi="Garamond" w:cs="Garamond"/>
          <w:sz w:val="22"/>
          <w:szCs w:val="22"/>
        </w:rPr>
        <w:t xml:space="preserve">, N., &amp; </w:t>
      </w:r>
      <w:proofErr w:type="spellStart"/>
      <w:r w:rsidRPr="00EF744C">
        <w:rPr>
          <w:rFonts w:ascii="Garamond" w:eastAsia="Garamond" w:hAnsi="Garamond" w:cs="Garamond"/>
          <w:sz w:val="22"/>
          <w:szCs w:val="22"/>
        </w:rPr>
        <w:t>Karagiannis</w:t>
      </w:r>
      <w:proofErr w:type="spellEnd"/>
      <w:r w:rsidRPr="00EF744C">
        <w:rPr>
          <w:rFonts w:ascii="Garamond" w:eastAsia="Garamond" w:hAnsi="Garamond" w:cs="Garamond"/>
          <w:sz w:val="22"/>
          <w:szCs w:val="22"/>
        </w:rPr>
        <w:t xml:space="preserve">, S. (2018). Inequality and growth in the united states: Why physical and human capital matter. Economic </w:t>
      </w:r>
      <w:r w:rsidR="000A4964">
        <w:rPr>
          <w:rFonts w:ascii="Garamond" w:eastAsia="Garamond" w:hAnsi="Garamond" w:cs="Garamond"/>
          <w:sz w:val="22"/>
          <w:szCs w:val="22"/>
          <w:lang w:val="id-ID"/>
        </w:rPr>
        <w:t>I</w:t>
      </w:r>
      <w:proofErr w:type="spellStart"/>
      <w:r w:rsidRPr="00EF744C">
        <w:rPr>
          <w:rFonts w:ascii="Garamond" w:eastAsia="Garamond" w:hAnsi="Garamond" w:cs="Garamond"/>
          <w:sz w:val="22"/>
          <w:szCs w:val="22"/>
        </w:rPr>
        <w:t>nquiry</w:t>
      </w:r>
      <w:proofErr w:type="spellEnd"/>
      <w:r w:rsidRPr="00EF744C">
        <w:rPr>
          <w:rFonts w:ascii="Garamond" w:eastAsia="Garamond" w:hAnsi="Garamond" w:cs="Garamond"/>
          <w:sz w:val="22"/>
          <w:szCs w:val="22"/>
        </w:rPr>
        <w:t>, 56(1), 572-619.</w:t>
      </w:r>
      <w:r w:rsidRPr="00EF744C">
        <w:rPr>
          <w:rFonts w:ascii="Garamond" w:eastAsia="Garamond" w:hAnsi="Garamond" w:cs="Garamond"/>
          <w:sz w:val="22"/>
          <w:szCs w:val="22"/>
          <w:lang w:val="id-ID"/>
        </w:rPr>
        <w:t xml:space="preserve"> </w:t>
      </w:r>
      <w:hyperlink r:id="rId17" w:history="1">
        <w:r w:rsidR="002B05E3" w:rsidRPr="00EF744C">
          <w:rPr>
            <w:rStyle w:val="Hyperlink"/>
            <w:rFonts w:eastAsia="Garamond"/>
            <w:u w:val="none"/>
          </w:rPr>
          <w:t>https://doi.org/10.1111/ecin.12475</w:t>
        </w:r>
      </w:hyperlink>
      <w:bookmarkEnd w:id="20"/>
      <w:r w:rsidR="002B05E3" w:rsidRPr="00EF744C">
        <w:rPr>
          <w:rFonts w:ascii="Garamond" w:eastAsia="Garamond" w:hAnsi="Garamond" w:cs="Garamond"/>
          <w:sz w:val="22"/>
          <w:szCs w:val="22"/>
          <w:lang w:val="id-ID"/>
        </w:rPr>
        <w:t xml:space="preserve"> </w:t>
      </w:r>
    </w:p>
    <w:p w14:paraId="22C83B63" w14:textId="4B63727C" w:rsidR="00D20817" w:rsidRPr="00EF744C" w:rsidRDefault="00D20817" w:rsidP="00D20817">
      <w:pPr>
        <w:ind w:left="873" w:right="402" w:hanging="568"/>
        <w:jc w:val="both"/>
        <w:rPr>
          <w:rFonts w:ascii="Garamond" w:eastAsia="Garamond" w:hAnsi="Garamond" w:cs="Garamond"/>
          <w:sz w:val="22"/>
          <w:szCs w:val="22"/>
        </w:rPr>
      </w:pPr>
      <w:bookmarkStart w:id="21" w:name="_Hlk119746322"/>
      <w:r w:rsidRPr="00EF744C">
        <w:rPr>
          <w:rFonts w:ascii="Garamond" w:eastAsia="Garamond" w:hAnsi="Garamond" w:cs="Garamond"/>
          <w:sz w:val="22"/>
          <w:szCs w:val="22"/>
        </w:rPr>
        <w:t xml:space="preserve">Bourguignon, F. (2004). The poverty-growth-inequality triangle. </w:t>
      </w:r>
      <w:r w:rsidRPr="00EF744C">
        <w:rPr>
          <w:rFonts w:ascii="Garamond" w:eastAsia="Garamond" w:hAnsi="Garamond" w:cs="Garamond"/>
          <w:i/>
          <w:iCs/>
          <w:sz w:val="22"/>
          <w:szCs w:val="22"/>
        </w:rPr>
        <w:t>Indian Council for Research on International Economic Relations, New Delhi Working Papers 125.</w:t>
      </w:r>
      <w:r w:rsidRPr="00EF744C">
        <w:rPr>
          <w:rFonts w:ascii="Garamond" w:eastAsia="Garamond" w:hAnsi="Garamond" w:cs="Garamond"/>
          <w:sz w:val="22"/>
          <w:szCs w:val="22"/>
        </w:rPr>
        <w:t xml:space="preserve"> Indian Council for Research on International Economic Relations, New Delhi, India. </w:t>
      </w:r>
    </w:p>
    <w:p w14:paraId="769B14E9" w14:textId="77777777"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Bourguignon, F., &amp; Dessus, S.C. (2009). Equity and development: political economy considerations. In No Growth without Equity? Inequality, Interests, and Competition in Mexico, edited by S. Levy and M. Walton. Washington: World Bank/Palgrave MacMillan. </w:t>
      </w:r>
    </w:p>
    <w:p w14:paraId="20C13933" w14:textId="749CAE00"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Breunig</w:t>
      </w:r>
      <w:proofErr w:type="spellEnd"/>
      <w:r w:rsidRPr="00EF744C">
        <w:rPr>
          <w:rFonts w:ascii="Garamond" w:eastAsia="Garamond" w:hAnsi="Garamond" w:cs="Garamond"/>
          <w:sz w:val="22"/>
          <w:szCs w:val="22"/>
        </w:rPr>
        <w:t>, R &amp; Majeed, O. (2020). Inequality, poverty, and economic growth. International Economics, Elsevier, Vol. 161(C), 83-99.</w:t>
      </w:r>
      <w:r w:rsidR="002B05E3" w:rsidRPr="00EF744C">
        <w:rPr>
          <w:rFonts w:ascii="Garamond" w:eastAsia="Garamond" w:hAnsi="Garamond" w:cs="Garamond"/>
          <w:sz w:val="22"/>
          <w:szCs w:val="22"/>
          <w:lang w:val="id-ID"/>
        </w:rPr>
        <w:t xml:space="preserve"> </w:t>
      </w:r>
      <w:hyperlink r:id="rId18" w:history="1">
        <w:r w:rsidR="002B05E3" w:rsidRPr="00EF744C">
          <w:rPr>
            <w:rStyle w:val="Hyperlink"/>
            <w:rFonts w:ascii="Garamond" w:eastAsia="Garamond" w:hAnsi="Garamond" w:cs="Garamond"/>
            <w:sz w:val="22"/>
            <w:szCs w:val="22"/>
            <w:u w:val="none"/>
          </w:rPr>
          <w:t>https://dx.doi.org/10.1016/j.inteco.2019.11.005</w:t>
        </w:r>
      </w:hyperlink>
      <w:r w:rsidRPr="00EF744C">
        <w:rPr>
          <w:rFonts w:ascii="Garamond" w:eastAsia="Garamond" w:hAnsi="Garamond" w:cs="Garamond"/>
          <w:sz w:val="22"/>
          <w:szCs w:val="22"/>
          <w:lang w:val="id-ID"/>
        </w:rPr>
        <w:t xml:space="preserve"> </w:t>
      </w:r>
      <w:bookmarkEnd w:id="21"/>
      <w:r w:rsidRPr="00EF744C">
        <w:rPr>
          <w:rFonts w:ascii="Garamond" w:eastAsia="Garamond" w:hAnsi="Garamond" w:cs="Garamond"/>
          <w:sz w:val="22"/>
          <w:szCs w:val="22"/>
        </w:rPr>
        <w:t xml:space="preserve"> </w:t>
      </w:r>
    </w:p>
    <w:p w14:paraId="2FBC2A9A" w14:textId="1084CF86" w:rsidR="00D20817" w:rsidRPr="00EF744C" w:rsidRDefault="00D20817" w:rsidP="00D20817">
      <w:pPr>
        <w:ind w:left="873" w:right="402" w:hanging="568"/>
        <w:jc w:val="both"/>
        <w:rPr>
          <w:rFonts w:ascii="Garamond" w:eastAsia="Garamond" w:hAnsi="Garamond" w:cs="Garamond"/>
          <w:sz w:val="22"/>
          <w:szCs w:val="22"/>
        </w:rPr>
      </w:pPr>
      <w:bookmarkStart w:id="22" w:name="_Hlk119746334"/>
      <w:r w:rsidRPr="00EF744C">
        <w:rPr>
          <w:rFonts w:ascii="Garamond" w:eastAsia="Garamond" w:hAnsi="Garamond" w:cs="Garamond"/>
          <w:sz w:val="22"/>
          <w:szCs w:val="22"/>
        </w:rPr>
        <w:t>Central Bureau of Statistics</w:t>
      </w:r>
      <w:r w:rsidR="00F12C03" w:rsidRPr="00EF744C">
        <w:rPr>
          <w:rFonts w:ascii="Garamond" w:eastAsia="Garamond" w:hAnsi="Garamond" w:cs="Garamond"/>
          <w:sz w:val="22"/>
          <w:szCs w:val="22"/>
          <w:lang w:val="id-ID"/>
        </w:rPr>
        <w:t xml:space="preserve"> Indonesia.</w:t>
      </w:r>
      <w:r w:rsidR="002B05E3" w:rsidRPr="00EF744C">
        <w:rPr>
          <w:rFonts w:ascii="Garamond" w:eastAsia="Garamond" w:hAnsi="Garamond" w:cs="Garamond"/>
          <w:sz w:val="22"/>
          <w:szCs w:val="22"/>
          <w:lang w:val="id-ID"/>
        </w:rPr>
        <w:t xml:space="preserve"> </w:t>
      </w:r>
      <w:hyperlink r:id="rId19" w:history="1">
        <w:r w:rsidR="002B05E3" w:rsidRPr="00EF744C">
          <w:rPr>
            <w:rStyle w:val="Hyperlink"/>
            <w:rFonts w:ascii="Garamond" w:eastAsia="Garamond" w:hAnsi="Garamond" w:cs="Garamond"/>
            <w:sz w:val="22"/>
            <w:szCs w:val="22"/>
            <w:u w:val="none"/>
            <w:lang w:val="id-ID"/>
          </w:rPr>
          <w:t>https://bps.go.id/</w:t>
        </w:r>
      </w:hyperlink>
      <w:r w:rsidR="002B05E3" w:rsidRPr="00EF744C">
        <w:rPr>
          <w:rFonts w:ascii="Garamond" w:eastAsia="Garamond" w:hAnsi="Garamond" w:cs="Garamond"/>
          <w:sz w:val="22"/>
          <w:szCs w:val="22"/>
          <w:lang w:val="id-ID"/>
        </w:rPr>
        <w:t xml:space="preserve"> </w:t>
      </w:r>
    </w:p>
    <w:p w14:paraId="60BB1DF3" w14:textId="4B0410D9" w:rsidR="00D20817" w:rsidRPr="00EF744C" w:rsidRDefault="00D20817" w:rsidP="0094539D">
      <w:pPr>
        <w:ind w:left="851" w:right="402" w:hanging="567"/>
        <w:jc w:val="both"/>
        <w:rPr>
          <w:rFonts w:ascii="Garamond" w:eastAsia="Garamond" w:hAnsi="Garamond" w:cs="Garamond"/>
          <w:sz w:val="22"/>
          <w:szCs w:val="22"/>
          <w:lang w:val="id-ID"/>
        </w:rPr>
      </w:pPr>
      <w:bookmarkStart w:id="23" w:name="_Hlk119746360"/>
      <w:bookmarkEnd w:id="22"/>
      <w:proofErr w:type="spellStart"/>
      <w:r w:rsidRPr="00EF744C">
        <w:rPr>
          <w:rFonts w:ascii="Garamond" w:eastAsia="Garamond" w:hAnsi="Garamond" w:cs="Garamond"/>
          <w:sz w:val="22"/>
          <w:szCs w:val="22"/>
        </w:rPr>
        <w:t>Cingano</w:t>
      </w:r>
      <w:proofErr w:type="spellEnd"/>
      <w:r w:rsidRPr="00EF744C">
        <w:rPr>
          <w:rFonts w:ascii="Garamond" w:eastAsia="Garamond" w:hAnsi="Garamond" w:cs="Garamond"/>
          <w:sz w:val="22"/>
          <w:szCs w:val="22"/>
        </w:rPr>
        <w:t xml:space="preserve">, F. (2014). Trends in Income Inequality and its Impact on Economic Growth. </w:t>
      </w:r>
      <w:r w:rsidRPr="00EF744C">
        <w:rPr>
          <w:rFonts w:ascii="Garamond" w:eastAsia="Garamond" w:hAnsi="Garamond" w:cs="Garamond"/>
          <w:i/>
          <w:iCs/>
          <w:sz w:val="22"/>
          <w:szCs w:val="22"/>
        </w:rPr>
        <w:t>OECD Social, Employment, and Migration Working Papers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n</w:t>
      </w:r>
      <w:r w:rsidRPr="00EF744C">
        <w:rPr>
          <w:rFonts w:ascii="Garamond" w:eastAsia="Garamond" w:hAnsi="Garamond" w:cs="Garamond"/>
          <w:sz w:val="22"/>
          <w:szCs w:val="22"/>
        </w:rPr>
        <w:t xml:space="preserve">o.163. </w:t>
      </w:r>
      <w:r w:rsidR="002B05E3" w:rsidRPr="00EF744C">
        <w:rPr>
          <w:lang w:val="id-ID"/>
        </w:rPr>
        <w:t xml:space="preserve"> </w:t>
      </w:r>
      <w:r w:rsidR="00D41A67" w:rsidRPr="00EF744C">
        <w:rPr>
          <w:rFonts w:ascii="Garamond" w:eastAsia="Garamond" w:hAnsi="Garamond" w:cs="Garamond"/>
          <w:sz w:val="22"/>
          <w:szCs w:val="22"/>
          <w:lang w:val="id-ID"/>
        </w:rPr>
        <w:t xml:space="preserve"> </w:t>
      </w:r>
      <w:hyperlink r:id="rId20" w:history="1">
        <w:r w:rsidR="00D41A67" w:rsidRPr="00EF744C">
          <w:rPr>
            <w:rStyle w:val="Hyperlink"/>
            <w:rFonts w:ascii="Garamond" w:eastAsia="Garamond" w:hAnsi="Garamond" w:cs="Garamond"/>
            <w:sz w:val="22"/>
            <w:szCs w:val="22"/>
          </w:rPr>
          <w:t>https://doi.org/10.1787/1815199X</w:t>
        </w:r>
      </w:hyperlink>
      <w:r w:rsidR="002B05E3" w:rsidRPr="00EF744C">
        <w:rPr>
          <w:rFonts w:ascii="Garamond" w:eastAsia="Garamond" w:hAnsi="Garamond" w:cs="Garamond"/>
          <w:sz w:val="22"/>
          <w:szCs w:val="22"/>
          <w:lang w:val="id-ID"/>
        </w:rPr>
        <w:t xml:space="preserve"> </w:t>
      </w:r>
    </w:p>
    <w:p w14:paraId="0264F511" w14:textId="66BE1AA7" w:rsidR="003059C8" w:rsidRPr="00EF744C" w:rsidRDefault="003059C8" w:rsidP="00D20817">
      <w:pPr>
        <w:ind w:left="873" w:right="402" w:hanging="568"/>
        <w:jc w:val="both"/>
        <w:rPr>
          <w:rFonts w:ascii="Garamond" w:eastAsia="Garamond" w:hAnsi="Garamond" w:cs="Garamond"/>
          <w:i/>
          <w:iCs/>
          <w:sz w:val="22"/>
          <w:szCs w:val="22"/>
          <w:lang w:val="id-ID"/>
        </w:rPr>
      </w:pPr>
      <w:proofErr w:type="spellStart"/>
      <w:r w:rsidRPr="00EF744C">
        <w:rPr>
          <w:rFonts w:ascii="Garamond" w:eastAsia="Garamond" w:hAnsi="Garamond" w:cs="Garamond"/>
          <w:sz w:val="22"/>
          <w:szCs w:val="22"/>
        </w:rPr>
        <w:t>Dartanto</w:t>
      </w:r>
      <w:proofErr w:type="spellEnd"/>
      <w:r w:rsidRPr="00EF744C">
        <w:rPr>
          <w:rFonts w:ascii="Garamond" w:eastAsia="Garamond" w:hAnsi="Garamond" w:cs="Garamond"/>
          <w:sz w:val="22"/>
          <w:szCs w:val="22"/>
        </w:rPr>
        <w:t xml:space="preserve">, T. (2013). Why is growth less inclusive in </w:t>
      </w:r>
      <w:proofErr w:type="gramStart"/>
      <w:r w:rsidRPr="00EF744C">
        <w:rPr>
          <w:rFonts w:ascii="Garamond" w:eastAsia="Garamond" w:hAnsi="Garamond" w:cs="Garamond"/>
          <w:sz w:val="22"/>
          <w:szCs w:val="22"/>
        </w:rPr>
        <w:t>Indonesia?.</w:t>
      </w:r>
      <w:proofErr w:type="gramEnd"/>
      <w:r w:rsidRPr="00EF744C">
        <w:rPr>
          <w:rFonts w:ascii="Garamond" w:eastAsia="Garamond" w:hAnsi="Garamond" w:cs="Garamond"/>
          <w:sz w:val="22"/>
          <w:szCs w:val="22"/>
          <w:lang w:val="id-ID"/>
        </w:rPr>
        <w:t xml:space="preserve"> </w:t>
      </w:r>
      <w:r w:rsidRPr="00EF744C">
        <w:rPr>
          <w:rFonts w:ascii="Garamond" w:eastAsia="Garamond" w:hAnsi="Garamond" w:cs="Garamond"/>
          <w:i/>
          <w:iCs/>
          <w:sz w:val="22"/>
          <w:szCs w:val="22"/>
          <w:lang w:val="id-ID"/>
        </w:rPr>
        <w:t xml:space="preserve">MPRA Paper 65136, </w:t>
      </w:r>
      <w:r w:rsidRPr="00EF744C">
        <w:rPr>
          <w:rFonts w:ascii="Garamond" w:eastAsia="Garamond" w:hAnsi="Garamond" w:cs="Garamond"/>
          <w:sz w:val="22"/>
          <w:szCs w:val="22"/>
          <w:lang w:val="id-ID"/>
        </w:rPr>
        <w:t>University Library of Munich, Germany, revised 2014</w:t>
      </w:r>
      <w:r w:rsidRPr="00EF744C">
        <w:rPr>
          <w:rFonts w:ascii="Garamond" w:eastAsia="Garamond" w:hAnsi="Garamond" w:cs="Garamond"/>
          <w:i/>
          <w:iCs/>
          <w:sz w:val="22"/>
          <w:szCs w:val="22"/>
          <w:lang w:val="id-ID"/>
        </w:rPr>
        <w:t>.</w:t>
      </w:r>
    </w:p>
    <w:p w14:paraId="099504B7" w14:textId="76073124"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Dewi</w:t>
      </w:r>
      <w:proofErr w:type="spellEnd"/>
      <w:r w:rsidRPr="00EF744C">
        <w:rPr>
          <w:rFonts w:ascii="Garamond" w:eastAsia="Garamond" w:hAnsi="Garamond" w:cs="Garamond"/>
          <w:sz w:val="22"/>
          <w:szCs w:val="22"/>
        </w:rPr>
        <w:t xml:space="preserve">, Y.A., &amp; </w:t>
      </w:r>
      <w:proofErr w:type="spellStart"/>
      <w:r w:rsidRPr="00EF744C">
        <w:rPr>
          <w:rFonts w:ascii="Garamond" w:eastAsia="Garamond" w:hAnsi="Garamond" w:cs="Garamond"/>
          <w:sz w:val="22"/>
          <w:szCs w:val="22"/>
        </w:rPr>
        <w:t>Rachmawatie</w:t>
      </w:r>
      <w:proofErr w:type="spellEnd"/>
      <w:r w:rsidRPr="00EF744C">
        <w:rPr>
          <w:rFonts w:ascii="Garamond" w:eastAsia="Garamond" w:hAnsi="Garamond" w:cs="Garamond"/>
          <w:sz w:val="22"/>
          <w:szCs w:val="22"/>
        </w:rPr>
        <w:t xml:space="preserve">, D. (2020). Poverty analysis and inequality distribution in Yogyakarta Special Region. </w:t>
      </w:r>
      <w:r w:rsidRPr="00EF744C">
        <w:rPr>
          <w:rFonts w:ascii="Garamond" w:eastAsia="Garamond" w:hAnsi="Garamond" w:cs="Garamond"/>
          <w:i/>
          <w:iCs/>
          <w:sz w:val="22"/>
          <w:szCs w:val="22"/>
        </w:rPr>
        <w:t>Journal of Economic Research and Social Sciences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4</w:t>
      </w:r>
      <w:r w:rsidR="00D07148" w:rsidRPr="00EF744C">
        <w:rPr>
          <w:rFonts w:ascii="Garamond" w:eastAsia="Garamond" w:hAnsi="Garamond" w:cs="Garamond"/>
          <w:sz w:val="22"/>
          <w:szCs w:val="22"/>
          <w:lang w:val="id-ID"/>
        </w:rPr>
        <w:t xml:space="preserve">(1), </w:t>
      </w:r>
      <w:r w:rsidRPr="00EF744C">
        <w:rPr>
          <w:rFonts w:ascii="Garamond" w:eastAsia="Garamond" w:hAnsi="Garamond" w:cs="Garamond"/>
          <w:sz w:val="22"/>
          <w:szCs w:val="22"/>
        </w:rPr>
        <w:t>59-64.</w:t>
      </w:r>
      <w:r w:rsidR="002B05E3" w:rsidRPr="00EF744C">
        <w:rPr>
          <w:rFonts w:ascii="Garamond" w:eastAsia="Garamond" w:hAnsi="Garamond" w:cs="Garamond"/>
          <w:sz w:val="22"/>
          <w:szCs w:val="22"/>
          <w:lang w:val="id-ID"/>
        </w:rPr>
        <w:t xml:space="preserve"> </w:t>
      </w:r>
      <w:hyperlink r:id="rId21" w:history="1">
        <w:r w:rsidR="002B05E3" w:rsidRPr="00EF744C">
          <w:rPr>
            <w:rStyle w:val="Hyperlink"/>
            <w:rFonts w:ascii="Garamond" w:eastAsia="Garamond" w:hAnsi="Garamond" w:cs="Garamond"/>
            <w:sz w:val="22"/>
            <w:szCs w:val="22"/>
            <w:u w:val="none"/>
          </w:rPr>
          <w:t>https://dx.doi.org/10.18196/jerss.040119</w:t>
        </w:r>
      </w:hyperlink>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1B19526A" w14:textId="0CF529E4" w:rsidR="00C75359" w:rsidRPr="00EF744C" w:rsidRDefault="00C75359">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Fadliansah, O., Suriani, S., </w:t>
      </w:r>
      <w:r w:rsidR="007F432B" w:rsidRPr="00EF744C">
        <w:rPr>
          <w:rFonts w:ascii="Garamond" w:eastAsia="Garamond" w:hAnsi="Garamond" w:cs="Garamond"/>
          <w:sz w:val="22"/>
          <w:szCs w:val="22"/>
        </w:rPr>
        <w:t xml:space="preserve">&amp; </w:t>
      </w:r>
      <w:r w:rsidRPr="00EF744C">
        <w:rPr>
          <w:rFonts w:ascii="Garamond" w:eastAsia="Garamond" w:hAnsi="Garamond" w:cs="Garamond"/>
          <w:sz w:val="22"/>
          <w:szCs w:val="22"/>
          <w:lang w:val="id-ID"/>
        </w:rPr>
        <w:t>Gunawan</w:t>
      </w:r>
      <w:r w:rsidR="007F432B"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E. (2021). </w:t>
      </w:r>
      <w:r w:rsidR="00D07148" w:rsidRPr="00EF744C">
        <w:rPr>
          <w:rFonts w:ascii="Garamond" w:eastAsia="Garamond" w:hAnsi="Garamond" w:cs="Garamond"/>
          <w:sz w:val="22"/>
          <w:szCs w:val="22"/>
          <w:lang w:val="id-ID"/>
        </w:rPr>
        <w:t xml:space="preserve">The effect of zakat on income disparity in </w:t>
      </w:r>
      <w:r w:rsidRPr="00EF744C">
        <w:rPr>
          <w:rFonts w:ascii="Garamond" w:eastAsia="Garamond" w:hAnsi="Garamond" w:cs="Garamond"/>
          <w:sz w:val="22"/>
          <w:szCs w:val="22"/>
          <w:lang w:val="id-ID"/>
        </w:rPr>
        <w:t xml:space="preserve">Aceh </w:t>
      </w:r>
      <w:r w:rsidR="00296F54" w:rsidRPr="00EF744C">
        <w:rPr>
          <w:rFonts w:ascii="Garamond" w:eastAsia="Garamond" w:hAnsi="Garamond" w:cs="Garamond"/>
          <w:sz w:val="22"/>
          <w:szCs w:val="22"/>
          <w:lang w:val="id-ID"/>
        </w:rPr>
        <w:t>P</w:t>
      </w:r>
      <w:r w:rsidRPr="00EF744C">
        <w:rPr>
          <w:rFonts w:ascii="Garamond" w:eastAsia="Garamond" w:hAnsi="Garamond" w:cs="Garamond"/>
          <w:sz w:val="22"/>
          <w:szCs w:val="22"/>
          <w:lang w:val="id-ID"/>
        </w:rPr>
        <w:t xml:space="preserve">rovince. </w:t>
      </w:r>
      <w:r w:rsidRPr="00EF744C">
        <w:rPr>
          <w:rFonts w:ascii="Garamond" w:eastAsia="Garamond" w:hAnsi="Garamond" w:cs="Garamond"/>
          <w:i/>
          <w:iCs/>
          <w:sz w:val="22"/>
          <w:szCs w:val="22"/>
          <w:lang w:val="id-ID"/>
        </w:rPr>
        <w:t>International Journal Of Business, Economics, and Social Development</w:t>
      </w:r>
      <w:r w:rsidR="00D07148" w:rsidRPr="00EF744C">
        <w:rPr>
          <w:rFonts w:ascii="Garamond" w:eastAsia="Garamond" w:hAnsi="Garamond" w:cs="Garamond"/>
          <w:i/>
          <w:iCs/>
          <w:sz w:val="22"/>
          <w:szCs w:val="22"/>
          <w:lang w:val="id-ID"/>
        </w:rPr>
        <w:t>,</w:t>
      </w:r>
      <w:r w:rsidR="00D07148" w:rsidRPr="00EF744C">
        <w:rPr>
          <w:rFonts w:ascii="Garamond" w:eastAsia="Garamond" w:hAnsi="Garamond" w:cs="Garamond"/>
          <w:sz w:val="22"/>
          <w:szCs w:val="22"/>
          <w:lang w:val="id-ID"/>
        </w:rPr>
        <w:t xml:space="preserve"> vol. 2(2), 57-64. </w:t>
      </w:r>
      <w:hyperlink r:id="rId22" w:history="1">
        <w:r w:rsidR="002B05E3" w:rsidRPr="00EF744C">
          <w:rPr>
            <w:rStyle w:val="Hyperlink"/>
            <w:rFonts w:ascii="Garamond" w:eastAsia="Garamond" w:hAnsi="Garamond" w:cs="Garamond"/>
            <w:sz w:val="22"/>
            <w:szCs w:val="22"/>
            <w:lang w:val="id-ID"/>
          </w:rPr>
          <w:t>https://doi.org/10.46336/ijbesd.v2i2.135</w:t>
        </w:r>
      </w:hyperlink>
      <w:r w:rsidR="002B05E3" w:rsidRPr="00EF744C">
        <w:rPr>
          <w:rStyle w:val="Hyperlink"/>
          <w:rFonts w:ascii="Garamond" w:eastAsia="Garamond" w:hAnsi="Garamond" w:cs="Garamond"/>
          <w:color w:val="auto"/>
          <w:sz w:val="22"/>
          <w:szCs w:val="22"/>
          <w:u w:val="none"/>
          <w:lang w:val="id-ID"/>
        </w:rPr>
        <w:t xml:space="preserve">  </w:t>
      </w:r>
      <w:r w:rsidR="00D07148" w:rsidRPr="00EF744C">
        <w:rPr>
          <w:rFonts w:ascii="Garamond" w:eastAsia="Garamond" w:hAnsi="Garamond" w:cs="Garamond"/>
          <w:sz w:val="22"/>
          <w:szCs w:val="22"/>
          <w:lang w:val="id-ID"/>
        </w:rPr>
        <w:t xml:space="preserve"> </w:t>
      </w:r>
    </w:p>
    <w:p w14:paraId="7577F6F9" w14:textId="33CBDD04" w:rsidR="00D20817" w:rsidRPr="00EF744C" w:rsidRDefault="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Ferreira, F</w:t>
      </w:r>
      <w:r w:rsidR="004A4DBF" w:rsidRPr="00EF744C">
        <w:rPr>
          <w:rFonts w:ascii="Garamond" w:eastAsia="Garamond" w:hAnsi="Garamond" w:cs="Garamond"/>
          <w:sz w:val="22"/>
          <w:szCs w:val="22"/>
        </w:rPr>
        <w:t>.</w:t>
      </w:r>
      <w:r w:rsidRPr="00EF744C">
        <w:rPr>
          <w:rFonts w:ascii="Garamond" w:eastAsia="Garamond" w:hAnsi="Garamond" w:cs="Garamond"/>
          <w:sz w:val="22"/>
          <w:szCs w:val="22"/>
        </w:rPr>
        <w:t xml:space="preserve"> HG (2010). Distributions in motion: economic growth, inequality, and poverty dynamics. </w:t>
      </w:r>
      <w:r w:rsidRPr="00EF744C">
        <w:rPr>
          <w:rFonts w:ascii="Garamond" w:eastAsia="Garamond" w:hAnsi="Garamond" w:cs="Garamond"/>
          <w:i/>
          <w:iCs/>
          <w:sz w:val="22"/>
          <w:szCs w:val="22"/>
        </w:rPr>
        <w:t>Policy Research Working Paper Series 5424</w:t>
      </w:r>
      <w:r w:rsidRPr="00EF744C">
        <w:rPr>
          <w:rFonts w:ascii="Garamond" w:eastAsia="Garamond" w:hAnsi="Garamond" w:cs="Garamond"/>
          <w:sz w:val="22"/>
          <w:szCs w:val="22"/>
        </w:rPr>
        <w:t xml:space="preserve">, The World Bank. </w:t>
      </w:r>
      <w:r w:rsidR="00D41A67" w:rsidRPr="00EF744C">
        <w:rPr>
          <w:rFonts w:ascii="Garamond" w:eastAsia="Garamond" w:hAnsi="Garamond" w:cs="Garamond"/>
          <w:sz w:val="22"/>
          <w:szCs w:val="22"/>
          <w:lang w:val="id-ID"/>
        </w:rPr>
        <w:t xml:space="preserve"> </w:t>
      </w:r>
      <w:hyperlink r:id="rId23" w:history="1">
        <w:r w:rsidR="00D41A67" w:rsidRPr="00EF744C">
          <w:rPr>
            <w:rStyle w:val="Hyperlink"/>
            <w:rFonts w:ascii="Garamond" w:eastAsia="Garamond" w:hAnsi="Garamond" w:cs="Garamond"/>
            <w:sz w:val="22"/>
            <w:szCs w:val="22"/>
          </w:rPr>
          <w:t>https://openknowledge.worldbank.org/handle/10986/3908</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14387169" w14:textId="1D01D174" w:rsidR="00D07148"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Graham, M.H. (2003). Confronting multicollinearity in ecological multiple regression. Ecology, Ecological Society of America, </w:t>
      </w:r>
      <w:r w:rsidR="00D07148" w:rsidRPr="00EF744C">
        <w:rPr>
          <w:rFonts w:ascii="Garamond" w:eastAsia="Garamond" w:hAnsi="Garamond" w:cs="Garamond"/>
          <w:sz w:val="22"/>
          <w:szCs w:val="22"/>
          <w:lang w:val="id-ID"/>
        </w:rPr>
        <w:t>v</w:t>
      </w:r>
      <w:r w:rsidRPr="00EF744C">
        <w:rPr>
          <w:rFonts w:ascii="Garamond" w:eastAsia="Garamond" w:hAnsi="Garamond" w:cs="Garamond"/>
          <w:sz w:val="22"/>
          <w:szCs w:val="22"/>
        </w:rPr>
        <w:t>ol.84</w:t>
      </w:r>
      <w:r w:rsidR="00D07148" w:rsidRPr="00EF744C">
        <w:rPr>
          <w:rFonts w:ascii="Garamond" w:eastAsia="Garamond" w:hAnsi="Garamond" w:cs="Garamond"/>
          <w:sz w:val="22"/>
          <w:szCs w:val="22"/>
          <w:lang w:val="id-ID"/>
        </w:rPr>
        <w:t xml:space="preserve"> (11), </w:t>
      </w:r>
      <w:r w:rsidRPr="00EF744C">
        <w:rPr>
          <w:rFonts w:ascii="Garamond" w:eastAsia="Garamond" w:hAnsi="Garamond" w:cs="Garamond"/>
          <w:sz w:val="22"/>
          <w:szCs w:val="22"/>
        </w:rPr>
        <w:t xml:space="preserve">2809-2815. </w:t>
      </w:r>
    </w:p>
    <w:p w14:paraId="164A9A5B" w14:textId="55D6A4D3" w:rsidR="00D20817" w:rsidRPr="00EF744C" w:rsidRDefault="00000000" w:rsidP="00D07148">
      <w:pPr>
        <w:ind w:left="873" w:right="402"/>
        <w:jc w:val="both"/>
        <w:rPr>
          <w:rFonts w:ascii="Garamond" w:eastAsia="Garamond" w:hAnsi="Garamond" w:cs="Garamond"/>
          <w:sz w:val="22"/>
          <w:szCs w:val="22"/>
        </w:rPr>
      </w:pPr>
      <w:hyperlink r:id="rId24" w:history="1">
        <w:r w:rsidR="002B05E3" w:rsidRPr="00EF744C">
          <w:rPr>
            <w:rStyle w:val="Hyperlink"/>
            <w:rFonts w:ascii="Garamond" w:eastAsia="Garamond" w:hAnsi="Garamond" w:cs="Garamond"/>
            <w:sz w:val="22"/>
            <w:szCs w:val="22"/>
          </w:rPr>
          <w:t>https://doi.org/10.1890/02-3114</w:t>
        </w:r>
      </w:hyperlink>
      <w:r w:rsidR="002B05E3" w:rsidRPr="00EF744C">
        <w:rPr>
          <w:rFonts w:ascii="Garamond" w:eastAsia="Garamond" w:hAnsi="Garamond" w:cs="Garamond"/>
          <w:sz w:val="22"/>
          <w:szCs w:val="22"/>
          <w:lang w:val="id-ID"/>
        </w:rPr>
        <w:t xml:space="preserve"> </w:t>
      </w:r>
      <w:r w:rsidR="00D20817" w:rsidRPr="00EF744C">
        <w:rPr>
          <w:rFonts w:ascii="Garamond" w:eastAsia="Garamond" w:hAnsi="Garamond" w:cs="Garamond"/>
          <w:sz w:val="22"/>
          <w:szCs w:val="22"/>
          <w:lang w:val="id-ID"/>
        </w:rPr>
        <w:t xml:space="preserve"> </w:t>
      </w:r>
      <w:r w:rsidR="00D20817" w:rsidRPr="00EF744C">
        <w:rPr>
          <w:rFonts w:ascii="Garamond" w:eastAsia="Garamond" w:hAnsi="Garamond" w:cs="Garamond"/>
          <w:sz w:val="22"/>
          <w:szCs w:val="22"/>
        </w:rPr>
        <w:t xml:space="preserve"> </w:t>
      </w:r>
    </w:p>
    <w:p w14:paraId="47105E1D" w14:textId="48C2DC33"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Guiga</w:t>
      </w:r>
      <w:proofErr w:type="spellEnd"/>
      <w:r w:rsidRPr="00EF744C">
        <w:rPr>
          <w:rFonts w:ascii="Garamond" w:eastAsia="Garamond" w:hAnsi="Garamond" w:cs="Garamond"/>
          <w:sz w:val="22"/>
          <w:szCs w:val="22"/>
        </w:rPr>
        <w:t xml:space="preserve">, H., </w:t>
      </w:r>
      <w:proofErr w:type="spellStart"/>
      <w:r w:rsidRPr="00EF744C">
        <w:rPr>
          <w:rFonts w:ascii="Garamond" w:eastAsia="Garamond" w:hAnsi="Garamond" w:cs="Garamond"/>
          <w:sz w:val="22"/>
          <w:szCs w:val="22"/>
        </w:rPr>
        <w:t>Rejeb</w:t>
      </w:r>
      <w:proofErr w:type="spellEnd"/>
      <w:r w:rsidRPr="00EF744C">
        <w:rPr>
          <w:rFonts w:ascii="Garamond" w:eastAsia="Garamond" w:hAnsi="Garamond" w:cs="Garamond"/>
          <w:sz w:val="22"/>
          <w:szCs w:val="22"/>
        </w:rPr>
        <w:t xml:space="preserve">, JB (2012). Poverty, growth, and inequality in developing countries. </w:t>
      </w:r>
      <w:r w:rsidRPr="00EF744C">
        <w:rPr>
          <w:rFonts w:ascii="Garamond" w:eastAsia="Garamond" w:hAnsi="Garamond" w:cs="Garamond"/>
          <w:i/>
          <w:iCs/>
          <w:sz w:val="22"/>
          <w:szCs w:val="22"/>
        </w:rPr>
        <w:t xml:space="preserve">International Journal of Economics and Financial Issues, </w:t>
      </w:r>
      <w:proofErr w:type="spellStart"/>
      <w:r w:rsidRPr="00EF744C">
        <w:rPr>
          <w:rFonts w:ascii="Garamond" w:eastAsia="Garamond" w:hAnsi="Garamond" w:cs="Garamond"/>
          <w:i/>
          <w:iCs/>
          <w:sz w:val="22"/>
          <w:szCs w:val="22"/>
        </w:rPr>
        <w:t>Econjournals</w:t>
      </w:r>
      <w:proofErr w:type="spellEnd"/>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2</w:t>
      </w:r>
      <w:r w:rsidR="00D07148" w:rsidRPr="00EF744C">
        <w:rPr>
          <w:rFonts w:ascii="Garamond" w:eastAsia="Garamond" w:hAnsi="Garamond" w:cs="Garamond"/>
          <w:sz w:val="22"/>
          <w:szCs w:val="22"/>
          <w:lang w:val="id-ID"/>
        </w:rPr>
        <w:t xml:space="preserve"> (4)</w:t>
      </w:r>
      <w:r w:rsidRPr="00EF744C">
        <w:rPr>
          <w:rFonts w:ascii="Garamond" w:eastAsia="Garamond" w:hAnsi="Garamond" w:cs="Garamond"/>
          <w:sz w:val="22"/>
          <w:szCs w:val="22"/>
        </w:rPr>
        <w:t>, 470-479.</w:t>
      </w:r>
    </w:p>
    <w:p w14:paraId="59F75C32" w14:textId="08D32141"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Gujarati, D</w:t>
      </w:r>
      <w:r w:rsidR="004A4DBF" w:rsidRPr="00EF744C">
        <w:rPr>
          <w:rFonts w:ascii="Garamond" w:eastAsia="Garamond" w:hAnsi="Garamond" w:cs="Garamond"/>
          <w:sz w:val="22"/>
          <w:szCs w:val="22"/>
        </w:rPr>
        <w:t xml:space="preserve">. </w:t>
      </w:r>
      <w:r w:rsidRPr="00EF744C">
        <w:rPr>
          <w:rFonts w:ascii="Garamond" w:eastAsia="Garamond" w:hAnsi="Garamond" w:cs="Garamond"/>
          <w:sz w:val="22"/>
          <w:szCs w:val="22"/>
        </w:rPr>
        <w:t>N</w:t>
      </w:r>
      <w:r w:rsidR="00C174C2" w:rsidRPr="00EF744C">
        <w:rPr>
          <w:rFonts w:ascii="Garamond" w:eastAsia="Garamond" w:hAnsi="Garamond" w:cs="Garamond"/>
          <w:sz w:val="22"/>
          <w:szCs w:val="22"/>
        </w:rPr>
        <w:t>.</w:t>
      </w:r>
      <w:r w:rsidRPr="00EF744C">
        <w:rPr>
          <w:rFonts w:ascii="Garamond" w:eastAsia="Garamond" w:hAnsi="Garamond" w:cs="Garamond"/>
          <w:sz w:val="22"/>
          <w:szCs w:val="22"/>
        </w:rPr>
        <w:t>,</w:t>
      </w:r>
      <w:r w:rsidR="00C174C2" w:rsidRPr="00EF744C">
        <w:rPr>
          <w:rFonts w:ascii="Garamond" w:eastAsia="Garamond" w:hAnsi="Garamond" w:cs="Garamond"/>
          <w:sz w:val="22"/>
          <w:szCs w:val="22"/>
        </w:rPr>
        <w:t xml:space="preserve"> &amp; </w:t>
      </w:r>
      <w:r w:rsidRPr="00EF744C">
        <w:rPr>
          <w:rFonts w:ascii="Garamond" w:eastAsia="Garamond" w:hAnsi="Garamond" w:cs="Garamond"/>
          <w:sz w:val="22"/>
          <w:szCs w:val="22"/>
        </w:rPr>
        <w:t>Porter, D</w:t>
      </w:r>
      <w:r w:rsidR="00C174C2" w:rsidRPr="00EF744C">
        <w:rPr>
          <w:rFonts w:ascii="Garamond" w:eastAsia="Garamond" w:hAnsi="Garamond" w:cs="Garamond"/>
          <w:sz w:val="22"/>
          <w:szCs w:val="22"/>
        </w:rPr>
        <w:t xml:space="preserve">. </w:t>
      </w:r>
      <w:r w:rsidRPr="00EF744C">
        <w:rPr>
          <w:rFonts w:ascii="Garamond" w:eastAsia="Garamond" w:hAnsi="Garamond" w:cs="Garamond"/>
          <w:sz w:val="22"/>
          <w:szCs w:val="22"/>
        </w:rPr>
        <w:t xml:space="preserve">C. (2009). Basic econometrics. 5th edition. New York: McGraw Hill. </w:t>
      </w:r>
    </w:p>
    <w:p w14:paraId="62926829" w14:textId="3454D463" w:rsidR="002B05E3"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Gupta, I., &amp; Mitra, A. (2004). Economic Growth, Health, and Poverty: An Exploratory Study for India. </w:t>
      </w:r>
      <w:r w:rsidRPr="00EF744C">
        <w:rPr>
          <w:rFonts w:ascii="Garamond" w:eastAsia="Garamond" w:hAnsi="Garamond" w:cs="Garamond"/>
          <w:i/>
          <w:iCs/>
          <w:sz w:val="22"/>
          <w:szCs w:val="22"/>
        </w:rPr>
        <w:t xml:space="preserve">Development Policy </w:t>
      </w:r>
      <w:proofErr w:type="gramStart"/>
      <w:r w:rsidRPr="00EF744C">
        <w:rPr>
          <w:rFonts w:ascii="Garamond" w:eastAsia="Garamond" w:hAnsi="Garamond" w:cs="Garamond"/>
          <w:i/>
          <w:iCs/>
          <w:sz w:val="22"/>
          <w:szCs w:val="22"/>
        </w:rPr>
        <w:t>Review</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w:t>
      </w:r>
      <w:proofErr w:type="gramEnd"/>
      <w:r w:rsidRPr="00EF744C">
        <w:rPr>
          <w:rFonts w:ascii="Garamond" w:eastAsia="Garamond" w:hAnsi="Garamond" w:cs="Garamond"/>
          <w:sz w:val="22"/>
          <w:szCs w:val="22"/>
        </w:rPr>
        <w:t xml:space="preserve"> 2</w:t>
      </w:r>
      <w:r w:rsidR="00D07148" w:rsidRPr="00EF744C">
        <w:rPr>
          <w:rFonts w:ascii="Garamond" w:eastAsia="Garamond" w:hAnsi="Garamond" w:cs="Garamond"/>
          <w:sz w:val="22"/>
          <w:szCs w:val="22"/>
          <w:lang w:val="id-ID"/>
        </w:rPr>
        <w:t>(2)</w:t>
      </w:r>
      <w:r w:rsidRPr="00EF744C">
        <w:rPr>
          <w:rFonts w:ascii="Garamond" w:eastAsia="Garamond" w:hAnsi="Garamond" w:cs="Garamond"/>
          <w:sz w:val="22"/>
          <w:szCs w:val="22"/>
        </w:rPr>
        <w:t xml:space="preserve">, 193-206. </w:t>
      </w:r>
    </w:p>
    <w:p w14:paraId="0198C5F5" w14:textId="3564BB86" w:rsidR="00D20817" w:rsidRPr="00EF744C" w:rsidRDefault="00000000">
      <w:pPr>
        <w:ind w:left="873" w:right="402"/>
        <w:jc w:val="both"/>
        <w:rPr>
          <w:rFonts w:ascii="Garamond" w:eastAsia="Garamond" w:hAnsi="Garamond" w:cs="Garamond"/>
          <w:sz w:val="22"/>
          <w:szCs w:val="22"/>
          <w:lang w:val="id-ID"/>
        </w:rPr>
      </w:pPr>
      <w:hyperlink r:id="rId25" w:history="1">
        <w:r w:rsidR="002B05E3" w:rsidRPr="00EF744C">
          <w:rPr>
            <w:rStyle w:val="Hyperlink"/>
            <w:rFonts w:ascii="Garamond" w:eastAsia="Garamond" w:hAnsi="Garamond" w:cs="Garamond"/>
            <w:sz w:val="22"/>
            <w:szCs w:val="22"/>
          </w:rPr>
          <w:t>https://doi.org/10.1111/j.1467-7679.2004.00245.x</w:t>
        </w:r>
      </w:hyperlink>
      <w:r w:rsidR="002B05E3" w:rsidRPr="00EF744C">
        <w:rPr>
          <w:rFonts w:ascii="Garamond" w:eastAsia="Garamond" w:hAnsi="Garamond" w:cs="Garamond"/>
          <w:sz w:val="22"/>
          <w:szCs w:val="22"/>
          <w:lang w:val="id-ID"/>
        </w:rPr>
        <w:t xml:space="preserve"> </w:t>
      </w:r>
    </w:p>
    <w:p w14:paraId="7A774FCC" w14:textId="747ACA2F" w:rsidR="002B05E3"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Hidayat</w:t>
      </w:r>
      <w:proofErr w:type="spellEnd"/>
      <w:r w:rsidRPr="00EF744C">
        <w:rPr>
          <w:rFonts w:ascii="Garamond" w:eastAsia="Garamond" w:hAnsi="Garamond" w:cs="Garamond"/>
          <w:sz w:val="22"/>
          <w:szCs w:val="22"/>
        </w:rPr>
        <w:t xml:space="preserve">, I., </w:t>
      </w:r>
      <w:proofErr w:type="spellStart"/>
      <w:r w:rsidRPr="00EF744C">
        <w:rPr>
          <w:rFonts w:ascii="Garamond" w:eastAsia="Garamond" w:hAnsi="Garamond" w:cs="Garamond"/>
          <w:sz w:val="22"/>
          <w:szCs w:val="22"/>
        </w:rPr>
        <w:t>Mulatsih</w:t>
      </w:r>
      <w:proofErr w:type="spellEnd"/>
      <w:r w:rsidRPr="00EF744C">
        <w:rPr>
          <w:rFonts w:ascii="Garamond" w:eastAsia="Garamond" w:hAnsi="Garamond" w:cs="Garamond"/>
          <w:sz w:val="22"/>
          <w:szCs w:val="22"/>
        </w:rPr>
        <w:t xml:space="preserve">, S., </w:t>
      </w:r>
      <w:r w:rsidR="007F432B" w:rsidRPr="00EF744C">
        <w:rPr>
          <w:rFonts w:ascii="Garamond" w:eastAsia="Garamond" w:hAnsi="Garamond" w:cs="Garamond"/>
          <w:sz w:val="22"/>
          <w:szCs w:val="22"/>
        </w:rPr>
        <w:t xml:space="preserve">&amp; </w:t>
      </w:r>
      <w:proofErr w:type="spellStart"/>
      <w:r w:rsidRPr="00EF744C">
        <w:rPr>
          <w:rFonts w:ascii="Garamond" w:eastAsia="Garamond" w:hAnsi="Garamond" w:cs="Garamond"/>
          <w:sz w:val="22"/>
          <w:szCs w:val="22"/>
        </w:rPr>
        <w:t>Rindayati</w:t>
      </w:r>
      <w:proofErr w:type="spellEnd"/>
      <w:r w:rsidRPr="00EF744C">
        <w:rPr>
          <w:rFonts w:ascii="Garamond" w:eastAsia="Garamond" w:hAnsi="Garamond" w:cs="Garamond"/>
          <w:sz w:val="22"/>
          <w:szCs w:val="22"/>
        </w:rPr>
        <w:t xml:space="preserve">, W. (2020). The determinants of inclusive economic growth in Yogyakarta. </w:t>
      </w:r>
      <w:proofErr w:type="spellStart"/>
      <w:r w:rsidRPr="00EF744C">
        <w:rPr>
          <w:rFonts w:ascii="Garamond" w:eastAsia="Garamond" w:hAnsi="Garamond" w:cs="Garamond"/>
          <w:i/>
          <w:iCs/>
          <w:sz w:val="22"/>
          <w:szCs w:val="22"/>
        </w:rPr>
        <w:t>Economica</w:t>
      </w:r>
      <w:proofErr w:type="spellEnd"/>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xml:space="preserve">. 16 (2), 200-210. </w:t>
      </w:r>
    </w:p>
    <w:p w14:paraId="5CEEE8AC" w14:textId="5D068E4E" w:rsidR="00D20817" w:rsidRPr="00EF744C" w:rsidRDefault="00000000">
      <w:pPr>
        <w:ind w:left="873" w:right="402"/>
        <w:jc w:val="both"/>
        <w:rPr>
          <w:rFonts w:ascii="Garamond" w:eastAsia="Garamond" w:hAnsi="Garamond" w:cs="Garamond"/>
          <w:sz w:val="22"/>
          <w:szCs w:val="22"/>
          <w:lang w:val="id-ID"/>
        </w:rPr>
      </w:pPr>
      <w:hyperlink r:id="rId26" w:history="1">
        <w:r w:rsidR="002B05E3" w:rsidRPr="00EF744C">
          <w:rPr>
            <w:rStyle w:val="Hyperlink"/>
            <w:rFonts w:ascii="Garamond" w:eastAsia="Garamond" w:hAnsi="Garamond" w:cs="Garamond"/>
            <w:sz w:val="22"/>
            <w:szCs w:val="22"/>
          </w:rPr>
          <w:t>https://doi.org/10.21831/economia.v16i2.29342</w:t>
        </w:r>
      </w:hyperlink>
      <w:r w:rsidR="002B05E3" w:rsidRPr="00EF744C">
        <w:rPr>
          <w:rStyle w:val="Hyperlink"/>
          <w:rFonts w:ascii="Garamond" w:eastAsia="Garamond" w:hAnsi="Garamond" w:cs="Garamond"/>
          <w:color w:val="auto"/>
          <w:sz w:val="22"/>
          <w:szCs w:val="22"/>
          <w:u w:val="none"/>
          <w:lang w:val="id-ID"/>
        </w:rPr>
        <w:t xml:space="preserve"> </w:t>
      </w:r>
      <w:bookmarkEnd w:id="23"/>
      <w:r w:rsidR="00D20817" w:rsidRPr="00EF744C">
        <w:rPr>
          <w:rFonts w:ascii="Garamond" w:eastAsia="Garamond" w:hAnsi="Garamond" w:cs="Garamond"/>
          <w:sz w:val="22"/>
          <w:szCs w:val="22"/>
          <w:lang w:val="id-ID"/>
        </w:rPr>
        <w:t xml:space="preserve"> </w:t>
      </w:r>
    </w:p>
    <w:p w14:paraId="25DD085C" w14:textId="25AB6A5B" w:rsidR="00D20817" w:rsidRPr="00EF744C" w:rsidRDefault="00D20817" w:rsidP="0094539D">
      <w:pPr>
        <w:ind w:left="851" w:right="402" w:hanging="567"/>
        <w:jc w:val="both"/>
        <w:rPr>
          <w:rFonts w:ascii="Garamond" w:eastAsia="Garamond" w:hAnsi="Garamond" w:cs="Garamond"/>
          <w:sz w:val="22"/>
          <w:szCs w:val="22"/>
        </w:rPr>
      </w:pPr>
      <w:r w:rsidRPr="00EF744C">
        <w:rPr>
          <w:rFonts w:ascii="Garamond" w:eastAsia="Garamond" w:hAnsi="Garamond" w:cs="Garamond"/>
          <w:sz w:val="22"/>
          <w:szCs w:val="22"/>
        </w:rPr>
        <w:t xml:space="preserve">Karina, G.G, </w:t>
      </w:r>
      <w:r w:rsidR="00C174C2" w:rsidRPr="00EF744C">
        <w:rPr>
          <w:rFonts w:ascii="Garamond" w:eastAsia="Garamond" w:hAnsi="Garamond" w:cs="Garamond"/>
          <w:sz w:val="22"/>
          <w:szCs w:val="22"/>
        </w:rPr>
        <w:t xml:space="preserve">&amp; </w:t>
      </w:r>
      <w:proofErr w:type="spellStart"/>
      <w:r w:rsidRPr="00EF744C">
        <w:rPr>
          <w:rFonts w:ascii="Garamond" w:eastAsia="Garamond" w:hAnsi="Garamond" w:cs="Garamond"/>
          <w:sz w:val="22"/>
          <w:szCs w:val="22"/>
        </w:rPr>
        <w:t>Syahnur</w:t>
      </w:r>
      <w:proofErr w:type="spellEnd"/>
      <w:r w:rsidRPr="00EF744C">
        <w:rPr>
          <w:rFonts w:ascii="Garamond" w:eastAsia="Garamond" w:hAnsi="Garamond" w:cs="Garamond"/>
          <w:sz w:val="22"/>
          <w:szCs w:val="22"/>
        </w:rPr>
        <w:t xml:space="preserve">, S. (2021). The effect of fertilizer subsidy, food credit, and government expenditure on infrastructure towards food security: demand and supply sides. </w:t>
      </w:r>
      <w:r w:rsidRPr="00EF744C">
        <w:rPr>
          <w:rFonts w:ascii="Garamond" w:eastAsia="Garamond" w:hAnsi="Garamond" w:cs="Garamond"/>
          <w:i/>
          <w:iCs/>
          <w:sz w:val="22"/>
          <w:szCs w:val="22"/>
        </w:rPr>
        <w:t>Economic Analysis: Applied Research in Emerging Markets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r w:rsidRPr="00EF744C">
        <w:rPr>
          <w:rFonts w:ascii="Garamond" w:eastAsia="Garamond" w:hAnsi="Garamond" w:cs="Garamond"/>
          <w:sz w:val="22"/>
          <w:szCs w:val="22"/>
        </w:rPr>
        <w:t>ol.54</w:t>
      </w:r>
      <w:r w:rsidR="00D07148" w:rsidRPr="00EF744C">
        <w:rPr>
          <w:rFonts w:ascii="Garamond" w:eastAsia="Garamond" w:hAnsi="Garamond" w:cs="Garamond"/>
          <w:sz w:val="22"/>
          <w:szCs w:val="22"/>
          <w:lang w:val="id-ID"/>
        </w:rPr>
        <w:t>(</w:t>
      </w:r>
      <w:r w:rsidRPr="00EF744C">
        <w:rPr>
          <w:rFonts w:ascii="Garamond" w:eastAsia="Garamond" w:hAnsi="Garamond" w:cs="Garamond"/>
          <w:sz w:val="22"/>
          <w:szCs w:val="22"/>
        </w:rPr>
        <w:t>2</w:t>
      </w:r>
      <w:r w:rsidR="00D07148" w:rsidRPr="00EF744C">
        <w:rPr>
          <w:rFonts w:ascii="Garamond" w:eastAsia="Garamond" w:hAnsi="Garamond" w:cs="Garamond"/>
          <w:sz w:val="22"/>
          <w:szCs w:val="22"/>
          <w:lang w:val="id-ID"/>
        </w:rPr>
        <w:t>)</w:t>
      </w:r>
      <w:r w:rsidRPr="00EF744C">
        <w:rPr>
          <w:rFonts w:ascii="Garamond" w:eastAsia="Garamond" w:hAnsi="Garamond" w:cs="Garamond"/>
          <w:sz w:val="22"/>
          <w:szCs w:val="22"/>
        </w:rPr>
        <w:t xml:space="preserve">, 94-103. </w:t>
      </w:r>
      <w:r w:rsidR="00D41A67" w:rsidRPr="00EF744C">
        <w:rPr>
          <w:rFonts w:ascii="Garamond" w:eastAsia="Garamond" w:hAnsi="Garamond" w:cs="Garamond"/>
          <w:sz w:val="22"/>
          <w:szCs w:val="22"/>
          <w:lang w:val="id-ID"/>
        </w:rPr>
        <w:t xml:space="preserve"> </w:t>
      </w:r>
      <w:hyperlink r:id="rId27" w:history="1">
        <w:r w:rsidR="00D41A67" w:rsidRPr="00EF744C">
          <w:rPr>
            <w:rStyle w:val="Hyperlink"/>
            <w:rFonts w:ascii="Garamond" w:eastAsia="Garamond" w:hAnsi="Garamond" w:cs="Garamond"/>
            <w:sz w:val="22"/>
            <w:szCs w:val="22"/>
          </w:rPr>
          <w:t>https://doi.org/10.28934/ea.21.54.2.pp94-103</w:t>
        </w:r>
      </w:hyperlink>
      <w:r w:rsidR="002B05E3" w:rsidRPr="00EF744C">
        <w:rPr>
          <w:rStyle w:val="Hyperlink"/>
          <w:rFonts w:ascii="Garamond" w:eastAsia="Garamond" w:hAnsi="Garamond" w:cs="Garamond"/>
          <w:color w:val="auto"/>
          <w:sz w:val="22"/>
          <w:szCs w:val="22"/>
          <w:u w:val="none"/>
          <w:lang w:val="id-ID"/>
        </w:rPr>
        <w:t xml:space="preserve"> </w:t>
      </w:r>
      <w:r w:rsidR="00835872"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19918EB6" w14:textId="3302F2B8" w:rsidR="002B05E3" w:rsidRPr="00EF744C" w:rsidRDefault="002B05E3" w:rsidP="00D20817">
      <w:pPr>
        <w:ind w:left="873" w:right="402" w:hanging="568"/>
        <w:jc w:val="both"/>
        <w:rPr>
          <w:rFonts w:ascii="Garamond" w:eastAsia="Garamond" w:hAnsi="Garamond" w:cs="Garamond"/>
          <w:sz w:val="22"/>
          <w:szCs w:val="22"/>
        </w:rPr>
      </w:pPr>
      <w:bookmarkStart w:id="24" w:name="_Hlk119746471"/>
      <w:proofErr w:type="spellStart"/>
      <w:r w:rsidRPr="00EF744C">
        <w:rPr>
          <w:rFonts w:ascii="Garamond" w:eastAsia="Garamond" w:hAnsi="Garamond" w:cs="Garamond"/>
          <w:sz w:val="22"/>
          <w:szCs w:val="22"/>
        </w:rPr>
        <w:t>Murdiono</w:t>
      </w:r>
      <w:proofErr w:type="spellEnd"/>
      <w:r w:rsidRPr="00EF744C">
        <w:rPr>
          <w:rFonts w:ascii="Garamond" w:eastAsia="Garamond" w:hAnsi="Garamond" w:cs="Garamond"/>
          <w:sz w:val="22"/>
          <w:szCs w:val="22"/>
        </w:rPr>
        <w:t xml:space="preserve">, M., &amp; </w:t>
      </w:r>
      <w:proofErr w:type="spellStart"/>
      <w:r w:rsidRPr="00EF744C">
        <w:rPr>
          <w:rFonts w:ascii="Garamond" w:eastAsia="Garamond" w:hAnsi="Garamond" w:cs="Garamond"/>
          <w:sz w:val="22"/>
          <w:szCs w:val="22"/>
        </w:rPr>
        <w:t>Setiartiti</w:t>
      </w:r>
      <w:proofErr w:type="spellEnd"/>
      <w:r w:rsidRPr="00EF744C">
        <w:rPr>
          <w:rFonts w:ascii="Garamond" w:eastAsia="Garamond" w:hAnsi="Garamond" w:cs="Garamond"/>
          <w:sz w:val="22"/>
          <w:szCs w:val="22"/>
        </w:rPr>
        <w:t>, L. (2014).</w:t>
      </w:r>
      <w:r w:rsidRPr="00EF744C">
        <w:t xml:space="preserve"> </w:t>
      </w:r>
      <w:r w:rsidRPr="00EF744C">
        <w:rPr>
          <w:rFonts w:ascii="Garamond" w:eastAsia="Garamond" w:hAnsi="Garamond" w:cs="Garamond"/>
          <w:sz w:val="22"/>
          <w:szCs w:val="22"/>
        </w:rPr>
        <w:t xml:space="preserve">Interregional Development </w:t>
      </w:r>
      <w:r w:rsidRPr="00EF744C">
        <w:rPr>
          <w:rFonts w:ascii="Garamond" w:eastAsia="Garamond" w:hAnsi="Garamond" w:cs="Garamond"/>
          <w:sz w:val="22"/>
          <w:szCs w:val="22"/>
          <w:lang w:val="id-ID"/>
        </w:rPr>
        <w:t xml:space="preserve">inequality </w:t>
      </w:r>
      <w:r w:rsidRPr="00EF744C">
        <w:rPr>
          <w:rFonts w:ascii="Garamond" w:eastAsia="Garamond" w:hAnsi="Garamond" w:cs="Garamond"/>
          <w:sz w:val="22"/>
          <w:szCs w:val="22"/>
        </w:rPr>
        <w:t xml:space="preserve">in Gorontalo Province, Indonesia </w:t>
      </w:r>
      <w:r w:rsidRPr="00EF744C">
        <w:rPr>
          <w:rFonts w:ascii="Garamond" w:eastAsia="Garamond" w:hAnsi="Garamond" w:cs="Garamond"/>
          <w:sz w:val="22"/>
          <w:szCs w:val="22"/>
          <w:lang w:val="id-ID"/>
        </w:rPr>
        <w:t>(</w:t>
      </w:r>
      <w:proofErr w:type="spellStart"/>
      <w:r w:rsidRPr="00EF744C">
        <w:rPr>
          <w:rFonts w:ascii="Garamond" w:eastAsia="Garamond" w:hAnsi="Garamond" w:cs="Garamond"/>
          <w:sz w:val="22"/>
          <w:szCs w:val="22"/>
        </w:rPr>
        <w:t>Disparitas</w:t>
      </w:r>
      <w:proofErr w:type="spellEnd"/>
      <w:r w:rsidRPr="00EF744C">
        <w:rPr>
          <w:rFonts w:ascii="Garamond" w:eastAsia="Garamond" w:hAnsi="Garamond" w:cs="Garamond"/>
          <w:sz w:val="22"/>
          <w:szCs w:val="22"/>
        </w:rPr>
        <w:t xml:space="preserve"> Pembangunan </w:t>
      </w:r>
      <w:proofErr w:type="spellStart"/>
      <w:r w:rsidRPr="00EF744C">
        <w:rPr>
          <w:rFonts w:ascii="Garamond" w:eastAsia="Garamond" w:hAnsi="Garamond" w:cs="Garamond"/>
          <w:sz w:val="22"/>
          <w:szCs w:val="22"/>
        </w:rPr>
        <w:t>Antarwilayah</w:t>
      </w:r>
      <w:proofErr w:type="spellEnd"/>
      <w:r w:rsidRPr="00EF744C">
        <w:rPr>
          <w:rFonts w:ascii="Garamond" w:eastAsia="Garamond" w:hAnsi="Garamond" w:cs="Garamond"/>
          <w:sz w:val="22"/>
          <w:szCs w:val="22"/>
        </w:rPr>
        <w:t xml:space="preserve"> di </w:t>
      </w:r>
      <w:proofErr w:type="spellStart"/>
      <w:r w:rsidRPr="00EF744C">
        <w:rPr>
          <w:rFonts w:ascii="Garamond" w:eastAsia="Garamond" w:hAnsi="Garamond" w:cs="Garamond"/>
          <w:sz w:val="22"/>
          <w:szCs w:val="22"/>
        </w:rPr>
        <w:t>Provinsi</w:t>
      </w:r>
      <w:proofErr w:type="spellEnd"/>
      <w:r w:rsidRPr="00EF744C">
        <w:rPr>
          <w:rFonts w:ascii="Garamond" w:eastAsia="Garamond" w:hAnsi="Garamond" w:cs="Garamond"/>
          <w:sz w:val="22"/>
          <w:szCs w:val="22"/>
        </w:rPr>
        <w:t xml:space="preserve"> Gorontalo, Indonesia</w:t>
      </w:r>
      <w:r w:rsidRPr="00EF744C">
        <w:rPr>
          <w:rFonts w:ascii="Garamond" w:eastAsia="Garamond" w:hAnsi="Garamond" w:cs="Garamond"/>
          <w:sz w:val="22"/>
          <w:szCs w:val="22"/>
          <w:lang w:val="id-ID"/>
        </w:rPr>
        <w:t>)</w:t>
      </w:r>
      <w:r w:rsidRPr="00EF744C">
        <w:rPr>
          <w:rFonts w:ascii="Garamond" w:eastAsia="Garamond" w:hAnsi="Garamond" w:cs="Garamond"/>
          <w:sz w:val="22"/>
          <w:szCs w:val="22"/>
        </w:rPr>
        <w:t xml:space="preserve">.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rPr>
        <w:t xml:space="preserve"> Ekonomi &amp; </w:t>
      </w:r>
      <w:proofErr w:type="spellStart"/>
      <w:r w:rsidRPr="00EF744C">
        <w:rPr>
          <w:rFonts w:ascii="Garamond" w:eastAsia="Garamond" w:hAnsi="Garamond" w:cs="Garamond"/>
          <w:i/>
          <w:iCs/>
          <w:sz w:val="22"/>
          <w:szCs w:val="22"/>
        </w:rPr>
        <w:t>Studi</w:t>
      </w:r>
      <w:proofErr w:type="spellEnd"/>
      <w:r w:rsidRPr="00EF744C">
        <w:rPr>
          <w:rFonts w:ascii="Garamond" w:eastAsia="Garamond" w:hAnsi="Garamond" w:cs="Garamond"/>
          <w:i/>
          <w:iCs/>
          <w:sz w:val="22"/>
          <w:szCs w:val="22"/>
        </w:rPr>
        <w:t xml:space="preserve"> Pembangunan</w:t>
      </w:r>
      <w:r w:rsidRPr="00EF744C">
        <w:rPr>
          <w:rFonts w:ascii="Garamond" w:eastAsia="Garamond" w:hAnsi="Garamond" w:cs="Garamond"/>
          <w:sz w:val="22"/>
          <w:szCs w:val="22"/>
        </w:rPr>
        <w:t>, 15(2), 144-160</w:t>
      </w:r>
      <w:r w:rsidR="00D41A67" w:rsidRPr="00EF744C">
        <w:rPr>
          <w:rFonts w:ascii="Garamond" w:eastAsia="Garamond" w:hAnsi="Garamond" w:cs="Garamond"/>
          <w:sz w:val="22"/>
          <w:szCs w:val="22"/>
          <w:lang w:val="id-ID"/>
        </w:rPr>
        <w:t>.</w:t>
      </w:r>
    </w:p>
    <w:p w14:paraId="0C3B6F63" w14:textId="779B928E"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Niyimbanira</w:t>
      </w:r>
      <w:proofErr w:type="spellEnd"/>
      <w:r w:rsidRPr="00EF744C">
        <w:rPr>
          <w:rFonts w:ascii="Garamond" w:eastAsia="Garamond" w:hAnsi="Garamond" w:cs="Garamond"/>
          <w:sz w:val="22"/>
          <w:szCs w:val="22"/>
        </w:rPr>
        <w:t xml:space="preserve">, F. (2017). Analysis of the impact of economic growth on income inequality and poverty in South Africa: The case of Mpumalanga Province. </w:t>
      </w:r>
      <w:r w:rsidRPr="00EF744C">
        <w:rPr>
          <w:rFonts w:ascii="Garamond" w:eastAsia="Garamond" w:hAnsi="Garamond" w:cs="Garamond"/>
          <w:i/>
          <w:iCs/>
          <w:sz w:val="22"/>
          <w:szCs w:val="22"/>
        </w:rPr>
        <w:t xml:space="preserve">International Journal of Economics and Financial Issues, </w:t>
      </w:r>
      <w:proofErr w:type="spellStart"/>
      <w:r w:rsidRPr="00EF744C">
        <w:rPr>
          <w:rFonts w:ascii="Garamond" w:eastAsia="Garamond" w:hAnsi="Garamond" w:cs="Garamond"/>
          <w:i/>
          <w:iCs/>
          <w:sz w:val="22"/>
          <w:szCs w:val="22"/>
        </w:rPr>
        <w:t>Econjournals</w:t>
      </w:r>
      <w:proofErr w:type="spellEnd"/>
      <w:r w:rsidRPr="00EF744C">
        <w:rPr>
          <w:rFonts w:ascii="Garamond" w:eastAsia="Garamond" w:hAnsi="Garamond" w:cs="Garamond"/>
          <w:i/>
          <w:iCs/>
          <w:sz w:val="22"/>
          <w:szCs w:val="22"/>
        </w:rPr>
        <w:t>,</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7</w:t>
      </w:r>
      <w:r w:rsidR="00D07148" w:rsidRPr="00EF744C">
        <w:rPr>
          <w:rFonts w:ascii="Garamond" w:eastAsia="Garamond" w:hAnsi="Garamond" w:cs="Garamond"/>
          <w:sz w:val="22"/>
          <w:szCs w:val="22"/>
          <w:lang w:val="id-ID"/>
        </w:rPr>
        <w:t>(4),</w:t>
      </w:r>
      <w:r w:rsidRPr="00EF744C">
        <w:rPr>
          <w:rFonts w:ascii="Garamond" w:eastAsia="Garamond" w:hAnsi="Garamond" w:cs="Garamond"/>
          <w:sz w:val="22"/>
          <w:szCs w:val="22"/>
        </w:rPr>
        <w:t xml:space="preserve"> 254-261.</w:t>
      </w:r>
    </w:p>
    <w:p w14:paraId="7B63198E" w14:textId="05A44494" w:rsidR="00A124DC" w:rsidRPr="00EF744C" w:rsidRDefault="00A124DC">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Odusola</w:t>
      </w:r>
      <w:proofErr w:type="spellEnd"/>
      <w:r w:rsidRPr="00EF744C">
        <w:rPr>
          <w:rFonts w:ascii="Garamond" w:eastAsia="Garamond" w:hAnsi="Garamond" w:cs="Garamond"/>
          <w:sz w:val="22"/>
          <w:szCs w:val="22"/>
        </w:rPr>
        <w:t xml:space="preserve">, A. (2019). Growth-poverty-inequality nexus: toward a mutually inclusive relationship in Africa. African Economic Development, 9, 157-182, Emerald Publishing Limited. </w:t>
      </w:r>
      <w:hyperlink r:id="rId28" w:history="1">
        <w:r w:rsidR="002B05E3" w:rsidRPr="00EF744C">
          <w:rPr>
            <w:rStyle w:val="Hyperlink"/>
            <w:rFonts w:ascii="Garamond" w:eastAsia="Garamond" w:hAnsi="Garamond" w:cs="Garamond"/>
            <w:sz w:val="22"/>
            <w:szCs w:val="22"/>
          </w:rPr>
          <w:t>https://dx.doi.org/10.1108/978-1-78743-783-820192010</w:t>
        </w:r>
      </w:hyperlink>
      <w:r w:rsidR="002B05E3"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5665347B" w14:textId="771BCF69"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Omri</w:t>
      </w:r>
      <w:proofErr w:type="spellEnd"/>
      <w:r w:rsidRPr="00EF744C">
        <w:rPr>
          <w:rFonts w:ascii="Garamond" w:eastAsia="Garamond" w:hAnsi="Garamond" w:cs="Garamond"/>
          <w:sz w:val="22"/>
          <w:szCs w:val="22"/>
        </w:rPr>
        <w:t xml:space="preserve">, A. (2013) CO2 Emissions, Energy Consumption and Economic Growth Nexus in Mena Countries: Evidence from Simultaneous Equations Models. </w:t>
      </w:r>
      <w:r w:rsidRPr="00EF744C">
        <w:rPr>
          <w:rFonts w:ascii="Garamond" w:eastAsia="Garamond" w:hAnsi="Garamond" w:cs="Garamond"/>
          <w:i/>
          <w:iCs/>
          <w:sz w:val="22"/>
          <w:szCs w:val="22"/>
        </w:rPr>
        <w:t>Energy Economics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 xml:space="preserve">vol. </w:t>
      </w:r>
      <w:r w:rsidRPr="00EF744C">
        <w:rPr>
          <w:rFonts w:ascii="Garamond" w:eastAsia="Garamond" w:hAnsi="Garamond" w:cs="Garamond"/>
          <w:sz w:val="22"/>
          <w:szCs w:val="22"/>
        </w:rPr>
        <w:t xml:space="preserve">40, 657-664. </w:t>
      </w:r>
      <w:hyperlink r:id="rId29" w:history="1">
        <w:r w:rsidR="002B05E3" w:rsidRPr="00EF744C">
          <w:rPr>
            <w:rStyle w:val="Hyperlink"/>
            <w:rFonts w:ascii="Garamond" w:eastAsia="Garamond" w:hAnsi="Garamond" w:cs="Garamond"/>
            <w:sz w:val="22"/>
            <w:szCs w:val="22"/>
          </w:rPr>
          <w:t>http://dx.doi.org/10.1016/j.eneco.2013.09.003</w:t>
        </w:r>
      </w:hyperlink>
      <w:r w:rsidR="002B05E3"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039B3D29" w14:textId="77777777"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Perry, GE., Arias, O.S., López, J.H., Maloney, W.F., </w:t>
      </w:r>
      <w:proofErr w:type="spellStart"/>
      <w:proofErr w:type="gramStart"/>
      <w:r w:rsidRPr="00EF744C">
        <w:rPr>
          <w:rFonts w:ascii="Garamond" w:eastAsia="Garamond" w:hAnsi="Garamond" w:cs="Garamond"/>
          <w:sz w:val="22"/>
          <w:szCs w:val="22"/>
        </w:rPr>
        <w:t>Servén,L</w:t>
      </w:r>
      <w:proofErr w:type="spellEnd"/>
      <w:r w:rsidRPr="00EF744C">
        <w:rPr>
          <w:rFonts w:ascii="Garamond" w:eastAsia="Garamond" w:hAnsi="Garamond" w:cs="Garamond"/>
          <w:sz w:val="22"/>
          <w:szCs w:val="22"/>
        </w:rPr>
        <w:t>.</w:t>
      </w:r>
      <w:proofErr w:type="gramEnd"/>
      <w:r w:rsidRPr="00EF744C">
        <w:rPr>
          <w:rFonts w:ascii="Garamond" w:eastAsia="Garamond" w:hAnsi="Garamond" w:cs="Garamond"/>
          <w:sz w:val="22"/>
          <w:szCs w:val="22"/>
        </w:rPr>
        <w:t xml:space="preserve"> (2006). Poverty reduction and growth: virtuous and vicious circles. World Bank Publications - Books, The World Bank Group, number 6997.</w:t>
      </w:r>
    </w:p>
    <w:p w14:paraId="062D2607" w14:textId="0AD922D7" w:rsidR="003B78BF"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Ravallion</w:t>
      </w:r>
      <w:proofErr w:type="spellEnd"/>
      <w:r w:rsidRPr="00EF744C">
        <w:rPr>
          <w:rFonts w:ascii="Garamond" w:eastAsia="Garamond" w:hAnsi="Garamond" w:cs="Garamond"/>
          <w:sz w:val="22"/>
          <w:szCs w:val="22"/>
        </w:rPr>
        <w:t xml:space="preserve">, M. (2014). Income inequality in the developing world. </w:t>
      </w:r>
      <w:r w:rsidRPr="00EF744C">
        <w:rPr>
          <w:rFonts w:ascii="Garamond" w:eastAsia="Garamond" w:hAnsi="Garamond" w:cs="Garamond"/>
          <w:i/>
          <w:iCs/>
          <w:sz w:val="22"/>
          <w:szCs w:val="22"/>
        </w:rPr>
        <w:t>Science</w:t>
      </w:r>
      <w:r w:rsidRPr="00EF744C">
        <w:rPr>
          <w:rFonts w:ascii="Garamond" w:eastAsia="Garamond" w:hAnsi="Garamond" w:cs="Garamond"/>
          <w:sz w:val="22"/>
          <w:szCs w:val="22"/>
        </w:rPr>
        <w:t>, Vol. 344 (686), 851 - 855.</w:t>
      </w:r>
    </w:p>
    <w:p w14:paraId="45757260" w14:textId="04489670" w:rsidR="003B78BF" w:rsidRPr="00EF744C" w:rsidRDefault="003B78BF" w:rsidP="0094539D">
      <w:pPr>
        <w:ind w:left="851" w:right="402" w:hanging="567"/>
        <w:jc w:val="both"/>
        <w:rPr>
          <w:rFonts w:ascii="Garamond" w:eastAsia="Garamond" w:hAnsi="Garamond" w:cs="Garamond"/>
          <w:sz w:val="22"/>
          <w:szCs w:val="22"/>
        </w:rPr>
      </w:pPr>
      <w:proofErr w:type="spellStart"/>
      <w:r w:rsidRPr="00EF744C">
        <w:rPr>
          <w:rFonts w:ascii="Garamond" w:eastAsia="Garamond" w:hAnsi="Garamond" w:cs="Garamond"/>
          <w:sz w:val="22"/>
          <w:szCs w:val="22"/>
        </w:rPr>
        <w:t>Shidiqi</w:t>
      </w:r>
      <w:proofErr w:type="spellEnd"/>
      <w:r w:rsidRPr="00EF744C">
        <w:rPr>
          <w:rFonts w:ascii="Garamond" w:eastAsia="Garamond" w:hAnsi="Garamond" w:cs="Garamond"/>
          <w:sz w:val="22"/>
          <w:szCs w:val="22"/>
        </w:rPr>
        <w:t xml:space="preserve">, K. A., &amp; </w:t>
      </w:r>
      <w:proofErr w:type="spellStart"/>
      <w:r w:rsidRPr="00EF744C">
        <w:rPr>
          <w:rFonts w:ascii="Garamond" w:eastAsia="Garamond" w:hAnsi="Garamond" w:cs="Garamond"/>
          <w:sz w:val="22"/>
          <w:szCs w:val="22"/>
        </w:rPr>
        <w:t>Pasiya</w:t>
      </w:r>
      <w:proofErr w:type="spellEnd"/>
      <w:r w:rsidRPr="00EF744C">
        <w:rPr>
          <w:rFonts w:ascii="Garamond" w:eastAsia="Garamond" w:hAnsi="Garamond" w:cs="Garamond"/>
          <w:sz w:val="22"/>
          <w:szCs w:val="22"/>
        </w:rPr>
        <w:t>, A. (2019).</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The Effect of Educational</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Attainment and Work Experiences</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on Earnings in Indonesian</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Manufacturing Sectors.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lang w:val="id-ID"/>
        </w:rPr>
        <w:t xml:space="preserve"> </w:t>
      </w:r>
      <w:r w:rsidRPr="00EF744C">
        <w:rPr>
          <w:rFonts w:ascii="Garamond" w:eastAsia="Garamond" w:hAnsi="Garamond" w:cs="Garamond"/>
          <w:i/>
          <w:iCs/>
          <w:sz w:val="22"/>
          <w:szCs w:val="22"/>
        </w:rPr>
        <w:t xml:space="preserve">Ekonomi &amp; </w:t>
      </w:r>
      <w:proofErr w:type="spellStart"/>
      <w:r w:rsidRPr="00EF744C">
        <w:rPr>
          <w:rFonts w:ascii="Garamond" w:eastAsia="Garamond" w:hAnsi="Garamond" w:cs="Garamond"/>
          <w:i/>
          <w:iCs/>
          <w:sz w:val="22"/>
          <w:szCs w:val="22"/>
        </w:rPr>
        <w:t>Studi</w:t>
      </w:r>
      <w:proofErr w:type="spellEnd"/>
      <w:r w:rsidRPr="00EF744C">
        <w:rPr>
          <w:rFonts w:ascii="Garamond" w:eastAsia="Garamond" w:hAnsi="Garamond" w:cs="Garamond"/>
          <w:i/>
          <w:iCs/>
          <w:sz w:val="22"/>
          <w:szCs w:val="22"/>
        </w:rPr>
        <w:t xml:space="preserve"> Pembangunan</w:t>
      </w:r>
      <w:r w:rsidRPr="00EF744C">
        <w:rPr>
          <w:rFonts w:ascii="Garamond" w:eastAsia="Garamond" w:hAnsi="Garamond" w:cs="Garamond"/>
          <w:sz w:val="22"/>
          <w:szCs w:val="22"/>
        </w:rPr>
        <w:t>, 20(2), 151-162.</w:t>
      </w:r>
      <w:r w:rsidRPr="00EF744C">
        <w:rPr>
          <w:rFonts w:ascii="Garamond" w:eastAsia="Garamond" w:hAnsi="Garamond" w:cs="Garamond"/>
          <w:sz w:val="22"/>
          <w:szCs w:val="22"/>
          <w:lang w:val="id-ID"/>
        </w:rPr>
        <w:t xml:space="preserve"> </w:t>
      </w:r>
      <w:hyperlink r:id="rId30" w:history="1">
        <w:r w:rsidR="00D41A67" w:rsidRPr="00EF744C">
          <w:rPr>
            <w:rStyle w:val="Hyperlink"/>
            <w:rFonts w:eastAsia="Garamond"/>
          </w:rPr>
          <w:t>https://doi.org/10.18196/jesp.20.2.5021</w:t>
        </w:r>
      </w:hyperlink>
      <w:r w:rsidR="00D41A67" w:rsidRPr="00EF744C">
        <w:rPr>
          <w:rFonts w:ascii="Garamond" w:eastAsia="Garamond" w:hAnsi="Garamond" w:cs="Garamond"/>
          <w:sz w:val="22"/>
          <w:szCs w:val="22"/>
          <w:lang w:val="id-ID"/>
        </w:rPr>
        <w:t xml:space="preserve"> </w:t>
      </w:r>
    </w:p>
    <w:p w14:paraId="799D574E" w14:textId="43D91FD9"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Sungkar</w:t>
      </w:r>
      <w:proofErr w:type="spellEnd"/>
      <w:r w:rsidRPr="00EF744C">
        <w:rPr>
          <w:rFonts w:ascii="Garamond" w:eastAsia="Garamond" w:hAnsi="Garamond" w:cs="Garamond"/>
          <w:sz w:val="22"/>
          <w:szCs w:val="22"/>
        </w:rPr>
        <w:t xml:space="preserve">, S.N., </w:t>
      </w:r>
      <w:proofErr w:type="spellStart"/>
      <w:r w:rsidRPr="00EF744C">
        <w:rPr>
          <w:rFonts w:ascii="Garamond" w:eastAsia="Garamond" w:hAnsi="Garamond" w:cs="Garamond"/>
          <w:sz w:val="22"/>
          <w:szCs w:val="22"/>
        </w:rPr>
        <w:t>Nazamuddin</w:t>
      </w:r>
      <w:proofErr w:type="spellEnd"/>
      <w:r w:rsidR="007F432B" w:rsidRPr="00EF744C">
        <w:rPr>
          <w:rFonts w:ascii="Garamond" w:eastAsia="Garamond" w:hAnsi="Garamond" w:cs="Garamond"/>
          <w:sz w:val="22"/>
          <w:szCs w:val="22"/>
        </w:rPr>
        <w:t>.</w:t>
      </w:r>
      <w:r w:rsidRPr="00EF744C">
        <w:rPr>
          <w:rFonts w:ascii="Garamond" w:eastAsia="Garamond" w:hAnsi="Garamond" w:cs="Garamond"/>
          <w:sz w:val="22"/>
          <w:szCs w:val="22"/>
        </w:rPr>
        <w:t xml:space="preserve">, </w:t>
      </w:r>
      <w:r w:rsidR="00C174C2" w:rsidRPr="00EF744C">
        <w:rPr>
          <w:rFonts w:ascii="Garamond" w:eastAsia="Garamond" w:hAnsi="Garamond" w:cs="Garamond"/>
          <w:sz w:val="22"/>
          <w:szCs w:val="22"/>
        </w:rPr>
        <w:t xml:space="preserve">&amp; </w:t>
      </w:r>
      <w:r w:rsidRPr="00EF744C">
        <w:rPr>
          <w:rFonts w:ascii="Garamond" w:eastAsia="Garamond" w:hAnsi="Garamond" w:cs="Garamond"/>
          <w:sz w:val="22"/>
          <w:szCs w:val="22"/>
        </w:rPr>
        <w:t xml:space="preserve">Nasir, M. (2015). </w:t>
      </w:r>
      <w:proofErr w:type="spellStart"/>
      <w:r w:rsidRPr="00EF744C">
        <w:rPr>
          <w:rFonts w:ascii="Garamond" w:eastAsia="Garamond" w:hAnsi="Garamond" w:cs="Garamond"/>
          <w:sz w:val="22"/>
          <w:szCs w:val="22"/>
        </w:rPr>
        <w:t>Pengaruh</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upah</w:t>
      </w:r>
      <w:proofErr w:type="spellEnd"/>
      <w:r w:rsidRPr="00EF744C">
        <w:rPr>
          <w:rFonts w:ascii="Garamond" w:eastAsia="Garamond" w:hAnsi="Garamond" w:cs="Garamond"/>
          <w:sz w:val="22"/>
          <w:szCs w:val="22"/>
        </w:rPr>
        <w:t xml:space="preserve"> minimum </w:t>
      </w:r>
      <w:proofErr w:type="spellStart"/>
      <w:r w:rsidRPr="00EF744C">
        <w:rPr>
          <w:rFonts w:ascii="Garamond" w:eastAsia="Garamond" w:hAnsi="Garamond" w:cs="Garamond"/>
          <w:sz w:val="22"/>
          <w:szCs w:val="22"/>
        </w:rPr>
        <w:t>terhadap</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ketimpangan</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pendapatan</w:t>
      </w:r>
      <w:proofErr w:type="spellEnd"/>
      <w:r w:rsidRPr="00EF744C">
        <w:rPr>
          <w:rFonts w:ascii="Garamond" w:eastAsia="Garamond" w:hAnsi="Garamond" w:cs="Garamond"/>
          <w:sz w:val="22"/>
          <w:szCs w:val="22"/>
        </w:rPr>
        <w:t xml:space="preserve"> di Indonesia. </w:t>
      </w:r>
      <w:r w:rsidRPr="00EF744C">
        <w:rPr>
          <w:rFonts w:ascii="Garamond" w:eastAsia="Garamond" w:hAnsi="Garamond" w:cs="Garamond"/>
          <w:i/>
          <w:iCs/>
          <w:sz w:val="22"/>
          <w:szCs w:val="22"/>
        </w:rPr>
        <w:t>J</w:t>
      </w:r>
      <w:r w:rsidR="00835872" w:rsidRPr="00EF744C">
        <w:rPr>
          <w:rFonts w:ascii="Garamond" w:eastAsia="Garamond" w:hAnsi="Garamond" w:cs="Garamond"/>
          <w:i/>
          <w:iCs/>
          <w:sz w:val="22"/>
          <w:szCs w:val="22"/>
          <w:lang w:val="id-ID"/>
        </w:rPr>
        <w:t>o</w:t>
      </w:r>
      <w:proofErr w:type="spellStart"/>
      <w:r w:rsidRPr="00EF744C">
        <w:rPr>
          <w:rFonts w:ascii="Garamond" w:eastAsia="Garamond" w:hAnsi="Garamond" w:cs="Garamond"/>
          <w:i/>
          <w:iCs/>
          <w:sz w:val="22"/>
          <w:szCs w:val="22"/>
        </w:rPr>
        <w:t>urnal</w:t>
      </w:r>
      <w:proofErr w:type="spellEnd"/>
      <w:r w:rsidRPr="00EF744C">
        <w:rPr>
          <w:rFonts w:ascii="Garamond" w:eastAsia="Garamond" w:hAnsi="Garamond" w:cs="Garamond"/>
          <w:i/>
          <w:iCs/>
          <w:sz w:val="22"/>
          <w:szCs w:val="22"/>
        </w:rPr>
        <w:t xml:space="preserve"> </w:t>
      </w:r>
      <w:proofErr w:type="spellStart"/>
      <w:r w:rsidRPr="00EF744C">
        <w:rPr>
          <w:rFonts w:ascii="Garamond" w:eastAsia="Garamond" w:hAnsi="Garamond" w:cs="Garamond"/>
          <w:i/>
          <w:iCs/>
          <w:sz w:val="22"/>
          <w:szCs w:val="22"/>
        </w:rPr>
        <w:t>Ilmu</w:t>
      </w:r>
      <w:proofErr w:type="spellEnd"/>
      <w:r w:rsidRPr="00EF744C">
        <w:rPr>
          <w:rFonts w:ascii="Garamond" w:eastAsia="Garamond" w:hAnsi="Garamond" w:cs="Garamond"/>
          <w:i/>
          <w:iCs/>
          <w:sz w:val="22"/>
          <w:szCs w:val="22"/>
        </w:rPr>
        <w:t xml:space="preserve"> Ekonomi </w:t>
      </w:r>
      <w:proofErr w:type="spellStart"/>
      <w:r w:rsidRPr="00EF744C">
        <w:rPr>
          <w:rFonts w:ascii="Garamond" w:eastAsia="Garamond" w:hAnsi="Garamond" w:cs="Garamond"/>
          <w:i/>
          <w:iCs/>
          <w:sz w:val="22"/>
          <w:szCs w:val="22"/>
        </w:rPr>
        <w:t>Pascasarjana</w:t>
      </w:r>
      <w:proofErr w:type="spellEnd"/>
      <w:r w:rsidRPr="00EF744C">
        <w:rPr>
          <w:rFonts w:ascii="Garamond" w:eastAsia="Garamond" w:hAnsi="Garamond" w:cs="Garamond"/>
          <w:i/>
          <w:iCs/>
          <w:sz w:val="22"/>
          <w:szCs w:val="22"/>
        </w:rPr>
        <w:t xml:space="preserve"> Universitas </w:t>
      </w:r>
      <w:proofErr w:type="spellStart"/>
      <w:r w:rsidRPr="00EF744C">
        <w:rPr>
          <w:rFonts w:ascii="Garamond" w:eastAsia="Garamond" w:hAnsi="Garamond" w:cs="Garamond"/>
          <w:i/>
          <w:iCs/>
          <w:sz w:val="22"/>
          <w:szCs w:val="22"/>
        </w:rPr>
        <w:t>Syiah</w:t>
      </w:r>
      <w:proofErr w:type="spellEnd"/>
      <w:r w:rsidRPr="00EF744C">
        <w:rPr>
          <w:rFonts w:ascii="Garamond" w:eastAsia="Garamond" w:hAnsi="Garamond" w:cs="Garamond"/>
          <w:i/>
          <w:iCs/>
          <w:sz w:val="22"/>
          <w:szCs w:val="22"/>
        </w:rPr>
        <w:t xml:space="preserve"> Kuala</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 xml:space="preserve">vol. </w:t>
      </w:r>
      <w:r w:rsidRPr="00EF744C">
        <w:rPr>
          <w:rFonts w:ascii="Garamond" w:eastAsia="Garamond" w:hAnsi="Garamond" w:cs="Garamond"/>
          <w:sz w:val="22"/>
          <w:szCs w:val="22"/>
        </w:rPr>
        <w:t>3(2): 40-53.</w:t>
      </w:r>
    </w:p>
    <w:p w14:paraId="33AAEAB5" w14:textId="77777777" w:rsidR="00D41A67" w:rsidRPr="00EF744C" w:rsidRDefault="00D20817" w:rsidP="00D20817">
      <w:pPr>
        <w:ind w:left="873" w:right="402" w:hanging="568"/>
        <w:jc w:val="both"/>
        <w:rPr>
          <w:rFonts w:ascii="Garamond" w:eastAsia="Garamond" w:hAnsi="Garamond" w:cs="Garamond"/>
          <w:sz w:val="22"/>
          <w:szCs w:val="22"/>
          <w:lang w:val="id-ID"/>
        </w:rPr>
      </w:pPr>
      <w:proofErr w:type="spellStart"/>
      <w:r w:rsidRPr="00EF744C">
        <w:rPr>
          <w:rFonts w:ascii="Garamond" w:eastAsia="Garamond" w:hAnsi="Garamond" w:cs="Garamond"/>
          <w:sz w:val="22"/>
          <w:szCs w:val="22"/>
        </w:rPr>
        <w:t>Suparmono</w:t>
      </w:r>
      <w:proofErr w:type="spellEnd"/>
      <w:r w:rsidR="007F432B" w:rsidRPr="00EF744C">
        <w:rPr>
          <w:rFonts w:ascii="Garamond" w:eastAsia="Garamond" w:hAnsi="Garamond" w:cs="Garamond"/>
          <w:sz w:val="22"/>
          <w:szCs w:val="22"/>
        </w:rPr>
        <w:t>.</w:t>
      </w:r>
      <w:r w:rsidRPr="00EF744C">
        <w:rPr>
          <w:rFonts w:ascii="Garamond" w:eastAsia="Garamond" w:hAnsi="Garamond" w:cs="Garamond"/>
          <w:sz w:val="22"/>
          <w:szCs w:val="22"/>
        </w:rPr>
        <w:t xml:space="preserve">, </w:t>
      </w:r>
      <w:r w:rsidR="00C174C2" w:rsidRPr="00EF744C">
        <w:rPr>
          <w:rFonts w:ascii="Garamond" w:eastAsia="Garamond" w:hAnsi="Garamond" w:cs="Garamond"/>
          <w:sz w:val="22"/>
          <w:szCs w:val="22"/>
        </w:rPr>
        <w:t xml:space="preserve">&amp; </w:t>
      </w:r>
      <w:proofErr w:type="spellStart"/>
      <w:r w:rsidRPr="00EF744C">
        <w:rPr>
          <w:rFonts w:ascii="Garamond" w:eastAsia="Garamond" w:hAnsi="Garamond" w:cs="Garamond"/>
          <w:sz w:val="22"/>
          <w:szCs w:val="22"/>
        </w:rPr>
        <w:t>Partina</w:t>
      </w:r>
      <w:proofErr w:type="spellEnd"/>
      <w:r w:rsidRPr="00EF744C">
        <w:rPr>
          <w:rFonts w:ascii="Garamond" w:eastAsia="Garamond" w:hAnsi="Garamond" w:cs="Garamond"/>
          <w:sz w:val="22"/>
          <w:szCs w:val="22"/>
        </w:rPr>
        <w:t xml:space="preserve">, A. (2021). Forecasting the inequality of income distribution in consequence of the Covid-19 Pandemic.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rPr>
        <w:t xml:space="preserve"> Ekonomi Pembangunan</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00D07148" w:rsidRPr="00EF744C">
        <w:rPr>
          <w:rFonts w:ascii="Garamond" w:eastAsia="Garamond" w:hAnsi="Garamond" w:cs="Garamond"/>
          <w:sz w:val="22"/>
          <w:szCs w:val="22"/>
          <w:lang w:val="id-ID"/>
        </w:rPr>
        <w:t>.</w:t>
      </w:r>
      <w:r w:rsidRPr="00EF744C">
        <w:rPr>
          <w:rFonts w:ascii="Garamond" w:eastAsia="Garamond" w:hAnsi="Garamond" w:cs="Garamond"/>
          <w:sz w:val="22"/>
          <w:szCs w:val="22"/>
        </w:rPr>
        <w:t xml:space="preserve"> 19(1), 27-38.</w:t>
      </w:r>
      <w:r w:rsidR="00D41A67" w:rsidRPr="00EF744C">
        <w:rPr>
          <w:rFonts w:ascii="Garamond" w:eastAsia="Garamond" w:hAnsi="Garamond" w:cs="Garamond"/>
          <w:sz w:val="22"/>
          <w:szCs w:val="22"/>
          <w:lang w:val="id-ID"/>
        </w:rPr>
        <w:t xml:space="preserve"> </w:t>
      </w:r>
    </w:p>
    <w:p w14:paraId="242B35E3" w14:textId="6FBFF930" w:rsidR="00D20817" w:rsidRPr="00EF744C" w:rsidRDefault="00000000" w:rsidP="0094539D">
      <w:pPr>
        <w:ind w:left="873" w:right="402"/>
        <w:jc w:val="both"/>
        <w:rPr>
          <w:rFonts w:ascii="Garamond" w:eastAsia="Garamond" w:hAnsi="Garamond" w:cs="Garamond"/>
          <w:sz w:val="22"/>
          <w:szCs w:val="22"/>
          <w:lang w:val="id-ID"/>
        </w:rPr>
      </w:pPr>
      <w:hyperlink r:id="rId31" w:history="1">
        <w:r w:rsidR="00D41A67" w:rsidRPr="00EF744C">
          <w:rPr>
            <w:rStyle w:val="Hyperlink"/>
            <w:rFonts w:ascii="Garamond" w:eastAsia="Garamond" w:hAnsi="Garamond" w:cs="Garamond"/>
            <w:sz w:val="22"/>
            <w:szCs w:val="22"/>
          </w:rPr>
          <w:t>https://doi.org/10.29259/jep.v19i1.13187</w:t>
        </w:r>
      </w:hyperlink>
      <w:r w:rsidR="00D41A67" w:rsidRPr="00EF744C">
        <w:rPr>
          <w:rStyle w:val="Hyperlink"/>
          <w:rFonts w:ascii="Garamond" w:eastAsia="Garamond" w:hAnsi="Garamond" w:cs="Garamond"/>
          <w:color w:val="auto"/>
          <w:sz w:val="22"/>
          <w:szCs w:val="22"/>
          <w:u w:val="none"/>
          <w:lang w:val="id-ID"/>
        </w:rPr>
        <w:t xml:space="preserve"> </w:t>
      </w:r>
      <w:r w:rsidR="00835872" w:rsidRPr="00EF744C">
        <w:rPr>
          <w:rFonts w:ascii="Garamond" w:eastAsia="Garamond" w:hAnsi="Garamond" w:cs="Garamond"/>
          <w:sz w:val="22"/>
          <w:szCs w:val="22"/>
          <w:lang w:val="id-ID"/>
        </w:rPr>
        <w:t xml:space="preserve"> </w:t>
      </w:r>
    </w:p>
    <w:p w14:paraId="70984164" w14:textId="32C79C1C" w:rsidR="00824A16" w:rsidRPr="00EF744C" w:rsidRDefault="00824A1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Suriani,</w:t>
      </w:r>
      <w:r w:rsidR="00C174C2" w:rsidRPr="00EF744C">
        <w:rPr>
          <w:rFonts w:ascii="Garamond" w:eastAsia="Garamond" w:hAnsi="Garamond" w:cs="Garamond"/>
          <w:sz w:val="22"/>
          <w:szCs w:val="22"/>
        </w:rPr>
        <w:t xml:space="preserve"> S.,</w:t>
      </w:r>
      <w:r w:rsidRPr="00EF744C">
        <w:rPr>
          <w:rFonts w:ascii="Garamond" w:eastAsia="Garamond" w:hAnsi="Garamond" w:cs="Garamond"/>
          <w:sz w:val="22"/>
          <w:szCs w:val="22"/>
          <w:lang w:val="id-ID"/>
        </w:rPr>
        <w:t xml:space="preserve"> Nurdin, R., </w:t>
      </w:r>
      <w:r w:rsidR="00C174C2" w:rsidRPr="00EF744C">
        <w:rPr>
          <w:rFonts w:ascii="Garamond" w:eastAsia="Garamond" w:hAnsi="Garamond" w:cs="Garamond"/>
          <w:sz w:val="22"/>
          <w:szCs w:val="22"/>
        </w:rPr>
        <w:t xml:space="preserve">&amp; </w:t>
      </w:r>
      <w:r w:rsidRPr="00EF744C">
        <w:rPr>
          <w:rFonts w:ascii="Garamond" w:eastAsia="Garamond" w:hAnsi="Garamond" w:cs="Garamond"/>
          <w:sz w:val="22"/>
          <w:szCs w:val="22"/>
          <w:lang w:val="id-ID"/>
        </w:rPr>
        <w:t>Riyaldi, M</w:t>
      </w:r>
      <w:r w:rsidR="00C174C2" w:rsidRPr="00EF744C">
        <w:rPr>
          <w:rFonts w:ascii="Garamond" w:eastAsia="Garamond" w:hAnsi="Garamond" w:cs="Garamond"/>
          <w:sz w:val="22"/>
          <w:szCs w:val="22"/>
        </w:rPr>
        <w:t xml:space="preserve">. </w:t>
      </w:r>
      <w:r w:rsidRPr="00EF744C">
        <w:rPr>
          <w:rFonts w:ascii="Garamond" w:eastAsia="Garamond" w:hAnsi="Garamond" w:cs="Garamond"/>
          <w:sz w:val="22"/>
          <w:szCs w:val="22"/>
          <w:lang w:val="id-ID"/>
        </w:rPr>
        <w:t xml:space="preserve">H. (2020). Causality Relationship of Zakat, Income Inequality, and Poverty: A Panel Co-Integration Approach. </w:t>
      </w:r>
      <w:r w:rsidRPr="00EF744C">
        <w:rPr>
          <w:rFonts w:ascii="Garamond" w:eastAsia="Garamond" w:hAnsi="Garamond" w:cs="Garamond"/>
          <w:i/>
          <w:iCs/>
          <w:sz w:val="22"/>
          <w:szCs w:val="22"/>
          <w:lang w:val="id-ID"/>
        </w:rPr>
        <w:t xml:space="preserve">International Journal of Economics and Business Administration, </w:t>
      </w:r>
      <w:r w:rsidRPr="00EF744C">
        <w:rPr>
          <w:rFonts w:ascii="Garamond" w:eastAsia="Garamond" w:hAnsi="Garamond" w:cs="Garamond"/>
          <w:sz w:val="22"/>
          <w:szCs w:val="22"/>
          <w:lang w:val="id-ID"/>
        </w:rPr>
        <w:t>vol. 8(4), 875-887.</w:t>
      </w:r>
      <w:r w:rsidR="00D41A67" w:rsidRPr="00EF744C">
        <w:rPr>
          <w:rFonts w:ascii="Garamond" w:eastAsia="Garamond" w:hAnsi="Garamond" w:cs="Garamond"/>
          <w:sz w:val="22"/>
          <w:szCs w:val="22"/>
          <w:lang w:val="id-ID"/>
        </w:rPr>
        <w:t xml:space="preserve"> </w:t>
      </w:r>
      <w:hyperlink r:id="rId32" w:history="1">
        <w:r w:rsidR="00D41A67" w:rsidRPr="00EF744C">
          <w:rPr>
            <w:rStyle w:val="Hyperlink"/>
            <w:rFonts w:ascii="Garamond" w:eastAsia="Garamond" w:hAnsi="Garamond" w:cs="Garamond"/>
            <w:sz w:val="22"/>
            <w:szCs w:val="22"/>
            <w:lang w:val="id-ID"/>
          </w:rPr>
          <w:t>https://dx.doi.org/10.35808/ijeba/637</w:t>
        </w:r>
      </w:hyperlink>
      <w:r w:rsidRPr="00EF744C">
        <w:rPr>
          <w:rFonts w:ascii="Garamond" w:eastAsia="Garamond" w:hAnsi="Garamond" w:cs="Garamond"/>
          <w:sz w:val="22"/>
          <w:szCs w:val="22"/>
          <w:lang w:val="id-ID"/>
        </w:rPr>
        <w:t xml:space="preserve"> </w:t>
      </w:r>
    </w:p>
    <w:p w14:paraId="43339B8C" w14:textId="3DF73D90" w:rsidR="00824A16" w:rsidRPr="00EF744C" w:rsidRDefault="00824A16" w:rsidP="00824A1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Suriani, </w:t>
      </w:r>
      <w:r w:rsidR="00C174C2" w:rsidRPr="00EF744C">
        <w:rPr>
          <w:rFonts w:ascii="Garamond" w:eastAsia="Garamond" w:hAnsi="Garamond" w:cs="Garamond"/>
          <w:sz w:val="22"/>
          <w:szCs w:val="22"/>
        </w:rPr>
        <w:t xml:space="preserve">S., </w:t>
      </w:r>
      <w:r w:rsidRPr="00EF744C">
        <w:rPr>
          <w:rFonts w:ascii="Garamond" w:eastAsia="Garamond" w:hAnsi="Garamond" w:cs="Garamond"/>
          <w:sz w:val="22"/>
          <w:szCs w:val="22"/>
          <w:lang w:val="id-ID"/>
        </w:rPr>
        <w:t>Riyaldi, M</w:t>
      </w:r>
      <w:r w:rsidR="00C174C2" w:rsidRPr="00EF744C">
        <w:rPr>
          <w:rFonts w:ascii="Garamond" w:eastAsia="Garamond" w:hAnsi="Garamond" w:cs="Garamond"/>
          <w:sz w:val="22"/>
          <w:szCs w:val="22"/>
        </w:rPr>
        <w:t xml:space="preserve">. </w:t>
      </w:r>
      <w:r w:rsidRPr="00EF744C">
        <w:rPr>
          <w:rFonts w:ascii="Garamond" w:eastAsia="Garamond" w:hAnsi="Garamond" w:cs="Garamond"/>
          <w:sz w:val="22"/>
          <w:szCs w:val="22"/>
          <w:lang w:val="id-ID"/>
        </w:rPr>
        <w:t xml:space="preserve">H., Nurdin, R., Fadliansyah, O., </w:t>
      </w:r>
      <w:r w:rsidR="00C174C2" w:rsidRPr="00EF744C">
        <w:rPr>
          <w:rFonts w:ascii="Garamond" w:eastAsia="Garamond" w:hAnsi="Garamond" w:cs="Garamond"/>
          <w:sz w:val="22"/>
          <w:szCs w:val="22"/>
        </w:rPr>
        <w:t xml:space="preserve">&amp; </w:t>
      </w:r>
      <w:r w:rsidRPr="00EF744C">
        <w:rPr>
          <w:rFonts w:ascii="Garamond" w:eastAsia="Garamond" w:hAnsi="Garamond" w:cs="Garamond"/>
          <w:sz w:val="22"/>
          <w:szCs w:val="22"/>
          <w:lang w:val="id-ID"/>
        </w:rPr>
        <w:t xml:space="preserve">Wintara, H. (2021). Zakat and Sustainable Development: Effect of Zakat and Macroeconomic Variables on Dependency Ratio and Poverty. Proceeding of International Conference on Decision Aid Sciences and Application (DASA 2021), 392-396, </w:t>
      </w:r>
    </w:p>
    <w:p w14:paraId="6B86AFB7" w14:textId="470EBDE3" w:rsidR="00824A16" w:rsidRPr="00EF744C" w:rsidRDefault="00000000" w:rsidP="0094539D">
      <w:pPr>
        <w:ind w:left="153" w:right="402" w:firstLine="720"/>
        <w:jc w:val="both"/>
        <w:rPr>
          <w:rFonts w:ascii="Garamond" w:eastAsia="Garamond" w:hAnsi="Garamond" w:cs="Garamond"/>
          <w:sz w:val="22"/>
          <w:szCs w:val="22"/>
          <w:lang w:val="id-ID"/>
        </w:rPr>
      </w:pPr>
      <w:hyperlink r:id="rId33" w:history="1">
        <w:r w:rsidR="00D41A67" w:rsidRPr="00EF744C">
          <w:rPr>
            <w:rStyle w:val="Hyperlink"/>
            <w:rFonts w:ascii="Garamond" w:eastAsia="Garamond" w:hAnsi="Garamond" w:cs="Garamond"/>
            <w:sz w:val="22"/>
            <w:szCs w:val="22"/>
            <w:lang w:val="id-ID"/>
          </w:rPr>
          <w:t>https://dx.doi.org/10.1109/DASA53625.2021.9682377</w:t>
        </w:r>
      </w:hyperlink>
      <w:r w:rsidR="00824A16" w:rsidRPr="00EF744C">
        <w:rPr>
          <w:rFonts w:ascii="Garamond" w:eastAsia="Garamond" w:hAnsi="Garamond" w:cs="Garamond"/>
          <w:sz w:val="22"/>
          <w:szCs w:val="22"/>
          <w:lang w:val="id-ID"/>
        </w:rPr>
        <w:t xml:space="preserve"> </w:t>
      </w:r>
    </w:p>
    <w:p w14:paraId="28BF0455" w14:textId="1673B937"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Suriani</w:t>
      </w:r>
      <w:proofErr w:type="spellEnd"/>
      <w:r w:rsidRPr="00EF744C">
        <w:rPr>
          <w:rFonts w:ascii="Garamond" w:eastAsia="Garamond" w:hAnsi="Garamond" w:cs="Garamond"/>
          <w:sz w:val="22"/>
          <w:szCs w:val="22"/>
        </w:rPr>
        <w:t xml:space="preserve">, S., &amp; </w:t>
      </w:r>
      <w:proofErr w:type="spellStart"/>
      <w:r w:rsidRPr="00EF744C">
        <w:rPr>
          <w:rFonts w:ascii="Garamond" w:eastAsia="Garamond" w:hAnsi="Garamond" w:cs="Garamond"/>
          <w:sz w:val="22"/>
          <w:szCs w:val="22"/>
        </w:rPr>
        <w:t>Seftarita</w:t>
      </w:r>
      <w:proofErr w:type="spellEnd"/>
      <w:r w:rsidRPr="00EF744C">
        <w:rPr>
          <w:rFonts w:ascii="Garamond" w:eastAsia="Garamond" w:hAnsi="Garamond" w:cs="Garamond"/>
          <w:sz w:val="22"/>
          <w:szCs w:val="22"/>
        </w:rPr>
        <w:t>, C. (2022). Causality of Regional Economic Growth, Interest Rates, and Demand-Supply of Credit: Simultaneous Modeling (</w:t>
      </w:r>
      <w:proofErr w:type="spellStart"/>
      <w:r w:rsidRPr="00EF744C">
        <w:rPr>
          <w:rFonts w:ascii="Garamond" w:eastAsia="Garamond" w:hAnsi="Garamond" w:cs="Garamond"/>
          <w:sz w:val="22"/>
          <w:szCs w:val="22"/>
        </w:rPr>
        <w:t>Kausalitas</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Pertumbuhan</w:t>
      </w:r>
      <w:proofErr w:type="spellEnd"/>
      <w:r w:rsidRPr="00EF744C">
        <w:rPr>
          <w:rFonts w:ascii="Garamond" w:eastAsia="Garamond" w:hAnsi="Garamond" w:cs="Garamond"/>
          <w:sz w:val="22"/>
          <w:szCs w:val="22"/>
        </w:rPr>
        <w:t xml:space="preserve"> Ekonomi Daerah, </w:t>
      </w:r>
      <w:proofErr w:type="spellStart"/>
      <w:r w:rsidRPr="00EF744C">
        <w:rPr>
          <w:rFonts w:ascii="Garamond" w:eastAsia="Garamond" w:hAnsi="Garamond" w:cs="Garamond"/>
          <w:sz w:val="22"/>
          <w:szCs w:val="22"/>
        </w:rPr>
        <w:t>Suku</w:t>
      </w:r>
      <w:proofErr w:type="spellEnd"/>
      <w:r w:rsidRPr="00EF744C">
        <w:rPr>
          <w:rFonts w:ascii="Garamond" w:eastAsia="Garamond" w:hAnsi="Garamond" w:cs="Garamond"/>
          <w:sz w:val="22"/>
          <w:szCs w:val="22"/>
        </w:rPr>
        <w:t xml:space="preserve"> Bunga, dan </w:t>
      </w:r>
      <w:proofErr w:type="spellStart"/>
      <w:r w:rsidRPr="00EF744C">
        <w:rPr>
          <w:rFonts w:ascii="Garamond" w:eastAsia="Garamond" w:hAnsi="Garamond" w:cs="Garamond"/>
          <w:sz w:val="22"/>
          <w:szCs w:val="22"/>
        </w:rPr>
        <w:t>Permintaan-Penawaran</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Kredit</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Pemodelan</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Simultan</w:t>
      </w:r>
      <w:proofErr w:type="spellEnd"/>
      <w:r w:rsidRPr="00EF744C">
        <w:rPr>
          <w:rFonts w:ascii="Garamond" w:eastAsia="Garamond" w:hAnsi="Garamond" w:cs="Garamond"/>
          <w:sz w:val="22"/>
          <w:szCs w:val="22"/>
        </w:rPr>
        <w:t xml:space="preserve">). </w:t>
      </w:r>
      <w:r w:rsidRPr="00EF744C">
        <w:rPr>
          <w:rFonts w:ascii="Garamond" w:eastAsia="Garamond" w:hAnsi="Garamond" w:cs="Garamond"/>
          <w:i/>
          <w:iCs/>
          <w:sz w:val="22"/>
          <w:szCs w:val="22"/>
        </w:rPr>
        <w:t>Journal of Samudra Economy and Business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 xml:space="preserve">vol. </w:t>
      </w:r>
      <w:r w:rsidRPr="00EF744C">
        <w:rPr>
          <w:rFonts w:ascii="Garamond" w:eastAsia="Garamond" w:hAnsi="Garamond" w:cs="Garamond"/>
          <w:sz w:val="22"/>
          <w:szCs w:val="22"/>
        </w:rPr>
        <w:t>13(1), 61-75.</w:t>
      </w:r>
      <w:r w:rsidR="00D41A67" w:rsidRPr="00EF744C">
        <w:rPr>
          <w:rFonts w:ascii="Garamond" w:eastAsia="Garamond" w:hAnsi="Garamond" w:cs="Garamond"/>
          <w:sz w:val="22"/>
          <w:szCs w:val="22"/>
          <w:lang w:val="id-ID"/>
        </w:rPr>
        <w:t xml:space="preserve"> </w:t>
      </w:r>
      <w:hyperlink r:id="rId34" w:history="1">
        <w:r w:rsidR="00D41A67" w:rsidRPr="00EF744C">
          <w:rPr>
            <w:rStyle w:val="Hyperlink"/>
            <w:rFonts w:ascii="Garamond" w:eastAsia="Garamond" w:hAnsi="Garamond" w:cs="Garamond"/>
            <w:sz w:val="22"/>
            <w:szCs w:val="22"/>
          </w:rPr>
          <w:t>https://doi.org/10.33059/jseb.v13i1.3962</w:t>
        </w:r>
      </w:hyperlink>
      <w:r w:rsidR="00D41A67" w:rsidRPr="00EF744C">
        <w:rPr>
          <w:rStyle w:val="Hyperlink"/>
          <w:rFonts w:ascii="Garamond" w:eastAsia="Garamond" w:hAnsi="Garamond" w:cs="Garamond"/>
          <w:color w:val="auto"/>
          <w:sz w:val="22"/>
          <w:szCs w:val="22"/>
          <w:u w:val="none"/>
          <w:lang w:val="id-ID"/>
        </w:rPr>
        <w:t xml:space="preserve"> </w:t>
      </w:r>
      <w:r w:rsidR="00150FE3" w:rsidRPr="00EF744C">
        <w:rPr>
          <w:rFonts w:ascii="Garamond" w:eastAsia="Garamond" w:hAnsi="Garamond" w:cs="Garamond"/>
          <w:sz w:val="22"/>
          <w:szCs w:val="22"/>
          <w:lang w:val="id-ID"/>
        </w:rPr>
        <w:t xml:space="preserve"> </w:t>
      </w:r>
    </w:p>
    <w:p w14:paraId="3C2DCE7A" w14:textId="6D8C719A"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Suryani</w:t>
      </w:r>
      <w:proofErr w:type="spellEnd"/>
      <w:r w:rsidRPr="00EF744C">
        <w:rPr>
          <w:rFonts w:ascii="Garamond" w:eastAsia="Garamond" w:hAnsi="Garamond" w:cs="Garamond"/>
          <w:sz w:val="22"/>
          <w:szCs w:val="22"/>
        </w:rPr>
        <w:t xml:space="preserve">, K.G., </w:t>
      </w:r>
      <w:proofErr w:type="spellStart"/>
      <w:r w:rsidRPr="00EF744C">
        <w:rPr>
          <w:rFonts w:ascii="Garamond" w:eastAsia="Garamond" w:hAnsi="Garamond" w:cs="Garamond"/>
          <w:sz w:val="22"/>
          <w:szCs w:val="22"/>
        </w:rPr>
        <w:t>Woyanti</w:t>
      </w:r>
      <w:proofErr w:type="spellEnd"/>
      <w:r w:rsidRPr="00EF744C">
        <w:rPr>
          <w:rFonts w:ascii="Garamond" w:eastAsia="Garamond" w:hAnsi="Garamond" w:cs="Garamond"/>
          <w:sz w:val="22"/>
          <w:szCs w:val="22"/>
        </w:rPr>
        <w:t>, N. (2021). The effect of economic growth, HDI, district/city minimum wage, and unemployment on</w:t>
      </w:r>
      <w:r w:rsidR="000301E9" w:rsidRPr="00EF744C">
        <w:rPr>
          <w:rFonts w:ascii="Garamond" w:eastAsia="Garamond" w:hAnsi="Garamond" w:cs="Garamond"/>
          <w:sz w:val="22"/>
          <w:szCs w:val="22"/>
          <w:lang w:val="id-ID"/>
        </w:rPr>
        <w:t xml:space="preserve"> the</w:t>
      </w:r>
      <w:r w:rsidRPr="00EF744C">
        <w:rPr>
          <w:rFonts w:ascii="Garamond" w:eastAsia="Garamond" w:hAnsi="Garamond" w:cs="Garamond"/>
          <w:sz w:val="22"/>
          <w:szCs w:val="22"/>
        </w:rPr>
        <w:t xml:space="preserve"> inequity of income distribution in </w:t>
      </w:r>
      <w:r w:rsidR="000301E9" w:rsidRPr="00EF744C">
        <w:rPr>
          <w:rFonts w:ascii="Garamond" w:eastAsia="Garamond" w:hAnsi="Garamond" w:cs="Garamond"/>
          <w:sz w:val="22"/>
          <w:szCs w:val="22"/>
          <w:lang w:val="id-ID"/>
        </w:rPr>
        <w:t xml:space="preserve">the </w:t>
      </w:r>
      <w:r w:rsidRPr="00EF744C">
        <w:rPr>
          <w:rFonts w:ascii="Garamond" w:eastAsia="Garamond" w:hAnsi="Garamond" w:cs="Garamond"/>
          <w:sz w:val="22"/>
          <w:szCs w:val="22"/>
        </w:rPr>
        <w:t xml:space="preserve">Province of D.I Yogyakarta (2010-2018). </w:t>
      </w:r>
      <w:r w:rsidRPr="00EF744C">
        <w:rPr>
          <w:rFonts w:ascii="Garamond" w:eastAsia="Garamond" w:hAnsi="Garamond" w:cs="Garamond"/>
          <w:i/>
          <w:iCs/>
          <w:sz w:val="22"/>
          <w:szCs w:val="22"/>
        </w:rPr>
        <w:t xml:space="preserve">Media Ekonomi dan </w:t>
      </w:r>
      <w:proofErr w:type="spellStart"/>
      <w:r w:rsidRPr="00EF744C">
        <w:rPr>
          <w:rFonts w:ascii="Garamond" w:eastAsia="Garamond" w:hAnsi="Garamond" w:cs="Garamond"/>
          <w:i/>
          <w:iCs/>
          <w:sz w:val="22"/>
          <w:szCs w:val="22"/>
        </w:rPr>
        <w:t>Manajemen</w:t>
      </w:r>
      <w:proofErr w:type="spellEnd"/>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36</w:t>
      </w:r>
      <w:r w:rsidR="00D07148" w:rsidRPr="00EF744C">
        <w:rPr>
          <w:rFonts w:ascii="Garamond" w:eastAsia="Garamond" w:hAnsi="Garamond" w:cs="Garamond"/>
          <w:sz w:val="22"/>
          <w:szCs w:val="22"/>
          <w:lang w:val="id-ID"/>
        </w:rPr>
        <w:t>(2)</w:t>
      </w:r>
      <w:r w:rsidRPr="00EF744C">
        <w:rPr>
          <w:rFonts w:ascii="Garamond" w:eastAsia="Garamond" w:hAnsi="Garamond" w:cs="Garamond"/>
          <w:sz w:val="22"/>
          <w:szCs w:val="22"/>
        </w:rPr>
        <w:t xml:space="preserve">, 170-180. </w:t>
      </w:r>
      <w:hyperlink r:id="rId35" w:history="1">
        <w:r w:rsidR="00D41A67" w:rsidRPr="00EF744C">
          <w:rPr>
            <w:rStyle w:val="Hyperlink"/>
            <w:rFonts w:ascii="Garamond" w:eastAsia="Garamond" w:hAnsi="Garamond" w:cs="Garamond"/>
            <w:sz w:val="22"/>
            <w:szCs w:val="22"/>
          </w:rPr>
          <w:t>https://dx.doi.org/10.24856/mem.v36i2.1990</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12E9297D" w14:textId="09748EF1" w:rsidR="00A124DC" w:rsidRPr="00EF744C" w:rsidRDefault="00A124DC"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Tjahjadi</w:t>
      </w:r>
      <w:proofErr w:type="spellEnd"/>
      <w:r w:rsidRPr="00EF744C">
        <w:rPr>
          <w:rFonts w:ascii="Garamond" w:eastAsia="Garamond" w:hAnsi="Garamond" w:cs="Garamond"/>
          <w:sz w:val="22"/>
          <w:szCs w:val="22"/>
        </w:rPr>
        <w:t xml:space="preserve">, Michael, A., </w:t>
      </w:r>
      <w:proofErr w:type="spellStart"/>
      <w:r w:rsidRPr="00EF744C">
        <w:rPr>
          <w:rFonts w:ascii="Garamond" w:eastAsia="Garamond" w:hAnsi="Garamond" w:cs="Garamond"/>
          <w:sz w:val="22"/>
          <w:szCs w:val="22"/>
        </w:rPr>
        <w:t>Widhyharto</w:t>
      </w:r>
      <w:proofErr w:type="spellEnd"/>
      <w:r w:rsidRPr="00EF744C">
        <w:rPr>
          <w:rFonts w:ascii="Garamond" w:eastAsia="Garamond" w:hAnsi="Garamond" w:cs="Garamond"/>
          <w:sz w:val="22"/>
          <w:szCs w:val="22"/>
        </w:rPr>
        <w:t xml:space="preserve">, D.S. (2017). Youth within transition: recent developments in education and employment in Yogyakarta. Journal of </w:t>
      </w:r>
      <w:proofErr w:type="spellStart"/>
      <w:r w:rsidRPr="00EF744C">
        <w:rPr>
          <w:rFonts w:ascii="Garamond" w:eastAsia="Garamond" w:hAnsi="Garamond" w:cs="Garamond"/>
          <w:sz w:val="22"/>
          <w:szCs w:val="22"/>
        </w:rPr>
        <w:t>Studi</w:t>
      </w:r>
      <w:proofErr w:type="spellEnd"/>
      <w:r w:rsidRPr="00EF744C">
        <w:rPr>
          <w:rFonts w:ascii="Garamond" w:eastAsia="Garamond" w:hAnsi="Garamond" w:cs="Garamond"/>
          <w:sz w:val="22"/>
          <w:szCs w:val="22"/>
        </w:rPr>
        <w:t xml:space="preserve"> </w:t>
      </w:r>
      <w:proofErr w:type="gramStart"/>
      <w:r w:rsidRPr="00EF744C">
        <w:rPr>
          <w:rFonts w:ascii="Garamond" w:eastAsia="Garamond" w:hAnsi="Garamond" w:cs="Garamond"/>
          <w:sz w:val="22"/>
          <w:szCs w:val="22"/>
        </w:rPr>
        <w:t>Pemuda ,</w:t>
      </w:r>
      <w:proofErr w:type="gramEnd"/>
      <w:r w:rsidRPr="00EF744C">
        <w:rPr>
          <w:rFonts w:ascii="Garamond" w:eastAsia="Garamond" w:hAnsi="Garamond" w:cs="Garamond"/>
          <w:sz w:val="22"/>
          <w:szCs w:val="22"/>
        </w:rPr>
        <w:t xml:space="preserve"> 6(1), 548-559.</w:t>
      </w:r>
    </w:p>
    <w:p w14:paraId="4456FF21" w14:textId="3B504EBB"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Todaro, MP, &amp; Smith, SC (2012). Economic development 11-</w:t>
      </w:r>
      <w:r w:rsidR="00D476AE" w:rsidRPr="00EF744C">
        <w:rPr>
          <w:rFonts w:ascii="Garamond" w:eastAsia="Garamond" w:hAnsi="Garamond" w:cs="Garamond"/>
          <w:sz w:val="22"/>
          <w:szCs w:val="22"/>
        </w:rPr>
        <w:t>the</w:t>
      </w:r>
      <w:r w:rsidRPr="00EF744C">
        <w:rPr>
          <w:rFonts w:ascii="Garamond" w:eastAsia="Garamond" w:hAnsi="Garamond" w:cs="Garamond"/>
          <w:sz w:val="22"/>
          <w:szCs w:val="22"/>
        </w:rPr>
        <w:t xml:space="preserve"> Edition. Boston: Pearson.</w:t>
      </w:r>
    </w:p>
    <w:p w14:paraId="5886628A" w14:textId="6C0291A3"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lastRenderedPageBreak/>
        <w:t>Turnovsky</w:t>
      </w:r>
      <w:proofErr w:type="spellEnd"/>
      <w:r w:rsidRPr="00EF744C">
        <w:rPr>
          <w:rFonts w:ascii="Garamond" w:eastAsia="Garamond" w:hAnsi="Garamond" w:cs="Garamond"/>
          <w:sz w:val="22"/>
          <w:szCs w:val="22"/>
        </w:rPr>
        <w:t xml:space="preserve">, S.J., </w:t>
      </w:r>
      <w:proofErr w:type="spellStart"/>
      <w:r w:rsidRPr="00EF744C">
        <w:rPr>
          <w:rFonts w:ascii="Garamond" w:eastAsia="Garamond" w:hAnsi="Garamond" w:cs="Garamond"/>
          <w:sz w:val="22"/>
          <w:szCs w:val="22"/>
        </w:rPr>
        <w:t>Erauskin</w:t>
      </w:r>
      <w:proofErr w:type="spellEnd"/>
      <w:r w:rsidRPr="00EF744C">
        <w:rPr>
          <w:rFonts w:ascii="Garamond" w:eastAsia="Garamond" w:hAnsi="Garamond" w:cs="Garamond"/>
          <w:sz w:val="22"/>
          <w:szCs w:val="22"/>
        </w:rPr>
        <w:t xml:space="preserve">, I. (2022). Productive government expenditure and its impact on income inequality: evidence from international panel data. </w:t>
      </w:r>
      <w:r w:rsidRPr="00EF744C">
        <w:rPr>
          <w:rFonts w:ascii="Garamond" w:eastAsia="Garamond" w:hAnsi="Garamond" w:cs="Garamond"/>
          <w:i/>
          <w:iCs/>
          <w:sz w:val="22"/>
          <w:szCs w:val="22"/>
        </w:rPr>
        <w:t>Rev World Econ</w:t>
      </w:r>
      <w:r w:rsidR="00BF238D" w:rsidRPr="00EF744C">
        <w:rPr>
          <w:rFonts w:ascii="Garamond" w:eastAsia="Garamond" w:hAnsi="Garamond" w:cs="Garamond"/>
          <w:sz w:val="22"/>
          <w:szCs w:val="22"/>
          <w:lang w:val="id-ID"/>
        </w:rPr>
        <w:t xml:space="preserve">, vol. </w:t>
      </w:r>
      <w:r w:rsidRPr="00EF744C">
        <w:rPr>
          <w:rFonts w:ascii="Garamond" w:eastAsia="Garamond" w:hAnsi="Garamond" w:cs="Garamond"/>
          <w:sz w:val="22"/>
          <w:szCs w:val="22"/>
        </w:rPr>
        <w:t xml:space="preserve">158, 331–364. </w:t>
      </w:r>
      <w:hyperlink r:id="rId36" w:history="1">
        <w:r w:rsidR="00D41A67" w:rsidRPr="00EF744C">
          <w:rPr>
            <w:rStyle w:val="Hyperlink"/>
            <w:rFonts w:ascii="Garamond" w:eastAsia="Garamond" w:hAnsi="Garamond" w:cs="Garamond"/>
            <w:sz w:val="22"/>
            <w:szCs w:val="22"/>
          </w:rPr>
          <w:t>https://doi.org/10.1007/s10290-021-00433-2</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46443F42" w14:textId="2E3C1B3C" w:rsidR="00D20817" w:rsidRPr="00EF744C" w:rsidRDefault="00D20817">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rPr>
        <w:t xml:space="preserve">Wan, G., Lu, M., Chen, </w:t>
      </w:r>
      <w:proofErr w:type="spellStart"/>
      <w:r w:rsidRPr="00EF744C">
        <w:rPr>
          <w:rFonts w:ascii="Garamond" w:eastAsia="Garamond" w:hAnsi="Garamond" w:cs="Garamond"/>
          <w:sz w:val="22"/>
          <w:szCs w:val="22"/>
        </w:rPr>
        <w:t>Zao</w:t>
      </w:r>
      <w:proofErr w:type="spellEnd"/>
      <w:r w:rsidRPr="00EF744C">
        <w:rPr>
          <w:rFonts w:ascii="Garamond" w:eastAsia="Garamond" w:hAnsi="Garamond" w:cs="Garamond"/>
          <w:sz w:val="22"/>
          <w:szCs w:val="22"/>
        </w:rPr>
        <w:t xml:space="preserve">. (2006). The inequality–growth nexus in the short and long run: Empirical evidence from China. </w:t>
      </w:r>
      <w:r w:rsidRPr="00EF744C">
        <w:rPr>
          <w:rFonts w:ascii="Garamond" w:eastAsia="Garamond" w:hAnsi="Garamond" w:cs="Garamond"/>
          <w:i/>
          <w:iCs/>
          <w:sz w:val="22"/>
          <w:szCs w:val="22"/>
        </w:rPr>
        <w:t>Journal of Comparative Economics</w:t>
      </w:r>
      <w:r w:rsidRPr="00EF744C">
        <w:rPr>
          <w:rFonts w:ascii="Garamond" w:eastAsia="Garamond" w:hAnsi="Garamond" w:cs="Garamond"/>
          <w:sz w:val="22"/>
          <w:szCs w:val="22"/>
        </w:rPr>
        <w:t xml:space="preserve">, </w:t>
      </w:r>
      <w:r w:rsidR="00BF238D"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34</w:t>
      </w:r>
      <w:r w:rsidR="00BF238D" w:rsidRPr="00EF744C">
        <w:rPr>
          <w:rFonts w:ascii="Garamond" w:eastAsia="Garamond" w:hAnsi="Garamond" w:cs="Garamond"/>
          <w:sz w:val="22"/>
          <w:szCs w:val="22"/>
          <w:lang w:val="id-ID"/>
        </w:rPr>
        <w:t>(4)</w:t>
      </w:r>
      <w:r w:rsidRPr="00EF744C">
        <w:rPr>
          <w:rFonts w:ascii="Garamond" w:eastAsia="Garamond" w:hAnsi="Garamond" w:cs="Garamond"/>
          <w:sz w:val="22"/>
          <w:szCs w:val="22"/>
        </w:rPr>
        <w:t>, 654-667.</w:t>
      </w:r>
      <w:r w:rsidR="00150FE3"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r w:rsidR="00D41A67" w:rsidRPr="00EF744C">
        <w:rPr>
          <w:rFonts w:ascii="Garamond" w:eastAsia="Garamond" w:hAnsi="Garamond" w:cs="Garamond"/>
          <w:sz w:val="22"/>
          <w:szCs w:val="22"/>
          <w:lang w:val="id-ID"/>
        </w:rPr>
        <w:t xml:space="preserve"> </w:t>
      </w:r>
      <w:hyperlink r:id="rId37" w:history="1">
        <w:r w:rsidR="00D41A67" w:rsidRPr="00EF744C">
          <w:rPr>
            <w:rStyle w:val="Hyperlink"/>
            <w:rFonts w:ascii="Garamond" w:eastAsia="Garamond" w:hAnsi="Garamond" w:cs="Garamond"/>
            <w:sz w:val="22"/>
            <w:szCs w:val="22"/>
          </w:rPr>
          <w:t>https://doi.org/10.1016/j.jce.2006.08.004</w:t>
        </w:r>
      </w:hyperlink>
      <w:r w:rsidR="00D41A67" w:rsidRPr="00EF744C">
        <w:rPr>
          <w:rStyle w:val="Hyperlink"/>
          <w:rFonts w:ascii="Garamond" w:eastAsia="Garamond" w:hAnsi="Garamond" w:cs="Garamond"/>
          <w:color w:val="auto"/>
          <w:sz w:val="22"/>
          <w:szCs w:val="22"/>
          <w:u w:val="none"/>
          <w:lang w:val="id-ID"/>
        </w:rPr>
        <w:t xml:space="preserve"> </w:t>
      </w:r>
      <w:r w:rsidR="00150FE3" w:rsidRPr="00EF744C">
        <w:rPr>
          <w:rFonts w:ascii="Garamond" w:eastAsia="Garamond" w:hAnsi="Garamond" w:cs="Garamond"/>
          <w:sz w:val="22"/>
          <w:szCs w:val="22"/>
          <w:lang w:val="id-ID"/>
        </w:rPr>
        <w:t xml:space="preserve"> </w:t>
      </w:r>
    </w:p>
    <w:p w14:paraId="62221D42" w14:textId="5D6BCAE2" w:rsidR="00D20817" w:rsidRPr="00EF744C" w:rsidRDefault="00D20817">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rPr>
        <w:t>Wan, G. (Ed.). (2008). Inequality and growth in modern China. Oxford University Press on Demand.</w:t>
      </w:r>
      <w:r w:rsidRPr="00EF744C">
        <w:rPr>
          <w:rFonts w:ascii="Garamond" w:eastAsia="Garamond" w:hAnsi="Garamond" w:cs="Garamond"/>
          <w:sz w:val="22"/>
          <w:szCs w:val="22"/>
          <w:lang w:val="id-ID"/>
        </w:rPr>
        <w:t xml:space="preserve"> </w:t>
      </w:r>
      <w:hyperlink r:id="rId38" w:history="1">
        <w:r w:rsidR="00D41A67" w:rsidRPr="00EF744C">
          <w:rPr>
            <w:rStyle w:val="Hyperlink"/>
            <w:rFonts w:ascii="Garamond" w:eastAsia="Garamond" w:hAnsi="Garamond" w:cs="Garamond"/>
            <w:sz w:val="22"/>
            <w:szCs w:val="22"/>
            <w:lang w:val="id-ID"/>
          </w:rPr>
          <w:t>http://dx.doi.org/10.1093/acprof:oso/9780199535194.001.0001</w:t>
        </w:r>
      </w:hyperlink>
      <w:r w:rsidR="00D41A67" w:rsidRPr="00EF744C">
        <w:rPr>
          <w:rStyle w:val="Hyperlink"/>
          <w:rFonts w:ascii="Garamond" w:eastAsia="Garamond" w:hAnsi="Garamond" w:cs="Garamond"/>
          <w:color w:val="auto"/>
          <w:sz w:val="22"/>
          <w:szCs w:val="22"/>
          <w:u w:val="none"/>
          <w:lang w:val="id-ID"/>
        </w:rPr>
        <w:t xml:space="preserve"> </w:t>
      </w:r>
      <w:r w:rsidR="00150FE3" w:rsidRPr="00EF744C">
        <w:rPr>
          <w:rFonts w:ascii="Garamond" w:eastAsia="Garamond" w:hAnsi="Garamond" w:cs="Garamond"/>
          <w:sz w:val="22"/>
          <w:szCs w:val="22"/>
          <w:lang w:val="id-ID"/>
        </w:rPr>
        <w:t xml:space="preserve"> </w:t>
      </w:r>
    </w:p>
    <w:p w14:paraId="57BB6460" w14:textId="7B56CD0D" w:rsidR="00895386" w:rsidRPr="00EF744C" w:rsidRDefault="0089538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rPr>
        <w:t xml:space="preserve">Wan, G., Wang, C., Zhang, X. (2021). The poverty-growth-inequality triangle: Asia 1960s to 2010s. </w:t>
      </w:r>
      <w:r w:rsidRPr="00EF744C">
        <w:rPr>
          <w:rFonts w:ascii="Garamond" w:eastAsia="Garamond" w:hAnsi="Garamond" w:cs="Garamond"/>
          <w:i/>
          <w:iCs/>
          <w:sz w:val="22"/>
          <w:szCs w:val="22"/>
        </w:rPr>
        <w:t>Social Indicators Research: An International and Interdisciplinary Journal for Quality-of-Life Measurement</w:t>
      </w:r>
      <w:r w:rsidRPr="00EF744C">
        <w:rPr>
          <w:rFonts w:ascii="Garamond" w:eastAsia="Garamond" w:hAnsi="Garamond" w:cs="Garamond"/>
          <w:sz w:val="22"/>
          <w:szCs w:val="22"/>
        </w:rPr>
        <w:t xml:space="preserve">, Springer, </w:t>
      </w:r>
      <w:r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153</w:t>
      </w:r>
      <w:r w:rsidRPr="00EF744C">
        <w:rPr>
          <w:rFonts w:ascii="Garamond" w:eastAsia="Garamond" w:hAnsi="Garamond" w:cs="Garamond"/>
          <w:sz w:val="22"/>
          <w:szCs w:val="22"/>
          <w:lang w:val="id-ID"/>
        </w:rPr>
        <w:t>(</w:t>
      </w:r>
      <w:r w:rsidRPr="00EF744C">
        <w:rPr>
          <w:rFonts w:ascii="Garamond" w:eastAsia="Garamond" w:hAnsi="Garamond" w:cs="Garamond"/>
          <w:sz w:val="22"/>
          <w:szCs w:val="22"/>
        </w:rPr>
        <w:t>3</w:t>
      </w:r>
      <w:r w:rsidRPr="00EF744C">
        <w:rPr>
          <w:rFonts w:ascii="Garamond" w:eastAsia="Garamond" w:hAnsi="Garamond" w:cs="Garamond"/>
          <w:sz w:val="22"/>
          <w:szCs w:val="22"/>
          <w:lang w:val="id-ID"/>
        </w:rPr>
        <w:t>)</w:t>
      </w:r>
      <w:r w:rsidRPr="00EF744C">
        <w:rPr>
          <w:rFonts w:ascii="Garamond" w:eastAsia="Garamond" w:hAnsi="Garamond" w:cs="Garamond"/>
          <w:sz w:val="22"/>
          <w:szCs w:val="22"/>
        </w:rPr>
        <w:t>, 795-822.</w:t>
      </w:r>
      <w:r w:rsidR="00D41A67" w:rsidRPr="00EF744C">
        <w:rPr>
          <w:rFonts w:ascii="Garamond" w:eastAsia="Garamond" w:hAnsi="Garamond" w:cs="Garamond"/>
          <w:sz w:val="22"/>
          <w:szCs w:val="22"/>
          <w:lang w:val="id-ID"/>
        </w:rPr>
        <w:t xml:space="preserve"> </w:t>
      </w:r>
      <w:hyperlink r:id="rId39" w:history="1">
        <w:r w:rsidR="00D41A67" w:rsidRPr="00EF744C">
          <w:rPr>
            <w:rStyle w:val="Hyperlink"/>
            <w:rFonts w:ascii="Garamond" w:eastAsia="Garamond" w:hAnsi="Garamond" w:cs="Garamond"/>
            <w:sz w:val="22"/>
            <w:szCs w:val="22"/>
          </w:rPr>
          <w:t>https://dx.doi.org/10.1007/s11205-020-02521-6</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70C16BE7" w14:textId="06EF868F" w:rsidR="00F53036" w:rsidRPr="00EF744C" w:rsidRDefault="00F5303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Wau, T. (2022). Economic Growth, Human Capital, Public Investment, and Poverty in Underdeveloped Regions in Indonesia. </w:t>
      </w:r>
      <w:r w:rsidRPr="00EF744C">
        <w:rPr>
          <w:rFonts w:ascii="Garamond" w:eastAsia="Garamond" w:hAnsi="Garamond" w:cs="Garamond"/>
          <w:i/>
          <w:iCs/>
          <w:sz w:val="22"/>
          <w:szCs w:val="22"/>
          <w:lang w:val="id-ID"/>
        </w:rPr>
        <w:t>Jurnal Ekonomi &amp; Studi Pembangunan</w:t>
      </w:r>
      <w:r w:rsidRPr="00EF744C">
        <w:rPr>
          <w:rFonts w:ascii="Garamond" w:eastAsia="Garamond" w:hAnsi="Garamond" w:cs="Garamond"/>
          <w:sz w:val="22"/>
          <w:szCs w:val="22"/>
          <w:lang w:val="id-ID"/>
        </w:rPr>
        <w:t xml:space="preserve">, 23(2), 189-200. </w:t>
      </w:r>
      <w:hyperlink r:id="rId40" w:history="1">
        <w:r w:rsidR="00D41A67" w:rsidRPr="00EF744C">
          <w:rPr>
            <w:rStyle w:val="Hyperlink"/>
            <w:rFonts w:eastAsia="Garamond"/>
          </w:rPr>
          <w:t>https://doi.org/10.18196/jesp.v23i2.15307</w:t>
        </w:r>
      </w:hyperlink>
      <w:r w:rsidR="00D41A67"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p>
    <w:p w14:paraId="76256597" w14:textId="39A55320" w:rsidR="0077473B" w:rsidRPr="00EF744C" w:rsidRDefault="0077473B">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Wiksadana, W., &amp; Sihaloho, E.D. (2021). Does Government Spending in Health, Education, and Military Improve Welfare in Asian Developing Countries?. </w:t>
      </w:r>
      <w:r w:rsidRPr="00EF744C">
        <w:rPr>
          <w:rFonts w:ascii="Garamond" w:eastAsia="Garamond" w:hAnsi="Garamond" w:cs="Garamond"/>
          <w:i/>
          <w:iCs/>
          <w:sz w:val="22"/>
          <w:szCs w:val="22"/>
          <w:lang w:val="id-ID"/>
        </w:rPr>
        <w:t>Jurnal Ekonomi &amp; Studi Pembangunan</w:t>
      </w:r>
      <w:r w:rsidRPr="00EF744C">
        <w:rPr>
          <w:rFonts w:ascii="Garamond" w:eastAsia="Garamond" w:hAnsi="Garamond" w:cs="Garamond"/>
          <w:sz w:val="22"/>
          <w:szCs w:val="22"/>
          <w:lang w:val="id-ID"/>
        </w:rPr>
        <w:t xml:space="preserve">, 22(1), 59-74. </w:t>
      </w:r>
      <w:hyperlink r:id="rId41" w:history="1">
        <w:r w:rsidR="00D41A67" w:rsidRPr="00EF744C">
          <w:rPr>
            <w:rStyle w:val="Hyperlink"/>
            <w:rFonts w:eastAsia="Garamond"/>
          </w:rPr>
          <w:t>https://doi.org/10.18196/jesp.v22i1.9337</w:t>
        </w:r>
      </w:hyperlink>
      <w:r w:rsidR="00D41A67" w:rsidRPr="00EF744C">
        <w:rPr>
          <w:rFonts w:ascii="Garamond" w:eastAsia="Garamond" w:hAnsi="Garamond" w:cs="Garamond"/>
          <w:sz w:val="22"/>
          <w:szCs w:val="22"/>
          <w:lang w:val="id-ID"/>
        </w:rPr>
        <w:t xml:space="preserve"> </w:t>
      </w:r>
    </w:p>
    <w:p w14:paraId="35AACC7B" w14:textId="3EE4DC76" w:rsidR="00D07148" w:rsidRPr="00EF744C" w:rsidRDefault="00D07148" w:rsidP="0094539D">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Wintara, H., Masbar, R., Suriani, S. (2021). Determinants of </w:t>
      </w:r>
      <w:r w:rsidR="00D476AE" w:rsidRPr="00EF744C">
        <w:rPr>
          <w:rFonts w:ascii="Garamond" w:eastAsia="Garamond" w:hAnsi="Garamond" w:cs="Garamond"/>
          <w:sz w:val="22"/>
          <w:szCs w:val="22"/>
        </w:rPr>
        <w:t>Socio-Economic</w:t>
      </w:r>
      <w:r w:rsidRPr="00EF744C">
        <w:rPr>
          <w:rFonts w:ascii="Garamond" w:eastAsia="Garamond" w:hAnsi="Garamond" w:cs="Garamond"/>
          <w:sz w:val="22"/>
          <w:szCs w:val="22"/>
          <w:lang w:val="id-ID"/>
        </w:rPr>
        <w:t xml:space="preserve"> and Demographic Characteristics of Poverty in Aceh Province. </w:t>
      </w:r>
      <w:r w:rsidRPr="00EF744C">
        <w:rPr>
          <w:rFonts w:ascii="Garamond" w:eastAsia="Garamond" w:hAnsi="Garamond" w:cs="Garamond"/>
          <w:i/>
          <w:iCs/>
          <w:sz w:val="22"/>
          <w:szCs w:val="22"/>
          <w:lang w:val="id-ID"/>
        </w:rPr>
        <w:t>International Journal Of Business, Economics, and Social Development</w:t>
      </w:r>
      <w:r w:rsidRPr="00EF744C">
        <w:rPr>
          <w:rFonts w:ascii="Garamond" w:eastAsia="Garamond" w:hAnsi="Garamond" w:cs="Garamond"/>
          <w:sz w:val="22"/>
          <w:szCs w:val="22"/>
          <w:lang w:val="id-ID"/>
        </w:rPr>
        <w:t xml:space="preserve">, vol. 2(2), 50-56. </w:t>
      </w:r>
      <w:r w:rsidR="00D41A67" w:rsidRPr="00EF744C">
        <w:rPr>
          <w:rFonts w:ascii="Garamond" w:eastAsia="Garamond" w:hAnsi="Garamond" w:cs="Garamond"/>
          <w:sz w:val="22"/>
          <w:szCs w:val="22"/>
          <w:lang w:val="id-ID"/>
        </w:rPr>
        <w:t xml:space="preserve"> </w:t>
      </w:r>
      <w:hyperlink r:id="rId42" w:history="1">
        <w:r w:rsidR="00D41A67" w:rsidRPr="00EF744C">
          <w:rPr>
            <w:rStyle w:val="Hyperlink"/>
            <w:rFonts w:ascii="Garamond" w:eastAsia="Garamond" w:hAnsi="Garamond" w:cs="Garamond"/>
            <w:sz w:val="22"/>
            <w:szCs w:val="22"/>
            <w:lang w:val="id-ID"/>
          </w:rPr>
          <w:t>https://doi.org/10.46336/ijbesd.v2i2.134</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4682155C" w14:textId="046E2362" w:rsidR="002B05E3" w:rsidRPr="00EF744C" w:rsidRDefault="002B05E3">
      <w:pPr>
        <w:ind w:left="873" w:right="402" w:hanging="568"/>
        <w:jc w:val="both"/>
        <w:rPr>
          <w:rFonts w:ascii="Garamond" w:eastAsia="Garamond" w:hAnsi="Garamond" w:cs="Garamond"/>
          <w:sz w:val="22"/>
          <w:szCs w:val="22"/>
          <w:lang w:val="id-ID"/>
        </w:rPr>
      </w:pPr>
      <w:proofErr w:type="spellStart"/>
      <w:r w:rsidRPr="00EF744C">
        <w:rPr>
          <w:rFonts w:ascii="Garamond" w:eastAsia="Garamond" w:hAnsi="Garamond" w:cs="Garamond"/>
          <w:sz w:val="22"/>
          <w:szCs w:val="22"/>
        </w:rPr>
        <w:t>Yuliadi</w:t>
      </w:r>
      <w:proofErr w:type="spellEnd"/>
      <w:r w:rsidRPr="00EF744C">
        <w:rPr>
          <w:rFonts w:ascii="Garamond" w:eastAsia="Garamond" w:hAnsi="Garamond" w:cs="Garamond"/>
          <w:sz w:val="22"/>
          <w:szCs w:val="22"/>
        </w:rPr>
        <w:t xml:space="preserve">, I. (2020). Determinants of Regional Economic Growth in Indonesia.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rPr>
        <w:t xml:space="preserve"> Ekonomi &amp; </w:t>
      </w:r>
      <w:proofErr w:type="spellStart"/>
      <w:r w:rsidRPr="00EF744C">
        <w:rPr>
          <w:rFonts w:ascii="Garamond" w:eastAsia="Garamond" w:hAnsi="Garamond" w:cs="Garamond"/>
          <w:i/>
          <w:iCs/>
          <w:sz w:val="22"/>
          <w:szCs w:val="22"/>
        </w:rPr>
        <w:t>Studi</w:t>
      </w:r>
      <w:proofErr w:type="spellEnd"/>
      <w:r w:rsidRPr="00EF744C">
        <w:rPr>
          <w:rFonts w:ascii="Garamond" w:eastAsia="Garamond" w:hAnsi="Garamond" w:cs="Garamond"/>
          <w:i/>
          <w:iCs/>
          <w:sz w:val="22"/>
          <w:szCs w:val="22"/>
        </w:rPr>
        <w:t xml:space="preserve"> Pembangunan</w:t>
      </w:r>
      <w:r w:rsidRPr="00EF744C">
        <w:rPr>
          <w:rFonts w:ascii="Garamond" w:eastAsia="Garamond" w:hAnsi="Garamond" w:cs="Garamond"/>
          <w:sz w:val="22"/>
          <w:szCs w:val="22"/>
        </w:rPr>
        <w:t>, 21(1), 125-136</w:t>
      </w:r>
      <w:r w:rsidRPr="00EF744C">
        <w:rPr>
          <w:rFonts w:ascii="Garamond" w:eastAsia="Garamond" w:hAnsi="Garamond" w:cs="Garamond"/>
          <w:sz w:val="22"/>
          <w:szCs w:val="22"/>
          <w:lang w:val="id-ID"/>
        </w:rPr>
        <w:t xml:space="preserve">. </w:t>
      </w:r>
      <w:hyperlink r:id="rId43" w:history="1">
        <w:r w:rsidR="00D41A67" w:rsidRPr="00EF744C">
          <w:rPr>
            <w:rStyle w:val="Hyperlink"/>
            <w:rFonts w:ascii="Garamond" w:eastAsia="Garamond" w:hAnsi="Garamond" w:cs="Garamond"/>
            <w:sz w:val="22"/>
            <w:szCs w:val="22"/>
            <w:lang w:val="id-ID"/>
          </w:rPr>
          <w:t>https://doi.org/10.18196/jesp.21.1.5035</w:t>
        </w:r>
      </w:hyperlink>
      <w:r w:rsidR="00D41A67"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p>
    <w:p w14:paraId="35D9019E" w14:textId="76DFF434" w:rsidR="00D20817" w:rsidRPr="00EF744C" w:rsidRDefault="00D20817" w:rsidP="0094539D">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Yuliani</w:t>
      </w:r>
      <w:proofErr w:type="spellEnd"/>
      <w:r w:rsidRPr="00EF744C">
        <w:rPr>
          <w:rFonts w:ascii="Garamond" w:eastAsia="Garamond" w:hAnsi="Garamond" w:cs="Garamond"/>
          <w:sz w:val="22"/>
          <w:szCs w:val="22"/>
        </w:rPr>
        <w:t xml:space="preserve">, R. &amp; Rahman, Y.A., </w:t>
      </w:r>
      <w:proofErr w:type="spellStart"/>
      <w:r w:rsidRPr="00EF744C">
        <w:rPr>
          <w:rFonts w:ascii="Garamond" w:eastAsia="Garamond" w:hAnsi="Garamond" w:cs="Garamond"/>
          <w:sz w:val="22"/>
          <w:szCs w:val="22"/>
        </w:rPr>
        <w:t>Nuraini</w:t>
      </w:r>
      <w:proofErr w:type="spellEnd"/>
      <w:r w:rsidRPr="00EF744C">
        <w:rPr>
          <w:rFonts w:ascii="Garamond" w:eastAsia="Garamond" w:hAnsi="Garamond" w:cs="Garamond"/>
          <w:sz w:val="22"/>
          <w:szCs w:val="22"/>
        </w:rPr>
        <w:t xml:space="preserve">, D., </w:t>
      </w:r>
      <w:proofErr w:type="spellStart"/>
      <w:r w:rsidRPr="00EF744C">
        <w:rPr>
          <w:rFonts w:ascii="Garamond" w:eastAsia="Garamond" w:hAnsi="Garamond" w:cs="Garamond"/>
          <w:sz w:val="22"/>
          <w:szCs w:val="22"/>
        </w:rPr>
        <w:t>Khotimah</w:t>
      </w:r>
      <w:proofErr w:type="spellEnd"/>
      <w:r w:rsidRPr="00EF744C">
        <w:rPr>
          <w:rFonts w:ascii="Garamond" w:eastAsia="Garamond" w:hAnsi="Garamond" w:cs="Garamond"/>
          <w:sz w:val="22"/>
          <w:szCs w:val="22"/>
        </w:rPr>
        <w:t xml:space="preserve">, K.  (2021). Determinants of income inequality in </w:t>
      </w:r>
      <w:r w:rsidR="00296F54" w:rsidRPr="00EF744C">
        <w:rPr>
          <w:rFonts w:ascii="Garamond" w:eastAsia="Garamond" w:hAnsi="Garamond" w:cs="Garamond"/>
          <w:sz w:val="22"/>
          <w:szCs w:val="22"/>
        </w:rPr>
        <w:t>Yogyakarta Province</w:t>
      </w:r>
      <w:r w:rsidRPr="00EF744C">
        <w:rPr>
          <w:rFonts w:ascii="Garamond" w:eastAsia="Garamond" w:hAnsi="Garamond" w:cs="Garamond"/>
          <w:sz w:val="22"/>
          <w:szCs w:val="22"/>
        </w:rPr>
        <w:t>. Proceeding of The International Conference on Strategic Issues of Economic</w:t>
      </w:r>
      <w:r w:rsidR="007842A3" w:rsidRPr="00EF744C">
        <w:rPr>
          <w:rFonts w:ascii="Garamond" w:eastAsia="Garamond" w:hAnsi="Garamond" w:cs="Garamond"/>
          <w:sz w:val="22"/>
          <w:szCs w:val="22"/>
          <w:lang w:val="id-ID"/>
        </w:rPr>
        <w:t>s</w:t>
      </w:r>
      <w:r w:rsidRPr="00EF744C">
        <w:rPr>
          <w:rFonts w:ascii="Garamond" w:eastAsia="Garamond" w:hAnsi="Garamond" w:cs="Garamond"/>
          <w:sz w:val="22"/>
          <w:szCs w:val="22"/>
        </w:rPr>
        <w:t>, Business, and Education (</w:t>
      </w:r>
      <w:proofErr w:type="spellStart"/>
      <w:r w:rsidRPr="00EF744C">
        <w:rPr>
          <w:rFonts w:ascii="Garamond" w:eastAsia="Garamond" w:hAnsi="Garamond" w:cs="Garamond"/>
          <w:sz w:val="22"/>
          <w:szCs w:val="22"/>
        </w:rPr>
        <w:t>ICoSIEBE</w:t>
      </w:r>
      <w:proofErr w:type="spellEnd"/>
      <w:r w:rsidRPr="00EF744C">
        <w:rPr>
          <w:rFonts w:ascii="Garamond" w:eastAsia="Garamond" w:hAnsi="Garamond" w:cs="Garamond"/>
          <w:sz w:val="22"/>
          <w:szCs w:val="22"/>
        </w:rPr>
        <w:t xml:space="preserve"> 2020), Advance in </w:t>
      </w:r>
      <w:r w:rsidRPr="00EF744C">
        <w:rPr>
          <w:rFonts w:ascii="Garamond" w:eastAsia="Garamond" w:hAnsi="Garamond" w:cs="Garamond"/>
          <w:i/>
          <w:iCs/>
          <w:sz w:val="22"/>
          <w:szCs w:val="22"/>
        </w:rPr>
        <w:t>Economics, Business, and Management Research</w:t>
      </w:r>
      <w:r w:rsidRPr="00EF744C">
        <w:rPr>
          <w:rFonts w:ascii="Garamond" w:eastAsia="Garamond" w:hAnsi="Garamond" w:cs="Garamond"/>
          <w:sz w:val="22"/>
          <w:szCs w:val="22"/>
        </w:rPr>
        <w:t xml:space="preserve">, </w:t>
      </w:r>
      <w:r w:rsidR="00BF238D"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xml:space="preserve">. 163, 301-305. </w:t>
      </w:r>
      <w:r w:rsidR="00D41A67" w:rsidRPr="00EF744C">
        <w:rPr>
          <w:lang w:val="id-ID"/>
        </w:rPr>
        <w:t xml:space="preserve"> </w:t>
      </w:r>
      <w:hyperlink r:id="rId44" w:history="1">
        <w:r w:rsidR="005F3C6D" w:rsidRPr="00EF744C">
          <w:rPr>
            <w:rStyle w:val="Hyperlink"/>
            <w:rFonts w:ascii="Garamond" w:eastAsia="Garamond" w:hAnsi="Garamond" w:cs="Garamond"/>
            <w:sz w:val="22"/>
            <w:szCs w:val="22"/>
          </w:rPr>
          <w:t>http://dx.doi.org/10.2991/aebmr.k.210220.053</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66B5F39F" w14:textId="0790527D" w:rsidR="000B0AC6" w:rsidRPr="002B05E3" w:rsidRDefault="00D20817" w:rsidP="00E64882">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Zellner, A.,</w:t>
      </w:r>
      <w:r w:rsidR="00985866" w:rsidRPr="00EF744C">
        <w:rPr>
          <w:rFonts w:ascii="Garamond" w:eastAsia="Garamond" w:hAnsi="Garamond" w:cs="Garamond"/>
          <w:sz w:val="22"/>
          <w:szCs w:val="22"/>
        </w:rPr>
        <w:t xml:space="preserve"> </w:t>
      </w:r>
      <w:r w:rsidR="007F432B" w:rsidRPr="00EF744C">
        <w:rPr>
          <w:rFonts w:ascii="Garamond" w:eastAsia="Garamond" w:hAnsi="Garamond" w:cs="Garamond"/>
          <w:sz w:val="22"/>
          <w:szCs w:val="22"/>
        </w:rPr>
        <w:t xml:space="preserve">&amp; </w:t>
      </w:r>
      <w:r w:rsidRPr="00EF744C">
        <w:rPr>
          <w:rFonts w:ascii="Garamond" w:eastAsia="Garamond" w:hAnsi="Garamond" w:cs="Garamond"/>
          <w:sz w:val="22"/>
          <w:szCs w:val="22"/>
        </w:rPr>
        <w:t xml:space="preserve">Theil, H., </w:t>
      </w:r>
      <w:r w:rsidR="007F432B" w:rsidRPr="00EF744C">
        <w:rPr>
          <w:rFonts w:ascii="Garamond" w:eastAsia="Garamond" w:hAnsi="Garamond" w:cs="Garamond"/>
          <w:sz w:val="22"/>
          <w:szCs w:val="22"/>
        </w:rPr>
        <w:t>(</w:t>
      </w:r>
      <w:r w:rsidRPr="00EF744C">
        <w:rPr>
          <w:rFonts w:ascii="Garamond" w:eastAsia="Garamond" w:hAnsi="Garamond" w:cs="Garamond"/>
          <w:sz w:val="22"/>
          <w:szCs w:val="22"/>
        </w:rPr>
        <w:t>1962</w:t>
      </w:r>
      <w:r w:rsidR="007F432B" w:rsidRPr="00EF744C">
        <w:rPr>
          <w:rFonts w:ascii="Garamond" w:eastAsia="Garamond" w:hAnsi="Garamond" w:cs="Garamond"/>
          <w:sz w:val="22"/>
          <w:szCs w:val="22"/>
        </w:rPr>
        <w:t>)</w:t>
      </w:r>
      <w:r w:rsidRPr="00EF744C">
        <w:rPr>
          <w:rFonts w:ascii="Garamond" w:eastAsia="Garamond" w:hAnsi="Garamond" w:cs="Garamond"/>
          <w:sz w:val="22"/>
          <w:szCs w:val="22"/>
        </w:rPr>
        <w:t xml:space="preserve">. Three-stage least squares: simultaneous estimation of simultaneous equations. </w:t>
      </w:r>
      <w:proofErr w:type="spellStart"/>
      <w:r w:rsidRPr="00EF744C">
        <w:rPr>
          <w:rFonts w:ascii="Garamond" w:eastAsia="Garamond" w:hAnsi="Garamond" w:cs="Garamond"/>
          <w:i/>
          <w:iCs/>
          <w:sz w:val="22"/>
          <w:szCs w:val="22"/>
        </w:rPr>
        <w:t>Econometrica</w:t>
      </w:r>
      <w:proofErr w:type="spellEnd"/>
      <w:r w:rsidRPr="00EF744C">
        <w:rPr>
          <w:rFonts w:ascii="Garamond" w:eastAsia="Garamond" w:hAnsi="Garamond" w:cs="Garamond"/>
          <w:sz w:val="22"/>
          <w:szCs w:val="22"/>
        </w:rPr>
        <w:t xml:space="preserve">, </w:t>
      </w:r>
      <w:r w:rsidR="00BF238D"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30(1), 54-78</w:t>
      </w:r>
      <w:r w:rsidR="00E64882" w:rsidRPr="00EF744C">
        <w:rPr>
          <w:rFonts w:ascii="Garamond" w:eastAsia="Garamond" w:hAnsi="Garamond" w:cs="Garamond"/>
          <w:sz w:val="22"/>
          <w:szCs w:val="22"/>
          <w:lang w:val="id-ID"/>
        </w:rPr>
        <w:t>.</w:t>
      </w:r>
      <w:bookmarkEnd w:id="24"/>
      <w:r w:rsidR="00E64882" w:rsidRPr="002B05E3">
        <w:rPr>
          <w:rFonts w:ascii="Garamond" w:eastAsia="Garamond" w:hAnsi="Garamond" w:cs="Garamond"/>
          <w:sz w:val="22"/>
          <w:szCs w:val="22"/>
        </w:rPr>
        <w:t xml:space="preserve"> </w:t>
      </w:r>
    </w:p>
    <w:sectPr w:rsidR="000B0AC6" w:rsidRPr="002B05E3">
      <w:headerReference w:type="default" r:id="rId45"/>
      <w:footerReference w:type="default" r:id="rId46"/>
      <w:pgSz w:w="11920" w:h="16840"/>
      <w:pgMar w:top="1900" w:right="1680" w:bottom="280" w:left="1680" w:header="1458"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2912" w14:textId="77777777" w:rsidR="00CB366A" w:rsidRDefault="00CB366A">
      <w:r>
        <w:separator/>
      </w:r>
    </w:p>
  </w:endnote>
  <w:endnote w:type="continuationSeparator" w:id="0">
    <w:p w14:paraId="2954D3AE" w14:textId="77777777" w:rsidR="00CB366A" w:rsidRDefault="00CB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39B8" w14:textId="5BBB980E" w:rsidR="00C4265B" w:rsidRDefault="00C4265B">
    <w:pPr>
      <w:spacing w:line="200" w:lineRule="exact"/>
    </w:pPr>
    <w:r>
      <w:rPr>
        <w:noProof/>
      </w:rPr>
      <mc:AlternateContent>
        <mc:Choice Requires="wps">
          <w:drawing>
            <wp:anchor distT="0" distB="0" distL="114300" distR="114300" simplePos="0" relativeHeight="251658240" behindDoc="1" locked="0" layoutInCell="1" allowOverlap="1" wp14:anchorId="73AEC6DF" wp14:editId="056A57EB">
              <wp:simplePos x="0" y="0"/>
              <wp:positionH relativeFrom="page">
                <wp:posOffset>2513330</wp:posOffset>
              </wp:positionH>
              <wp:positionV relativeFrom="page">
                <wp:posOffset>9901555</wp:posOffset>
              </wp:positionV>
              <wp:extent cx="2546350" cy="152400"/>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6EEB" w14:textId="5BF58EA6" w:rsidR="00C4265B" w:rsidRPr="004001EA" w:rsidRDefault="00C4265B">
                          <w:pPr>
                            <w:spacing w:line="220" w:lineRule="exact"/>
                            <w:ind w:left="20"/>
                            <w:rPr>
                              <w:rFonts w:ascii="Calibri Light" w:eastAsia="Calibri Light" w:hAnsi="Calibri Light" w:cs="Calibri Light"/>
                              <w:lang w:val="id-ID"/>
                            </w:rPr>
                          </w:pPr>
                          <w:r>
                            <w:rPr>
                              <w:rFonts w:ascii="Calibri Light" w:eastAsia="Calibri Light" w:hAnsi="Calibri Light" w:cs="Calibri Light"/>
                              <w:position w:val="1"/>
                            </w:rPr>
                            <w:t>Jurnal</w:t>
                          </w:r>
                          <w:r>
                            <w:rPr>
                              <w:rFonts w:ascii="Calibri Light" w:eastAsia="Calibri Light" w:hAnsi="Calibri Light" w:cs="Calibri Light"/>
                              <w:spacing w:val="1"/>
                              <w:position w:val="1"/>
                            </w:rPr>
                            <w:t xml:space="preserve"> </w:t>
                          </w:r>
                          <w:r>
                            <w:rPr>
                              <w:rFonts w:ascii="Calibri Light" w:eastAsia="Calibri Light" w:hAnsi="Calibri Light" w:cs="Calibri Light"/>
                              <w:spacing w:val="-1"/>
                              <w:position w:val="1"/>
                            </w:rPr>
                            <w:t>E</w:t>
                          </w:r>
                          <w:r>
                            <w:rPr>
                              <w:rFonts w:ascii="Calibri Light" w:eastAsia="Calibri Light" w:hAnsi="Calibri Light" w:cs="Calibri Light"/>
                              <w:position w:val="1"/>
                            </w:rPr>
                            <w:t>konomi</w:t>
                          </w:r>
                          <w:r>
                            <w:rPr>
                              <w:rFonts w:ascii="Calibri Light" w:eastAsia="Calibri Light" w:hAnsi="Calibri Light" w:cs="Calibri Light"/>
                              <w:spacing w:val="-1"/>
                              <w:position w:val="1"/>
                            </w:rPr>
                            <w:t xml:space="preserve"> </w:t>
                          </w:r>
                          <w:r>
                            <w:rPr>
                              <w:rFonts w:ascii="Calibri Light" w:eastAsia="Calibri Light" w:hAnsi="Calibri Light" w:cs="Calibri Light"/>
                              <w:position w:val="1"/>
                            </w:rPr>
                            <w:t>&amp;</w:t>
                          </w:r>
                          <w:r>
                            <w:rPr>
                              <w:rFonts w:ascii="Calibri Light" w:eastAsia="Calibri Light" w:hAnsi="Calibri Light" w:cs="Calibri Light"/>
                              <w:spacing w:val="1"/>
                              <w:position w:val="1"/>
                            </w:rPr>
                            <w:t xml:space="preserve"> </w:t>
                          </w:r>
                          <w:r>
                            <w:rPr>
                              <w:rFonts w:ascii="Calibri Light" w:eastAsia="Calibri Light" w:hAnsi="Calibri Light" w:cs="Calibri Light"/>
                              <w:position w:val="1"/>
                            </w:rPr>
                            <w:t>S</w:t>
                          </w:r>
                          <w:r>
                            <w:rPr>
                              <w:rFonts w:ascii="Calibri Light" w:eastAsia="Calibri Light" w:hAnsi="Calibri Light" w:cs="Calibri Light"/>
                              <w:spacing w:val="-1"/>
                              <w:position w:val="1"/>
                            </w:rPr>
                            <w:t>t</w:t>
                          </w:r>
                          <w:r>
                            <w:rPr>
                              <w:rFonts w:ascii="Calibri Light" w:eastAsia="Calibri Light" w:hAnsi="Calibri Light" w:cs="Calibri Light"/>
                              <w:position w:val="1"/>
                            </w:rPr>
                            <w:t>udi Pe</w:t>
                          </w:r>
                          <w:r>
                            <w:rPr>
                              <w:rFonts w:ascii="Calibri Light" w:eastAsia="Calibri Light" w:hAnsi="Calibri Light" w:cs="Calibri Light"/>
                              <w:spacing w:val="-1"/>
                              <w:position w:val="1"/>
                            </w:rPr>
                            <w:t>mb</w:t>
                          </w:r>
                          <w:r>
                            <w:rPr>
                              <w:rFonts w:ascii="Calibri Light" w:eastAsia="Calibri Light" w:hAnsi="Calibri Light" w:cs="Calibri Light"/>
                              <w:position w:val="1"/>
                            </w:rPr>
                            <w:t>a</w:t>
                          </w:r>
                          <w:r>
                            <w:rPr>
                              <w:rFonts w:ascii="Calibri Light" w:eastAsia="Calibri Light" w:hAnsi="Calibri Light" w:cs="Calibri Light"/>
                              <w:spacing w:val="1"/>
                              <w:position w:val="1"/>
                            </w:rPr>
                            <w:t>n</w:t>
                          </w:r>
                          <w:r>
                            <w:rPr>
                              <w:rFonts w:ascii="Calibri Light" w:eastAsia="Calibri Light" w:hAnsi="Calibri Light" w:cs="Calibri Light"/>
                              <w:position w:val="1"/>
                            </w:rPr>
                            <w:t>gu</w:t>
                          </w:r>
                          <w:r>
                            <w:rPr>
                              <w:rFonts w:ascii="Calibri Light" w:eastAsia="Calibri Light" w:hAnsi="Calibri Light" w:cs="Calibri Light"/>
                              <w:spacing w:val="-1"/>
                              <w:position w:val="1"/>
                            </w:rPr>
                            <w:t>n</w:t>
                          </w:r>
                          <w:r>
                            <w:rPr>
                              <w:rFonts w:ascii="Calibri Light" w:eastAsia="Calibri Light" w:hAnsi="Calibri Light" w:cs="Calibri Light"/>
                              <w:position w:val="1"/>
                            </w:rPr>
                            <w:t>a</w:t>
                          </w:r>
                          <w:r>
                            <w:rPr>
                              <w:rFonts w:ascii="Calibri Light" w:eastAsia="Calibri Light" w:hAnsi="Calibri Light" w:cs="Calibri Light"/>
                              <w:spacing w:val="2"/>
                              <w:position w:val="1"/>
                            </w:rPr>
                            <w:t>n</w:t>
                          </w:r>
                          <w:r>
                            <w:rPr>
                              <w:rFonts w:ascii="Calibri Light" w:eastAsia="Calibri Light" w:hAnsi="Calibri Light" w:cs="Calibri Light"/>
                              <w:position w:val="1"/>
                            </w:rPr>
                            <w:t>,</w:t>
                          </w:r>
                          <w:r>
                            <w:rPr>
                              <w:rFonts w:ascii="Calibri Light" w:eastAsia="Calibri Light" w:hAnsi="Calibri Light" w:cs="Calibri Light"/>
                              <w:spacing w:val="-1"/>
                              <w:position w:val="1"/>
                            </w:rPr>
                            <w:t xml:space="preserve"> </w:t>
                          </w:r>
                          <w:r>
                            <w:rPr>
                              <w:rFonts w:ascii="Calibri Light" w:eastAsia="Calibri Light" w:hAnsi="Calibri Light" w:cs="Calibri Light"/>
                              <w:position w:val="1"/>
                              <w:lang w:val="id-ID"/>
                            </w:rPr>
                            <w:t>XXXX</w:t>
                          </w:r>
                          <w:r>
                            <w:rPr>
                              <w:rFonts w:ascii="Calibri Light" w:eastAsia="Calibri Light" w:hAnsi="Calibri Light" w:cs="Calibri Light"/>
                              <w:position w:val="1"/>
                            </w:rPr>
                            <w:t xml:space="preserve"> | </w:t>
                          </w:r>
                          <w:r>
                            <w:rPr>
                              <w:rFonts w:ascii="Calibri Light" w:eastAsia="Calibri Light" w:hAnsi="Calibri Light" w:cs="Calibri Light"/>
                              <w:position w:val="1"/>
                              <w:lang w:val="id-ID"/>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EC6DF" id="_x0000_t202" coordsize="21600,21600" o:spt="202" path="m,l,21600r21600,l21600,xe">
              <v:stroke joinstyle="miter"/>
              <v:path gradientshapeok="t" o:connecttype="rect"/>
            </v:shapetype>
            <v:shape id="Text Box 1" o:spid="_x0000_s1027" type="#_x0000_t202" style="position:absolute;margin-left:197.9pt;margin-top:779.65pt;width:20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" filled="f" stroked="f">
              <v:textbox inset="0,0,0,0">
                <w:txbxContent>
                  <w:p w14:paraId="073D6EEB" w14:textId="5BF58EA6" w:rsidR="00301F2B" w:rsidRPr="004001EA" w:rsidRDefault="00301F2B">
                    <w:pPr>
                      <w:spacing w:line="220" w:lineRule="exact"/>
                      <w:ind w:left="20"/>
                      <w:rPr>
                        <w:rFonts w:ascii="Calibri Light" w:eastAsia="Calibri Light" w:hAnsi="Calibri Light" w:cs="Calibri Light"/>
                        <w:lang w:val="id-ID"/>
                      </w:rPr>
                    </w:pPr>
                    <w:r>
                      <w:rPr>
                        <w:rFonts w:ascii="Calibri Light" w:eastAsia="Calibri Light" w:hAnsi="Calibri Light" w:cs="Calibri Light"/>
                        <w:position w:val="1"/>
                      </w:rPr>
                      <w:t>Jurnal</w:t>
                    </w:r>
                    <w:r>
                      <w:rPr>
                        <w:rFonts w:ascii="Calibri Light" w:eastAsia="Calibri Light" w:hAnsi="Calibri Light" w:cs="Calibri Light"/>
                        <w:spacing w:val="1"/>
                        <w:position w:val="1"/>
                      </w:rPr>
                      <w:t xml:space="preserve"> </w:t>
                    </w:r>
                    <w:r>
                      <w:rPr>
                        <w:rFonts w:ascii="Calibri Light" w:eastAsia="Calibri Light" w:hAnsi="Calibri Light" w:cs="Calibri Light"/>
                        <w:spacing w:val="-1"/>
                        <w:position w:val="1"/>
                      </w:rPr>
                      <w:t>E</w:t>
                    </w:r>
                    <w:r>
                      <w:rPr>
                        <w:rFonts w:ascii="Calibri Light" w:eastAsia="Calibri Light" w:hAnsi="Calibri Light" w:cs="Calibri Light"/>
                        <w:position w:val="1"/>
                      </w:rPr>
                      <w:t>konomi</w:t>
                    </w:r>
                    <w:r>
                      <w:rPr>
                        <w:rFonts w:ascii="Calibri Light" w:eastAsia="Calibri Light" w:hAnsi="Calibri Light" w:cs="Calibri Light"/>
                        <w:spacing w:val="-1"/>
                        <w:position w:val="1"/>
                      </w:rPr>
                      <w:t xml:space="preserve"> </w:t>
                    </w:r>
                    <w:r>
                      <w:rPr>
                        <w:rFonts w:ascii="Calibri Light" w:eastAsia="Calibri Light" w:hAnsi="Calibri Light" w:cs="Calibri Light"/>
                        <w:position w:val="1"/>
                      </w:rPr>
                      <w:t>&amp;</w:t>
                    </w:r>
                    <w:r>
                      <w:rPr>
                        <w:rFonts w:ascii="Calibri Light" w:eastAsia="Calibri Light" w:hAnsi="Calibri Light" w:cs="Calibri Light"/>
                        <w:spacing w:val="1"/>
                        <w:position w:val="1"/>
                      </w:rPr>
                      <w:t xml:space="preserve"> </w:t>
                    </w:r>
                    <w:r>
                      <w:rPr>
                        <w:rFonts w:ascii="Calibri Light" w:eastAsia="Calibri Light" w:hAnsi="Calibri Light" w:cs="Calibri Light"/>
                        <w:position w:val="1"/>
                      </w:rPr>
                      <w:t>S</w:t>
                    </w:r>
                    <w:r>
                      <w:rPr>
                        <w:rFonts w:ascii="Calibri Light" w:eastAsia="Calibri Light" w:hAnsi="Calibri Light" w:cs="Calibri Light"/>
                        <w:spacing w:val="-1"/>
                        <w:position w:val="1"/>
                      </w:rPr>
                      <w:t>t</w:t>
                    </w:r>
                    <w:r>
                      <w:rPr>
                        <w:rFonts w:ascii="Calibri Light" w:eastAsia="Calibri Light" w:hAnsi="Calibri Light" w:cs="Calibri Light"/>
                        <w:position w:val="1"/>
                      </w:rPr>
                      <w:t>udi Pe</w:t>
                    </w:r>
                    <w:r>
                      <w:rPr>
                        <w:rFonts w:ascii="Calibri Light" w:eastAsia="Calibri Light" w:hAnsi="Calibri Light" w:cs="Calibri Light"/>
                        <w:spacing w:val="-1"/>
                        <w:position w:val="1"/>
                      </w:rPr>
                      <w:t>mb</w:t>
                    </w:r>
                    <w:r>
                      <w:rPr>
                        <w:rFonts w:ascii="Calibri Light" w:eastAsia="Calibri Light" w:hAnsi="Calibri Light" w:cs="Calibri Light"/>
                        <w:position w:val="1"/>
                      </w:rPr>
                      <w:t>a</w:t>
                    </w:r>
                    <w:r>
                      <w:rPr>
                        <w:rFonts w:ascii="Calibri Light" w:eastAsia="Calibri Light" w:hAnsi="Calibri Light" w:cs="Calibri Light"/>
                        <w:spacing w:val="1"/>
                        <w:position w:val="1"/>
                      </w:rPr>
                      <w:t>n</w:t>
                    </w:r>
                    <w:r>
                      <w:rPr>
                        <w:rFonts w:ascii="Calibri Light" w:eastAsia="Calibri Light" w:hAnsi="Calibri Light" w:cs="Calibri Light"/>
                        <w:position w:val="1"/>
                      </w:rPr>
                      <w:t>gu</w:t>
                    </w:r>
                    <w:r>
                      <w:rPr>
                        <w:rFonts w:ascii="Calibri Light" w:eastAsia="Calibri Light" w:hAnsi="Calibri Light" w:cs="Calibri Light"/>
                        <w:spacing w:val="-1"/>
                        <w:position w:val="1"/>
                      </w:rPr>
                      <w:t>n</w:t>
                    </w:r>
                    <w:r>
                      <w:rPr>
                        <w:rFonts w:ascii="Calibri Light" w:eastAsia="Calibri Light" w:hAnsi="Calibri Light" w:cs="Calibri Light"/>
                        <w:position w:val="1"/>
                      </w:rPr>
                      <w:t>a</w:t>
                    </w:r>
                    <w:r>
                      <w:rPr>
                        <w:rFonts w:ascii="Calibri Light" w:eastAsia="Calibri Light" w:hAnsi="Calibri Light" w:cs="Calibri Light"/>
                        <w:spacing w:val="2"/>
                        <w:position w:val="1"/>
                      </w:rPr>
                      <w:t>n</w:t>
                    </w:r>
                    <w:r>
                      <w:rPr>
                        <w:rFonts w:ascii="Calibri Light" w:eastAsia="Calibri Light" w:hAnsi="Calibri Light" w:cs="Calibri Light"/>
                        <w:position w:val="1"/>
                      </w:rPr>
                      <w:t>,</w:t>
                    </w:r>
                    <w:r>
                      <w:rPr>
                        <w:rFonts w:ascii="Calibri Light" w:eastAsia="Calibri Light" w:hAnsi="Calibri Light" w:cs="Calibri Light"/>
                        <w:spacing w:val="-1"/>
                        <w:position w:val="1"/>
                      </w:rPr>
                      <w:t xml:space="preserve"> </w:t>
                    </w:r>
                    <w:r>
                      <w:rPr>
                        <w:rFonts w:ascii="Calibri Light" w:eastAsia="Calibri Light" w:hAnsi="Calibri Light" w:cs="Calibri Light"/>
                        <w:position w:val="1"/>
                        <w:lang w:val="id-ID"/>
                      </w:rPr>
                      <w:t>XXXX</w:t>
                    </w:r>
                    <w:r>
                      <w:rPr>
                        <w:rFonts w:ascii="Calibri Light" w:eastAsia="Calibri Light" w:hAnsi="Calibri Light" w:cs="Calibri Light"/>
                        <w:position w:val="1"/>
                      </w:rPr>
                      <w:t xml:space="preserve"> | </w:t>
                    </w:r>
                    <w:r>
                      <w:rPr>
                        <w:rFonts w:ascii="Calibri Light" w:eastAsia="Calibri Light" w:hAnsi="Calibri Light" w:cs="Calibri Light"/>
                        <w:position w:val="1"/>
                        <w:lang w:val="id-ID"/>
                      </w:rPr>
                      <w:t>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7717" w14:textId="77777777" w:rsidR="00CB366A" w:rsidRDefault="00CB366A">
      <w:r>
        <w:separator/>
      </w:r>
    </w:p>
  </w:footnote>
  <w:footnote w:type="continuationSeparator" w:id="0">
    <w:p w14:paraId="0D3E4932" w14:textId="77777777" w:rsidR="00CB366A" w:rsidRDefault="00CB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D0C7" w14:textId="6BDD18FA" w:rsidR="00C4265B" w:rsidRDefault="00C4265B" w:rsidP="00D95254">
    <w:pPr>
      <w:tabs>
        <w:tab w:val="left" w:pos="5370"/>
      </w:tabs>
      <w:spacing w:line="200" w:lineRule="exact"/>
    </w:pPr>
  </w:p>
  <w:p w14:paraId="11D5A998" w14:textId="1D30DDE5" w:rsidR="00C4265B" w:rsidRDefault="00C4265B">
    <w:pPr>
      <w:spacing w:line="200" w:lineRule="exact"/>
    </w:pPr>
  </w:p>
  <w:p w14:paraId="76BD5FF2" w14:textId="77777777" w:rsidR="00C4265B" w:rsidRDefault="00C4265B">
    <w:pPr>
      <w:spacing w:line="200" w:lineRule="exact"/>
    </w:pPr>
  </w:p>
  <w:p w14:paraId="0DEA0A31" w14:textId="4BD1BD2A" w:rsidR="00C4265B" w:rsidRDefault="00C4265B">
    <w:pPr>
      <w:spacing w:line="200" w:lineRule="exact"/>
    </w:pPr>
    <w:r>
      <w:rPr>
        <w:noProof/>
      </w:rPr>
      <mc:AlternateContent>
        <mc:Choice Requires="wps">
          <w:drawing>
            <wp:anchor distT="0" distB="0" distL="114300" distR="114300" simplePos="0" relativeHeight="251657216" behindDoc="1" locked="0" layoutInCell="1" allowOverlap="1" wp14:anchorId="4CF5258F" wp14:editId="41935286">
              <wp:simplePos x="0" y="0"/>
              <wp:positionH relativeFrom="page">
                <wp:posOffset>2237740</wp:posOffset>
              </wp:positionH>
              <wp:positionV relativeFrom="page">
                <wp:posOffset>913130</wp:posOffset>
              </wp:positionV>
              <wp:extent cx="3085465" cy="30734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56BF" w14:textId="16157D76" w:rsidR="00C4265B" w:rsidRDefault="00C4265B" w:rsidP="00D95254">
                          <w:pPr>
                            <w:spacing w:line="220" w:lineRule="exact"/>
                            <w:ind w:left="986" w:right="987"/>
                            <w:rPr>
                              <w:rFonts w:ascii="Calibri" w:eastAsia="Calibri" w:hAnsi="Calibri" w:cs="Calibri"/>
                            </w:rPr>
                          </w:pPr>
                          <w:r>
                            <w:rPr>
                              <w:rFonts w:ascii="Calibri" w:eastAsia="Calibri" w:hAnsi="Calibri" w:cs="Calibri"/>
                              <w:b/>
                              <w:position w:val="1"/>
                            </w:rPr>
                            <w:t xml:space="preserve"> </w:t>
                          </w:r>
                        </w:p>
                        <w:p w14:paraId="74DC8911" w14:textId="0C42FB3E" w:rsidR="00C4265B" w:rsidRDefault="00C4265B">
                          <w:pPr>
                            <w:spacing w:line="240" w:lineRule="exact"/>
                            <w:ind w:left="-15" w:right="-15"/>
                            <w:jc w:val="center"/>
                            <w:rPr>
                              <w:rFonts w:ascii="Calibri" w:eastAsia="Calibri" w:hAnsi="Calibri" w:cs="Calibri"/>
                            </w:rPr>
                          </w:pPr>
                          <w:r w:rsidRPr="004001EA">
                            <w:rPr>
                              <w:rFonts w:ascii="Calibri" w:eastAsia="Calibri" w:hAnsi="Calibri" w:cs="Calibri"/>
                            </w:rPr>
                            <w:t xml:space="preserve">Income Inequality </w:t>
                          </w:r>
                          <w:r>
                            <w:rPr>
                              <w:rFonts w:ascii="Calibri" w:eastAsia="Calibri" w:hAnsi="Calibri" w:cs="Calibri"/>
                              <w:lang w:val="id-ID"/>
                            </w:rPr>
                            <w:t>Complexity i</w:t>
                          </w:r>
                          <w:r w:rsidRPr="004001EA">
                            <w:rPr>
                              <w:rFonts w:ascii="Calibri" w:eastAsia="Calibri" w:hAnsi="Calibri" w:cs="Calibri"/>
                            </w:rPr>
                            <w:t xml:space="preserve">n Yogyakarta </w:t>
                          </w:r>
                          <w:r>
                            <w:rPr>
                              <w:rFonts w:ascii="Calibri" w:eastAsia="Calibri" w:hAnsi="Calibri" w:cs="Calibri"/>
                              <w:lang w:val="id-ID"/>
                            </w:rPr>
                            <w:t xml:space="preserve">Province </w:t>
                          </w:r>
                          <w:r>
                            <w:rPr>
                              <w:rFonts w:ascii="Calibri" w:eastAsia="Calibri" w:hAnsi="Calibri" w:cs="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5258F" id="_x0000_t202" coordsize="21600,21600" o:spt="202" path="m,l,21600r21600,l21600,xe">
              <v:stroke joinstyle="miter"/>
              <v:path gradientshapeok="t" o:connecttype="rect"/>
            </v:shapetype>
            <v:shape id="Text Box 2" o:spid="_x0000_s1026" type="#_x0000_t202" style="position:absolute;margin-left:176.2pt;margin-top:71.9pt;width:242.95pt;height:2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" filled="f" stroked="f">
              <v:textbox inset="0,0,0,0">
                <w:txbxContent>
                  <w:p w14:paraId="131056BF" w14:textId="16157D76" w:rsidR="00301F2B" w:rsidRDefault="00301F2B" w:rsidP="00D95254">
                    <w:pPr>
                      <w:spacing w:line="220" w:lineRule="exact"/>
                      <w:ind w:left="986" w:right="987"/>
                      <w:rPr>
                        <w:rFonts w:ascii="Calibri" w:eastAsia="Calibri" w:hAnsi="Calibri" w:cs="Calibri"/>
                      </w:rPr>
                    </w:pPr>
                    <w:r>
                      <w:rPr>
                        <w:rFonts w:ascii="Calibri" w:eastAsia="Calibri" w:hAnsi="Calibri" w:cs="Calibri"/>
                        <w:b/>
                        <w:position w:val="1"/>
                      </w:rPr>
                      <w:t xml:space="preserve"> </w:t>
                    </w:r>
                  </w:p>
                  <w:p w14:paraId="74DC8911" w14:textId="0C42FB3E" w:rsidR="00301F2B" w:rsidRDefault="00301F2B">
                    <w:pPr>
                      <w:spacing w:line="240" w:lineRule="exact"/>
                      <w:ind w:left="-15" w:right="-15"/>
                      <w:jc w:val="center"/>
                      <w:rPr>
                        <w:rFonts w:ascii="Calibri" w:eastAsia="Calibri" w:hAnsi="Calibri" w:cs="Calibri"/>
                      </w:rPr>
                    </w:pPr>
                    <w:r w:rsidRPr="004001EA">
                      <w:rPr>
                        <w:rFonts w:ascii="Calibri" w:eastAsia="Calibri" w:hAnsi="Calibri" w:cs="Calibri"/>
                      </w:rPr>
                      <w:t xml:space="preserve">Income Inequality </w:t>
                    </w:r>
                    <w:r>
                      <w:rPr>
                        <w:rFonts w:ascii="Calibri" w:eastAsia="Calibri" w:hAnsi="Calibri" w:cs="Calibri"/>
                        <w:lang w:val="id-ID"/>
                      </w:rPr>
                      <w:t>Complexity i</w:t>
                    </w:r>
                    <w:r w:rsidRPr="004001EA">
                      <w:rPr>
                        <w:rFonts w:ascii="Calibri" w:eastAsia="Calibri" w:hAnsi="Calibri" w:cs="Calibri"/>
                      </w:rPr>
                      <w:t xml:space="preserve">n Yogyakarta </w:t>
                    </w:r>
                    <w:r>
                      <w:rPr>
                        <w:rFonts w:ascii="Calibri" w:eastAsia="Calibri" w:hAnsi="Calibri" w:cs="Calibri"/>
                        <w:lang w:val="id-ID"/>
                      </w:rPr>
                      <w:t xml:space="preserve">Province </w:t>
                    </w:r>
                    <w:r>
                      <w:rPr>
                        <w:rFonts w:ascii="Calibri" w:eastAsia="Calibri" w:hAnsi="Calibri" w:cs="Calibri"/>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4A33"/>
    <w:multiLevelType w:val="multilevel"/>
    <w:tmpl w:val="6FAA56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8293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C6"/>
    <w:rsid w:val="00013F27"/>
    <w:rsid w:val="000210AE"/>
    <w:rsid w:val="000301E9"/>
    <w:rsid w:val="00031616"/>
    <w:rsid w:val="0003537D"/>
    <w:rsid w:val="00036A38"/>
    <w:rsid w:val="00042F28"/>
    <w:rsid w:val="00056693"/>
    <w:rsid w:val="00057A85"/>
    <w:rsid w:val="00057D90"/>
    <w:rsid w:val="00060939"/>
    <w:rsid w:val="00064506"/>
    <w:rsid w:val="000672FF"/>
    <w:rsid w:val="000947C2"/>
    <w:rsid w:val="0009696D"/>
    <w:rsid w:val="000A0EF7"/>
    <w:rsid w:val="000A4964"/>
    <w:rsid w:val="000B0AC6"/>
    <w:rsid w:val="000B513B"/>
    <w:rsid w:val="000C0D91"/>
    <w:rsid w:val="000C0FA8"/>
    <w:rsid w:val="000C1A24"/>
    <w:rsid w:val="000C2E89"/>
    <w:rsid w:val="000C6E0C"/>
    <w:rsid w:val="000F4E91"/>
    <w:rsid w:val="00150FE3"/>
    <w:rsid w:val="001541E4"/>
    <w:rsid w:val="00162D0D"/>
    <w:rsid w:val="00165231"/>
    <w:rsid w:val="00184B88"/>
    <w:rsid w:val="001856FC"/>
    <w:rsid w:val="00192E1F"/>
    <w:rsid w:val="001A6AC1"/>
    <w:rsid w:val="001B2875"/>
    <w:rsid w:val="001E250C"/>
    <w:rsid w:val="001E55EC"/>
    <w:rsid w:val="001E60D7"/>
    <w:rsid w:val="001F4180"/>
    <w:rsid w:val="00205B39"/>
    <w:rsid w:val="002138CE"/>
    <w:rsid w:val="002163DC"/>
    <w:rsid w:val="00240C03"/>
    <w:rsid w:val="0025371C"/>
    <w:rsid w:val="00255656"/>
    <w:rsid w:val="00265906"/>
    <w:rsid w:val="0027011A"/>
    <w:rsid w:val="00274BA1"/>
    <w:rsid w:val="00283935"/>
    <w:rsid w:val="00290A8A"/>
    <w:rsid w:val="002964E2"/>
    <w:rsid w:val="00296F54"/>
    <w:rsid w:val="002A09BA"/>
    <w:rsid w:val="002B05E3"/>
    <w:rsid w:val="002B1D28"/>
    <w:rsid w:val="002B63B4"/>
    <w:rsid w:val="002C0578"/>
    <w:rsid w:val="002C2F9C"/>
    <w:rsid w:val="002D5B37"/>
    <w:rsid w:val="002E0ACE"/>
    <w:rsid w:val="002E1386"/>
    <w:rsid w:val="002E23C3"/>
    <w:rsid w:val="002E2EFE"/>
    <w:rsid w:val="002E7FB1"/>
    <w:rsid w:val="002F52C4"/>
    <w:rsid w:val="002F681C"/>
    <w:rsid w:val="00301F2B"/>
    <w:rsid w:val="00303B29"/>
    <w:rsid w:val="003059C8"/>
    <w:rsid w:val="00314FF4"/>
    <w:rsid w:val="003174BA"/>
    <w:rsid w:val="00320537"/>
    <w:rsid w:val="00334576"/>
    <w:rsid w:val="003368E9"/>
    <w:rsid w:val="003419BB"/>
    <w:rsid w:val="00343D21"/>
    <w:rsid w:val="00345D10"/>
    <w:rsid w:val="00347E1E"/>
    <w:rsid w:val="00354D8C"/>
    <w:rsid w:val="00374EDE"/>
    <w:rsid w:val="003907B3"/>
    <w:rsid w:val="00395317"/>
    <w:rsid w:val="003A0EB9"/>
    <w:rsid w:val="003A4135"/>
    <w:rsid w:val="003B78BF"/>
    <w:rsid w:val="003B7F57"/>
    <w:rsid w:val="003C2DED"/>
    <w:rsid w:val="003C3A43"/>
    <w:rsid w:val="003C5FF9"/>
    <w:rsid w:val="003D326F"/>
    <w:rsid w:val="003E27FA"/>
    <w:rsid w:val="003F33BA"/>
    <w:rsid w:val="004001EA"/>
    <w:rsid w:val="00407610"/>
    <w:rsid w:val="00410C74"/>
    <w:rsid w:val="00412119"/>
    <w:rsid w:val="004129CA"/>
    <w:rsid w:val="00416FF0"/>
    <w:rsid w:val="00461285"/>
    <w:rsid w:val="00465648"/>
    <w:rsid w:val="00473471"/>
    <w:rsid w:val="00474253"/>
    <w:rsid w:val="00476B56"/>
    <w:rsid w:val="0048054F"/>
    <w:rsid w:val="00484090"/>
    <w:rsid w:val="004A4DBF"/>
    <w:rsid w:val="004C2EE7"/>
    <w:rsid w:val="004C6536"/>
    <w:rsid w:val="004E44D8"/>
    <w:rsid w:val="004E5EC3"/>
    <w:rsid w:val="005002EE"/>
    <w:rsid w:val="00503B85"/>
    <w:rsid w:val="005061F3"/>
    <w:rsid w:val="005072D8"/>
    <w:rsid w:val="00524969"/>
    <w:rsid w:val="005355DA"/>
    <w:rsid w:val="0055150B"/>
    <w:rsid w:val="005728B6"/>
    <w:rsid w:val="00573199"/>
    <w:rsid w:val="005809DB"/>
    <w:rsid w:val="00587666"/>
    <w:rsid w:val="0059456D"/>
    <w:rsid w:val="005B1156"/>
    <w:rsid w:val="005B52FA"/>
    <w:rsid w:val="005C64D9"/>
    <w:rsid w:val="005D6EF3"/>
    <w:rsid w:val="005E59E0"/>
    <w:rsid w:val="005F3C6D"/>
    <w:rsid w:val="0062288D"/>
    <w:rsid w:val="00642B2A"/>
    <w:rsid w:val="0065217C"/>
    <w:rsid w:val="0065758F"/>
    <w:rsid w:val="006748BC"/>
    <w:rsid w:val="0067610B"/>
    <w:rsid w:val="00677020"/>
    <w:rsid w:val="006859EB"/>
    <w:rsid w:val="006934D3"/>
    <w:rsid w:val="006A061D"/>
    <w:rsid w:val="006B3936"/>
    <w:rsid w:val="006C7D44"/>
    <w:rsid w:val="006D5183"/>
    <w:rsid w:val="006E28CD"/>
    <w:rsid w:val="006E59D6"/>
    <w:rsid w:val="006E77BC"/>
    <w:rsid w:val="006F19F2"/>
    <w:rsid w:val="006F79F5"/>
    <w:rsid w:val="007339C8"/>
    <w:rsid w:val="00735752"/>
    <w:rsid w:val="00740D82"/>
    <w:rsid w:val="00745651"/>
    <w:rsid w:val="00752FEA"/>
    <w:rsid w:val="0077473B"/>
    <w:rsid w:val="00775C93"/>
    <w:rsid w:val="00777180"/>
    <w:rsid w:val="00777D45"/>
    <w:rsid w:val="007842A3"/>
    <w:rsid w:val="007B737B"/>
    <w:rsid w:val="007F432B"/>
    <w:rsid w:val="008059A7"/>
    <w:rsid w:val="00812216"/>
    <w:rsid w:val="008165A1"/>
    <w:rsid w:val="00820C14"/>
    <w:rsid w:val="00824A16"/>
    <w:rsid w:val="008305B1"/>
    <w:rsid w:val="00835872"/>
    <w:rsid w:val="008364D1"/>
    <w:rsid w:val="00841860"/>
    <w:rsid w:val="00846B21"/>
    <w:rsid w:val="00860386"/>
    <w:rsid w:val="00876344"/>
    <w:rsid w:val="0089385C"/>
    <w:rsid w:val="00895386"/>
    <w:rsid w:val="008A6509"/>
    <w:rsid w:val="008D5E64"/>
    <w:rsid w:val="008D6737"/>
    <w:rsid w:val="008E5436"/>
    <w:rsid w:val="009129EE"/>
    <w:rsid w:val="00915B3F"/>
    <w:rsid w:val="00933C28"/>
    <w:rsid w:val="0094539D"/>
    <w:rsid w:val="0096407A"/>
    <w:rsid w:val="009660ED"/>
    <w:rsid w:val="00966650"/>
    <w:rsid w:val="00966FD0"/>
    <w:rsid w:val="009674D3"/>
    <w:rsid w:val="009704EA"/>
    <w:rsid w:val="00985866"/>
    <w:rsid w:val="009871A8"/>
    <w:rsid w:val="00990C2D"/>
    <w:rsid w:val="009932B8"/>
    <w:rsid w:val="00993807"/>
    <w:rsid w:val="009A12C6"/>
    <w:rsid w:val="009A7591"/>
    <w:rsid w:val="009C052F"/>
    <w:rsid w:val="009D0C8B"/>
    <w:rsid w:val="009E0466"/>
    <w:rsid w:val="009F13EA"/>
    <w:rsid w:val="00A0326A"/>
    <w:rsid w:val="00A06A6F"/>
    <w:rsid w:val="00A124DC"/>
    <w:rsid w:val="00A16B8B"/>
    <w:rsid w:val="00A17623"/>
    <w:rsid w:val="00A2148A"/>
    <w:rsid w:val="00A30D52"/>
    <w:rsid w:val="00A34358"/>
    <w:rsid w:val="00A4508D"/>
    <w:rsid w:val="00A53E33"/>
    <w:rsid w:val="00A63AD1"/>
    <w:rsid w:val="00A66A0B"/>
    <w:rsid w:val="00A83382"/>
    <w:rsid w:val="00AC1F14"/>
    <w:rsid w:val="00AE0051"/>
    <w:rsid w:val="00AE3C07"/>
    <w:rsid w:val="00AE5935"/>
    <w:rsid w:val="00B027CB"/>
    <w:rsid w:val="00B25E2F"/>
    <w:rsid w:val="00B36D34"/>
    <w:rsid w:val="00B373D1"/>
    <w:rsid w:val="00B54618"/>
    <w:rsid w:val="00B663A6"/>
    <w:rsid w:val="00BA587F"/>
    <w:rsid w:val="00BD0FDE"/>
    <w:rsid w:val="00BD6ED0"/>
    <w:rsid w:val="00BE3899"/>
    <w:rsid w:val="00BF238D"/>
    <w:rsid w:val="00BF4DE3"/>
    <w:rsid w:val="00BF6B40"/>
    <w:rsid w:val="00C023A6"/>
    <w:rsid w:val="00C03C8D"/>
    <w:rsid w:val="00C174C2"/>
    <w:rsid w:val="00C356AF"/>
    <w:rsid w:val="00C4265B"/>
    <w:rsid w:val="00C45718"/>
    <w:rsid w:val="00C546C3"/>
    <w:rsid w:val="00C64C1B"/>
    <w:rsid w:val="00C67A53"/>
    <w:rsid w:val="00C75359"/>
    <w:rsid w:val="00C924BF"/>
    <w:rsid w:val="00CA01BB"/>
    <w:rsid w:val="00CA3251"/>
    <w:rsid w:val="00CB12A0"/>
    <w:rsid w:val="00CB3507"/>
    <w:rsid w:val="00CB366A"/>
    <w:rsid w:val="00CB7778"/>
    <w:rsid w:val="00CC20C7"/>
    <w:rsid w:val="00CD5034"/>
    <w:rsid w:val="00CD6378"/>
    <w:rsid w:val="00CE537E"/>
    <w:rsid w:val="00CF7FE2"/>
    <w:rsid w:val="00D07148"/>
    <w:rsid w:val="00D20817"/>
    <w:rsid w:val="00D25E71"/>
    <w:rsid w:val="00D36A17"/>
    <w:rsid w:val="00D41A67"/>
    <w:rsid w:val="00D43E88"/>
    <w:rsid w:val="00D476AE"/>
    <w:rsid w:val="00D64D33"/>
    <w:rsid w:val="00D670CF"/>
    <w:rsid w:val="00D74E94"/>
    <w:rsid w:val="00D77490"/>
    <w:rsid w:val="00D95254"/>
    <w:rsid w:val="00DA4723"/>
    <w:rsid w:val="00DC0BB3"/>
    <w:rsid w:val="00DC4923"/>
    <w:rsid w:val="00DD02CF"/>
    <w:rsid w:val="00DE6800"/>
    <w:rsid w:val="00DF5E59"/>
    <w:rsid w:val="00E06EFE"/>
    <w:rsid w:val="00E22DF1"/>
    <w:rsid w:val="00E23418"/>
    <w:rsid w:val="00E237FC"/>
    <w:rsid w:val="00E37124"/>
    <w:rsid w:val="00E64882"/>
    <w:rsid w:val="00E65CEA"/>
    <w:rsid w:val="00EE49E4"/>
    <w:rsid w:val="00EE4A55"/>
    <w:rsid w:val="00EF744C"/>
    <w:rsid w:val="00F12C03"/>
    <w:rsid w:val="00F12EE2"/>
    <w:rsid w:val="00F27281"/>
    <w:rsid w:val="00F3251C"/>
    <w:rsid w:val="00F35CAE"/>
    <w:rsid w:val="00F35CDD"/>
    <w:rsid w:val="00F52BF1"/>
    <w:rsid w:val="00F53036"/>
    <w:rsid w:val="00F6649F"/>
    <w:rsid w:val="00F97AB5"/>
    <w:rsid w:val="00FC489B"/>
    <w:rsid w:val="00FD6822"/>
    <w:rsid w:val="00FF1CC0"/>
    <w:rsid w:val="00FF30D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5C81"/>
  <w15:docId w15:val="{335C5F04-654B-4DE1-B0D3-BC81BDBD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29EE"/>
    <w:rPr>
      <w:color w:val="0000FF" w:themeColor="hyperlink"/>
      <w:u w:val="single"/>
    </w:rPr>
  </w:style>
  <w:style w:type="character" w:customStyle="1" w:styleId="UnresolvedMention1">
    <w:name w:val="Unresolved Mention1"/>
    <w:basedOn w:val="DefaultParagraphFont"/>
    <w:uiPriority w:val="99"/>
    <w:unhideWhenUsed/>
    <w:rsid w:val="009129EE"/>
    <w:rPr>
      <w:color w:val="605E5C"/>
      <w:shd w:val="clear" w:color="auto" w:fill="E1DFDD"/>
    </w:rPr>
  </w:style>
  <w:style w:type="paragraph" w:styleId="Header">
    <w:name w:val="header"/>
    <w:basedOn w:val="Normal"/>
    <w:link w:val="HeaderChar"/>
    <w:uiPriority w:val="99"/>
    <w:unhideWhenUsed/>
    <w:rsid w:val="009129EE"/>
    <w:pPr>
      <w:tabs>
        <w:tab w:val="center" w:pos="4513"/>
        <w:tab w:val="right" w:pos="9026"/>
      </w:tabs>
    </w:pPr>
  </w:style>
  <w:style w:type="character" w:customStyle="1" w:styleId="HeaderChar">
    <w:name w:val="Header Char"/>
    <w:basedOn w:val="DefaultParagraphFont"/>
    <w:link w:val="Header"/>
    <w:uiPriority w:val="99"/>
    <w:rsid w:val="009129EE"/>
  </w:style>
  <w:style w:type="paragraph" w:styleId="Footer">
    <w:name w:val="footer"/>
    <w:basedOn w:val="Normal"/>
    <w:link w:val="FooterChar"/>
    <w:uiPriority w:val="99"/>
    <w:unhideWhenUsed/>
    <w:rsid w:val="009129EE"/>
    <w:pPr>
      <w:tabs>
        <w:tab w:val="center" w:pos="4513"/>
        <w:tab w:val="right" w:pos="9026"/>
      </w:tabs>
    </w:pPr>
  </w:style>
  <w:style w:type="character" w:customStyle="1" w:styleId="FooterChar">
    <w:name w:val="Footer Char"/>
    <w:basedOn w:val="DefaultParagraphFont"/>
    <w:link w:val="Footer"/>
    <w:uiPriority w:val="99"/>
    <w:rsid w:val="009129EE"/>
  </w:style>
  <w:style w:type="paragraph" w:styleId="ListParagraph">
    <w:name w:val="List Paragraph"/>
    <w:basedOn w:val="Normal"/>
    <w:uiPriority w:val="34"/>
    <w:qFormat/>
    <w:rsid w:val="004001EA"/>
    <w:pPr>
      <w:spacing w:after="160" w:line="259"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39"/>
    <w:rsid w:val="004001EA"/>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0FE3"/>
    <w:rPr>
      <w:color w:val="800080" w:themeColor="followedHyperlink"/>
      <w:u w:val="single"/>
    </w:rPr>
  </w:style>
  <w:style w:type="paragraph" w:styleId="BalloonText">
    <w:name w:val="Balloon Text"/>
    <w:basedOn w:val="Normal"/>
    <w:link w:val="BalloonTextChar"/>
    <w:uiPriority w:val="99"/>
    <w:semiHidden/>
    <w:unhideWhenUsed/>
    <w:rsid w:val="00B36D34"/>
    <w:rPr>
      <w:rFonts w:ascii="Tahoma" w:hAnsi="Tahoma" w:cs="Tahoma"/>
      <w:sz w:val="16"/>
      <w:szCs w:val="16"/>
    </w:rPr>
  </w:style>
  <w:style w:type="character" w:customStyle="1" w:styleId="BalloonTextChar">
    <w:name w:val="Balloon Text Char"/>
    <w:basedOn w:val="DefaultParagraphFont"/>
    <w:link w:val="BalloonText"/>
    <w:uiPriority w:val="99"/>
    <w:semiHidden/>
    <w:rsid w:val="00B36D34"/>
    <w:rPr>
      <w:rFonts w:ascii="Tahoma" w:hAnsi="Tahoma" w:cs="Tahoma"/>
      <w:sz w:val="16"/>
      <w:szCs w:val="16"/>
    </w:rPr>
  </w:style>
  <w:style w:type="character" w:styleId="CommentReference">
    <w:name w:val="annotation reference"/>
    <w:basedOn w:val="DefaultParagraphFont"/>
    <w:uiPriority w:val="99"/>
    <w:semiHidden/>
    <w:unhideWhenUsed/>
    <w:rsid w:val="00B36D34"/>
    <w:rPr>
      <w:sz w:val="16"/>
      <w:szCs w:val="16"/>
    </w:rPr>
  </w:style>
  <w:style w:type="paragraph" w:styleId="CommentText">
    <w:name w:val="annotation text"/>
    <w:basedOn w:val="Normal"/>
    <w:link w:val="CommentTextChar"/>
    <w:uiPriority w:val="99"/>
    <w:unhideWhenUsed/>
    <w:rsid w:val="00B36D34"/>
  </w:style>
  <w:style w:type="character" w:customStyle="1" w:styleId="CommentTextChar">
    <w:name w:val="Comment Text Char"/>
    <w:basedOn w:val="DefaultParagraphFont"/>
    <w:link w:val="CommentText"/>
    <w:uiPriority w:val="99"/>
    <w:rsid w:val="00B36D34"/>
  </w:style>
  <w:style w:type="paragraph" w:styleId="CommentSubject">
    <w:name w:val="annotation subject"/>
    <w:basedOn w:val="CommentText"/>
    <w:next w:val="CommentText"/>
    <w:link w:val="CommentSubjectChar"/>
    <w:uiPriority w:val="99"/>
    <w:semiHidden/>
    <w:unhideWhenUsed/>
    <w:rsid w:val="00B36D34"/>
    <w:rPr>
      <w:b/>
      <w:bCs/>
    </w:rPr>
  </w:style>
  <w:style w:type="character" w:customStyle="1" w:styleId="CommentSubjectChar">
    <w:name w:val="Comment Subject Char"/>
    <w:basedOn w:val="CommentTextChar"/>
    <w:link w:val="CommentSubject"/>
    <w:uiPriority w:val="99"/>
    <w:semiHidden/>
    <w:rsid w:val="00B36D34"/>
    <w:rPr>
      <w:b/>
      <w:bCs/>
    </w:rPr>
  </w:style>
  <w:style w:type="character" w:styleId="UnresolvedMention">
    <w:name w:val="Unresolved Mention"/>
    <w:basedOn w:val="DefaultParagraphFont"/>
    <w:uiPriority w:val="99"/>
    <w:semiHidden/>
    <w:unhideWhenUsed/>
    <w:rsid w:val="00A124DC"/>
    <w:rPr>
      <w:color w:val="605E5C"/>
      <w:shd w:val="clear" w:color="auto" w:fill="E1DFDD"/>
    </w:rPr>
  </w:style>
  <w:style w:type="paragraph" w:styleId="Revision">
    <w:name w:val="Revision"/>
    <w:hidden/>
    <w:uiPriority w:val="99"/>
    <w:semiHidden/>
    <w:rsid w:val="0037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x.doi.org/10.1016/j.inteco.2019.11.005" TargetMode="External"/><Relationship Id="rId26" Type="http://schemas.openxmlformats.org/officeDocument/2006/relationships/hyperlink" Target="https://doi.org/10.21831/economia.v16i2.29342" TargetMode="External"/><Relationship Id="rId39" Type="http://schemas.openxmlformats.org/officeDocument/2006/relationships/hyperlink" Target="https://dx.doi.org/10.1007/s11205-020-02521-6" TargetMode="External"/><Relationship Id="rId21" Type="http://schemas.openxmlformats.org/officeDocument/2006/relationships/hyperlink" Target="https://dx.doi.org/10.18196/jerss.040119" TargetMode="External"/><Relationship Id="rId34" Type="http://schemas.openxmlformats.org/officeDocument/2006/relationships/hyperlink" Target="https://doi.org/10.33059/jseb.v13i1.3962" TargetMode="External"/><Relationship Id="rId42" Type="http://schemas.openxmlformats.org/officeDocument/2006/relationships/hyperlink" Target="https://doi.org/10.46336/ijbesd.v2i2.134"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x.doi.org/10.7764/LAJE.51.1.1" TargetMode="External"/><Relationship Id="rId29" Type="http://schemas.openxmlformats.org/officeDocument/2006/relationships/hyperlink" Target="http://dx.doi.org/10.1016/j.eneco.2013.09.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doi.org/10.1890/02-3114" TargetMode="External"/><Relationship Id="rId32" Type="http://schemas.openxmlformats.org/officeDocument/2006/relationships/hyperlink" Target="https://dx.doi.org/10.35808/ijeba/637" TargetMode="External"/><Relationship Id="rId37" Type="http://schemas.openxmlformats.org/officeDocument/2006/relationships/hyperlink" Target="https://doi.org/10.1016/j.jce.2006.08.004" TargetMode="External"/><Relationship Id="rId40" Type="http://schemas.openxmlformats.org/officeDocument/2006/relationships/hyperlink" Target="https://doi.org/10.18196/jesp.v23i2.15307"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x.doi.org/10.1016/j.jenvman.2017.03.029" TargetMode="External"/><Relationship Id="rId23" Type="http://schemas.openxmlformats.org/officeDocument/2006/relationships/hyperlink" Target="https://openknowledge.worldbank.org/handle/10986/3908" TargetMode="External"/><Relationship Id="rId28" Type="http://schemas.openxmlformats.org/officeDocument/2006/relationships/hyperlink" Target="https://dx.doi.org/10.1108/978-1-78743-783-820192010" TargetMode="External"/><Relationship Id="rId36" Type="http://schemas.openxmlformats.org/officeDocument/2006/relationships/hyperlink" Target="https://doi.org/10.1007/s10290-021-00433-2" TargetMode="External"/><Relationship Id="rId10" Type="http://schemas.openxmlformats.org/officeDocument/2006/relationships/image" Target="media/image3.png"/><Relationship Id="rId19" Type="http://schemas.openxmlformats.org/officeDocument/2006/relationships/hyperlink" Target="https://bps.go.id/" TargetMode="External"/><Relationship Id="rId31" Type="http://schemas.openxmlformats.org/officeDocument/2006/relationships/hyperlink" Target="https://doi.org/10.29259/jep.v19i1.13187" TargetMode="External"/><Relationship Id="rId44" Type="http://schemas.openxmlformats.org/officeDocument/2006/relationships/hyperlink" Target="http://dx.doi.org/10.2991/aebmr.k.210220.053" TargetMode="External"/><Relationship Id="rId4" Type="http://schemas.openxmlformats.org/officeDocument/2006/relationships/webSettings" Target="webSettings.xml"/><Relationship Id="rId9" Type="http://schemas.openxmlformats.org/officeDocument/2006/relationships/hyperlink" Target="https://ekp.feb.unsyiah.ac.id/" TargetMode="External"/><Relationship Id="rId14" Type="http://schemas.openxmlformats.org/officeDocument/2006/relationships/hyperlink" Target="https://doi.org/10.1016/j.sbspro.2014.03.668" TargetMode="External"/><Relationship Id="rId22" Type="http://schemas.openxmlformats.org/officeDocument/2006/relationships/hyperlink" Target="https://doi.org/10.46336/ijbesd.v2i2.135" TargetMode="External"/><Relationship Id="rId27" Type="http://schemas.openxmlformats.org/officeDocument/2006/relationships/hyperlink" Target="https://doi.org/10.28934/ea.21.54.2.pp94-103" TargetMode="External"/><Relationship Id="rId30" Type="http://schemas.openxmlformats.org/officeDocument/2006/relationships/hyperlink" Target="https://doi.org/10.18196/jesp.20.2.5021" TargetMode="External"/><Relationship Id="rId35" Type="http://schemas.openxmlformats.org/officeDocument/2006/relationships/hyperlink" Target="https://dx.doi.org/10.24856/mem.v36i2.1990" TargetMode="External"/><Relationship Id="rId43" Type="http://schemas.openxmlformats.org/officeDocument/2006/relationships/hyperlink" Target="https://doi.org/10.18196/jesp.21.1.5035"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doi.org/10.1111/ecin.12475" TargetMode="External"/><Relationship Id="rId25" Type="http://schemas.openxmlformats.org/officeDocument/2006/relationships/hyperlink" Target="https://doi.org/10.1111/j.1467-7679.2004.00245.x" TargetMode="External"/><Relationship Id="rId33" Type="http://schemas.openxmlformats.org/officeDocument/2006/relationships/hyperlink" Target="https://dx.doi.org/10.1109/DASA53625.2021.9682377" TargetMode="External"/><Relationship Id="rId38" Type="http://schemas.openxmlformats.org/officeDocument/2006/relationships/hyperlink" Target="http://dx.doi.org/10.1093/acprof:oso/9780199535194.001.0001" TargetMode="External"/><Relationship Id="rId46" Type="http://schemas.openxmlformats.org/officeDocument/2006/relationships/footer" Target="footer1.xml"/><Relationship Id="rId20" Type="http://schemas.openxmlformats.org/officeDocument/2006/relationships/hyperlink" Target="https://doi.org/10.1787/1815199X" TargetMode="External"/><Relationship Id="rId41" Type="http://schemas.openxmlformats.org/officeDocument/2006/relationships/hyperlink" Target="https://doi.org/10.18196/jesp.v22i1.933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2\Tesis\data\pendahulu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S2\Tesis\data\pendahulu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Sheet4!$A$27</c:f>
              <c:strCache>
                <c:ptCount val="1"/>
                <c:pt idx="0">
                  <c:v>Indonesia</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dLbls>
            <c:dLbl>
              <c:idx val="1"/>
              <c:layout>
                <c:manualLayout>
                  <c:x val="-3.6041776027996499E-2"/>
                  <c:y val="6.9409813356663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64-4911-91A3-53DA13AD13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Sheet4!$B$26:$M$26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Sheet4!$B$27:$M$27</c:f>
              <c:numCache>
                <c:formatCode>General</c:formatCode>
                <c:ptCount val="12"/>
                <c:pt idx="0">
                  <c:v>0.378</c:v>
                </c:pt>
                <c:pt idx="1">
                  <c:v>0.41</c:v>
                </c:pt>
                <c:pt idx="2">
                  <c:v>0.41</c:v>
                </c:pt>
                <c:pt idx="3">
                  <c:v>0.41299999999999998</c:v>
                </c:pt>
                <c:pt idx="4">
                  <c:v>0.40600000000000003</c:v>
                </c:pt>
                <c:pt idx="5">
                  <c:v>0.40799999999999997</c:v>
                </c:pt>
                <c:pt idx="6">
                  <c:v>0.39700000000000002</c:v>
                </c:pt>
                <c:pt idx="7">
                  <c:v>0.39300000000000002</c:v>
                </c:pt>
                <c:pt idx="8">
                  <c:v>0.38900000000000001</c:v>
                </c:pt>
                <c:pt idx="9">
                  <c:v>0.38</c:v>
                </c:pt>
                <c:pt idx="10">
                  <c:v>0.38100000000000001</c:v>
                </c:pt>
                <c:pt idx="11">
                  <c:v>0.38400000000000001</c:v>
                </c:pt>
              </c:numCache>
            </c:numRef>
          </c:val>
          <c:smooth val="0"/>
          <c:extLst>
            <c:ext xmlns:c16="http://schemas.microsoft.com/office/drawing/2014/chart" uri="{C3380CC4-5D6E-409C-BE32-E72D297353CC}">
              <c16:uniqueId val="{00000001-AF64-4911-91A3-53DA13AD136A}"/>
            </c:ext>
          </c:extLst>
        </c:ser>
        <c:ser>
          <c:idx val="1"/>
          <c:order val="1"/>
          <c:tx>
            <c:strRef>
              <c:f>Sheet4!$A$28</c:f>
              <c:strCache>
                <c:ptCount val="1"/>
                <c:pt idx="0">
                  <c:v>Yogyakarta Province</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Sheet4!$B$26:$M$26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Sheet4!$B$28:$M$28</c:f>
              <c:numCache>
                <c:formatCode>General</c:formatCode>
                <c:ptCount val="12"/>
                <c:pt idx="0">
                  <c:v>0.439</c:v>
                </c:pt>
                <c:pt idx="1">
                  <c:v>0.41899999999999998</c:v>
                </c:pt>
                <c:pt idx="2">
                  <c:v>0.433</c:v>
                </c:pt>
                <c:pt idx="3">
                  <c:v>0.42</c:v>
                </c:pt>
                <c:pt idx="4">
                  <c:v>0.432</c:v>
                </c:pt>
                <c:pt idx="5">
                  <c:v>0.441</c:v>
                </c:pt>
                <c:pt idx="6">
                  <c:v>0.42299999999999999</c:v>
                </c:pt>
                <c:pt idx="7">
                  <c:v>0.432</c:v>
                </c:pt>
                <c:pt idx="8">
                  <c:v>0.441</c:v>
                </c:pt>
                <c:pt idx="9">
                  <c:v>0.42299999999999999</c:v>
                </c:pt>
                <c:pt idx="10">
                  <c:v>0.434</c:v>
                </c:pt>
                <c:pt idx="11">
                  <c:v>0.441</c:v>
                </c:pt>
              </c:numCache>
            </c:numRef>
          </c:val>
          <c:smooth val="0"/>
          <c:extLst>
            <c:ext xmlns:c16="http://schemas.microsoft.com/office/drawing/2014/chart" uri="{C3380CC4-5D6E-409C-BE32-E72D297353CC}">
              <c16:uniqueId val="{00000002-AF64-4911-91A3-53DA13AD136A}"/>
            </c:ext>
          </c:extLst>
        </c:ser>
        <c:dLbls>
          <c:dLblPos val="ctr"/>
          <c:showLegendKey val="0"/>
          <c:showVal val="1"/>
          <c:showCatName val="0"/>
          <c:showSerName val="0"/>
          <c:showPercent val="0"/>
          <c:showBubbleSize val="0"/>
        </c:dLbls>
        <c:marker val="1"/>
        <c:smooth val="0"/>
        <c:axId val="49672271"/>
        <c:axId val="49670191"/>
      </c:lineChart>
      <c:catAx>
        <c:axId val="49672271"/>
        <c:scaling>
          <c:orientation val="minMax"/>
        </c:scaling>
        <c:delete val="0"/>
        <c:axPos val="b"/>
        <c:majorGridlines>
          <c:spPr>
            <a:ln w="9525" cap="flat" cmpd="sng" algn="ctr">
              <a:solidFill>
                <a:schemeClr val="accent1">
                  <a:alpha val="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670191"/>
        <c:crosses val="autoZero"/>
        <c:auto val="1"/>
        <c:lblAlgn val="ctr"/>
        <c:lblOffset val="100"/>
        <c:noMultiLvlLbl val="0"/>
      </c:catAx>
      <c:valAx>
        <c:axId val="49670191"/>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72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Sheet4!$A$5</c:f>
              <c:strCache>
                <c:ptCount val="1"/>
                <c:pt idx="0">
                  <c:v>Poverty</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Sheet4!$B$5:$M$5</c:f>
              <c:numCache>
                <c:formatCode>General</c:formatCode>
                <c:ptCount val="12"/>
                <c:pt idx="0">
                  <c:v>15.63</c:v>
                </c:pt>
                <c:pt idx="1">
                  <c:v>16.14</c:v>
                </c:pt>
                <c:pt idx="2">
                  <c:v>15.88</c:v>
                </c:pt>
                <c:pt idx="3">
                  <c:v>15.03</c:v>
                </c:pt>
                <c:pt idx="4">
                  <c:v>14.55</c:v>
                </c:pt>
                <c:pt idx="5">
                  <c:v>14.91</c:v>
                </c:pt>
                <c:pt idx="6">
                  <c:v>13.34</c:v>
                </c:pt>
                <c:pt idx="7">
                  <c:v>13.02</c:v>
                </c:pt>
                <c:pt idx="8">
                  <c:v>12.13</c:v>
                </c:pt>
                <c:pt idx="9">
                  <c:v>11.7</c:v>
                </c:pt>
                <c:pt idx="10">
                  <c:v>12.28</c:v>
                </c:pt>
                <c:pt idx="11">
                  <c:v>12.8</c:v>
                </c:pt>
              </c:numCache>
            </c:numRef>
          </c:val>
          <c:extLst>
            <c:ext xmlns:c16="http://schemas.microsoft.com/office/drawing/2014/chart" uri="{C3380CC4-5D6E-409C-BE32-E72D297353CC}">
              <c16:uniqueId val="{00000000-A176-4B7D-B6CA-2110A06107B3}"/>
            </c:ext>
          </c:extLst>
        </c:ser>
        <c:ser>
          <c:idx val="2"/>
          <c:order val="2"/>
          <c:tx>
            <c:strRef>
              <c:f>Sheet4!$A$6</c:f>
              <c:strCache>
                <c:ptCount val="1"/>
                <c:pt idx="0">
                  <c:v>Growth</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Sheet4!$B$6:$M$6</c:f>
              <c:numCache>
                <c:formatCode>General</c:formatCode>
                <c:ptCount val="12"/>
                <c:pt idx="0">
                  <c:v>4.58</c:v>
                </c:pt>
                <c:pt idx="1">
                  <c:v>5.21</c:v>
                </c:pt>
                <c:pt idx="2">
                  <c:v>5.37</c:v>
                </c:pt>
                <c:pt idx="3">
                  <c:v>5.47</c:v>
                </c:pt>
                <c:pt idx="4">
                  <c:v>5.17</c:v>
                </c:pt>
                <c:pt idx="5">
                  <c:v>4.95</c:v>
                </c:pt>
                <c:pt idx="6">
                  <c:v>5.05</c:v>
                </c:pt>
                <c:pt idx="7">
                  <c:v>5.26</c:v>
                </c:pt>
                <c:pt idx="8">
                  <c:v>6.2</c:v>
                </c:pt>
                <c:pt idx="9">
                  <c:v>6.59</c:v>
                </c:pt>
                <c:pt idx="10">
                  <c:v>-2.68</c:v>
                </c:pt>
                <c:pt idx="11">
                  <c:v>5.53</c:v>
                </c:pt>
              </c:numCache>
            </c:numRef>
          </c:val>
          <c:extLst>
            <c:ext xmlns:c16="http://schemas.microsoft.com/office/drawing/2014/chart" uri="{C3380CC4-5D6E-409C-BE32-E72D297353CC}">
              <c16:uniqueId val="{00000001-A176-4B7D-B6CA-2110A06107B3}"/>
            </c:ext>
          </c:extLst>
        </c:ser>
        <c:dLbls>
          <c:showLegendKey val="0"/>
          <c:showVal val="0"/>
          <c:showCatName val="0"/>
          <c:showSerName val="0"/>
          <c:showPercent val="0"/>
          <c:showBubbleSize val="0"/>
        </c:dLbls>
        <c:gapWidth val="219"/>
        <c:axId val="184027776"/>
        <c:axId val="184037760"/>
      </c:barChart>
      <c:lineChart>
        <c:grouping val="standard"/>
        <c:varyColors val="0"/>
        <c:ser>
          <c:idx val="0"/>
          <c:order val="0"/>
          <c:tx>
            <c:strRef>
              <c:f>Sheet4!$A$4</c:f>
              <c:strCache>
                <c:ptCount val="1"/>
                <c:pt idx="0">
                  <c:v>Gini</c:v>
                </c:pt>
              </c:strCache>
            </c:strRef>
          </c:tx>
          <c:spPr>
            <a:ln w="28575" cap="rnd">
              <a:solidFill>
                <a:schemeClr val="accent1"/>
              </a:solidFill>
              <a:round/>
            </a:ln>
            <a:effectLst/>
          </c:spPr>
          <c:marker>
            <c:symbol val="none"/>
          </c:marker>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Sheet4!$B$4:$M$4</c:f>
              <c:numCache>
                <c:formatCode>General</c:formatCode>
                <c:ptCount val="12"/>
                <c:pt idx="0">
                  <c:v>0.439</c:v>
                </c:pt>
                <c:pt idx="1">
                  <c:v>0.41899999999999998</c:v>
                </c:pt>
                <c:pt idx="2">
                  <c:v>0.433</c:v>
                </c:pt>
                <c:pt idx="3">
                  <c:v>0.42</c:v>
                </c:pt>
                <c:pt idx="4">
                  <c:v>0.432</c:v>
                </c:pt>
                <c:pt idx="5">
                  <c:v>0.441</c:v>
                </c:pt>
                <c:pt idx="6">
                  <c:v>0.42299999999999999</c:v>
                </c:pt>
                <c:pt idx="7">
                  <c:v>0.432</c:v>
                </c:pt>
                <c:pt idx="8">
                  <c:v>0.441</c:v>
                </c:pt>
                <c:pt idx="9">
                  <c:v>0.42299999999999999</c:v>
                </c:pt>
                <c:pt idx="10">
                  <c:v>0.434</c:v>
                </c:pt>
                <c:pt idx="11">
                  <c:v>0.441</c:v>
                </c:pt>
              </c:numCache>
            </c:numRef>
          </c:val>
          <c:smooth val="0"/>
          <c:extLst>
            <c:ext xmlns:c16="http://schemas.microsoft.com/office/drawing/2014/chart" uri="{C3380CC4-5D6E-409C-BE32-E72D297353CC}">
              <c16:uniqueId val="{00000002-A176-4B7D-B6CA-2110A06107B3}"/>
            </c:ext>
          </c:extLst>
        </c:ser>
        <c:dLbls>
          <c:showLegendKey val="0"/>
          <c:showVal val="0"/>
          <c:showCatName val="0"/>
          <c:showSerName val="0"/>
          <c:showPercent val="0"/>
          <c:showBubbleSize val="0"/>
        </c:dLbls>
        <c:marker val="1"/>
        <c:smooth val="0"/>
        <c:axId val="184040832"/>
        <c:axId val="184039296"/>
      </c:lineChart>
      <c:catAx>
        <c:axId val="1840277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37760"/>
        <c:crosses val="autoZero"/>
        <c:auto val="1"/>
        <c:lblAlgn val="ctr"/>
        <c:lblOffset val="100"/>
        <c:noMultiLvlLbl val="0"/>
      </c:catAx>
      <c:valAx>
        <c:axId val="18403776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27776"/>
        <c:crosses val="autoZero"/>
        <c:crossBetween val="between"/>
      </c:valAx>
      <c:valAx>
        <c:axId val="1840392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40832"/>
        <c:crosses val="max"/>
        <c:crossBetween val="between"/>
      </c:valAx>
      <c:catAx>
        <c:axId val="184040832"/>
        <c:scaling>
          <c:orientation val="minMax"/>
        </c:scaling>
        <c:delete val="1"/>
        <c:axPos val="b"/>
        <c:numFmt formatCode="General" sourceLinked="1"/>
        <c:majorTickMark val="none"/>
        <c:minorTickMark val="none"/>
        <c:tickLblPos val="nextTo"/>
        <c:crossAx val="184039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6700</Words>
  <Characters>38196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Ekonomidan Bisnis21</cp:lastModifiedBy>
  <cp:revision>2</cp:revision>
  <dcterms:created xsi:type="dcterms:W3CDTF">2022-12-08T21:53:00Z</dcterms:created>
  <dcterms:modified xsi:type="dcterms:W3CDTF">2022-12-08T21:53:00Z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3a358d1b99460a907ae54bce669adc27c0749a9915556f86d02613dffe2de161</vt:lpwstr>
  </property>
</Properties>
</file>