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62AC9D06" w:rsidR="00214FDC" w:rsidRPr="00870330" w:rsidRDefault="004C2EEB" w:rsidP="004C2EEB">
      <w:pPr>
        <w:spacing w:after="0" w:line="240" w:lineRule="auto"/>
        <w:jc w:val="center"/>
        <w:rPr>
          <w:rFonts w:asciiTheme="minorHAnsi" w:hAnsiTheme="minorHAnsi" w:cstheme="minorHAnsi"/>
          <w:b/>
          <w:bCs/>
          <w:color w:val="0D0D0D" w:themeColor="text1" w:themeTint="F2"/>
          <w:sz w:val="28"/>
        </w:rPr>
      </w:pPr>
      <w:r w:rsidRPr="00870330">
        <w:rPr>
          <w:rFonts w:asciiTheme="minorHAnsi" w:hAnsiTheme="minorHAnsi" w:cstheme="minorHAnsi"/>
          <w:b/>
          <w:bCs/>
          <w:color w:val="0D0D0D" w:themeColor="text1" w:themeTint="F2"/>
          <w:sz w:val="28"/>
        </w:rPr>
        <w:t>DEFORESTATION-INDUCED THE EKC FRAMEWORK: THE ROLE OF CORRUPTION CONTROL AND TRADE OPENNESS</w:t>
      </w:r>
      <w:r w:rsidR="001059A3" w:rsidRPr="00870330">
        <w:rPr>
          <w:rFonts w:asciiTheme="minorHAnsi" w:hAnsiTheme="minorHAnsi" w:cstheme="minorHAnsi"/>
          <w:b/>
          <w:bCs/>
          <w:color w:val="0D0D0D" w:themeColor="text1" w:themeTint="F2"/>
          <w:sz w:val="28"/>
        </w:rPr>
        <w:t xml:space="preserve"> IN SOUTHEAST ASIA</w:t>
      </w:r>
    </w:p>
    <w:p w14:paraId="00000004" w14:textId="77777777" w:rsidR="00214FDC" w:rsidRPr="00870330" w:rsidRDefault="00214FDC">
      <w:pPr>
        <w:spacing w:after="0"/>
        <w:rPr>
          <w:b/>
          <w:color w:val="0D0D0D" w:themeColor="text1" w:themeTint="F2"/>
        </w:rPr>
      </w:pPr>
    </w:p>
    <w:p w14:paraId="00000005" w14:textId="77777777" w:rsidR="00214FDC" w:rsidRPr="00870330" w:rsidRDefault="00F21149">
      <w:pPr>
        <w:spacing w:after="0"/>
        <w:rPr>
          <w:b/>
          <w:color w:val="0D0D0D" w:themeColor="text1" w:themeTint="F2"/>
        </w:rPr>
      </w:pPr>
      <w:r w:rsidRPr="00870330">
        <w:rPr>
          <w:b/>
          <w:color w:val="0D0D0D" w:themeColor="text1" w:themeTint="F2"/>
        </w:rPr>
        <w:t>Abstract</w:t>
      </w:r>
    </w:p>
    <w:p w14:paraId="33269482" w14:textId="66C35A3E" w:rsidR="00E502B0" w:rsidRPr="00870330" w:rsidRDefault="00E502B0" w:rsidP="00E502B0">
      <w:pPr>
        <w:spacing w:after="0"/>
        <w:jc w:val="both"/>
        <w:rPr>
          <w:rFonts w:asciiTheme="minorHAnsi" w:hAnsiTheme="minorHAnsi" w:cstheme="minorHAnsi"/>
          <w:bCs/>
          <w:color w:val="0D0D0D" w:themeColor="text1" w:themeTint="F2"/>
          <w:lang w:eastAsia="id-ID"/>
        </w:rPr>
      </w:pPr>
      <w:r w:rsidRPr="00870330">
        <w:rPr>
          <w:rFonts w:asciiTheme="minorHAnsi" w:hAnsiTheme="minorHAnsi" w:cstheme="minorHAnsi"/>
          <w:bCs/>
          <w:color w:val="0D0D0D" w:themeColor="text1" w:themeTint="F2"/>
          <w:lang w:eastAsia="id-ID"/>
        </w:rPr>
        <w:t xml:space="preserve">Reducing the deforestation rate and formulating sustainable forest governance are still challenging for Southeast Asia. This </w:t>
      </w:r>
      <w:r w:rsidR="002E4999">
        <w:rPr>
          <w:rFonts w:asciiTheme="minorHAnsi" w:hAnsiTheme="minorHAnsi" w:cstheme="minorHAnsi"/>
          <w:bCs/>
          <w:color w:val="0D0D0D" w:themeColor="text1" w:themeTint="F2"/>
          <w:lang w:eastAsia="id-ID"/>
        </w:rPr>
        <w:t>paper</w:t>
      </w:r>
      <w:r w:rsidRPr="00870330">
        <w:rPr>
          <w:rFonts w:asciiTheme="minorHAnsi" w:hAnsiTheme="minorHAnsi" w:cstheme="minorHAnsi"/>
          <w:bCs/>
          <w:color w:val="0D0D0D" w:themeColor="text1" w:themeTint="F2"/>
          <w:lang w:eastAsia="id-ID"/>
        </w:rPr>
        <w:t xml:space="preserve"> intends to investigate the dynamic </w:t>
      </w:r>
      <w:r w:rsidR="002E4999">
        <w:rPr>
          <w:rFonts w:asciiTheme="minorHAnsi" w:hAnsiTheme="minorHAnsi" w:cstheme="minorHAnsi"/>
          <w:bCs/>
          <w:color w:val="0D0D0D" w:themeColor="text1" w:themeTint="F2"/>
          <w:lang w:eastAsia="id-ID"/>
        </w:rPr>
        <w:t>connection</w:t>
      </w:r>
      <w:r w:rsidRPr="00870330">
        <w:rPr>
          <w:rFonts w:asciiTheme="minorHAnsi" w:hAnsiTheme="minorHAnsi" w:cstheme="minorHAnsi"/>
          <w:bCs/>
          <w:color w:val="0D0D0D" w:themeColor="text1" w:themeTint="F2"/>
          <w:lang w:eastAsia="id-ID"/>
        </w:rPr>
        <w:t xml:space="preserve"> between GDP, trade openness, corruption, and deforestation within the Environmental Kuznets Curve (EKC) framework by considering controls over agriculture and population. This study uses panel data from nine countries from 1996 to 2018. Pooled Mean Group (PMG) estimation and panel data causality tests (DH) were applied to </w:t>
      </w:r>
      <w:r w:rsidR="00870330">
        <w:rPr>
          <w:rFonts w:asciiTheme="minorHAnsi" w:hAnsiTheme="minorHAnsi" w:cstheme="minorHAnsi"/>
          <w:bCs/>
          <w:color w:val="0D0D0D" w:themeColor="text1" w:themeTint="F2"/>
          <w:lang w:eastAsia="id-ID"/>
        </w:rPr>
        <w:t>examine</w:t>
      </w:r>
      <w:r w:rsidRPr="00870330">
        <w:rPr>
          <w:rFonts w:asciiTheme="minorHAnsi" w:hAnsiTheme="minorHAnsi" w:cstheme="minorHAnsi"/>
          <w:bCs/>
          <w:color w:val="0D0D0D" w:themeColor="text1" w:themeTint="F2"/>
          <w:lang w:eastAsia="id-ID"/>
        </w:rPr>
        <w:t xml:space="preserve"> the variables’ long-term relationships and the direction of the causality. This article also features unit root and </w:t>
      </w:r>
      <w:proofErr w:type="spellStart"/>
      <w:r w:rsidRPr="00870330">
        <w:rPr>
          <w:rFonts w:asciiTheme="minorHAnsi" w:hAnsiTheme="minorHAnsi" w:cstheme="minorHAnsi"/>
          <w:bCs/>
          <w:color w:val="0D0D0D" w:themeColor="text1" w:themeTint="F2"/>
          <w:lang w:eastAsia="id-ID"/>
        </w:rPr>
        <w:t>cointegration</w:t>
      </w:r>
      <w:proofErr w:type="spellEnd"/>
      <w:r w:rsidRPr="00870330">
        <w:rPr>
          <w:rFonts w:asciiTheme="minorHAnsi" w:hAnsiTheme="minorHAnsi" w:cstheme="minorHAnsi"/>
          <w:bCs/>
          <w:color w:val="0D0D0D" w:themeColor="text1" w:themeTint="F2"/>
          <w:lang w:eastAsia="id-ID"/>
        </w:rPr>
        <w:t xml:space="preserve"> tests. The estimation results confirm that </w:t>
      </w:r>
      <w:proofErr w:type="spellStart"/>
      <w:r w:rsidRPr="00870330">
        <w:rPr>
          <w:rFonts w:asciiTheme="minorHAnsi" w:hAnsiTheme="minorHAnsi" w:cstheme="minorHAnsi"/>
          <w:bCs/>
          <w:color w:val="0D0D0D" w:themeColor="text1" w:themeTint="F2"/>
          <w:lang w:eastAsia="id-ID"/>
        </w:rPr>
        <w:t>cointegration</w:t>
      </w:r>
      <w:proofErr w:type="spellEnd"/>
      <w:r w:rsidRPr="00870330">
        <w:rPr>
          <w:rFonts w:asciiTheme="minorHAnsi" w:hAnsiTheme="minorHAnsi" w:cstheme="minorHAnsi"/>
          <w:bCs/>
          <w:color w:val="0D0D0D" w:themeColor="text1" w:themeTint="F2"/>
          <w:lang w:eastAsia="id-ID"/>
        </w:rPr>
        <w:t xml:space="preserve"> is evident. The results support the EKC hypothesis that the relationship between economic growth and deforestation forms an inverted-U curve. The turning point of the pe</w:t>
      </w:r>
      <w:r w:rsidR="00BC5421" w:rsidRPr="00870330">
        <w:rPr>
          <w:rFonts w:asciiTheme="minorHAnsi" w:hAnsiTheme="minorHAnsi" w:cstheme="minorHAnsi"/>
          <w:bCs/>
          <w:color w:val="0D0D0D" w:themeColor="text1" w:themeTint="F2"/>
          <w:lang w:eastAsia="id-ID"/>
        </w:rPr>
        <w:t>r capita GDP is USD 26785, i.e.</w:t>
      </w:r>
      <w:r w:rsidRPr="00870330">
        <w:rPr>
          <w:rFonts w:asciiTheme="minorHAnsi" w:hAnsiTheme="minorHAnsi" w:cstheme="minorHAnsi"/>
          <w:bCs/>
          <w:color w:val="0D0D0D" w:themeColor="text1" w:themeTint="F2"/>
          <w:lang w:eastAsia="id-ID"/>
        </w:rPr>
        <w:t xml:space="preserve"> the advanced stage of development. Other findings are that trade openness is a driver of deforestation and that governance (control over corruption) is an effective instrument to reduce the deforestation rate in the long term. Deforestation will still occur in Southeast Asia because only Brunei Darussalam has passed the turning point. However, implementing development programs while reducing the deforestation rate can be done because the bidirectional causality between GDP and deforestation is not confirmed. Improving trade regulations and governance is a necessary scheme to reduce deforestation rates in the future.</w:t>
      </w:r>
    </w:p>
    <w:p w14:paraId="1102CAB1" w14:textId="77777777" w:rsidR="00E502B0" w:rsidRPr="00870330" w:rsidRDefault="00E502B0">
      <w:pPr>
        <w:spacing w:after="0"/>
        <w:jc w:val="both"/>
        <w:rPr>
          <w:rFonts w:asciiTheme="minorHAnsi" w:hAnsiTheme="minorHAnsi" w:cstheme="minorHAnsi"/>
          <w:bCs/>
          <w:color w:val="0D0D0D" w:themeColor="text1" w:themeTint="F2"/>
          <w:lang w:eastAsia="id-ID"/>
        </w:rPr>
      </w:pPr>
    </w:p>
    <w:p w14:paraId="6FBF2D15" w14:textId="77777777" w:rsidR="004C2EEB" w:rsidRPr="00870330" w:rsidRDefault="004C2EEB">
      <w:pPr>
        <w:spacing w:after="0"/>
        <w:jc w:val="both"/>
        <w:rPr>
          <w:color w:val="0D0D0D" w:themeColor="text1" w:themeTint="F2"/>
        </w:rPr>
      </w:pPr>
    </w:p>
    <w:p w14:paraId="00000007" w14:textId="51359E5A" w:rsidR="00214FDC" w:rsidRPr="00870330" w:rsidRDefault="00F21149">
      <w:pPr>
        <w:spacing w:after="0"/>
        <w:jc w:val="both"/>
        <w:rPr>
          <w:color w:val="0D0D0D" w:themeColor="text1" w:themeTint="F2"/>
        </w:rPr>
      </w:pPr>
      <w:r w:rsidRPr="00870330">
        <w:rPr>
          <w:b/>
          <w:color w:val="0D0D0D" w:themeColor="text1" w:themeTint="F2"/>
        </w:rPr>
        <w:t>Keywords</w:t>
      </w:r>
      <w:r w:rsidR="004C2EEB" w:rsidRPr="00870330">
        <w:rPr>
          <w:color w:val="0D0D0D" w:themeColor="text1" w:themeTint="F2"/>
        </w:rPr>
        <w:t xml:space="preserve">: </w:t>
      </w:r>
      <w:r w:rsidR="004C2EEB" w:rsidRPr="00870330">
        <w:rPr>
          <w:rFonts w:asciiTheme="minorHAnsi" w:hAnsiTheme="minorHAnsi" w:cstheme="minorHAnsi"/>
          <w:color w:val="0D0D0D" w:themeColor="text1" w:themeTint="F2"/>
          <w:lang w:val="en-US" w:eastAsia="en-GB"/>
        </w:rPr>
        <w:t>Deforestation, GDP, trade openness, corruption, EKC, Southeast Asia</w:t>
      </w:r>
    </w:p>
    <w:p w14:paraId="00000008" w14:textId="45904CB6" w:rsidR="00214FDC" w:rsidRPr="00870330" w:rsidRDefault="00F21149">
      <w:pPr>
        <w:spacing w:after="0"/>
        <w:jc w:val="both"/>
        <w:rPr>
          <w:color w:val="0D0D0D" w:themeColor="text1" w:themeTint="F2"/>
        </w:rPr>
      </w:pPr>
      <w:r w:rsidRPr="00870330">
        <w:rPr>
          <w:b/>
          <w:color w:val="0D0D0D" w:themeColor="text1" w:themeTint="F2"/>
        </w:rPr>
        <w:t xml:space="preserve">JEL Classification: </w:t>
      </w:r>
      <w:r w:rsidR="00F86192" w:rsidRPr="00870330">
        <w:rPr>
          <w:b/>
          <w:color w:val="0D0D0D" w:themeColor="text1" w:themeTint="F2"/>
        </w:rPr>
        <w:t>O44, Q56, Q23, F18</w:t>
      </w:r>
    </w:p>
    <w:p w14:paraId="00000009" w14:textId="77777777" w:rsidR="00214FDC" w:rsidRPr="00870330" w:rsidRDefault="00214FDC">
      <w:pPr>
        <w:spacing w:after="0"/>
        <w:jc w:val="both"/>
        <w:rPr>
          <w:b/>
          <w:color w:val="0D0D0D" w:themeColor="text1" w:themeTint="F2"/>
        </w:rPr>
      </w:pPr>
    </w:p>
    <w:p w14:paraId="7585D459" w14:textId="77777777" w:rsidR="00672ECB" w:rsidRPr="00870330" w:rsidRDefault="00672ECB" w:rsidP="00672ECB">
      <w:pPr>
        <w:spacing w:after="0"/>
        <w:jc w:val="both"/>
        <w:rPr>
          <w:b/>
          <w:color w:val="0D0D0D" w:themeColor="text1" w:themeTint="F2"/>
        </w:rPr>
      </w:pPr>
      <w:bookmarkStart w:id="0" w:name="_heading=h.gjdgxs" w:colFirst="0" w:colLast="0"/>
      <w:bookmarkEnd w:id="0"/>
      <w:r w:rsidRPr="00870330">
        <w:rPr>
          <w:b/>
          <w:color w:val="0D0D0D" w:themeColor="text1" w:themeTint="F2"/>
          <w:sz w:val="28"/>
          <w:szCs w:val="28"/>
        </w:rPr>
        <w:t>Introduction</w:t>
      </w:r>
    </w:p>
    <w:p w14:paraId="2A306254" w14:textId="11C8FD8B" w:rsidR="00672ECB" w:rsidRPr="00870330" w:rsidRDefault="00672ECB" w:rsidP="00672ECB">
      <w:pPr>
        <w:spacing w:after="0"/>
        <w:jc w:val="both"/>
        <w:rPr>
          <w:color w:val="0D0D0D" w:themeColor="text1" w:themeTint="F2"/>
        </w:rPr>
      </w:pPr>
      <w:r w:rsidRPr="00870330">
        <w:rPr>
          <w:color w:val="0D0D0D" w:themeColor="text1" w:themeTint="F2"/>
        </w:rPr>
        <w:t xml:space="preserve">Improving forest governance, </w:t>
      </w:r>
      <w:r w:rsidR="0057600E" w:rsidRPr="00870330">
        <w:rPr>
          <w:color w:val="0D0D0D" w:themeColor="text1" w:themeTint="F2"/>
        </w:rPr>
        <w:t>reducing the rate of deforestation, and promoting sustainable development are notable agendas to battle the 21st-century climate crisis</w:t>
      </w:r>
      <w:r w:rsidRPr="00870330">
        <w:rPr>
          <w:color w:val="0D0D0D" w:themeColor="text1" w:themeTint="F2"/>
        </w:rPr>
        <w:t xml:space="preserve">. Forests are essential in sustainable development because they absorb 2.4 billion tons of carbon emissions annually and are home to 80% of terrestrial biodiversity </w:t>
      </w:r>
      <w:r w:rsidRPr="00870330">
        <w:rPr>
          <w:noProof/>
          <w:color w:val="0D0D0D"/>
        </w:rPr>
        <w:fldChar w:fldCharType="begin" w:fldLock="1"/>
      </w:r>
      <w:r w:rsidRPr="00870330">
        <w:rPr>
          <w:noProof/>
          <w:color w:val="0D0D0D"/>
        </w:rPr>
        <w:instrText>ADDIN CSL_CITATION {"citationItems":[{"id":"ITEM-1","itemData":{"abstract":"Over 300 million tons of plastic are produced every year for use in a wide variety of applications. • At least 8 million tons of plastic end up in our oceans every year, and make up 80% of all marine debris from surface waters to deep-sea sediments. • Marine species ingest or are entangled by plastic debris, which causes severe injuries and deaths. • Plastic pollution threatens food safety and quality, human health, coastal tourism, and contributes to climate change. • There is an urgent need to explore the use of existing legally binding international agreements to address marine plastic pollution. • Recycling and reuse of plastic products, and support for research and innovation to develop new products to replace single-use plastics are also necessary to prevent and reduce plastic pollution.","author":[{"dropping-particle":"","family":"International Union for Conservation of Nature","given":"","non-dropping-particle":"","parse-names":false,"suffix":""}],"container-title":"Issue Brief","id":"ITEM-1","issue":"February","issued":{"date-parts":[["2021"]]},"number-of-pages":"1-2","title":"Deforestation and Forest Degradation","type":"report"},"uris":["http://www.mendeley.com/documents/?uuid=a463b225-417e-4ec7-8f1b-cb755e898f9f"]}],"mendeley":{"formattedCitation":"(International Union for Conservation of Nature, 2021)","manualFormatting":"(IUCN, 2021)","plainTextFormattedCitation":"(International Union for Conservation of Nature, 2021)","previouslyFormattedCitation":"(International Union for Conservation of Nature, 2021)"},"properties":{"noteIndex":0},"schema":"https://github.com/citation-style-language/schema/raw/master/csl-citation.json"}</w:instrText>
      </w:r>
      <w:r w:rsidRPr="00870330">
        <w:rPr>
          <w:noProof/>
          <w:color w:val="0D0D0D"/>
        </w:rPr>
        <w:fldChar w:fldCharType="separate"/>
      </w:r>
      <w:r w:rsidRPr="00870330">
        <w:rPr>
          <w:noProof/>
          <w:color w:val="0D0D0D"/>
        </w:rPr>
        <w:t>(IUCN, 2021)</w:t>
      </w:r>
      <w:r w:rsidRPr="00870330">
        <w:rPr>
          <w:noProof/>
          <w:color w:val="0D0D0D"/>
        </w:rPr>
        <w:fldChar w:fldCharType="end"/>
      </w:r>
      <w:r w:rsidRPr="00870330">
        <w:rPr>
          <w:noProof/>
          <w:color w:val="0D0D0D"/>
        </w:rPr>
        <w:t xml:space="preserve">. </w:t>
      </w:r>
      <w:r w:rsidRPr="00870330">
        <w:rPr>
          <w:color w:val="0D0D0D" w:themeColor="text1" w:themeTint="F2"/>
        </w:rPr>
        <w:t xml:space="preserve">In addition, 606 </w:t>
      </w:r>
      <w:proofErr w:type="spellStart"/>
      <w:r w:rsidRPr="00870330">
        <w:rPr>
          <w:color w:val="0D0D0D" w:themeColor="text1" w:themeTint="F2"/>
        </w:rPr>
        <w:t>gigatons</w:t>
      </w:r>
      <w:proofErr w:type="spellEnd"/>
      <w:r w:rsidRPr="00870330">
        <w:rPr>
          <w:color w:val="0D0D0D" w:themeColor="text1" w:themeTint="F2"/>
        </w:rPr>
        <w:t xml:space="preserve"> of </w:t>
      </w:r>
      <w:r w:rsidR="007806FC" w:rsidRPr="00870330">
        <w:rPr>
          <w:color w:val="0D0D0D" w:themeColor="text1" w:themeTint="F2"/>
        </w:rPr>
        <w:t>biomass reserves are stored in forests</w:t>
      </w:r>
      <w:r w:rsidR="00B40F5C" w:rsidRPr="00870330">
        <w:rPr>
          <w:color w:val="0D0D0D" w:themeColor="text1" w:themeTint="F2"/>
        </w:rPr>
        <w:t>,</w:t>
      </w:r>
      <w:r w:rsidR="0057600E" w:rsidRPr="00870330">
        <w:rPr>
          <w:color w:val="0D0D0D" w:themeColor="text1" w:themeTint="F2"/>
        </w:rPr>
        <w:t xml:space="preserve"> </w:t>
      </w:r>
      <w:r w:rsidR="00B40F5C" w:rsidRPr="00870330">
        <w:rPr>
          <w:color w:val="0D0D0D" w:themeColor="text1" w:themeTint="F2"/>
        </w:rPr>
        <w:t>potential</w:t>
      </w:r>
      <w:r w:rsidR="00236F39" w:rsidRPr="00870330">
        <w:rPr>
          <w:color w:val="0D0D0D" w:themeColor="text1" w:themeTint="F2"/>
        </w:rPr>
        <w:t>ly</w:t>
      </w:r>
      <w:r w:rsidRPr="00870330">
        <w:rPr>
          <w:color w:val="0D0D0D" w:themeColor="text1" w:themeTint="F2"/>
        </w:rPr>
        <w:t xml:space="preserve"> as inputs for green growth </w:t>
      </w:r>
      <w:r w:rsidRPr="00870330">
        <w:rPr>
          <w:noProof/>
          <w:color w:val="0D0D0D"/>
        </w:rPr>
        <w:fldChar w:fldCharType="begin" w:fldLock="1"/>
      </w:r>
      <w:r w:rsidRPr="00870330">
        <w:rPr>
          <w:noProof/>
          <w:color w:val="0D0D0D"/>
        </w:rPr>
        <w:instrText>ADDIN CSL_CITATION {"citationItems":[{"id":"ITEM-1","itemData":{"DOI":"10.4324/9781315184487-1","ISBN":"9789251329740","abstract":"This study on sector finance and resource flows in the water sector in Ethiopia has been carried out to support the implementation of ongoing water and sanitation sector reforms by the Government of Ethiopia. The need for an assessment of water sector finance came out of an earlier report prepared on a request from the Government of Ethiopia in 2002 to support the Ministry of Water's inputs for the water supply component in preparation of the full Poverty Reduction Strategy paper (PRSP). This study draws on the 2002 report and develops more detailed analysis of sector finance and identifies issues that need to be addressed while developing a financing strategy for the water sector. The study focuses on institutional and financial mapping, and reviews various studies done to assess adequacy of funds to meet sector targets. The assessment is based mainly on secondary sources of information. Some of the information from this assessment was used in the Public Expenditure Review (PER) of the World Bank, and the additional information collected for the PER has also been used in the current report.","author":[{"dropping-particle":"","family":"FAO","given":"","non-dropping-particle":"","parse-names":false,"suffix":""}],"container-title":"FAO","id":"ITEM-1","issued":{"date-parts":[["2020"]]},"publisher-place":"Rome","title":"Global Forest Resources Assessment 2020: Main report","type":"report"},"uris":["http://www.mendeley.com/documents/?uuid=f045a3c3-be28-4d1d-85a5-7058eb561868"]}],"mendeley":{"formattedCitation":"(FAO, 2020)","plainTextFormattedCitation":"(FAO, 2020)","previouslyFormattedCitation":"(FAO, 2020)"},"properties":{"noteIndex":0},"schema":"https://github.com/citation-style-language/schema/raw/master/csl-citation.json"}</w:instrText>
      </w:r>
      <w:r w:rsidRPr="00870330">
        <w:rPr>
          <w:noProof/>
          <w:color w:val="0D0D0D"/>
        </w:rPr>
        <w:fldChar w:fldCharType="separate"/>
      </w:r>
      <w:r w:rsidRPr="00870330">
        <w:rPr>
          <w:noProof/>
          <w:color w:val="0D0D0D"/>
        </w:rPr>
        <w:t>(FAO, 2020)</w:t>
      </w:r>
      <w:r w:rsidRPr="00870330">
        <w:rPr>
          <w:noProof/>
          <w:color w:val="0D0D0D"/>
        </w:rPr>
        <w:fldChar w:fldCharType="end"/>
      </w:r>
      <w:r w:rsidRPr="00870330">
        <w:rPr>
          <w:noProof/>
          <w:color w:val="0D0D0D"/>
        </w:rPr>
        <w:t xml:space="preserve">. </w:t>
      </w:r>
      <w:r w:rsidRPr="00870330">
        <w:rPr>
          <w:color w:val="0D0D0D" w:themeColor="text1" w:themeTint="F2"/>
        </w:rPr>
        <w:t xml:space="preserve">However, the </w:t>
      </w:r>
      <w:r w:rsidR="00DA2C29" w:rsidRPr="00870330">
        <w:rPr>
          <w:color w:val="0D0D0D" w:themeColor="text1" w:themeTint="F2"/>
        </w:rPr>
        <w:t>remarkable</w:t>
      </w:r>
      <w:r w:rsidRPr="00870330">
        <w:rPr>
          <w:color w:val="0D0D0D" w:themeColor="text1" w:themeTint="F2"/>
        </w:rPr>
        <w:t xml:space="preserve"> benefits </w:t>
      </w:r>
      <w:r w:rsidR="00D8227A" w:rsidRPr="00870330">
        <w:rPr>
          <w:color w:val="0D0D0D" w:themeColor="text1" w:themeTint="F2"/>
        </w:rPr>
        <w:t>forest resources</w:t>
      </w:r>
      <w:r w:rsidRPr="00870330">
        <w:rPr>
          <w:color w:val="0D0D0D" w:themeColor="text1" w:themeTint="F2"/>
        </w:rPr>
        <w:t xml:space="preserve"> provide are threatened by the current situation in line with issues of </w:t>
      </w:r>
      <w:r w:rsidR="00E979D5" w:rsidRPr="00870330">
        <w:rPr>
          <w:color w:val="0D0D0D" w:themeColor="text1" w:themeTint="F2"/>
        </w:rPr>
        <w:t xml:space="preserve">forest degradation </w:t>
      </w:r>
      <w:r w:rsidRPr="00870330">
        <w:rPr>
          <w:color w:val="0D0D0D" w:themeColor="text1" w:themeTint="F2"/>
        </w:rPr>
        <w:t xml:space="preserve">and </w:t>
      </w:r>
      <w:r w:rsidR="00E979D5" w:rsidRPr="00870330">
        <w:rPr>
          <w:color w:val="0D0D0D" w:themeColor="text1" w:themeTint="F2"/>
        </w:rPr>
        <w:t>fragmentation.</w:t>
      </w:r>
    </w:p>
    <w:p w14:paraId="5794A966" w14:textId="77777777" w:rsidR="00672ECB" w:rsidRPr="00870330" w:rsidRDefault="00672ECB" w:rsidP="00672ECB">
      <w:pPr>
        <w:spacing w:after="0"/>
        <w:jc w:val="both"/>
        <w:rPr>
          <w:color w:val="0D0D0D" w:themeColor="text1" w:themeTint="F2"/>
        </w:rPr>
      </w:pPr>
    </w:p>
    <w:p w14:paraId="1D38FE12" w14:textId="7BFE36ED" w:rsidR="00672ECB" w:rsidRPr="00870330" w:rsidRDefault="00672ECB" w:rsidP="00672ECB">
      <w:pPr>
        <w:spacing w:after="0"/>
        <w:jc w:val="both"/>
        <w:rPr>
          <w:noProof/>
          <w:color w:val="0D0D0D"/>
        </w:rPr>
      </w:pPr>
      <w:r w:rsidRPr="00870330">
        <w:rPr>
          <w:color w:val="0D0D0D" w:themeColor="text1" w:themeTint="F2"/>
        </w:rPr>
        <w:t xml:space="preserve">The global deforestation rate for 2015-2020 is still relatively high, with nearly 10 million hectares per year </w:t>
      </w:r>
      <w:r w:rsidRPr="00870330">
        <w:rPr>
          <w:noProof/>
          <w:color w:val="0D0D0D"/>
        </w:rPr>
        <w:fldChar w:fldCharType="begin" w:fldLock="1"/>
      </w:r>
      <w:r w:rsidRPr="00870330">
        <w:rPr>
          <w:noProof/>
          <w:color w:val="0D0D0D"/>
        </w:rPr>
        <w:instrText>ADDIN CSL_CITATION {"citationItems":[{"id":"ITEM-1","itemData":{"DOI":"https://doi.org/10.4060/ca8642en","ISBN":"9789251324196","ISSN":"00167428","abstract":"The ninth biennial issue of State of the World’s Forests, published at the outset of 2011, the International Year of Forests, considers the theme ‘Changing pathways, changing lives: forests as multiple pathways to sustainable development’. It takes a holistic view of the multiple ways in which forests support livelihoods. The chapters assembled for this year’s State of the World’s Forests highlight four key areas : regional trends on forest resources; the development of sustainable forest industries; climate change mitigation and adaptation; and the local value of forests. examples: forest cover (including primary, secondary, and planted areas) in South East Asia and the Neotropics declined by 0.9 million and 4.2 million ha per year from 2000 to 2010 Chapter 1 The state of forest resources – a regional analysis Africa Asia and the Pacific Europe Latin America and the Caribbean The Near East North America Chapter 2 Developing sustainable forest industries Driving forces affecting forest industries Strategic choices for the future of the forest industry Summary and conclusions Chapter 3 The role of forests in climate change adaptation and mitigation Forests in the Kyoto Protocol Progress on forest-related climate change negotiations Forest carbon tenure: implications for sustainable REDD+ projects Strengthening the role of adaptation in climate change policies Summary and conclusions Chapter 4 The local value of forests Traditional knowledge Community-based forest management and small and medium forest enterprises Non-cash values of forests Challenges and emerging issues Summary and conclusions Annex Notes on the annex tables Table1: Basic data on countries and areas Table 2: Forest area and area change Table 3: Carbon stock and stock change in living forest biomass Table 4: Production, trade and consumption of woodfuel, roundwood and sawnwood, 2008 Table 5: Production, trade and consumption of wood-based panels, pulp and paper, 2008 Table 6: Forestry sector’s contribution to employment and gross domestic product, 2006","author":[{"dropping-particle":"","family":"FAO and UNEP","given":"","non-dropping-particle":"","parse-names":false,"suffix":""}],"container-title":"Geographical Review","id":"ITEM-1","issue":"1","issued":{"date-parts":[["2020"]]},"number-of-pages":"165","publisher-place":"Rome","title":"The State of the World's Forest. Forests, biodiversity and people","type":"book","volume":"14"},"uris":["http://www.mendeley.com/documents/?uuid=f3065a92-a7ac-441b-8fc6-352342d29232"]}],"mendeley":{"formattedCitation":"(FAO and UNEP, 2020)","manualFormatting":"(FAO &amp; UNEP, 2020)","plainTextFormattedCitation":"(FAO and UNEP, 2020)","previouslyFormattedCitation":"(FAO and UNEP, 2020)"},"properties":{"noteIndex":0},"schema":"https://github.com/citation-style-language/schema/raw/master/csl-citation.json"}</w:instrText>
      </w:r>
      <w:r w:rsidRPr="00870330">
        <w:rPr>
          <w:noProof/>
          <w:color w:val="0D0D0D"/>
        </w:rPr>
        <w:fldChar w:fldCharType="separate"/>
      </w:r>
      <w:r w:rsidRPr="00870330">
        <w:rPr>
          <w:noProof/>
          <w:color w:val="0D0D0D"/>
        </w:rPr>
        <w:t>(FAO &amp; UNEP, 2020)</w:t>
      </w:r>
      <w:r w:rsidRPr="00870330">
        <w:rPr>
          <w:noProof/>
          <w:color w:val="0D0D0D"/>
        </w:rPr>
        <w:fldChar w:fldCharType="end"/>
      </w:r>
      <w:r w:rsidRPr="00870330">
        <w:rPr>
          <w:noProof/>
          <w:color w:val="0D0D0D"/>
        </w:rPr>
        <w:t xml:space="preserve">. </w:t>
      </w:r>
      <w:r w:rsidRPr="00870330">
        <w:rPr>
          <w:color w:val="0D0D0D" w:themeColor="text1" w:themeTint="F2"/>
        </w:rPr>
        <w:t xml:space="preserve">However, deforestation rates also vary widely among regions. Southeast Asia is one of the regions with the highest deforestation rate. During 1990-2020, the forest cover area decreased by 376,000 km2 </w:t>
      </w:r>
      <w:r w:rsidRPr="00870330">
        <w:rPr>
          <w:noProof/>
          <w:color w:val="0D0D0D"/>
        </w:rPr>
        <w:fldChar w:fldCharType="begin" w:fldLock="1"/>
      </w:r>
      <w:r w:rsidRPr="00870330">
        <w:rPr>
          <w:noProof/>
          <w:color w:val="0D0D0D"/>
        </w:rPr>
        <w:instrText>ADDIN CSL_CITATION {"citationItems":[{"id":"ITEM-1","itemData":{"author":[{"dropping-particle":"","family":"Russell","given":"Martin","non-dropping-particle":"","parse-names":false,"suffix":""}],"id":"ITEM-1","issued":{"date-parts":[["2020"]]},"publisher-place":"Starsbourgh","title":"Forest in South-east Asia; Can they be saved?","type":"report"},"uris":["http://www.mendeley.com/documents/?uuid=107fae29-a597-37ef-880f-dd31181ecca8"]}],"mendeley":{"formattedCitation":"(Russell, 2020)","plainTextFormattedCitation":"(Russell, 2020)","previouslyFormattedCitation":"(Russell, 2020)"},"properties":{"noteIndex":0},"schema":"https://github.com/citation-style-language/schema/raw/master/csl-citation.json"}</w:instrText>
      </w:r>
      <w:r w:rsidRPr="00870330">
        <w:rPr>
          <w:noProof/>
          <w:color w:val="0D0D0D"/>
        </w:rPr>
        <w:fldChar w:fldCharType="separate"/>
      </w:r>
      <w:r w:rsidRPr="00870330">
        <w:rPr>
          <w:noProof/>
          <w:color w:val="0D0D0D"/>
        </w:rPr>
        <w:t>(Russell, 2020)</w:t>
      </w:r>
      <w:r w:rsidRPr="00870330">
        <w:rPr>
          <w:noProof/>
          <w:color w:val="0D0D0D"/>
        </w:rPr>
        <w:fldChar w:fldCharType="end"/>
      </w:r>
      <w:r w:rsidRPr="00870330">
        <w:rPr>
          <w:noProof/>
          <w:color w:val="0D0D0D"/>
        </w:rPr>
        <w:t xml:space="preserve">. </w:t>
      </w:r>
      <w:r w:rsidRPr="00870330">
        <w:rPr>
          <w:color w:val="0D0D0D" w:themeColor="text1" w:themeTint="F2"/>
        </w:rPr>
        <w:t xml:space="preserve">This condition shows that forest governance has not been robust enough, where expansion for agriculture and public infrastructure development is enforced by converting forests. Deforestation occurs in all types of forests. Deforestation of mangrove forests is widely found in Myanmar, while deforestation of peat swamps and tropical rain forests is </w:t>
      </w:r>
      <w:r w:rsidR="001A6924" w:rsidRPr="00870330">
        <w:rPr>
          <w:color w:val="0D0D0D" w:themeColor="text1" w:themeTint="F2"/>
        </w:rPr>
        <w:t xml:space="preserve">markedly </w:t>
      </w:r>
      <w:r w:rsidRPr="00870330">
        <w:rPr>
          <w:color w:val="0D0D0D" w:themeColor="text1" w:themeTint="F2"/>
        </w:rPr>
        <w:t xml:space="preserve">confirmed in Indonesia </w:t>
      </w:r>
      <w:r w:rsidRPr="00870330">
        <w:rPr>
          <w:noProof/>
          <w:color w:val="0D0D0D"/>
        </w:rPr>
        <w:fldChar w:fldCharType="begin" w:fldLock="1"/>
      </w:r>
      <w:r w:rsidRPr="00870330">
        <w:rPr>
          <w:noProof/>
          <w:color w:val="0D0D0D"/>
        </w:rPr>
        <w:instrText>ADDIN CSL_CITATION {"citationItems":[{"id":"ITEM-1","itemData":{"DOI":"10.3390/RS11060728","ISSN":"20724292","abstract":"Mangroves inhabit highly productive inter-tidal ecosystems in &gt; 120 countries in the tropics and subtropics providing critical goods and services to coastal communities and contributing to global climate change mitigation owing to substantial carbon stocks. Despite their importance, global mangrove distribution continues to decline primarily due to anthropogenic drivers which vary by region/country. South Asia, Southeast Asia and Asia-Pacific contain approximately 46% of the world's mangrove ecosystems, including the most biodiverse mangrove forests. This region also exhibits the highest global rates of mangrove loss. Remotely sensed data provides timely and accurate information on mangrove distribution and dynamics critical for targeting loss hotspots and guiding intervention. This report inventories, describes and compares all known single- and multi-date remotely sensed datasets with regional coverage and provides areal mangrove extents by country. Multi-date datasets were used to estimate dynamics and identify loss hotspots (i.e., countries that exhibit greatest proportional loss). Results indicate Myanmar is the primary mangrove loss hotspot, exhibiting 35% loss from 1975-2005 and 28% between 2000-2014. Rates of loss in Myanmar were four times the global average from 2000-2012. The Philippines is additionally identified as a loss hotspot, with secondary hotspots including Malaysia, Cambodia and Indonesia. This information helps inform and guide mangrove conservation, restoration and managed-use within the region.","author":[{"dropping-particle":"","family":"Gandhi","given":"Samir","non-dropping-particle":"","parse-names":false,"suffix":""},{"dropping-particle":"","family":"Jones","given":"Trevor Gareth","non-dropping-particle":"","parse-names":false,"suffix":""}],"container-title":"Remote Sensing","id":"ITEM-1","issue":"6","issued":{"date-parts":[["2019"]]},"page":"1-27","title":"Identifying mangrove deforestation hotspots in South Asia, Southeast Asia and Asia-Pacific","type":"article-journal","volume":"11"},"uris":["http://www.mendeley.com/documents/?uuid=b876ef31-4fe3-455a-acc4-f6f2f20172e7"]}],"mendeley":{"formattedCitation":"(Gandhi &amp; Jones, 2019)","plainTextFormattedCitation":"(Gandhi &amp; Jones, 2019)","previouslyFormattedCitation":"(Gandhi &amp; Jones, 2019)"},"properties":{"noteIndex":0},"schema":"https://github.com/citation-style-language/schema/raw/master/csl-citation.json"}</w:instrText>
      </w:r>
      <w:r w:rsidRPr="00870330">
        <w:rPr>
          <w:noProof/>
          <w:color w:val="0D0D0D"/>
        </w:rPr>
        <w:fldChar w:fldCharType="separate"/>
      </w:r>
      <w:r w:rsidRPr="00870330">
        <w:rPr>
          <w:noProof/>
          <w:color w:val="0D0D0D"/>
        </w:rPr>
        <w:t>(Gandhi &amp; Jones, 2019)</w:t>
      </w:r>
      <w:r w:rsidRPr="00870330">
        <w:rPr>
          <w:noProof/>
          <w:color w:val="0D0D0D"/>
        </w:rPr>
        <w:fldChar w:fldCharType="end"/>
      </w:r>
      <w:r w:rsidRPr="00870330">
        <w:rPr>
          <w:noProof/>
          <w:color w:val="0D0D0D"/>
        </w:rPr>
        <w:t>.</w:t>
      </w:r>
    </w:p>
    <w:p w14:paraId="7D339B99" w14:textId="77777777" w:rsidR="00672ECB" w:rsidRPr="00870330" w:rsidRDefault="00672ECB" w:rsidP="00672ECB">
      <w:pPr>
        <w:spacing w:after="0"/>
        <w:jc w:val="both"/>
        <w:rPr>
          <w:color w:val="0D0D0D" w:themeColor="text1" w:themeTint="F2"/>
        </w:rPr>
      </w:pPr>
    </w:p>
    <w:p w14:paraId="2E77ABF1" w14:textId="4C91E495" w:rsidR="00672ECB" w:rsidRPr="00870330" w:rsidRDefault="00672ECB" w:rsidP="00672ECB">
      <w:pPr>
        <w:spacing w:after="0"/>
        <w:jc w:val="both"/>
        <w:rPr>
          <w:color w:val="0D0D0D" w:themeColor="text1" w:themeTint="F2"/>
        </w:rPr>
      </w:pPr>
      <w:r w:rsidRPr="00870330">
        <w:rPr>
          <w:color w:val="0D0D0D" w:themeColor="text1" w:themeTint="F2"/>
        </w:rPr>
        <w:t xml:space="preserve">The deforestation rate is generally associated with development processes. It follows an inverted-J curve pattern, which is divided into four stages: pre-transition, early transition, late transition, and post-transition </w:t>
      </w:r>
      <w:r w:rsidRPr="00870330">
        <w:rPr>
          <w:noProof/>
          <w:color w:val="0D0D0D"/>
        </w:rPr>
        <w:fldChar w:fldCharType="begin" w:fldLock="1"/>
      </w:r>
      <w:r w:rsidRPr="00870330">
        <w:rPr>
          <w:noProof/>
          <w:color w:val="0D0D0D"/>
        </w:rPr>
        <w:instrText>ADDIN CSL_CITATION {"citationItems":[{"id":"ITEM-1","itemData":{"DOI":"10.1088/1748-9326/7/4/044009","ISSN":"17489326","abstract":"Countries are encouraged to identify drivers of deforestation and forest degradation in the development of national strategies and action plans for REDD+. In this letter we provide an assessment of proximate drivers of deforestation and forest degradation by synthesizing empirical data reported by countries as part of their REDD+ readiness activities, CIFOR country profiles, UNFCCC national communications and scientific literature. Based on deforestation rate and remaining forest cover 100 (sub)tropical non-AnnexI countries were grouped into four forest transition phases. Driver data of 46 countries were summarized for each phase and by continent, and were used as a proxy to estimate drivers for the countries with missing data. The deforestation drivers are similar in Africa and Asia, while degradation drivers are more similar in Latin America and Asia. Commercial agriculture is the most important driver of deforestation, followed by subsistence agriculture. Timber extraction and logging drives most of the degradation, followed by fuelwood collection and charcoal production, uncontrolled fire and livestock grazing. The results reflect the most up to date and comprehensive overview of current national-level data availability on drivers, which is expected to improve over time within the frame of the UNFCCC REDD+ process. © 2012 IOP Publishing Ltd.","author":[{"dropping-particle":"","family":"Hosonuma","given":"Noriko","non-dropping-particle":"","parse-names":false,"suffix":""},{"dropping-particle":"","family":"Herold","given":"Martin","non-dropping-particle":"","parse-names":false,"suffix":""},{"dropping-particle":"","family":"Sy","given":"Veronique","non-dropping-particle":"De","parse-names":false,"suffix":""},{"dropping-particle":"","family":"Fries","given":"Ruth S.","non-dropping-particle":"De","parse-names":false,"suffix":""},{"dropping-particle":"","family":"Brockhaus","given":"Maria","non-dropping-particle":"","parse-names":false,"suffix":""},{"dropping-particle":"","family":"Verchot","given":"Louis","non-dropping-particle":"","parse-names":false,"suffix":""},{"dropping-particle":"","family":"Angelsen","given":"Arild","non-dropping-particle":"","parse-names":false,"suffix":""},{"dropping-particle":"","family":"Romijn","given":"Erika","non-dropping-particle":"","parse-names":false,"suffix":""}],"container-title":"Environmental Research Letters","id":"ITEM-1","issue":"4","issued":{"date-parts":[["2012"]]},"page":"1-12","title":"An assessment of deforestation and forest degradation drivers in developing countries","type":"article-journal","volume":"7"},"uris":["http://www.mendeley.com/documents/?uuid=53105ef0-b210-4f3d-8dd7-ebafeb436d08"]}],"mendeley":{"formattedCitation":"(Hosonuma et al., 2012)","plainTextFormattedCitation":"(Hosonuma et al., 2012)","previouslyFormattedCitation":"(Hosonuma et al., 2012)"},"properties":{"noteIndex":0},"schema":"https://github.com/citation-style-language/schema/raw/master/csl-citation.json"}</w:instrText>
      </w:r>
      <w:r w:rsidRPr="00870330">
        <w:rPr>
          <w:noProof/>
          <w:color w:val="0D0D0D"/>
        </w:rPr>
        <w:fldChar w:fldCharType="separate"/>
      </w:r>
      <w:r w:rsidRPr="00870330">
        <w:rPr>
          <w:noProof/>
          <w:color w:val="0D0D0D"/>
        </w:rPr>
        <w:t>(Hosonuma et al., 2012)</w:t>
      </w:r>
      <w:r w:rsidRPr="00870330">
        <w:rPr>
          <w:noProof/>
          <w:color w:val="0D0D0D"/>
        </w:rPr>
        <w:fldChar w:fldCharType="end"/>
      </w:r>
      <w:r w:rsidRPr="00870330">
        <w:rPr>
          <w:noProof/>
          <w:color w:val="0D0D0D"/>
        </w:rPr>
        <w:t xml:space="preserve">. </w:t>
      </w:r>
      <w:r w:rsidRPr="00870330">
        <w:rPr>
          <w:color w:val="0D0D0D" w:themeColor="text1" w:themeTint="F2"/>
        </w:rPr>
        <w:t xml:space="preserve">The pre-transition </w:t>
      </w:r>
      <w:r w:rsidR="00DC2ECB" w:rsidRPr="00870330">
        <w:rPr>
          <w:color w:val="0D0D0D" w:themeColor="text1" w:themeTint="F2"/>
        </w:rPr>
        <w:t>phase</w:t>
      </w:r>
      <w:r w:rsidRPr="00870330">
        <w:rPr>
          <w:color w:val="0D0D0D" w:themeColor="text1" w:themeTint="F2"/>
        </w:rPr>
        <w:t xml:space="preserve"> is closely </w:t>
      </w:r>
      <w:r w:rsidR="00E81B34" w:rsidRPr="00870330">
        <w:rPr>
          <w:color w:val="0D0D0D" w:themeColor="text1" w:themeTint="F2"/>
        </w:rPr>
        <w:t>related</w:t>
      </w:r>
      <w:r w:rsidRPr="00870330">
        <w:rPr>
          <w:color w:val="0D0D0D" w:themeColor="text1" w:themeTint="F2"/>
        </w:rPr>
        <w:t xml:space="preserve"> to </w:t>
      </w:r>
      <w:r w:rsidR="00E81B34" w:rsidRPr="00870330">
        <w:rPr>
          <w:color w:val="0D0D0D" w:themeColor="text1" w:themeTint="F2"/>
        </w:rPr>
        <w:t xml:space="preserve">low-income </w:t>
      </w:r>
      <w:r w:rsidR="00CB2EC0" w:rsidRPr="00870330">
        <w:rPr>
          <w:color w:val="0D0D0D" w:themeColor="text1" w:themeTint="F2"/>
        </w:rPr>
        <w:t>nation</w:t>
      </w:r>
      <w:r w:rsidRPr="00870330">
        <w:rPr>
          <w:color w:val="0D0D0D" w:themeColor="text1" w:themeTint="F2"/>
        </w:rPr>
        <w:t xml:space="preserve">s that are characterized by sub-optimal forest resource management. The early transition phase </w:t>
      </w:r>
      <w:r w:rsidRPr="00870330">
        <w:rPr>
          <w:color w:val="0D0D0D" w:themeColor="text1" w:themeTint="F2"/>
        </w:rPr>
        <w:lastRenderedPageBreak/>
        <w:t xml:space="preserve">is closely </w:t>
      </w:r>
      <w:r w:rsidR="00E81B34" w:rsidRPr="00870330">
        <w:rPr>
          <w:color w:val="0D0D0D" w:themeColor="text1" w:themeTint="F2"/>
        </w:rPr>
        <w:t>ti</w:t>
      </w:r>
      <w:r w:rsidRPr="00870330">
        <w:rPr>
          <w:color w:val="0D0D0D" w:themeColor="text1" w:themeTint="F2"/>
        </w:rPr>
        <w:t>ed to developing countries that are high deforestation rates. Deforestation is carried out for agricultural expansio</w:t>
      </w:r>
      <w:r w:rsidR="004436CF" w:rsidRPr="00870330">
        <w:rPr>
          <w:color w:val="0D0D0D" w:themeColor="text1" w:themeTint="F2"/>
        </w:rPr>
        <w:t xml:space="preserve">n and industrialization inputs, </w:t>
      </w:r>
      <w:r w:rsidRPr="00870330">
        <w:rPr>
          <w:color w:val="0D0D0D" w:themeColor="text1" w:themeTint="F2"/>
        </w:rPr>
        <w:t xml:space="preserve">widely confirmed in Southeast Asia, Sub-Saharan Africa, and Latin America. </w:t>
      </w:r>
      <w:r w:rsidR="004436CF" w:rsidRPr="00870330">
        <w:rPr>
          <w:color w:val="0D0D0D" w:themeColor="text1" w:themeTint="F2"/>
        </w:rPr>
        <w:t>However</w:t>
      </w:r>
      <w:r w:rsidRPr="00870330">
        <w:rPr>
          <w:color w:val="0D0D0D" w:themeColor="text1" w:themeTint="F2"/>
        </w:rPr>
        <w:t xml:space="preserve">, North American and European countries benefit from the late and post-transition </w:t>
      </w:r>
      <w:r w:rsidR="00B75240" w:rsidRPr="00870330">
        <w:rPr>
          <w:color w:val="0D0D0D" w:themeColor="text1" w:themeTint="F2"/>
        </w:rPr>
        <w:t>phase</w:t>
      </w:r>
      <w:r w:rsidRPr="00870330">
        <w:rPr>
          <w:color w:val="0D0D0D" w:themeColor="text1" w:themeTint="F2"/>
        </w:rPr>
        <w:t xml:space="preserve">s. The </w:t>
      </w:r>
      <w:r w:rsidR="002D18DD" w:rsidRPr="00870330">
        <w:rPr>
          <w:color w:val="0D0D0D" w:themeColor="text1" w:themeTint="F2"/>
        </w:rPr>
        <w:t xml:space="preserve">Forest Transition Theory </w:t>
      </w:r>
      <w:r w:rsidRPr="00870330">
        <w:rPr>
          <w:color w:val="0D0D0D" w:themeColor="text1" w:themeTint="F2"/>
        </w:rPr>
        <w:t xml:space="preserve">is in line with the Environmental Kuznets Curve (EKC) that the relationship between economic growth and deforestation forms an inverted-U curve or N curve </w:t>
      </w:r>
      <w:r w:rsidRPr="00870330">
        <w:rPr>
          <w:noProof/>
          <w:color w:val="0D0D0D"/>
        </w:rPr>
        <w:fldChar w:fldCharType="begin" w:fldLock="1"/>
      </w:r>
      <w:r w:rsidRPr="00870330">
        <w:rPr>
          <w:noProof/>
          <w:color w:val="0D0D0D"/>
        </w:rPr>
        <w:instrText>ADDIN CSL_CITATION {"citationItems":[{"id":"ITEM-1","itemData":{"DOI":"10.1016/j.forpol.2020.102282","ISSN":"13899341","abstract":"This paper investigates an unresolved question in environmental economics: An Environmental Kuznets Curve for deforestation (EKCd). It relies on a 55 year panel of forest cover data reconstructed from the periodic national forest inventories of 114 countries clustered in low, middle, and high income groups—as defined by the World Bank—and examines these clusters within both static and dynamic frameworks. The results are supportive of the inverse U-shaped EKC for deforestation. For low income countries strong effort will be required to avoid further increases in forest loss as these countries develop. Middle income countries, the largest cluster under investigation, display the classic bell-shaped EKCd with the turning point for a decreasing rate of deforestation at US$ 3,790. Deforestation continues thereafter, only at a lower rate until, eventually, for high income countries these rates become negative and these economies begin to show absolute gains in total forest cover. While the combined results from the three clusters confirm the existence of an EKCd, its relatively elevated turning point and the even higher level of development at which forests begin to increase and recover, raise important concern, but also opportunity, for the modern policies and management addressing global forest cover—doubts and opportunities on which the conclusion to this paper reflects further.","author":[{"dropping-particle":"","family":"Caravaggio","given":"Nicola","non-dropping-particle":"","parse-names":false,"suffix":""}],"container-title":"Forest Policy and Economics","id":"ITEM-1","issue":"September","issued":{"date-parts":[["2020"]]},"page":"102282","publisher":"Elsevier","title":"A global empirical re-assessment of the Environmental Kuznets curve for deforestation","type":"article-journal","volume":"119"},"uris":["http://www.mendeley.com/documents/?uuid=3d5671aa-174b-4b6d-82ae-04c659ffae5f"]}],"mendeley":{"formattedCitation":"(Caravaggio, 2020)","plainTextFormattedCitation":"(Caravaggio, 2020)","previouslyFormattedCitation":"(Caravaggio, 2020)"},"properties":{"noteIndex":0},"schema":"https://github.com/citation-style-language/schema/raw/master/csl-citation.json"}</w:instrText>
      </w:r>
      <w:r w:rsidRPr="00870330">
        <w:rPr>
          <w:noProof/>
          <w:color w:val="0D0D0D"/>
        </w:rPr>
        <w:fldChar w:fldCharType="separate"/>
      </w:r>
      <w:r w:rsidRPr="00870330">
        <w:rPr>
          <w:noProof/>
          <w:color w:val="0D0D0D"/>
        </w:rPr>
        <w:t>(Caravaggio, 2020)</w:t>
      </w:r>
      <w:r w:rsidRPr="00870330">
        <w:rPr>
          <w:noProof/>
          <w:color w:val="0D0D0D"/>
        </w:rPr>
        <w:fldChar w:fldCharType="end"/>
      </w:r>
      <w:r w:rsidRPr="00870330">
        <w:rPr>
          <w:noProof/>
          <w:color w:val="0D0D0D"/>
        </w:rPr>
        <w:t xml:space="preserve">. </w:t>
      </w:r>
      <w:r w:rsidRPr="00870330">
        <w:rPr>
          <w:color w:val="0D0D0D" w:themeColor="text1" w:themeTint="F2"/>
        </w:rPr>
        <w:t xml:space="preserve">The inverted-U curve occurs </w:t>
      </w:r>
      <w:r w:rsidRPr="00870330">
        <w:rPr>
          <w:rFonts w:asciiTheme="minorHAnsi" w:hAnsiTheme="minorHAnsi" w:cstheme="minorHAnsi"/>
          <w:color w:val="0D0D0D" w:themeColor="text1" w:themeTint="F2"/>
        </w:rPr>
        <w:t xml:space="preserve">due to the effects of scale, decomposition, and technology, in line with the economic transition stage </w:t>
      </w:r>
      <w:r w:rsidRPr="00870330">
        <w:rPr>
          <w:rFonts w:asciiTheme="minorHAnsi" w:hAnsiTheme="minorHAnsi" w:cstheme="minorHAnsi"/>
          <w:noProof/>
          <w:color w:val="0D0D0D"/>
        </w:rPr>
        <w:fldChar w:fldCharType="begin" w:fldLock="1"/>
      </w:r>
      <w:r w:rsidRPr="00870330">
        <w:rPr>
          <w:rFonts w:asciiTheme="minorHAnsi" w:hAnsiTheme="minorHAnsi" w:cstheme="minorHAnsi"/>
          <w:noProof/>
          <w:color w:val="0D0D0D"/>
        </w:rPr>
        <w:instrText>ADDIN CSL_CITATION {"citationItems":[{"id":"ITEM-1","itemData":{"DOI":"10.1007/s11356-019-04696-z","ISSN":"16147499","PMID":"30905016","abstract":"The study revisits the position of the environmental Kuznets curve (EKC) hypothesis in India by incorporating the role of energy consumption and democratic regime in the environmental degradation function for the period 1971–2014. Employing Zivot– Andrews nonstationarity test, Bayer–Hanck cointegration test, autoregressive distributed lag (ARDL) model, and vector autoregressive model (VECM) Granger causality test, the results found the integration order of I(1) and a stable cointegration among the series. The result validates the EKC hypothesis for India and further divulges that while energy consumption increases environmental degradation both in the long run and short run; the effect of democracy in reducing environmental degradation is weak (statistically insignificant) in the long run but strong (statistically significant) in the short run. The finding from the VECM Granger causality test indicates a long-run causality between the fundamental variables and environmental degradation. Furthermore, the results of the short run show a unidirectional Granger causality running from energy consumption to environmental degradation, energy consumption to real income, and energy consumption to square of real income. Therefore, our findings suggest that energy conservation policy should be prioritized towards harnessing energy from clean sources to mitigate environmental degradation and spur economic growth.","author":[{"dropping-particle":"","family":"Usman","given":"Ojonugwa","non-dropping-particle":"","parse-names":false,"suffix":""},{"dropping-particle":"","family":"Iorember","given":"Paul Terhemba","non-dropping-particle":"","parse-names":false,"suffix":""},{"dropping-particle":"","family":"Olanipekun","given":"Ifedolapo O.","non-dropping-particle":"","parse-names":false,"suffix":""}],"container-title":"Environmental Science and Pollution Research","id":"ITEM-1","issue":"13","issued":{"date-parts":[["2019"]]},"page":"13390-13400","publisher":"Environmental Science and Pollution Research","title":"Revisiting the environmental kuznets curve (EKC) hypothesis in india: The effects of energy consumption and democracy","type":"article-journal","volume":"26"},"uris":["http://www.mendeley.com/documents/?uuid=f64ef1b5-cc04-4555-9f73-ec83a1f08fa6"]}],"mendeley":{"formattedCitation":"(Usman et al., 2019)","plainTextFormattedCitation":"(Usman et al., 2019)","previouslyFormattedCitation":"(Usman et al., 2019)"},"properties":{"noteIndex":0},"schema":"https://github.com/citation-style-language/schema/raw/master/csl-citation.json"}</w:instrText>
      </w:r>
      <w:r w:rsidRPr="00870330">
        <w:rPr>
          <w:rFonts w:asciiTheme="minorHAnsi" w:hAnsiTheme="minorHAnsi" w:cstheme="minorHAnsi"/>
          <w:noProof/>
          <w:color w:val="0D0D0D"/>
        </w:rPr>
        <w:fldChar w:fldCharType="separate"/>
      </w:r>
      <w:r w:rsidRPr="00870330">
        <w:rPr>
          <w:rFonts w:asciiTheme="minorHAnsi" w:hAnsiTheme="minorHAnsi" w:cstheme="minorHAnsi"/>
          <w:noProof/>
          <w:color w:val="0D0D0D"/>
        </w:rPr>
        <w:t>(Usman et al., 2019)</w:t>
      </w:r>
      <w:r w:rsidRPr="00870330">
        <w:rPr>
          <w:rFonts w:asciiTheme="minorHAnsi" w:hAnsiTheme="minorHAnsi" w:cstheme="minorHAnsi"/>
          <w:noProof/>
          <w:color w:val="0D0D0D"/>
        </w:rPr>
        <w:fldChar w:fldCharType="end"/>
      </w:r>
      <w:r w:rsidRPr="00870330">
        <w:rPr>
          <w:rFonts w:asciiTheme="minorHAnsi" w:hAnsiTheme="minorHAnsi" w:cstheme="minorHAnsi"/>
          <w:noProof/>
          <w:color w:val="0D0D0D"/>
        </w:rPr>
        <w:t>.</w:t>
      </w:r>
      <w:r w:rsidRPr="00870330">
        <w:rPr>
          <w:rFonts w:ascii="Times New Roman" w:hAnsi="Times New Roman"/>
          <w:noProof/>
          <w:color w:val="0D0D0D"/>
          <w:sz w:val="24"/>
          <w:szCs w:val="24"/>
        </w:rPr>
        <w:t xml:space="preserve"> </w:t>
      </w:r>
      <w:r w:rsidRPr="00870330">
        <w:rPr>
          <w:color w:val="0D0D0D" w:themeColor="text1" w:themeTint="F2"/>
        </w:rPr>
        <w:t>Figure 1 is the general shape of the EKC curve. </w:t>
      </w:r>
    </w:p>
    <w:p w14:paraId="0A9FF192" w14:textId="77777777" w:rsidR="00417098" w:rsidRPr="00870330" w:rsidRDefault="00417098" w:rsidP="00672ECB">
      <w:pPr>
        <w:spacing w:after="0"/>
        <w:jc w:val="both"/>
        <w:rPr>
          <w:color w:val="0D0D0D" w:themeColor="text1" w:themeTint="F2"/>
        </w:rPr>
      </w:pPr>
    </w:p>
    <w:p w14:paraId="400C0741" w14:textId="77777777" w:rsidR="00672ECB" w:rsidRPr="00870330" w:rsidRDefault="00672ECB" w:rsidP="00672ECB">
      <w:pPr>
        <w:spacing w:after="0"/>
        <w:jc w:val="both"/>
        <w:rPr>
          <w:rFonts w:asciiTheme="minorHAnsi" w:hAnsiTheme="minorHAnsi" w:cstheme="minorHAnsi"/>
          <w:color w:val="0D0D0D" w:themeColor="text1" w:themeTint="F2"/>
          <w:lang w:val="en-US"/>
        </w:rPr>
      </w:pPr>
      <w:r w:rsidRPr="00870330">
        <w:rPr>
          <w:rFonts w:asciiTheme="minorHAnsi" w:hAnsiTheme="minorHAnsi" w:cstheme="minorHAnsi"/>
          <w:noProof/>
          <w:color w:val="0D0D0D" w:themeColor="text1" w:themeTint="F2"/>
          <w:lang w:val="en-US"/>
        </w:rPr>
        <w:drawing>
          <wp:inline distT="0" distB="0" distL="0" distR="0" wp14:anchorId="5041FE64" wp14:editId="0EC93220">
            <wp:extent cx="5356860" cy="1880870"/>
            <wp:effectExtent l="0" t="0" r="0" b="5080"/>
            <wp:docPr id="1" name="Picture 1" descr="D:\EKC cu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KC curv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6860" cy="1880870"/>
                    </a:xfrm>
                    <a:prstGeom prst="rect">
                      <a:avLst/>
                    </a:prstGeom>
                    <a:noFill/>
                    <a:ln>
                      <a:noFill/>
                    </a:ln>
                  </pic:spPr>
                </pic:pic>
              </a:graphicData>
            </a:graphic>
          </wp:inline>
        </w:drawing>
      </w:r>
    </w:p>
    <w:p w14:paraId="287F2620" w14:textId="77777777" w:rsidR="00672ECB" w:rsidRPr="00870330" w:rsidRDefault="00672ECB" w:rsidP="00672ECB">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xml:space="preserve">Source: </w:t>
      </w:r>
      <w:r w:rsidRPr="00870330">
        <w:rPr>
          <w:rFonts w:asciiTheme="minorHAnsi" w:hAnsiTheme="minorHAnsi" w:cstheme="minorHAnsi"/>
          <w:color w:val="0D0D0D" w:themeColor="text1" w:themeTint="F2"/>
        </w:rPr>
        <w:fldChar w:fldCharType="begin" w:fldLock="1"/>
      </w:r>
      <w:r w:rsidRPr="00870330">
        <w:rPr>
          <w:rFonts w:asciiTheme="minorHAnsi" w:hAnsiTheme="minorHAnsi" w:cstheme="minorHAnsi"/>
          <w:color w:val="0D0D0D" w:themeColor="text1" w:themeTint="F2"/>
        </w:rPr>
        <w:instrText>ADDIN CSL_CITATION {"citationItems":[{"id":"ITEM-1","itemData":{"DOI":"10.1016/j.rser.2017.05.247","ISSN":"18790690","abstract":"This study evaluates the relevancy of the Environment Kuznets Curve (EKC) hypothesis to the environment problem of the world. To achieve this objective, different aspects of the EKC have been critically reviewed. The study concludes that EKC growth strategy “grow now clean later” is too much resource intensive and has huge environmental cost that this planet may not be able to absorb in future. The key recommendations of the study are that developing countries should follow different growth path than that of the EKC. The growth path that must be sustainable and less destructive. Since energy is the most important determinant of the pollution, therefore, the governments should frame a special policy for renewable energy by taxing the fossil and subsidizing the renewables.","author":[{"dropping-particle":"","family":"Rashid Gill","given":"Abid","non-dropping-particle":"","parse-names":false,"suffix":""},{"dropping-particle":"","family":"Viswanathan","given":"Kuperan K.","non-dropping-particle":"","parse-names":false,"suffix":""},{"dropping-particle":"","family":"Hassan","given":"Sallahuddin","non-dropping-particle":"","parse-names":false,"suffix":""}],"container-title":"Renewable and Sustainable Energy Reviews","id":"ITEM-1","issue":"May","issued":{"date-parts":[["2018"]]},"page":"1636-1642","publisher":"Elsevier Ltd","title":"The Environmental Kuznets Curve (EKC) and the environmental problem of the day","type":"article-journal","volume":"81"},"uris":["http://www.mendeley.com/documents/?uuid=3ba66de5-be6e-4553-8885-d67fee20a74a"]}],"mendeley":{"formattedCitation":"(Rashid Gill et al., 2018)","manualFormatting":"Rashid Gill et al. (2018)","plainTextFormattedCitation":"(Rashid Gill et al., 2018)","previouslyFormattedCitation":"(Rashid Gill et al., 2018)"},"properties":{"noteIndex":0},"schema":"https://github.com/citation-style-language/schema/raw/master/csl-citation.json"}</w:instrText>
      </w:r>
      <w:r w:rsidRPr="00870330">
        <w:rPr>
          <w:rFonts w:asciiTheme="minorHAnsi" w:hAnsiTheme="minorHAnsi" w:cstheme="minorHAnsi"/>
          <w:color w:val="0D0D0D" w:themeColor="text1" w:themeTint="F2"/>
        </w:rPr>
        <w:fldChar w:fldCharType="separate"/>
      </w:r>
      <w:r w:rsidRPr="00870330">
        <w:rPr>
          <w:rFonts w:asciiTheme="minorHAnsi" w:hAnsiTheme="minorHAnsi" w:cstheme="minorHAnsi"/>
          <w:noProof/>
          <w:color w:val="0D0D0D" w:themeColor="text1" w:themeTint="F2"/>
        </w:rPr>
        <w:t>Rashid Gill et al. (2018)</w:t>
      </w:r>
      <w:r w:rsidRPr="00870330">
        <w:rPr>
          <w:rFonts w:asciiTheme="minorHAnsi" w:hAnsiTheme="minorHAnsi" w:cstheme="minorHAnsi"/>
          <w:color w:val="0D0D0D" w:themeColor="text1" w:themeTint="F2"/>
        </w:rPr>
        <w:fldChar w:fldCharType="end"/>
      </w:r>
    </w:p>
    <w:p w14:paraId="30E6677A" w14:textId="77777777" w:rsidR="00672ECB" w:rsidRPr="00870330" w:rsidRDefault="00672ECB" w:rsidP="00672ECB">
      <w:pPr>
        <w:pStyle w:val="NormalafterHeading"/>
        <w:spacing w:line="259" w:lineRule="auto"/>
        <w:jc w:val="center"/>
        <w:rPr>
          <w:rFonts w:asciiTheme="minorHAnsi" w:hAnsiTheme="minorHAnsi" w:cstheme="minorHAnsi"/>
          <w:color w:val="0D0D0D" w:themeColor="text1" w:themeTint="F2"/>
          <w:lang w:val="en-US"/>
        </w:rPr>
      </w:pPr>
      <w:r w:rsidRPr="00870330">
        <w:rPr>
          <w:rFonts w:asciiTheme="minorHAnsi" w:hAnsiTheme="minorHAnsi" w:cstheme="minorHAnsi"/>
          <w:color w:val="0D0D0D" w:themeColor="text1" w:themeTint="F2"/>
          <w:lang w:val="en-US"/>
        </w:rPr>
        <w:t>Figure 1. The EKC Curve</w:t>
      </w:r>
    </w:p>
    <w:p w14:paraId="121C8299" w14:textId="77777777" w:rsidR="00672ECB" w:rsidRPr="00870330" w:rsidRDefault="00672ECB" w:rsidP="00672ECB">
      <w:pPr>
        <w:pStyle w:val="NormalafterHeading"/>
        <w:spacing w:line="259" w:lineRule="auto"/>
        <w:ind w:firstLine="567"/>
        <w:rPr>
          <w:rFonts w:asciiTheme="minorHAnsi" w:hAnsiTheme="minorHAnsi" w:cstheme="minorHAnsi"/>
          <w:color w:val="0D0D0D" w:themeColor="text1" w:themeTint="F2"/>
          <w:lang w:val="en-US"/>
        </w:rPr>
      </w:pPr>
      <w:r w:rsidRPr="00870330">
        <w:rPr>
          <w:rFonts w:asciiTheme="minorHAnsi" w:hAnsiTheme="minorHAnsi" w:cstheme="minorHAnsi"/>
          <w:color w:val="0D0D0D" w:themeColor="text1" w:themeTint="F2"/>
          <w:lang w:val="en-US"/>
        </w:rPr>
        <w:t xml:space="preserve"> </w:t>
      </w:r>
    </w:p>
    <w:p w14:paraId="100FF811" w14:textId="1EC78D1E" w:rsidR="00533C70" w:rsidRPr="00870330" w:rsidRDefault="00533C70" w:rsidP="00533C70">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Since the 21st century, the focus on the drivers of deforestation has shifted from proximate</w:t>
      </w:r>
      <w:r w:rsidR="00F04300" w:rsidRPr="00870330">
        <w:rPr>
          <w:rFonts w:asciiTheme="minorHAnsi" w:hAnsiTheme="minorHAnsi" w:cstheme="minorHAnsi"/>
          <w:color w:val="0D0D0D" w:themeColor="text1" w:themeTint="F2"/>
          <w:lang w:eastAsia="id-ID"/>
        </w:rPr>
        <w:t xml:space="preserve"> (direct)</w:t>
      </w:r>
      <w:r w:rsidRPr="00870330">
        <w:rPr>
          <w:rFonts w:asciiTheme="minorHAnsi" w:hAnsiTheme="minorHAnsi" w:cstheme="minorHAnsi"/>
          <w:color w:val="0D0D0D" w:themeColor="text1" w:themeTint="F2"/>
          <w:lang w:eastAsia="id-ID"/>
        </w:rPr>
        <w:t xml:space="preserve"> to underlying</w:t>
      </w:r>
      <w:r w:rsidR="00F04300" w:rsidRPr="00870330">
        <w:rPr>
          <w:rFonts w:asciiTheme="minorHAnsi" w:hAnsiTheme="minorHAnsi" w:cstheme="minorHAnsi"/>
          <w:color w:val="0D0D0D" w:themeColor="text1" w:themeTint="F2"/>
          <w:lang w:eastAsia="id-ID"/>
        </w:rPr>
        <w:t xml:space="preserve"> (indirect)</w:t>
      </w:r>
      <w:r w:rsidRPr="00870330">
        <w:rPr>
          <w:rFonts w:asciiTheme="minorHAnsi" w:hAnsiTheme="minorHAnsi" w:cstheme="minorHAnsi"/>
          <w:color w:val="0D0D0D" w:themeColor="text1" w:themeTint="F2"/>
          <w:lang w:eastAsia="id-ID"/>
        </w:rPr>
        <w:t xml:space="preserve"> causes. The underlying factors consist of economic, demographic, institutional, technological, and socio-cultural dimensions </w:t>
      </w:r>
      <w:r w:rsidRPr="00870330">
        <w:rPr>
          <w:rFonts w:asciiTheme="minorHAnsi" w:hAnsiTheme="minorHAnsi" w:cstheme="minorHAnsi"/>
          <w:noProof/>
          <w:color w:val="0D0D0D"/>
        </w:rPr>
        <w:fldChar w:fldCharType="begin" w:fldLock="1"/>
      </w:r>
      <w:r w:rsidRPr="00870330">
        <w:rPr>
          <w:rFonts w:asciiTheme="minorHAnsi" w:hAnsiTheme="minorHAnsi" w:cstheme="minorHAnsi"/>
          <w:noProof/>
          <w:color w:val="0D0D0D"/>
        </w:rPr>
        <w:instrText>ADDIN CSL_CITATION {"citationItems":[{"id":"ITEM-1","itemData":{"DOI":"10.3390/f6010203","ISSN":"19994907","abstract":"The international debates on REDD+ and the expectations to receive results-based payments through international climate finance have triggered considerable political efforts to address deforestation and forest degradation in many potential beneficiary countries. Whether a country will receive such REDD+ payments is largely contingent on its ability to effectively address the relevant drivers, and to govern the context-dependent agents and forces responsible for forest loss or degradation. Currently, many REDD+ countries are embarking on the necessary analytical steps for their national REDD+ strategies. In this context, a comprehensive understanding of drivers and their underlying causes is a fundamental prerequisite for developing effective policy responses. We developed a methodological framework for assessing the drivers and underlying causes of deforestation and use the Fako Division in Southern Cameroon as a case study to test this approach. The steps described in this paper can be adapted to other geographical contexts, and the results of such assessments can be used to inform policy makers and other stakeholders.","author":[{"dropping-particle":"","family":"Carodenuto","given":"Sophia","non-dropping-particle":"","parse-names":false,"suffix":""},{"dropping-particle":"","family":"Merger","given":"Eduard","non-dropping-particle":"","parse-names":false,"suffix":""},{"dropping-particle":"","family":"Essomba","given":"Eric","non-dropping-particle":"","parse-names":false,"suffix":""},{"dropping-particle":"","family":"Panev","given":"Metodi","non-dropping-particle":"","parse-names":false,"suffix":""},{"dropping-particle":"","family":"Pistorius","given":"Till","non-dropping-particle":"","parse-names":false,"suffix":""},{"dropping-particle":"","family":"Amougou","given":"Joseph","non-dropping-particle":"","parse-names":false,"suffix":""}],"container-title":"Forests","id":"ITEM-1","issue":"1","issued":{"date-parts":[["2015"]]},"page":"203-224","title":"A methodological framework for assessing agents, proximate drivers and underlying causes of deforestation: Field test results from Southern Cameroon","type":"article-journal","volume":"6"},"uris":["http://www.mendeley.com/documents/?uuid=53c1ca03-bcdb-45fa-9319-105d83904631"]}],"mendeley":{"formattedCitation":"(Carodenuto et al., 2015)","plainTextFormattedCitation":"(Carodenuto et al., 2015)","previouslyFormattedCitation":"(Carodenuto et al., 2015)"},"properties":{"noteIndex":0},"schema":"https://github.com/citation-style-language/schema/raw/master/csl-citation.json"}</w:instrText>
      </w:r>
      <w:r w:rsidRPr="00870330">
        <w:rPr>
          <w:rFonts w:asciiTheme="minorHAnsi" w:hAnsiTheme="minorHAnsi" w:cstheme="minorHAnsi"/>
          <w:noProof/>
          <w:color w:val="0D0D0D"/>
        </w:rPr>
        <w:fldChar w:fldCharType="separate"/>
      </w:r>
      <w:r w:rsidRPr="00870330">
        <w:rPr>
          <w:rFonts w:asciiTheme="minorHAnsi" w:hAnsiTheme="minorHAnsi" w:cstheme="minorHAnsi"/>
          <w:noProof/>
          <w:color w:val="0D0D0D"/>
        </w:rPr>
        <w:t>(Carodenuto et al., 2015)</w:t>
      </w:r>
      <w:r w:rsidRPr="00870330">
        <w:rPr>
          <w:rFonts w:asciiTheme="minorHAnsi" w:hAnsiTheme="minorHAnsi" w:cstheme="minorHAnsi"/>
          <w:noProof/>
          <w:color w:val="0D0D0D"/>
        </w:rPr>
        <w:fldChar w:fldCharType="end"/>
      </w:r>
      <w:r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 xml:space="preserve">Economic factors at the root of the forest cover changes in the tropics are economic growth, urbanization, industrialization, trade, and prices of agricultural commodities. However, the relationship between economic </w:t>
      </w:r>
      <w:r w:rsidR="00B46294" w:rsidRPr="00870330">
        <w:rPr>
          <w:rFonts w:asciiTheme="minorHAnsi" w:hAnsiTheme="minorHAnsi" w:cstheme="minorHAnsi"/>
          <w:color w:val="0D0D0D" w:themeColor="text1" w:themeTint="F2"/>
          <w:lang w:eastAsia="id-ID"/>
        </w:rPr>
        <w:t>variables</w:t>
      </w:r>
      <w:r w:rsidRPr="00870330">
        <w:rPr>
          <w:rFonts w:asciiTheme="minorHAnsi" w:hAnsiTheme="minorHAnsi" w:cstheme="minorHAnsi"/>
          <w:color w:val="0D0D0D" w:themeColor="text1" w:themeTint="F2"/>
          <w:lang w:eastAsia="id-ID"/>
        </w:rPr>
        <w:t xml:space="preserve"> and deforestation may not be linear and is influenced by other factors such as environmental regulations, quality of human resources, and clarity of property rights. The concept of “</w:t>
      </w:r>
      <w:r w:rsidR="007D73A1" w:rsidRPr="00870330">
        <w:rPr>
          <w:rFonts w:asciiTheme="minorHAnsi" w:hAnsiTheme="minorHAnsi" w:cstheme="minorHAnsi"/>
          <w:color w:val="0D0D0D" w:themeColor="text1" w:themeTint="F2"/>
          <w:lang w:eastAsia="id-ID"/>
        </w:rPr>
        <w:t>degradation</w:t>
      </w:r>
      <w:r w:rsidRPr="00870330">
        <w:rPr>
          <w:rFonts w:asciiTheme="minorHAnsi" w:hAnsiTheme="minorHAnsi" w:cstheme="minorHAnsi"/>
          <w:color w:val="0D0D0D" w:themeColor="text1" w:themeTint="F2"/>
          <w:lang w:eastAsia="id-ID"/>
        </w:rPr>
        <w:t xml:space="preserve"> first, clean up later” is a generally applicable framework in developing countries.</w:t>
      </w:r>
    </w:p>
    <w:p w14:paraId="20E7FC23" w14:textId="77777777" w:rsidR="00533C70" w:rsidRPr="00870330" w:rsidRDefault="00533C70" w:rsidP="00533C70">
      <w:pPr>
        <w:spacing w:after="0"/>
        <w:jc w:val="both"/>
        <w:rPr>
          <w:rFonts w:asciiTheme="minorHAnsi" w:hAnsiTheme="minorHAnsi" w:cstheme="minorHAnsi"/>
          <w:color w:val="0D0D0D" w:themeColor="text1" w:themeTint="F2"/>
          <w:lang w:eastAsia="id-ID"/>
        </w:rPr>
      </w:pPr>
    </w:p>
    <w:p w14:paraId="4FAC528E" w14:textId="045585F3" w:rsidR="00533C70" w:rsidRPr="00870330" w:rsidRDefault="00533C70" w:rsidP="00533C70">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Economic growth has long been linked to deforestation in emerging markets</w:t>
      </w:r>
      <w:r w:rsidR="00DA519A" w:rsidRPr="00870330">
        <w:rPr>
          <w:rFonts w:asciiTheme="minorHAnsi" w:hAnsiTheme="minorHAnsi" w:cstheme="minorHAnsi"/>
          <w:color w:val="0D0D0D" w:themeColor="text1" w:themeTint="F2"/>
          <w:lang w:eastAsia="id-ID"/>
        </w:rPr>
        <w:t xml:space="preserve">, including </w:t>
      </w:r>
      <w:r w:rsidRPr="00870330">
        <w:rPr>
          <w:rFonts w:asciiTheme="minorHAnsi" w:hAnsiTheme="minorHAnsi" w:cstheme="minorHAnsi"/>
          <w:color w:val="0D0D0D" w:themeColor="text1" w:themeTint="F2"/>
          <w:lang w:eastAsia="id-ID"/>
        </w:rPr>
        <w:t xml:space="preserve">tropical countries. The research of </w:t>
      </w:r>
      <w:r w:rsidRPr="00870330">
        <w:rPr>
          <w:noProof/>
          <w:color w:val="0D0D0D"/>
        </w:rPr>
        <w:fldChar w:fldCharType="begin" w:fldLock="1"/>
      </w:r>
      <w:r w:rsidRPr="00870330">
        <w:rPr>
          <w:noProof/>
          <w:color w:val="0D0D0D"/>
        </w:rPr>
        <w:instrText>ADDIN CSL_CITATION {"citationItems":[{"id":"ITEM-1","itemData":{"DOI":"10.1007/s11356-020-12071-6","ISSN":"16147499","PMID":"33411273","abstract":"This study examines the effect of globalization and urbanization on deforestation in Burkina Faso, over the period 1980 to 2017. The study employed the autoregressive distributive lag (ARDL) model and the Toda-Yamamoto Granger causality approach. Empirical findings affirmed that globalization, urbanization, and agricultural land have a positive and significant effect on deforestation in the long run, while population density reduces the deforestation rate, thus indicating an improvement in environmental quality. On the other hand, urbanization, economic growth, and population density have a positive and significant impact on deforestation in the short run. Furthermore, the Granger causality approach confirmed a bidirectional association between deforestation and urbanization and between globalization and agricultural land, as well as between urbanization and population density. The result further affirmed a unidirectional causal link running from urbanization to agricultural land. Based on the empirical findings, the study recommends that the government should ensure more regulation on the removal of barriers to international trade. The study further recommends that the government should implement relevant agricultural policies to guard against deforestation since the results of the study suggest that agriculture contributes negatively to deforestation in Burkina Faso.","author":[{"dropping-particle":"","family":"Yameogo","given":"Claire Emilienne Wati","non-dropping-particle":"","parse-names":false,"suffix":""}],"container-title":"Environmental Science and Pollution Research","id":"ITEM-1","issue":"17","issued":{"date-parts":[["2021"]]},"page":"22011-22021","publisher":"Environmental Science and Pollution Research","title":"Globalization, urbanization, and deforestation linkage in Burkina Faso","type":"article-journal","volume":"28"},"uris":["http://www.mendeley.com/documents/?uuid=35896b0e-62a1-4b05-a2d7-ae508cf486b9"]}],"mendeley":{"formattedCitation":"(Yameogo, 2021)","manualFormatting":"Yameogo (2021)","plainTextFormattedCitation":"(Yameogo, 2021)","previouslyFormattedCitation":"(Yameogo, 2021)"},"properties":{"noteIndex":0},"schema":"https://github.com/citation-style-language/schema/raw/master/csl-citation.json"}</w:instrText>
      </w:r>
      <w:r w:rsidRPr="00870330">
        <w:rPr>
          <w:noProof/>
          <w:color w:val="0D0D0D"/>
        </w:rPr>
        <w:fldChar w:fldCharType="separate"/>
      </w:r>
      <w:r w:rsidRPr="00870330">
        <w:rPr>
          <w:noProof/>
          <w:color w:val="0D0D0D"/>
        </w:rPr>
        <w:t>Yameogo (2021)</w:t>
      </w:r>
      <w:r w:rsidRPr="00870330">
        <w:rPr>
          <w:noProof/>
          <w:color w:val="0D0D0D"/>
        </w:rPr>
        <w:fldChar w:fldCharType="end"/>
      </w:r>
      <w:r w:rsidRPr="00870330">
        <w:rPr>
          <w:noProof/>
          <w:color w:val="0D0D0D"/>
        </w:rPr>
        <w:t xml:space="preserve"> </w:t>
      </w:r>
      <w:r w:rsidRPr="00870330">
        <w:rPr>
          <w:rFonts w:asciiTheme="minorHAnsi" w:hAnsiTheme="minorHAnsi" w:cstheme="minorHAnsi"/>
          <w:color w:val="0D0D0D" w:themeColor="text1" w:themeTint="F2"/>
          <w:lang w:eastAsia="id-ID"/>
        </w:rPr>
        <w:t xml:space="preserve">in Burkina Faso and </w:t>
      </w:r>
      <w:r w:rsidRPr="00870330">
        <w:rPr>
          <w:noProof/>
          <w:color w:val="0D0D0D"/>
        </w:rPr>
        <w:fldChar w:fldCharType="begin" w:fldLock="1"/>
      </w:r>
      <w:r w:rsidRPr="00870330">
        <w:rPr>
          <w:noProof/>
          <w:color w:val="0D0D0D"/>
        </w:rPr>
        <w:instrText>ADDIN CSL_CITATION {"citationItems":[{"id":"ITEM-1","itemData":{"DOI":"10.1002/pa.2037","ISSN":"14791854","abstract":"This study empirically explores the linkage between urbanization and deforestation while controlling for the role of energy consumption, trade openness, and economic growth within recent data from 1971 to 2015. To do this, we employed the vector error correction-Granger causality approach and Pesaran's autoregressive distributed lag cointegration technique. The Bayer–Hanck cointegration test establishes an equilibrium relationship among the variables. Results reveal that economic growth, energy consumption, and urbanization have a significant impact on deforestation in Nigeria, thereby reducing the quality of the environment. Short- and long-run unidirectional casualty flows from urbanization to deforestation. Therefore, policies for reducing deforestation and enhancing environmental sustainability for growth and development were suggested.","author":[{"dropping-particle":"","family":"Nathaniel","given":"Solomon Prince","non-dropping-particle":"","parse-names":false,"suffix":""},{"dropping-particle":"","family":"Bekun","given":"Festus Victor","non-dropping-particle":"","parse-names":false,"suffix":""}],"container-title":"Journal of Public Affairs","id":"ITEM-1","issue":"2","issued":{"date-parts":[["2020"]]},"title":"Environmental management amidst energy use, urbanization, trade openness, and deforestation: The Nigerian experience","type":"article-journal","volume":"20"},"uris":["http://www.mendeley.com/documents/?uuid=0f8f77e6-d4f4-4081-bed5-ff4dfbea7589"]}],"mendeley":{"formattedCitation":"(Nathaniel &amp; Bekun, 2020)","manualFormatting":"Nathaniel &amp; Bekun (2020)","plainTextFormattedCitation":"(Nathaniel &amp; Bekun, 2020)","previouslyFormattedCitation":"(Nathaniel &amp; Bekun, 2020)"},"properties":{"noteIndex":0},"schema":"https://github.com/citation-style-language/schema/raw/master/csl-citation.json"}</w:instrText>
      </w:r>
      <w:r w:rsidRPr="00870330">
        <w:rPr>
          <w:noProof/>
          <w:color w:val="0D0D0D"/>
        </w:rPr>
        <w:fldChar w:fldCharType="separate"/>
      </w:r>
      <w:r w:rsidRPr="00870330">
        <w:rPr>
          <w:noProof/>
          <w:color w:val="0D0D0D"/>
        </w:rPr>
        <w:t>Nathaniel &amp; Bekun (2020)</w:t>
      </w:r>
      <w:r w:rsidRPr="00870330">
        <w:rPr>
          <w:noProof/>
          <w:color w:val="0D0D0D"/>
        </w:rPr>
        <w:fldChar w:fldCharType="end"/>
      </w:r>
      <w:r w:rsidRPr="00870330">
        <w:rPr>
          <w:noProof/>
          <w:color w:val="0D0D0D"/>
        </w:rPr>
        <w:t xml:space="preserve"> </w:t>
      </w:r>
      <w:r w:rsidRPr="00870330">
        <w:rPr>
          <w:rFonts w:asciiTheme="minorHAnsi" w:hAnsiTheme="minorHAnsi" w:cstheme="minorHAnsi"/>
          <w:color w:val="0D0D0D" w:themeColor="text1" w:themeTint="F2"/>
          <w:lang w:eastAsia="id-ID"/>
        </w:rPr>
        <w:t xml:space="preserve">in Nigeria found that per capita income has a positive and significant effect on deforestation rates in the short term. The increase in per capita GDP will be followed by growth in the consumption of forestry and agricultural products, which drives deforestation. </w:t>
      </w:r>
      <w:r w:rsidRPr="00870330">
        <w:rPr>
          <w:noProof/>
          <w:color w:val="0D0D0D"/>
        </w:rPr>
        <w:fldChar w:fldCharType="begin" w:fldLock="1"/>
      </w:r>
      <w:r w:rsidRPr="00870330">
        <w:rPr>
          <w:noProof/>
          <w:color w:val="0D0D0D"/>
        </w:rPr>
        <w:instrText>ADDIN CSL_CITATION {"citationItems":[{"id":"ITEM-1","itemData":{"DOI":"10.1016/j.forpol.2021.102488","ISSN":"13899341","abstract":"Deforestation is a significant environmental problem, contributing to biodiversity loss, land degradation, soil erosion, and climate change. During the past half-century, the continent of Africa has suffered massive losses of forested areas due to the changing structure of economies, increasing population, and expanding globalization. This research examines statistical evidence for the Environmental Kuznets Curve (EKC) hypothesis as applied to deforestation occurring within Africa from 1990 to 2016. Changes in forest cover data are explained with Generalized Method of Moments (GMM) estimators to overcome the endogeneity problems arising from reverse causality. The empirical results of Panel GMM confirm the EKC hypothesis is valid for deforestation in Africa with a turning point estimated to be US $3000. Heterogenous panel non-causality findings suggest that Africa could deter and reverse deforestation through appropriate land-use and forest products trade policies, and the consequences of these policies would not impact their economic growth.","author":[{"dropping-particle":"","family":"Ajanaku","given":"B. A.","non-dropping-particle":"","parse-names":false,"suffix":""},{"dropping-particle":"","family":"Collins","given":"A. R.","non-dropping-particle":"","parse-names":false,"suffix":""}],"container-title":"Forest Policy and Economics","id":"ITEM-1","issue":"May","issued":{"date-parts":[["2021"]]},"page":"102488","publisher":"Elsevier B.V.","title":"Economic growth and deforestation in African countries: Is the environmental Kuznets curve hypothesis applicable?","type":"article-journal","volume":"129"},"uris":["http://www.mendeley.com/documents/?uuid=24f622ed-0f79-4f00-9fba-56f4aa51ea86"]}],"mendeley":{"formattedCitation":"(Ajanaku &amp; Collins, 2021)","manualFormatting":"Ajanaku &amp; Collins (2021)","plainTextFormattedCitation":"(Ajanaku &amp; Collins, 2021)","previouslyFormattedCitation":"(Ajanaku &amp; Collins, 2021)"},"properties":{"noteIndex":0},"schema":"https://github.com/citation-style-language/schema/raw/master/csl-citation.json"}</w:instrText>
      </w:r>
      <w:r w:rsidRPr="00870330">
        <w:rPr>
          <w:noProof/>
          <w:color w:val="0D0D0D"/>
        </w:rPr>
        <w:fldChar w:fldCharType="separate"/>
      </w:r>
      <w:r w:rsidRPr="00870330">
        <w:rPr>
          <w:noProof/>
          <w:color w:val="0D0D0D"/>
        </w:rPr>
        <w:t>Ajanaku &amp; Collins (2021)</w:t>
      </w:r>
      <w:r w:rsidRPr="00870330">
        <w:rPr>
          <w:noProof/>
          <w:color w:val="0D0D0D"/>
        </w:rPr>
        <w:fldChar w:fldCharType="end"/>
      </w:r>
      <w:r w:rsidRPr="00870330">
        <w:rPr>
          <w:noProof/>
          <w:color w:val="0D0D0D"/>
        </w:rPr>
        <w:t xml:space="preserve"> </w:t>
      </w:r>
      <w:r w:rsidRPr="00870330">
        <w:rPr>
          <w:rFonts w:asciiTheme="minorHAnsi" w:hAnsiTheme="minorHAnsi" w:cstheme="minorHAnsi"/>
          <w:color w:val="0D0D0D" w:themeColor="text1" w:themeTint="F2"/>
          <w:lang w:eastAsia="id-ID"/>
        </w:rPr>
        <w:t xml:space="preserve">noted that the relationship between per capita GDP and deforestation rates in Sub-Saharan Africa follows an inverted-U curve, in line with the EKC hypothesis. Economic growth will not drive deforestation once per capita GDP reaches USD 3,000. In addition, there is unidirectional causality from per capita GDP to deforestation </w:t>
      </w:r>
      <w:r w:rsidRPr="00870330">
        <w:rPr>
          <w:rFonts w:asciiTheme="minorHAnsi" w:hAnsiTheme="minorHAnsi" w:cstheme="minorHAnsi"/>
          <w:color w:val="0D0D0D" w:themeColor="text1" w:themeTint="F2"/>
          <w:lang w:eastAsia="id-ID"/>
        </w:rPr>
        <w:fldChar w:fldCharType="begin" w:fldLock="1"/>
      </w:r>
      <w:r w:rsidRPr="00870330">
        <w:rPr>
          <w:rFonts w:asciiTheme="minorHAnsi" w:hAnsiTheme="minorHAnsi" w:cstheme="minorHAnsi"/>
          <w:color w:val="0D0D0D" w:themeColor="text1" w:themeTint="F2"/>
          <w:lang w:eastAsia="id-ID"/>
        </w:rPr>
        <w:instrText>ADDIN CSL_CITATION {"citationItems":[{"id":"ITEM-1","itemData":{"DOI":"10.1016/j.forpol.2021.102488","ISSN":"13899341","abstract":"Deforestation is a significant environmental problem, contributing to biodiversity loss, land degradation, soil erosion, and climate change. During the past half-century, the continent of Africa has suffered massive losses of forested areas due to the changing structure of economies, increasing population, and expanding globalization. This research examines statistical evidence for the Environmental Kuznets Curve (EKC) hypothesis as applied to deforestation occurring within Africa from 1990 to 2016. Changes in forest cover data are explained with Generalized Method of Moments (GMM) estimators to overcome the endogeneity problems arising from reverse causality. The empirical results of Panel GMM confirm the EKC hypothesis is valid for deforestation in Africa with a turning point estimated to be US $3000. Heterogenous panel non-causality findings suggest that Africa could deter and reverse deforestation through appropriate land-use and forest products trade policies, and the consequences of these policies would not impact their economic growth.","author":[{"dropping-particle":"","family":"Ajanaku","given":"B. A.","non-dropping-particle":"","parse-names":false,"suffix":""},{"dropping-particle":"","family":"Collins","given":"A. R.","non-dropping-particle":"","parse-names":false,"suffix":""}],"container-title":"Forest Policy and Economics","id":"ITEM-1","issue":"May","issued":{"date-parts":[["2021"]]},"page":"102488","publisher":"Elsevier B.V.","title":"Economic growth and deforestation in African countries: Is the environmental Kuznets curve hypothesis applicable?","type":"article-journal","volume":"129"},"uris":["http://www.mendeley.com/documents/?uuid=24f622ed-0f79-4f00-9fba-56f4aa51ea86"]}],"mendeley":{"formattedCitation":"(Ajanaku &amp; Collins, 2021)","plainTextFormattedCitation":"(Ajanaku &amp; Collins, 2021)","previouslyFormattedCitation":"(Ajanaku &amp; Collins, 2021)"},"properties":{"noteIndex":0},"schema":"https://github.com/citation-style-language/schema/raw/master/csl-citation.json"}</w:instrText>
      </w:r>
      <w:r w:rsidRPr="00870330">
        <w:rPr>
          <w:rFonts w:asciiTheme="minorHAnsi" w:hAnsiTheme="minorHAnsi" w:cstheme="minorHAnsi"/>
          <w:color w:val="0D0D0D" w:themeColor="text1" w:themeTint="F2"/>
          <w:lang w:eastAsia="id-ID"/>
        </w:rPr>
        <w:fldChar w:fldCharType="separate"/>
      </w:r>
      <w:r w:rsidRPr="00870330">
        <w:rPr>
          <w:rFonts w:asciiTheme="minorHAnsi" w:hAnsiTheme="minorHAnsi" w:cstheme="minorHAnsi"/>
          <w:noProof/>
          <w:color w:val="0D0D0D" w:themeColor="text1" w:themeTint="F2"/>
          <w:lang w:eastAsia="id-ID"/>
        </w:rPr>
        <w:t>(Ajanaku &amp; Collins, 2021)</w:t>
      </w:r>
      <w:r w:rsidRPr="00870330">
        <w:rPr>
          <w:rFonts w:asciiTheme="minorHAnsi" w:hAnsiTheme="minorHAnsi" w:cstheme="minorHAnsi"/>
          <w:color w:val="0D0D0D" w:themeColor="text1" w:themeTint="F2"/>
          <w:lang w:eastAsia="id-ID"/>
        </w:rPr>
        <w:fldChar w:fldCharType="end"/>
      </w:r>
      <w:r w:rsidRPr="00870330">
        <w:rPr>
          <w:rFonts w:asciiTheme="minorHAnsi" w:hAnsiTheme="minorHAnsi" w:cstheme="minorHAnsi"/>
          <w:color w:val="0D0D0D" w:themeColor="text1" w:themeTint="F2"/>
          <w:lang w:eastAsia="id-ID"/>
        </w:rPr>
        <w:t>.</w:t>
      </w:r>
    </w:p>
    <w:p w14:paraId="46EF2F96" w14:textId="77777777" w:rsidR="007D73A1" w:rsidRPr="00870330" w:rsidRDefault="007D73A1" w:rsidP="00533C70">
      <w:pPr>
        <w:spacing w:after="0"/>
        <w:jc w:val="both"/>
        <w:rPr>
          <w:rFonts w:asciiTheme="minorHAnsi" w:hAnsiTheme="minorHAnsi" w:cstheme="minorHAnsi"/>
          <w:color w:val="0D0D0D" w:themeColor="text1" w:themeTint="F2"/>
          <w:lang w:eastAsia="id-ID"/>
        </w:rPr>
      </w:pPr>
    </w:p>
    <w:p w14:paraId="610163BC" w14:textId="0422B0E6" w:rsidR="007D73A1" w:rsidRPr="00870330" w:rsidRDefault="007D73A1" w:rsidP="00533C70">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 xml:space="preserve">More comprehensively, </w:t>
      </w:r>
      <w:r w:rsidRPr="00870330">
        <w:rPr>
          <w:rFonts w:asciiTheme="minorHAnsi" w:hAnsiTheme="minorHAnsi" w:cstheme="minorHAnsi"/>
          <w:noProof/>
          <w:color w:val="0D0D0D"/>
        </w:rPr>
        <w:fldChar w:fldCharType="begin" w:fldLock="1"/>
      </w:r>
      <w:r w:rsidRPr="00870330">
        <w:rPr>
          <w:rFonts w:asciiTheme="minorHAnsi" w:hAnsiTheme="minorHAnsi" w:cstheme="minorHAnsi"/>
          <w:noProof/>
          <w:color w:val="0D0D0D"/>
        </w:rPr>
        <w:instrText>ADDIN CSL_CITATION {"citationItems":[{"id":"ITEM-1","itemData":{"DOI":"10.1016/j.forpol.2020.102282","ISSN":"13899341","abstract":"This paper investigates an unresolved question in environmental economics: An Environmental Kuznets Curve for deforestation (EKCd). It relies on a 55 year panel of forest cover data reconstructed from the periodic national forest inventories of 114 countries clustered in low, middle, and high income groups—as defined by the World Bank—and examines these clusters within both static and dynamic frameworks. The results are supportive of the inverse U-shaped EKC for deforestation. For low income countries strong effort will be required to avoid further increases in forest loss as these countries develop. Middle income countries, the largest cluster under investigation, display the classic bell-shaped EKCd with the turning point for a decreasing rate of deforestation at US$ 3,790. Deforestation continues thereafter, only at a lower rate until, eventually, for high income countries these rates become negative and these economies begin to show absolute gains in total forest cover. While the combined results from the three clusters confirm the existence of an EKCd, its relatively elevated turning point and the even higher level of development at which forests begin to increase and recover, raise important concern, but also opportunity, for the modern policies and management addressing global forest cover—doubts and opportunities on which the conclusion to this paper reflects further.","author":[{"dropping-particle":"","family":"Caravaggio","given":"Nicola","non-dropping-particle":"","parse-names":false,"suffix":""}],"container-title":"Forest Policy and Economics","id":"ITEM-1","issue":"September","issued":{"date-parts":[["2020"]]},"page":"102282","publisher":"Elsevier","title":"A global empirical re-assessment of the Environmental Kuznets curve for deforestation","type":"article-journal","volume":"119"},"uris":["http://www.mendeley.com/documents/?uuid=3d5671aa-174b-4b6d-82ae-04c659ffae5f"]}],"mendeley":{"formattedCitation":"(Caravaggio, 2020)","manualFormatting":"Caravaggio (2020)","plainTextFormattedCitation":"(Caravaggio, 2020)","previouslyFormattedCitation":"(Caravaggio, 2020)"},"properties":{"noteIndex":0},"schema":"https://github.com/citation-style-language/schema/raw/master/csl-citation.json"}</w:instrText>
      </w:r>
      <w:r w:rsidRPr="00870330">
        <w:rPr>
          <w:rFonts w:asciiTheme="minorHAnsi" w:hAnsiTheme="minorHAnsi" w:cstheme="minorHAnsi"/>
          <w:noProof/>
          <w:color w:val="0D0D0D"/>
        </w:rPr>
        <w:fldChar w:fldCharType="separate"/>
      </w:r>
      <w:r w:rsidRPr="00870330">
        <w:rPr>
          <w:rFonts w:asciiTheme="minorHAnsi" w:hAnsiTheme="minorHAnsi" w:cstheme="minorHAnsi"/>
          <w:noProof/>
          <w:color w:val="0D0D0D"/>
        </w:rPr>
        <w:t>Caravaggio (2020)</w:t>
      </w:r>
      <w:r w:rsidRPr="00870330">
        <w:rPr>
          <w:rFonts w:asciiTheme="minorHAnsi" w:hAnsiTheme="minorHAnsi" w:cstheme="minorHAnsi"/>
          <w:noProof/>
          <w:color w:val="0D0D0D"/>
        </w:rPr>
        <w:fldChar w:fldCharType="end"/>
      </w:r>
      <w:r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tested the EKC hypothesis using PMG and differentiated the sample based on income classification. The results of th</w:t>
      </w:r>
      <w:r w:rsidR="00A37778" w:rsidRPr="00870330">
        <w:rPr>
          <w:rFonts w:asciiTheme="minorHAnsi" w:hAnsiTheme="minorHAnsi" w:cstheme="minorHAnsi"/>
          <w:color w:val="0D0D0D" w:themeColor="text1" w:themeTint="F2"/>
          <w:lang w:eastAsia="id-ID"/>
        </w:rPr>
        <w:t>e</w:t>
      </w:r>
      <w:r w:rsidRPr="00870330">
        <w:rPr>
          <w:rFonts w:asciiTheme="minorHAnsi" w:hAnsiTheme="minorHAnsi" w:cstheme="minorHAnsi"/>
          <w:color w:val="0D0D0D" w:themeColor="text1" w:themeTint="F2"/>
          <w:lang w:eastAsia="id-ID"/>
        </w:rPr>
        <w:t xml:space="preserve"> study confirm that the inverted-U curve is only found in middle-income countries and that the turning point occurred when the per capita GDP had reached USD 3,790. The relationship between per capita GDP and deforestation in low-income and high-income countries follows a U-curve, indicating that deforestation will continue. </w:t>
      </w:r>
      <w:r w:rsidR="00655B2F" w:rsidRPr="00870330">
        <w:rPr>
          <w:rFonts w:asciiTheme="minorHAnsi" w:hAnsiTheme="minorHAnsi" w:cstheme="minorHAnsi"/>
          <w:color w:val="0D0D0D" w:themeColor="text1" w:themeTint="F2"/>
          <w:lang w:eastAsia="id-ID"/>
        </w:rPr>
        <w:t xml:space="preserve">However, </w:t>
      </w:r>
      <w:r w:rsidRPr="00870330">
        <w:rPr>
          <w:rFonts w:asciiTheme="minorHAnsi" w:hAnsiTheme="minorHAnsi" w:cstheme="minorHAnsi"/>
          <w:noProof/>
          <w:color w:val="0D0D0D"/>
        </w:rPr>
        <w:fldChar w:fldCharType="begin" w:fldLock="1"/>
      </w:r>
      <w:r w:rsidRPr="00870330">
        <w:rPr>
          <w:rFonts w:asciiTheme="minorHAnsi" w:hAnsiTheme="minorHAnsi" w:cstheme="minorHAnsi"/>
          <w:noProof/>
          <w:color w:val="0D0D0D"/>
        </w:rPr>
        <w:instrText>ADDIN CSL_CITATION {"citationItems":[{"id":"ITEM-1","itemData":{"DOI":"10.24988/ije.830503","ISSN":"1308-8173","author":[{"dropping-particle":"","family":"Manivong","given":"Kittiya","non-dropping-particle":"","parse-names":false,"suffix":""},{"dropping-particle":"","family":"Phengsavanh","given":"Soudavanh","non-dropping-particle":"","parse-names":false,"suffix":""},{"dropping-particle":"","family":"Kyophilavong","given":"Phouphet","non-dropping-particle":"","parse-names":false,"suffix":""},{"dropping-particle":"","family":"Pommavong","given":"Phetsamone","non-dropping-particle":"","parse-names":false,"suffix":""},{"dropping-particle":"","family":"Khamvilvanh","given":"Kiengkham","non-dropping-particle":"","parse-names":false,"suffix":""},{"dropping-particle":"","family":"Mixayboua","given":"Sonesana","non-dropping-particle":"","parse-names":false,"suffix":""}],"container-title":"International Journal of Development Administration Research","id":"ITEM-1","issue":"2","issued":{"date-parts":[["2021"]]},"page":"27-36","title":"Testing Environmental Kuznets Curve Hypothesis for N2O","type":"article-journal","volume":"1"},"uris":["http://www.mendeley.com/documents/?uuid=50508c04-349d-44a8-8f46-dfd4db2532f7"]}],"mendeley":{"formattedCitation":"(Manivong et al., 2021)","manualFormatting":"Manivong et al. (2021)","plainTextFormattedCitation":"(Manivong et al., 2021)","previouslyFormattedCitation":"(Manivong et al., 2021)"},"properties":{"noteIndex":0},"schema":"https://github.com/citation-style-language/schema/raw/master/csl-citation.json"}</w:instrText>
      </w:r>
      <w:r w:rsidRPr="00870330">
        <w:rPr>
          <w:rFonts w:asciiTheme="minorHAnsi" w:hAnsiTheme="minorHAnsi" w:cstheme="minorHAnsi"/>
          <w:noProof/>
          <w:color w:val="0D0D0D"/>
        </w:rPr>
        <w:fldChar w:fldCharType="separate"/>
      </w:r>
      <w:r w:rsidRPr="00870330">
        <w:rPr>
          <w:rFonts w:asciiTheme="minorHAnsi" w:hAnsiTheme="minorHAnsi" w:cstheme="minorHAnsi"/>
          <w:noProof/>
          <w:color w:val="0D0D0D"/>
        </w:rPr>
        <w:t>Manivong et al. (2021)</w:t>
      </w:r>
      <w:r w:rsidRPr="00870330">
        <w:rPr>
          <w:rFonts w:asciiTheme="minorHAnsi" w:hAnsiTheme="minorHAnsi" w:cstheme="minorHAnsi"/>
          <w:noProof/>
          <w:color w:val="0D0D0D"/>
        </w:rPr>
        <w:fldChar w:fldCharType="end"/>
      </w:r>
      <w:r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 xml:space="preserve">used the ARDL method to investigate EKC in Laos and reported that their results </w:t>
      </w:r>
      <w:r w:rsidRPr="00870330">
        <w:rPr>
          <w:rFonts w:asciiTheme="minorHAnsi" w:hAnsiTheme="minorHAnsi" w:cstheme="minorHAnsi"/>
          <w:color w:val="0D0D0D" w:themeColor="text1" w:themeTint="F2"/>
          <w:lang w:eastAsia="id-ID"/>
        </w:rPr>
        <w:lastRenderedPageBreak/>
        <w:t>contradicted the EKC curve hypothesis. It should be noted that the causes of deforestation in Laos are the growth of the rural population and agricultural production.</w:t>
      </w:r>
    </w:p>
    <w:p w14:paraId="7E870A1B" w14:textId="77777777" w:rsidR="00991B6F" w:rsidRPr="00870330" w:rsidRDefault="00991B6F" w:rsidP="00991B6F">
      <w:pPr>
        <w:spacing w:after="0"/>
        <w:jc w:val="both"/>
        <w:rPr>
          <w:rFonts w:asciiTheme="minorHAnsi" w:hAnsiTheme="minorHAnsi" w:cstheme="minorHAnsi"/>
          <w:color w:val="0D0D0D" w:themeColor="text1" w:themeTint="F2"/>
          <w:lang w:eastAsia="id-ID"/>
        </w:rPr>
      </w:pPr>
    </w:p>
    <w:p w14:paraId="3A576E58" w14:textId="77777777" w:rsidR="00991B6F" w:rsidRPr="00870330" w:rsidRDefault="00991B6F" w:rsidP="00991B6F">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 xml:space="preserve">In addition to economic growth, trade openness is suspected as another economic factor that drives changes in forest areas in the tropics. The increasing demand for agricultural commodities and forestry products from the global community incentivizes tropical countries to convert forests and extract trees. </w:t>
      </w:r>
      <w:r w:rsidRPr="00870330">
        <w:rPr>
          <w:rFonts w:asciiTheme="minorHAnsi" w:hAnsiTheme="minorHAnsi" w:cstheme="minorHAnsi"/>
          <w:noProof/>
          <w:color w:val="0D0D0D"/>
        </w:rPr>
        <w:fldChar w:fldCharType="begin" w:fldLock="1"/>
      </w:r>
      <w:r w:rsidRPr="00870330">
        <w:rPr>
          <w:rFonts w:asciiTheme="minorHAnsi" w:hAnsiTheme="minorHAnsi" w:cstheme="minorHAnsi"/>
          <w:noProof/>
          <w:color w:val="0D0D0D"/>
        </w:rPr>
        <w:instrText>ADDIN CSL_CITATION {"citationItems":[{"id":"ITEM-1","itemData":{"DOI":"10.1038/ngeo756","ISSN":"17520894","abstract":"Reducing atmospheric carbon emissions from tropical deforestation is at present considered a cost-effective option for mitigating climate change. However, the forces associated with tropical forest loss are uncertain. Here we use satellite-based estimates of forest loss for 2000 to 2005 (ref.2) to assess economic, agricultural and demographic correlates across 41 countries in the humid tropics. Two methods of analysis-linear regression and regression tree-show that forest loss is positively correlated with urban population growth and exports of agricultural products for this time period. Rural population growth is not associated with forest loss, indicating the importance of urban-based and international demands for agricultural products as drivers of deforestation. The strong trend in movement of people to cities in the tropics is, counter-intuitively, likely to be associated with greater pressures for clearing tropical forests. We therefore suggest that policies to reduce deforestation among local, rural populations will not address the main cause of deforestation in the future. Rather, efforts need to focus on reducing deforestation for industrial-scale, export-oriented agricultural production, concomitant with efforts to increase yields in non-forested lands to satisfy demands for agricultural products. © 2010 Macmillan Publishers Limited. All rights reserved.","author":[{"dropping-particle":"","family":"Defries","given":"Ruth S.","non-dropping-particle":"","parse-names":false,"suffix":""},{"dropping-particle":"","family":"Rudel","given":"Thomas","non-dropping-particle":"","parse-names":false,"suffix":""},{"dropping-particle":"","family":"Uriarte","given":"Maria","non-dropping-particle":"","parse-names":false,"suffix":""},{"dropping-particle":"","family":"Hansen","given":"Matthew","non-dropping-particle":"","parse-names":false,"suffix":""}],"container-title":"Nature Geoscience","id":"ITEM-1","issue":"3","issued":{"date-parts":[["2010"]]},"page":"178-181","publisher":"Nature Publishing Group","title":"Deforestation driven by urban population growth and agricultural trade in the twenty-first century","type":"article-journal","volume":"3"},"uris":["http://www.mendeley.com/documents/?uuid=b7ba5072-9548-4880-9906-46633f90b522"]}],"mendeley":{"formattedCitation":"(Defries et al., 2010)","manualFormatting":"Defries et al. (2010)","plainTextFormattedCitation":"(Defries et al., 2010)","previouslyFormattedCitation":"(Defries et al., 2010)"},"properties":{"noteIndex":0},"schema":"https://github.com/citation-style-language/schema/raw/master/csl-citation.json"}</w:instrText>
      </w:r>
      <w:r w:rsidRPr="00870330">
        <w:rPr>
          <w:rFonts w:asciiTheme="minorHAnsi" w:hAnsiTheme="minorHAnsi" w:cstheme="minorHAnsi"/>
          <w:noProof/>
          <w:color w:val="0D0D0D"/>
        </w:rPr>
        <w:fldChar w:fldCharType="separate"/>
      </w:r>
      <w:r w:rsidRPr="00870330">
        <w:rPr>
          <w:rFonts w:asciiTheme="minorHAnsi" w:hAnsiTheme="minorHAnsi" w:cstheme="minorHAnsi"/>
          <w:noProof/>
          <w:color w:val="0D0D0D"/>
        </w:rPr>
        <w:t>Defries et al. (2010)</w:t>
      </w:r>
      <w:r w:rsidRPr="00870330">
        <w:rPr>
          <w:rFonts w:asciiTheme="minorHAnsi" w:hAnsiTheme="minorHAnsi" w:cstheme="minorHAnsi"/>
          <w:noProof/>
          <w:color w:val="0D0D0D"/>
        </w:rPr>
        <w:fldChar w:fldCharType="end"/>
      </w:r>
      <w:r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 xml:space="preserve">found that trade in agricultural commodities is the leading cause of deforestation in this century. Expanding agriculture and increasing forestry products in Southeast Asia is done mainly by clearing forests. Palm oil is an export commodity from forest conversion that causes deforestation </w:t>
      </w:r>
      <w:r w:rsidRPr="00870330">
        <w:rPr>
          <w:rFonts w:asciiTheme="minorHAnsi" w:hAnsiTheme="minorHAnsi" w:cstheme="minorHAnsi"/>
          <w:noProof/>
          <w:color w:val="0D0D0D"/>
        </w:rPr>
        <w:fldChar w:fldCharType="begin" w:fldLock="1"/>
      </w:r>
      <w:r w:rsidRPr="00870330">
        <w:rPr>
          <w:rFonts w:asciiTheme="minorHAnsi" w:hAnsiTheme="minorHAnsi" w:cstheme="minorHAnsi"/>
          <w:noProof/>
          <w:color w:val="0D0D0D"/>
        </w:rPr>
        <w:instrText>ADDIN CSL_CITATION {"citationItems":[{"id":"ITEM-1","itemData":{"DOI":"10.1088/1748-9326/aaf6db","ISSN":"17489326","abstract":"We investigate the causes of deforestation in Indonesia, a country with one of the highest rates of primary natural forest loss in the tropics, annually between 2001 and 2016. We use high spatial resolution imagery made available on Google Earth to characterize the land cover types following a random selection of deforestation events, drawn from the Global Forest Change dataset. Notorious in the region, large-scale oil palm and timber plantations together contributed more than two-fifths of nationwide deforestation over our study period, with a peak in late aughts followed by a notable decline up to 2016. Conversion of forests to grasslands, which comprised an average of one-fifth of national deforestation, rose sharply in dominance in years following periods of considerable fire activity, particularly in 2016. Small-scale agriculture and small-scale plantations also contributed one-fifth of nationwide forest loss and were the dominant drivers of loss outside the major islands of Indonesia. Although relatively small contributors to total deforestation, logging roads were responsible for a declining share of deforestation, and mining activities were responsible for an increasing share, over the study period. Direct drivers of deforestation in Indonesia are thus spatially and temporally dynamic, suggesting the need for forest conservation policy responses tailored at the subnational level, and new methods for monitoring the causes of deforestation over time.","author":[{"dropping-particle":"","family":"Austin","given":"Kemen G.","non-dropping-particle":"","parse-names":false,"suffix":""},{"dropping-particle":"","family":"Schwantes","given":"Amanda","non-dropping-particle":"","parse-names":false,"suffix":""},{"dropping-particle":"","family":"Gu","given":"Yaofeng","non-dropping-particle":"","parse-names":false,"suffix":""},{"dropping-particle":"","family":"Kasibhatla","given":"Prasad S.","non-dropping-particle":"","parse-names":false,"suffix":""}],"container-title":"Environmental Research Letters","id":"ITEM-1","issue":"2","issued":{"date-parts":[["2019","2","1"]]},"page":"1-10","publisher":"Institute of Physics Publishing","title":"What causes deforestation in Indonesia?","type":"article-journal","volume":"14"},"uris":["http://www.mendeley.com/documents/?uuid=7a1469d5-bc40-3689-846c-0ab0e3140594"]}],"mendeley":{"formattedCitation":"(Austin et al., 2019)","plainTextFormattedCitation":"(Austin et al., 2019)","previouslyFormattedCitation":"(Austin et al., 2019)"},"properties":{"noteIndex":0},"schema":"https://github.com/citation-style-language/schema/raw/master/csl-citation.json"}</w:instrText>
      </w:r>
      <w:r w:rsidRPr="00870330">
        <w:rPr>
          <w:rFonts w:asciiTheme="minorHAnsi" w:hAnsiTheme="minorHAnsi" w:cstheme="minorHAnsi"/>
          <w:noProof/>
          <w:color w:val="0D0D0D"/>
        </w:rPr>
        <w:fldChar w:fldCharType="separate"/>
      </w:r>
      <w:r w:rsidRPr="00870330">
        <w:rPr>
          <w:rFonts w:asciiTheme="minorHAnsi" w:hAnsiTheme="minorHAnsi" w:cstheme="minorHAnsi"/>
          <w:noProof/>
          <w:color w:val="0D0D0D"/>
        </w:rPr>
        <w:t>(Austin et al., 2019)</w:t>
      </w:r>
      <w:r w:rsidRPr="00870330">
        <w:rPr>
          <w:rFonts w:asciiTheme="minorHAnsi" w:hAnsiTheme="minorHAnsi" w:cstheme="minorHAnsi"/>
          <w:noProof/>
          <w:color w:val="0D0D0D"/>
        </w:rPr>
        <w:fldChar w:fldCharType="end"/>
      </w:r>
      <w:r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 xml:space="preserve">The results of the study by </w:t>
      </w:r>
      <w:r w:rsidRPr="00870330">
        <w:rPr>
          <w:rFonts w:asciiTheme="minorHAnsi" w:hAnsiTheme="minorHAnsi" w:cstheme="minorHAnsi"/>
          <w:noProof/>
          <w:color w:val="0D0D0D"/>
        </w:rPr>
        <w:fldChar w:fldCharType="begin" w:fldLock="1"/>
      </w:r>
      <w:r w:rsidRPr="00870330">
        <w:rPr>
          <w:rFonts w:asciiTheme="minorHAnsi" w:hAnsiTheme="minorHAnsi" w:cstheme="minorHAnsi"/>
          <w:noProof/>
          <w:color w:val="0D0D0D"/>
        </w:rPr>
        <w:instrText>ADDIN CSL_CITATION {"citationItems":[{"id":"ITEM-1","itemData":{"DOI":"10.1016/j.ecolecon.2015.11.014","ISSN":"09218009","abstract":"One of the objectives of this paper is to investigate how international trade has affected the dynamics of deforestation in the Brazilian Amazon at the level of the municipality. This analysis focuses on the expansion of crop and cattle activities, and other determinants of deforestation such as GDP per capita, conservation areas and property rights. We combine standard econometrics with spatial econometrics to capture the socioeconomic interactions among the agents in their interrelated economic system. The data used in this study correspond to a balanced panel of 732 municipalities from 2000 to 2010. The main findings suggest that as openness to trade in the Amazon increases, deforestation also increases. We also find that it is the production of soybeans and beef cattle that drives deforestation in the region. The property rights indicator also has a significant impact in deforestation. Moreover, as the GDP per capita goes up, deforestation increases. The conservation areas have a negative impact on deforestation.","author":[{"dropping-particle":"","family":"Faria","given":"Weslem Rodrigues","non-dropping-particle":"","parse-names":false,"suffix":""},{"dropping-particle":"","family":"Almeida","given":"Alexandre Nunes","non-dropping-particle":"","parse-names":false,"suffix":""}],"container-title":"Ecological Economics","id":"ITEM-1","issued":{"date-parts":[["2016"]]},"page":"85-97","publisher":"Elsevier B.V.","title":"Relationship between openness to trade and deforestation: Empirical evidence from the Brazilian Amazon","type":"article-journal","volume":"121"},"uris":["http://www.mendeley.com/documents/?uuid=f058c9b5-5fe2-41de-a4fd-d08f0676433c"]}],"mendeley":{"formattedCitation":"(Faria &amp; Almeida, 2016)","manualFormatting":"Faria &amp; Almeida (2016)","plainTextFormattedCitation":"(Faria &amp; Almeida, 2016)","previouslyFormattedCitation":"(Faria &amp; Almeida, 2016)"},"properties":{"noteIndex":0},"schema":"https://github.com/citation-style-language/schema/raw/master/csl-citation.json"}</w:instrText>
      </w:r>
      <w:r w:rsidRPr="00870330">
        <w:rPr>
          <w:rFonts w:asciiTheme="minorHAnsi" w:hAnsiTheme="minorHAnsi" w:cstheme="minorHAnsi"/>
          <w:noProof/>
          <w:color w:val="0D0D0D"/>
        </w:rPr>
        <w:fldChar w:fldCharType="separate"/>
      </w:r>
      <w:r w:rsidRPr="00870330">
        <w:rPr>
          <w:rFonts w:asciiTheme="minorHAnsi" w:hAnsiTheme="minorHAnsi" w:cstheme="minorHAnsi"/>
          <w:noProof/>
          <w:color w:val="0D0D0D"/>
        </w:rPr>
        <w:t>Faria &amp; Almeida (2016)</w:t>
      </w:r>
      <w:r w:rsidRPr="00870330">
        <w:rPr>
          <w:rFonts w:asciiTheme="minorHAnsi" w:hAnsiTheme="minorHAnsi" w:cstheme="minorHAnsi"/>
          <w:noProof/>
          <w:color w:val="0D0D0D"/>
        </w:rPr>
        <w:fldChar w:fldCharType="end"/>
      </w:r>
      <w:r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 xml:space="preserve">in the Brazilian Amazon Forest also confirm that trade openness, in both primary and total products, is a driver of deforestation. In contrast, </w:t>
      </w:r>
      <w:r w:rsidRPr="00870330">
        <w:rPr>
          <w:rFonts w:asciiTheme="minorHAnsi" w:hAnsiTheme="minorHAnsi" w:cstheme="minorHAnsi"/>
          <w:noProof/>
          <w:color w:val="0D0D0D"/>
        </w:rPr>
        <w:fldChar w:fldCharType="begin" w:fldLock="1"/>
      </w:r>
      <w:r w:rsidRPr="00870330">
        <w:rPr>
          <w:rFonts w:asciiTheme="minorHAnsi" w:hAnsiTheme="minorHAnsi" w:cstheme="minorHAnsi"/>
          <w:noProof/>
          <w:color w:val="0D0D0D"/>
        </w:rPr>
        <w:instrText>ADDIN CSL_CITATION {"citationItems":[{"id":"ITEM-1","itemData":{"DOI":"10.1002/pa.2037","ISSN":"14791854","abstract":"This study empirically explores the linkage between urbanization and deforestation while controlling for the role of energy consumption, trade openness, and economic growth within recent data from 1971 to 2015. To do this, we employed the vector error correction-Granger causality approach and Pesaran's autoregressive distributed lag cointegration technique. The Bayer–Hanck cointegration test establishes an equilibrium relationship among the variables. Results reveal that economic growth, energy consumption, and urbanization have a significant impact on deforestation in Nigeria, thereby reducing the quality of the environment. Short- and long-run unidirectional casualty flows from urbanization to deforestation. Therefore, policies for reducing deforestation and enhancing environmental sustainability for growth and development were suggested.","author":[{"dropping-particle":"","family":"Nathaniel","given":"Solomon Prince","non-dropping-particle":"","parse-names":false,"suffix":""},{"dropping-particle":"","family":"Bekun","given":"Festus Victor","non-dropping-particle":"","parse-names":false,"suffix":""}],"container-title":"Journal of Public Affairs","id":"ITEM-1","issue":"2","issued":{"date-parts":[["2020"]]},"title":"Environmental management amidst energy use, urbanization, trade openness, and deforestation: The Nigerian experience","type":"article-journal","volume":"20"},"uris":["http://www.mendeley.com/documents/?uuid=0f8f77e6-d4f4-4081-bed5-ff4dfbea7589"]}],"mendeley":{"formattedCitation":"(Nathaniel &amp; Bekun, 2020)","manualFormatting":"Nathaniel &amp; Bekun (2020)","plainTextFormattedCitation":"(Nathaniel &amp; Bekun, 2020)","previouslyFormattedCitation":"(Nathaniel &amp; Bekun, 2020)"},"properties":{"noteIndex":0},"schema":"https://github.com/citation-style-language/schema/raw/master/csl-citation.json"}</w:instrText>
      </w:r>
      <w:r w:rsidRPr="00870330">
        <w:rPr>
          <w:rFonts w:asciiTheme="minorHAnsi" w:hAnsiTheme="minorHAnsi" w:cstheme="minorHAnsi"/>
          <w:noProof/>
          <w:color w:val="0D0D0D"/>
        </w:rPr>
        <w:fldChar w:fldCharType="separate"/>
      </w:r>
      <w:r w:rsidRPr="00870330">
        <w:rPr>
          <w:rFonts w:asciiTheme="minorHAnsi" w:hAnsiTheme="minorHAnsi" w:cstheme="minorHAnsi"/>
          <w:noProof/>
          <w:color w:val="0D0D0D"/>
        </w:rPr>
        <w:t>Nathaniel &amp; Bekun (2020)</w:t>
      </w:r>
      <w:r w:rsidRPr="00870330">
        <w:rPr>
          <w:rFonts w:asciiTheme="minorHAnsi" w:hAnsiTheme="minorHAnsi" w:cstheme="minorHAnsi"/>
          <w:noProof/>
          <w:color w:val="0D0D0D"/>
        </w:rPr>
        <w:fldChar w:fldCharType="end"/>
      </w:r>
      <w:r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found that trade openness in Nigeria in the long term does not lead to deforestation. Trade can help meet the demand for agricultural commodities so that openness can reduce the potential of forest conversion.</w:t>
      </w:r>
    </w:p>
    <w:p w14:paraId="1D9BA40C" w14:textId="77777777" w:rsidR="00991B6F" w:rsidRPr="00870330" w:rsidRDefault="00991B6F" w:rsidP="00991B6F">
      <w:pPr>
        <w:spacing w:after="0"/>
        <w:jc w:val="both"/>
        <w:rPr>
          <w:rFonts w:asciiTheme="minorHAnsi" w:hAnsiTheme="minorHAnsi" w:cstheme="minorHAnsi"/>
          <w:color w:val="0D0D0D" w:themeColor="text1" w:themeTint="F2"/>
          <w:lang w:eastAsia="id-ID"/>
        </w:rPr>
      </w:pPr>
    </w:p>
    <w:p w14:paraId="4730F6BE" w14:textId="7D787BC3" w:rsidR="00991B6F" w:rsidRPr="00870330" w:rsidRDefault="00991B6F" w:rsidP="00991B6F">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 xml:space="preserve">In addition to economic factors, governance and institutions are other underlying factors for forest cover changes in the tropics. </w:t>
      </w:r>
      <w:r w:rsidRPr="00870330">
        <w:rPr>
          <w:rFonts w:asciiTheme="minorHAnsi" w:hAnsiTheme="minorHAnsi" w:cstheme="minorHAnsi"/>
          <w:noProof/>
          <w:color w:val="0D0D0D"/>
        </w:rPr>
        <w:fldChar w:fldCharType="begin" w:fldLock="1"/>
      </w:r>
      <w:r w:rsidRPr="00870330">
        <w:rPr>
          <w:rFonts w:asciiTheme="minorHAnsi" w:hAnsiTheme="minorHAnsi" w:cstheme="minorHAnsi"/>
          <w:noProof/>
          <w:color w:val="0D0D0D"/>
        </w:rPr>
        <w:instrText>ADDIN CSL_CITATION {"citationItems":[{"id":"ITEM-1","itemData":{"DOI":"10.1016/j.ecolecon.2017.07.030","ISSN":"09218009","abstract":"Understanding which aspects of forest governance have the potential to effectively reduce deforestation is central to reversing trends in global deforestation. There is a multitude of empirical studies examining this relationship using various measures of governance and study designs, coming to diverse conclusions. In order to identify the source of variation across studies, this article conducts a meta-analysis of 32 empirical cross-country studies in the field of economics, containing 227 estimates of the impact of different governance measures on deforestation. Using an ordered probit model, we find that the choice of the governance measure is the main factor in explaining variations in the outcomes of the studies. In particular, studies using environmental policy, ownership rights, presence of environmental NGOs, and rule of law as measures of governance, are more likely to find that better governance reduces deforestation. In contrast, studies using democracy and rights as a measure of governance are more likely to find that deforestation increases, when governance is improved. The finding that not all aspects of governance improvements are equally supportive of forest conservation suggests that more nuanced analyses of specific aspects of environmental governance are required to guide evidence-based policy making.","author":[{"dropping-particle":"","family":"Wehkamp","given":"Johanna","non-dropping-particle":"","parse-names":false,"suffix":""},{"dropping-particle":"","family":"Koch","given":"Nicolas","non-dropping-particle":"","parse-names":false,"suffix":""},{"dropping-particle":"","family":"Lübbers","given":"Sebastian","non-dropping-particle":"","parse-names":false,"suffix":""},{"dropping-particle":"","family":"Fuss","given":"Sabine","non-dropping-particle":"","parse-names":false,"suffix":""}],"container-title":"Ecological Economics","id":"ITEM-1","issue":"May 2017","issued":{"date-parts":[["2018"]]},"page":"214-227","publisher":"Elsevier","title":"Governance and deforestation — a meta-analysis in economics","type":"article-journal","volume":"144"},"uris":["http://www.mendeley.com/documents/?uuid=5cab327e-e9cd-4a7f-8144-36275063d209"]}],"mendeley":{"formattedCitation":"(Wehkamp et al., 2018)","manualFormatting":"Wehkamp et al. (2018)","plainTextFormattedCitation":"(Wehkamp et al., 2018)","previouslyFormattedCitation":"(Wehkamp et al., 2018)"},"properties":{"noteIndex":0},"schema":"https://github.com/citation-style-language/schema/raw/master/csl-citation.json"}</w:instrText>
      </w:r>
      <w:r w:rsidRPr="00870330">
        <w:rPr>
          <w:rFonts w:asciiTheme="minorHAnsi" w:hAnsiTheme="minorHAnsi" w:cstheme="minorHAnsi"/>
          <w:noProof/>
          <w:color w:val="0D0D0D"/>
        </w:rPr>
        <w:fldChar w:fldCharType="separate"/>
      </w:r>
      <w:r w:rsidRPr="00870330">
        <w:rPr>
          <w:rFonts w:asciiTheme="minorHAnsi" w:hAnsiTheme="minorHAnsi" w:cstheme="minorHAnsi"/>
          <w:noProof/>
          <w:color w:val="0D0D0D"/>
        </w:rPr>
        <w:t>Wehkamp et al. (2018)</w:t>
      </w:r>
      <w:r w:rsidRPr="00870330">
        <w:rPr>
          <w:rFonts w:asciiTheme="minorHAnsi" w:hAnsiTheme="minorHAnsi" w:cstheme="minorHAnsi"/>
          <w:noProof/>
          <w:color w:val="0D0D0D"/>
        </w:rPr>
        <w:fldChar w:fldCharType="end"/>
      </w:r>
      <w:r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 xml:space="preserve">used several governance indicators to investigate deforestation and found that environmental policies, clarity of property rights, and the presence of environmental NGOs and rules of law have been proven able to reduce deforestation. In addition, </w:t>
      </w:r>
      <w:r w:rsidRPr="00870330">
        <w:rPr>
          <w:rFonts w:asciiTheme="minorHAnsi" w:hAnsiTheme="minorHAnsi" w:cstheme="minorHAnsi"/>
          <w:noProof/>
          <w:color w:val="0D0D0D"/>
        </w:rPr>
        <w:fldChar w:fldCharType="begin" w:fldLock="1"/>
      </w:r>
      <w:r w:rsidRPr="00870330">
        <w:rPr>
          <w:rFonts w:asciiTheme="minorHAnsi" w:hAnsiTheme="minorHAnsi" w:cstheme="minorHAnsi"/>
          <w:noProof/>
          <w:color w:val="0D0D0D"/>
        </w:rPr>
        <w:instrText>ADDIN CSL_CITATION {"citationItems":[{"id":"ITEM-1","itemData":{"DOI":"10.15181/rfds.v25i2.1745","author":[{"dropping-particle":"","family":"Pachmann","given":"Ales","non-dropping-particle":"","parse-names":false,"suffix":""}],"container-title":"Regional Formation and Development Studies","id":"ITEM-1","issue":"2","issued":{"date-parts":[["2018"]]},"page":"55-62","title":"Corruption and Deforestation in Indonesia","type":"article-journal","volume":"25"},"uris":["http://www.mendeley.com/documents/?uuid=99d7192a-5ef4-4fab-be07-1ae45041db8f"]}],"mendeley":{"formattedCitation":"(Pachmann, 2018)","manualFormatting":"Pachmann (2018)","plainTextFormattedCitation":"(Pachmann, 2018)","previouslyFormattedCitation":"(Pachmann, 2018)"},"properties":{"noteIndex":0},"schema":"https://github.com/citation-style-language/schema/raw/master/csl-citation.json"}</w:instrText>
      </w:r>
      <w:r w:rsidRPr="00870330">
        <w:rPr>
          <w:rFonts w:asciiTheme="minorHAnsi" w:hAnsiTheme="minorHAnsi" w:cstheme="minorHAnsi"/>
          <w:noProof/>
          <w:color w:val="0D0D0D"/>
        </w:rPr>
        <w:fldChar w:fldCharType="separate"/>
      </w:r>
      <w:r w:rsidRPr="00870330">
        <w:rPr>
          <w:rFonts w:asciiTheme="minorHAnsi" w:hAnsiTheme="minorHAnsi" w:cstheme="minorHAnsi"/>
          <w:noProof/>
          <w:color w:val="0D0D0D"/>
        </w:rPr>
        <w:t>Pachmann (2018)</w:t>
      </w:r>
      <w:r w:rsidRPr="00870330">
        <w:rPr>
          <w:rFonts w:asciiTheme="minorHAnsi" w:hAnsiTheme="minorHAnsi" w:cstheme="minorHAnsi"/>
          <w:noProof/>
          <w:color w:val="0D0D0D"/>
        </w:rPr>
        <w:fldChar w:fldCharType="end"/>
      </w:r>
      <w:r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 xml:space="preserve">emphasized that improving governance through corruption prevention and control is crucial because corruption at regional levels helps illegal logging in Indonesia. Corrupt conduct can also hinder forest conservation, certification, and REDD+ programs. For the context of Southeast Asia, </w:t>
      </w:r>
      <w:r w:rsidRPr="00870330">
        <w:rPr>
          <w:rFonts w:asciiTheme="minorHAnsi" w:hAnsiTheme="minorHAnsi" w:cstheme="minorHAnsi"/>
          <w:noProof/>
          <w:color w:val="0D0D0D"/>
        </w:rPr>
        <w:fldChar w:fldCharType="begin" w:fldLock="1"/>
      </w:r>
      <w:r w:rsidRPr="00870330">
        <w:rPr>
          <w:rFonts w:asciiTheme="minorHAnsi" w:hAnsiTheme="minorHAnsi" w:cstheme="minorHAnsi"/>
          <w:noProof/>
          <w:color w:val="0D0D0D"/>
        </w:rPr>
        <w:instrText>ADDIN CSL_CITATION {"citationItems":[{"id":"ITEM-1","itemData":{"DOI":"10.14710/pwk.v15i1.21267","ISSN":"1858-3903","abstract":"This study aims to analyze the process of changing forest area or deforestation that is multidimensional and complex, encompassing economic aspects, aspects of governance, social and demographic aspects and physical and environmental aspects represented by 15 independent variables in 10 countries in Southeast Asia in the year period 2008-2015. The analysis and study besides relying on the theoretical foundation and previous research also included several variables that describe the complexity and multidimensional changes in forest area. However, these efforts are often constrained by incomplete data and data reliability. In contrast to some previous studies which focused more on economic aspects or aspects of population increase that affected changes in forest area. This research also includes aspects of governance and social and demographic aspects as well as environmental aspect which are expected to complement the spectrum and study of the problems of deforestation and forest degradation. The method used in this study uses pooled least squares and a series of tests to produce the best model specifications and estimators. In research that uses a 95% confidence level on p-value at a value of α = 0.05, it was found that from 15 variables there were only 6 (six) variables that significantly affected the increase in the human development index.","author":[{"dropping-particle":"","family":"Handalani","given":"Radite Teguh","non-dropping-particle":"","parse-names":false,"suffix":""}],"container-title":"Jurnal Pembangunan Wilayah &amp; Kota","id":"ITEM-1","issue":"1","issued":{"date-parts":[["2019"]]},"page":"1-19","title":"Determinan Deforestasi Negara-Negara Di Kawasan Asia Tenggara Periode 2008-2015","type":"article-journal","volume":"15"},"uris":["http://www.mendeley.com/documents/?uuid=338b3d6a-d111-44f3-8ad5-7c7c079edd97"]}],"mendeley":{"formattedCitation":"(Handalani, 2019)","manualFormatting":"Handalani (2019)","plainTextFormattedCitation":"(Handalani, 2019)","previouslyFormattedCitation":"(Handalani, 2019)"},"properties":{"noteIndex":0},"schema":"https://github.com/citation-style-language/schema/raw/master/csl-citation.json"}</w:instrText>
      </w:r>
      <w:r w:rsidRPr="00870330">
        <w:rPr>
          <w:rFonts w:asciiTheme="minorHAnsi" w:hAnsiTheme="minorHAnsi" w:cstheme="minorHAnsi"/>
          <w:noProof/>
          <w:color w:val="0D0D0D"/>
        </w:rPr>
        <w:fldChar w:fldCharType="separate"/>
      </w:r>
      <w:r w:rsidRPr="00870330">
        <w:rPr>
          <w:rFonts w:asciiTheme="minorHAnsi" w:hAnsiTheme="minorHAnsi" w:cstheme="minorHAnsi"/>
          <w:noProof/>
          <w:color w:val="0D0D0D"/>
        </w:rPr>
        <w:t>Handalani (2019)</w:t>
      </w:r>
      <w:r w:rsidRPr="00870330">
        <w:rPr>
          <w:rFonts w:asciiTheme="minorHAnsi" w:hAnsiTheme="minorHAnsi" w:cstheme="minorHAnsi"/>
          <w:noProof/>
          <w:color w:val="0D0D0D"/>
        </w:rPr>
        <w:fldChar w:fldCharType="end"/>
      </w:r>
      <w:r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not</w:t>
      </w:r>
      <w:r w:rsidR="00AD63C6" w:rsidRPr="00870330">
        <w:rPr>
          <w:rFonts w:asciiTheme="minorHAnsi" w:hAnsiTheme="minorHAnsi" w:cstheme="minorHAnsi"/>
          <w:color w:val="0D0D0D" w:themeColor="text1" w:themeTint="F2"/>
          <w:lang w:eastAsia="id-ID"/>
        </w:rPr>
        <w:t>ed</w:t>
      </w:r>
      <w:r w:rsidRPr="00870330">
        <w:rPr>
          <w:rFonts w:asciiTheme="minorHAnsi" w:hAnsiTheme="minorHAnsi" w:cstheme="minorHAnsi"/>
          <w:color w:val="0D0D0D" w:themeColor="text1" w:themeTint="F2"/>
          <w:lang w:eastAsia="id-ID"/>
        </w:rPr>
        <w:t xml:space="preserve"> that </w:t>
      </w:r>
      <w:r w:rsidR="00AD63C6" w:rsidRPr="00870330">
        <w:rPr>
          <w:rFonts w:asciiTheme="minorHAnsi" w:hAnsiTheme="minorHAnsi" w:cstheme="minorHAnsi"/>
          <w:color w:val="0D0D0D" w:themeColor="text1" w:themeTint="F2"/>
          <w:lang w:eastAsia="id-ID"/>
        </w:rPr>
        <w:t>the effect of corruption perception index (C</w:t>
      </w:r>
      <w:r w:rsidR="0087421E" w:rsidRPr="00870330">
        <w:rPr>
          <w:rFonts w:asciiTheme="minorHAnsi" w:hAnsiTheme="minorHAnsi" w:cstheme="minorHAnsi"/>
          <w:color w:val="0D0D0D" w:themeColor="text1" w:themeTint="F2"/>
          <w:lang w:eastAsia="id-ID"/>
        </w:rPr>
        <w:t>PI) on forest cover is positive.</w:t>
      </w:r>
      <w:r w:rsidR="00AD63C6" w:rsidRPr="00870330">
        <w:rPr>
          <w:rFonts w:asciiTheme="minorHAnsi" w:hAnsiTheme="minorHAnsi" w:cstheme="minorHAnsi"/>
          <w:color w:val="0D0D0D" w:themeColor="text1" w:themeTint="F2"/>
          <w:lang w:eastAsia="id-ID"/>
        </w:rPr>
        <w:t xml:space="preserve"> </w:t>
      </w:r>
      <w:r w:rsidRPr="00870330">
        <w:rPr>
          <w:rFonts w:asciiTheme="minorHAnsi" w:hAnsiTheme="minorHAnsi" w:cstheme="minorHAnsi"/>
          <w:color w:val="0D0D0D" w:themeColor="text1" w:themeTint="F2"/>
          <w:lang w:eastAsia="id-ID"/>
        </w:rPr>
        <w:t xml:space="preserve">However, </w:t>
      </w:r>
      <w:r w:rsidRPr="00870330">
        <w:rPr>
          <w:rFonts w:asciiTheme="minorHAnsi" w:hAnsiTheme="minorHAnsi" w:cstheme="minorHAnsi"/>
          <w:noProof/>
          <w:color w:val="0D0D0D"/>
        </w:rPr>
        <w:fldChar w:fldCharType="begin" w:fldLock="1"/>
      </w:r>
      <w:r w:rsidRPr="00870330">
        <w:rPr>
          <w:rFonts w:asciiTheme="minorHAnsi" w:hAnsiTheme="minorHAnsi" w:cstheme="minorHAnsi"/>
          <w:noProof/>
          <w:color w:val="0D0D0D"/>
        </w:rPr>
        <w:instrText>ADDIN CSL_CITATION {"citationItems":[{"id":"ITEM-1","itemData":{"DOI":"10.1080/13504851.2011.619487","ISSN":"13504851","abstract":"This article aims to analyse the relationship between deforestation, corruption and economic growth. We focused our analysis on the Brazilian municipalities situated in the Amazon region. We used the cross-sectional data from 538 municipalities in the Legal Amazon area for the year 2004. We constructed the municipal corruption index based on the objective data delivered by the reports from Controladoria-Geral da União (CGU). We performed a nonparametric analysis, that is, we applied the Generalized Additive Model (GAM). We found statistically significant effects of the economic growth rate on the level of deforestation. However, the corruption seems to have no significant impact. Given the first results, we divided our data and analysed just the data from 25 municipalities from the states Pará and Matogrosso. In the second approach, corruption was statistically significant. © 2012 Copyright Taylor and Francis Group, LLC.","author":[{"dropping-particle":"","family":"Mendes","given":"Cassandro Maria","non-dropping-particle":"","parse-names":false,"suffix":""},{"dropping-particle":"","family":"Junior","given":"Sabino Porto","non-dropping-particle":"","parse-names":false,"suffix":""}],"container-title":"Applied Economics Letters","id":"ITEM-1","issue":"13","issued":{"date-parts":[["2012"]]},"page":"1285-1291","title":"Deforestation, economic growth and corruption: A nonparametric analysis on the case of Amazon forest","type":"article-journal","volume":"19"},"uris":["http://www.mendeley.com/documents/?uuid=1d4b3bc2-30c7-44d3-8ec4-e3a2a5828b5b"]}],"mendeley":{"formattedCitation":"(Mendes &amp; Junior, 2012)","manualFormatting":"Mendes &amp; Junior (2012)","plainTextFormattedCitation":"(Mendes &amp; Junior, 2012)","previouslyFormattedCitation":"(Mendes &amp; Junior, 2012)"},"properties":{"noteIndex":0},"schema":"https://github.com/citation-style-language/schema/raw/master/csl-citation.json"}</w:instrText>
      </w:r>
      <w:r w:rsidRPr="00870330">
        <w:rPr>
          <w:rFonts w:asciiTheme="minorHAnsi" w:hAnsiTheme="minorHAnsi" w:cstheme="minorHAnsi"/>
          <w:noProof/>
          <w:color w:val="0D0D0D"/>
        </w:rPr>
        <w:fldChar w:fldCharType="separate"/>
      </w:r>
      <w:r w:rsidRPr="00870330">
        <w:rPr>
          <w:rFonts w:asciiTheme="minorHAnsi" w:hAnsiTheme="minorHAnsi" w:cstheme="minorHAnsi"/>
          <w:noProof/>
          <w:color w:val="0D0D0D"/>
        </w:rPr>
        <w:t>Mendes &amp; Junior (2012)</w:t>
      </w:r>
      <w:r w:rsidRPr="00870330">
        <w:rPr>
          <w:rFonts w:asciiTheme="minorHAnsi" w:hAnsiTheme="minorHAnsi" w:cstheme="minorHAnsi"/>
          <w:noProof/>
          <w:color w:val="0D0D0D"/>
        </w:rPr>
        <w:fldChar w:fldCharType="end"/>
      </w:r>
      <w:r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 xml:space="preserve">found that corruption has no significant </w:t>
      </w:r>
      <w:r w:rsidR="00442DF7" w:rsidRPr="00870330">
        <w:rPr>
          <w:rFonts w:asciiTheme="minorHAnsi" w:hAnsiTheme="minorHAnsi" w:cstheme="minorHAnsi"/>
          <w:color w:val="0D0D0D" w:themeColor="text1" w:themeTint="F2"/>
          <w:lang w:eastAsia="id-ID"/>
        </w:rPr>
        <w:t>impact</w:t>
      </w:r>
      <w:r w:rsidRPr="00870330">
        <w:rPr>
          <w:rFonts w:asciiTheme="minorHAnsi" w:hAnsiTheme="minorHAnsi" w:cstheme="minorHAnsi"/>
          <w:color w:val="0D0D0D" w:themeColor="text1" w:themeTint="F2"/>
          <w:lang w:eastAsia="id-ID"/>
        </w:rPr>
        <w:t xml:space="preserve"> on deforesta</w:t>
      </w:r>
      <w:r w:rsidR="0087421E" w:rsidRPr="00870330">
        <w:rPr>
          <w:rFonts w:asciiTheme="minorHAnsi" w:hAnsiTheme="minorHAnsi" w:cstheme="minorHAnsi"/>
          <w:color w:val="0D0D0D" w:themeColor="text1" w:themeTint="F2"/>
          <w:lang w:eastAsia="id-ID"/>
        </w:rPr>
        <w:t xml:space="preserve">tion rates in the Amazon </w:t>
      </w:r>
      <w:r w:rsidR="00A15305" w:rsidRPr="00870330">
        <w:rPr>
          <w:rFonts w:asciiTheme="minorHAnsi" w:hAnsiTheme="minorHAnsi" w:cstheme="minorHAnsi"/>
          <w:color w:val="0D0D0D" w:themeColor="text1" w:themeTint="F2"/>
          <w:lang w:eastAsia="id-ID"/>
        </w:rPr>
        <w:t>Rainf</w:t>
      </w:r>
      <w:r w:rsidR="00457C04" w:rsidRPr="00870330">
        <w:rPr>
          <w:rFonts w:asciiTheme="minorHAnsi" w:hAnsiTheme="minorHAnsi" w:cstheme="minorHAnsi"/>
          <w:color w:val="0D0D0D" w:themeColor="text1" w:themeTint="F2"/>
          <w:lang w:eastAsia="id-ID"/>
        </w:rPr>
        <w:t>orest in Brazil.</w:t>
      </w:r>
    </w:p>
    <w:p w14:paraId="76F12C1C" w14:textId="77777777" w:rsidR="00991B6F" w:rsidRPr="00870330" w:rsidRDefault="00991B6F" w:rsidP="00991B6F">
      <w:pPr>
        <w:spacing w:after="0"/>
        <w:jc w:val="both"/>
        <w:rPr>
          <w:rFonts w:asciiTheme="minorHAnsi" w:hAnsiTheme="minorHAnsi" w:cstheme="minorHAnsi"/>
          <w:color w:val="0D0D0D" w:themeColor="text1" w:themeTint="F2"/>
          <w:lang w:eastAsia="id-ID"/>
        </w:rPr>
      </w:pPr>
    </w:p>
    <w:p w14:paraId="5263C55E" w14:textId="6045FB0F" w:rsidR="004C2EEB" w:rsidRPr="00870330" w:rsidRDefault="005640D7" w:rsidP="00672ECB">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The empirical literature on the underlying causes of deforestation in Southeast Asia is limited; this paper intends to examine the nexus between per capita GDP, trade</w:t>
      </w:r>
      <w:r w:rsidR="003D002C" w:rsidRPr="00870330">
        <w:rPr>
          <w:rFonts w:asciiTheme="minorHAnsi" w:hAnsiTheme="minorHAnsi" w:cstheme="minorHAnsi"/>
          <w:color w:val="0D0D0D" w:themeColor="text1" w:themeTint="F2"/>
          <w:lang w:eastAsia="id-ID"/>
        </w:rPr>
        <w:t xml:space="preserve"> open</w:t>
      </w:r>
      <w:r w:rsidR="00396B71" w:rsidRPr="00870330">
        <w:rPr>
          <w:rFonts w:asciiTheme="minorHAnsi" w:hAnsiTheme="minorHAnsi" w:cstheme="minorHAnsi"/>
          <w:color w:val="0D0D0D" w:themeColor="text1" w:themeTint="F2"/>
          <w:lang w:eastAsia="id-ID"/>
        </w:rPr>
        <w:t>ness</w:t>
      </w:r>
      <w:r w:rsidRPr="00870330">
        <w:rPr>
          <w:rFonts w:asciiTheme="minorHAnsi" w:hAnsiTheme="minorHAnsi" w:cstheme="minorHAnsi"/>
          <w:color w:val="0D0D0D" w:themeColor="text1" w:themeTint="F2"/>
          <w:lang w:eastAsia="id-ID"/>
        </w:rPr>
        <w:t>, corruption, and deforestation rates within the EKC framework</w:t>
      </w:r>
      <w:r w:rsidR="00672ECB" w:rsidRPr="00870330">
        <w:rPr>
          <w:rFonts w:asciiTheme="minorHAnsi" w:hAnsiTheme="minorHAnsi" w:cstheme="minorHAnsi"/>
          <w:color w:val="0D0D0D" w:themeColor="text1" w:themeTint="F2"/>
          <w:lang w:eastAsia="id-ID"/>
        </w:rPr>
        <w:t xml:space="preserve">. We also </w:t>
      </w:r>
      <w:r w:rsidR="00CF71DF" w:rsidRPr="00870330">
        <w:rPr>
          <w:rFonts w:asciiTheme="minorHAnsi" w:hAnsiTheme="minorHAnsi" w:cstheme="minorHAnsi"/>
          <w:color w:val="0D0D0D" w:themeColor="text1" w:themeTint="F2"/>
          <w:lang w:eastAsia="id-ID"/>
        </w:rPr>
        <w:t>consider</w:t>
      </w:r>
      <w:r w:rsidR="00672ECB" w:rsidRPr="00870330">
        <w:rPr>
          <w:rFonts w:asciiTheme="minorHAnsi" w:hAnsiTheme="minorHAnsi" w:cstheme="minorHAnsi"/>
          <w:color w:val="0D0D0D" w:themeColor="text1" w:themeTint="F2"/>
          <w:lang w:eastAsia="id-ID"/>
        </w:rPr>
        <w:t xml:space="preserve"> population and agriculture as control variables. This study </w:t>
      </w:r>
      <w:r w:rsidR="00297F00" w:rsidRPr="00870330">
        <w:rPr>
          <w:rFonts w:asciiTheme="minorHAnsi" w:hAnsiTheme="minorHAnsi" w:cstheme="minorHAnsi"/>
          <w:color w:val="0D0D0D" w:themeColor="text1" w:themeTint="F2"/>
          <w:lang w:eastAsia="id-ID"/>
        </w:rPr>
        <w:t>performs</w:t>
      </w:r>
      <w:r w:rsidR="00672ECB" w:rsidRPr="00870330">
        <w:rPr>
          <w:rFonts w:asciiTheme="minorHAnsi" w:hAnsiTheme="minorHAnsi" w:cstheme="minorHAnsi"/>
          <w:color w:val="0D0D0D" w:themeColor="text1" w:themeTint="F2"/>
          <w:lang w:eastAsia="id-ID"/>
        </w:rPr>
        <w:t xml:space="preserve"> the Pooled Mean Group (PMG) and panel </w:t>
      </w:r>
      <w:r w:rsidR="00AC0D52" w:rsidRPr="00870330">
        <w:rPr>
          <w:rFonts w:asciiTheme="minorHAnsi" w:hAnsiTheme="minorHAnsi" w:cstheme="minorHAnsi"/>
          <w:color w:val="0D0D0D" w:themeColor="text1" w:themeTint="F2"/>
          <w:lang w:eastAsia="id-ID"/>
        </w:rPr>
        <w:t xml:space="preserve">data </w:t>
      </w:r>
      <w:r w:rsidR="00672ECB" w:rsidRPr="00870330">
        <w:rPr>
          <w:rFonts w:asciiTheme="minorHAnsi" w:hAnsiTheme="minorHAnsi" w:cstheme="minorHAnsi"/>
          <w:color w:val="0D0D0D" w:themeColor="text1" w:themeTint="F2"/>
          <w:lang w:eastAsia="id-ID"/>
        </w:rPr>
        <w:t xml:space="preserve">causality tests. Regarding the research contributions, we </w:t>
      </w:r>
      <w:r w:rsidR="00165FAB" w:rsidRPr="00870330">
        <w:rPr>
          <w:rFonts w:asciiTheme="minorHAnsi" w:hAnsiTheme="minorHAnsi" w:cstheme="minorHAnsi"/>
          <w:color w:val="0D0D0D" w:themeColor="text1" w:themeTint="F2"/>
          <w:lang w:eastAsia="id-ID"/>
        </w:rPr>
        <w:t>propose</w:t>
      </w:r>
      <w:r w:rsidR="00672ECB" w:rsidRPr="00870330">
        <w:rPr>
          <w:rFonts w:asciiTheme="minorHAnsi" w:hAnsiTheme="minorHAnsi" w:cstheme="minorHAnsi"/>
          <w:color w:val="0D0D0D" w:themeColor="text1" w:themeTint="F2"/>
          <w:lang w:eastAsia="id-ID"/>
        </w:rPr>
        <w:t xml:space="preserve"> four novelties. First, as the EKC deforestation </w:t>
      </w:r>
      <w:r w:rsidR="00297F00" w:rsidRPr="00870330">
        <w:rPr>
          <w:rFonts w:asciiTheme="minorHAnsi" w:hAnsiTheme="minorHAnsi" w:cstheme="minorHAnsi"/>
          <w:color w:val="0D0D0D" w:themeColor="text1" w:themeTint="F2"/>
          <w:lang w:eastAsia="id-ID"/>
        </w:rPr>
        <w:t>article</w:t>
      </w:r>
      <w:r w:rsidR="00672ECB" w:rsidRPr="00870330">
        <w:rPr>
          <w:rFonts w:asciiTheme="minorHAnsi" w:hAnsiTheme="minorHAnsi" w:cstheme="minorHAnsi"/>
          <w:color w:val="0D0D0D" w:themeColor="text1" w:themeTint="F2"/>
          <w:lang w:eastAsia="id-ID"/>
        </w:rPr>
        <w:t xml:space="preserve"> for the Southeast Asian context by </w:t>
      </w:r>
      <w:r w:rsidR="00672ECB" w:rsidRPr="00870330">
        <w:rPr>
          <w:rFonts w:asciiTheme="minorHAnsi" w:hAnsiTheme="minorHAnsi" w:cstheme="minorHAnsi"/>
          <w:noProof/>
          <w:color w:val="0D0D0D"/>
        </w:rPr>
        <w:fldChar w:fldCharType="begin" w:fldLock="1"/>
      </w:r>
      <w:r w:rsidR="00672ECB" w:rsidRPr="00870330">
        <w:rPr>
          <w:rFonts w:asciiTheme="minorHAnsi" w:hAnsiTheme="minorHAnsi" w:cstheme="minorHAnsi"/>
          <w:noProof/>
          <w:color w:val="0D0D0D"/>
        </w:rPr>
        <w:instrText>ADDIN CSL_CITATION {"citationItems":[{"id":"ITEM-1","itemData":{"abstract":"The environmental history of the twentieth century in Southeast Asia reveals tremendous loss of forested areas as a consequence of unprecedented economic transformations and unrestrained globalization. Featuring some of the world’s fastest-growing economies, Southeast Asia has been experiencing fundamental changes in its economic structure, sociopolitical institutions, and the rate of natural resource extraction and depletion, including deforestation. This study reexamines evidence of the Environmental Kuznets Curve (EKC) hypothesis in light of the deforestation the above region experienced over the period 1990-2013. We use the change in forest cover as an indicator for environmental degradation. A panel cointegration approach is invoked to investigate the presence of the EKC hypothesis for two different data panels, gauging the effects of changes in economic structure, agricultural productivity, institutional factors, demographic transformation, renewable energy, and international trade across Southeast Asian countries. We do not find the evidence of the EKC. However, our results confirm the negative impacts of increasing agricultural productivity on forest stocks. We identify major Granger causality relationships between economic growth, the ratio of the value of exported forest products to the value of imported manufactures, the share of agriculture, forestry, and fisheries over total manufacturing, the debt ratio, trade openness, and renewable energy consumption. A variable capturing institutional change is found to play an important role in the management of forest resources. Southeast Asian countries should develop strong political foundations, using international trade to foster sustainable development paths compatible with growth and less pressure on forested land.","author":[{"dropping-particle":"","family":"Thi","given":"Lan","non-dropping-particle":"","parse-names":false,"suffix":""},{"dropping-particle":"","family":"Nguyen","given":"Ngoc","non-dropping-particle":"","parse-names":false,"suffix":""}],"id":"ITEM-1","issued":{"date-parts":[["2018"]]},"number-of-pages":"55","publisher":"Hollins University","title":"Economic Growth and Changes in Forested Areas in Southeast Economic Growth and Changes in Forested Areas in Southeast Asia: Is Environmental Kuznets Curve Still Relevant? Asia: Is Environmental Kuznets Curve Still Relevant?","type":"thesis"},"uris":["http://www.mendeley.com/documents/?uuid=bc07c359-c8c6-4989-a76b-f484fc6a2679"]}],"mendeley":{"formattedCitation":"(Thi &amp; Nguyen, 2018)","manualFormatting":"Thi &amp; Nguyen (2018)","plainTextFormattedCitation":"(Thi &amp; Nguyen, 2018)","previouslyFormattedCitation":"(Thi &amp; Nguyen, 2018)"},"properties":{"noteIndex":0},"schema":"https://github.com/citation-style-language/schema/raw/master/csl-citation.json"}</w:instrText>
      </w:r>
      <w:r w:rsidR="00672ECB" w:rsidRPr="00870330">
        <w:rPr>
          <w:rFonts w:asciiTheme="minorHAnsi" w:hAnsiTheme="minorHAnsi" w:cstheme="minorHAnsi"/>
          <w:noProof/>
          <w:color w:val="0D0D0D"/>
        </w:rPr>
        <w:fldChar w:fldCharType="separate"/>
      </w:r>
      <w:r w:rsidR="00672ECB" w:rsidRPr="00870330">
        <w:rPr>
          <w:rFonts w:asciiTheme="minorHAnsi" w:hAnsiTheme="minorHAnsi" w:cstheme="minorHAnsi"/>
          <w:noProof/>
          <w:color w:val="0D0D0D"/>
        </w:rPr>
        <w:t>Thi &amp; Nguyen (2018)</w:t>
      </w:r>
      <w:r w:rsidR="00672ECB" w:rsidRPr="00870330">
        <w:rPr>
          <w:rFonts w:asciiTheme="minorHAnsi" w:hAnsiTheme="minorHAnsi" w:cstheme="minorHAnsi"/>
          <w:noProof/>
          <w:color w:val="0D0D0D"/>
        </w:rPr>
        <w:fldChar w:fldCharType="end"/>
      </w:r>
      <w:r w:rsidR="00672ECB" w:rsidRPr="00870330">
        <w:rPr>
          <w:rFonts w:asciiTheme="minorHAnsi" w:hAnsiTheme="minorHAnsi" w:cstheme="minorHAnsi"/>
          <w:noProof/>
          <w:color w:val="0D0D0D"/>
        </w:rPr>
        <w:t xml:space="preserve"> </w:t>
      </w:r>
      <w:r w:rsidR="00672ECB" w:rsidRPr="00870330">
        <w:rPr>
          <w:rFonts w:asciiTheme="minorHAnsi" w:hAnsiTheme="minorHAnsi" w:cstheme="minorHAnsi"/>
          <w:color w:val="0D0D0D" w:themeColor="text1" w:themeTint="F2"/>
          <w:lang w:eastAsia="id-ID"/>
        </w:rPr>
        <w:t xml:space="preserve">adopts a static panel (Fixed Effect Model), this study applies the PMG method, which can capture the short-term heterogeneity and the dynamics of the model. The weakness of FEM is that it cannot capture individual heterogeneity of time-varied panel data </w:t>
      </w:r>
      <w:r w:rsidR="00672ECB" w:rsidRPr="00870330">
        <w:rPr>
          <w:rFonts w:asciiTheme="minorHAnsi" w:hAnsiTheme="minorHAnsi" w:cstheme="minorHAnsi"/>
          <w:noProof/>
          <w:color w:val="0D0D0D"/>
        </w:rPr>
        <w:fldChar w:fldCharType="begin" w:fldLock="1"/>
      </w:r>
      <w:r w:rsidR="00672ECB" w:rsidRPr="00870330">
        <w:rPr>
          <w:rFonts w:asciiTheme="minorHAnsi" w:hAnsiTheme="minorHAnsi" w:cstheme="minorHAnsi"/>
          <w:noProof/>
          <w:color w:val="0D0D0D"/>
        </w:rPr>
        <w:instrText>ADDIN CSL_CITATION {"citationItems":[{"id":"ITEM-1","itemData":{"DOI":"10.1177/0731121419863785","ISSN":"15338673","abstract":"Although fixed-effects models for panel data are now widely recognized as powerful tools for longitudinal data analysis, the limitations of these models are not well known. We provide a critical discussion of 12 limitations, including a culture of omission, low statistical power, limited external validity, restricted time periods, measurement error, time invariance, undefined variables, unobserved heterogeneity, erroneous causal inferences, imprecise interpretations of coefficients, imprudent comparisons with cross-sectional models, and questionable contributions vis-à-vis previous work. Instead of discouraging the use of fixed-effects models, we encourage more critical applications of this rigorous and promising methodology. The most important deficiencies—Type II errors, biased coefficients and imprecise standard errors, misleading p values, misguided causal claims, and various theoretical concerns—should be weighed against the likely presence of unobserved heterogeneity in other regression models. Ultimately, we must do a better job of communicating the pitfalls of fixed-effects models to our colleagues and students.","author":[{"dropping-particle":"","family":"Hill","given":"Terrence D.","non-dropping-particle":"","parse-names":false,"suffix":""},{"dropping-particle":"","family":"Davis","given":"Andrew P.","non-dropping-particle":"","parse-names":false,"suffix":""},{"dropping-particle":"","family":"Roos","given":"J. Micah","non-dropping-particle":"","parse-names":false,"suffix":""},{"dropping-particle":"","family":"French","given":"Michael T.","non-dropping-particle":"","parse-names":false,"suffix":""}],"container-title":"Sociological Perspectives","id":"ITEM-1","issue":"3","issued":{"date-parts":[["2020"]]},"page":"357-369","title":"Limitations of Fixed-Effects Models for Panel Data","type":"article-journal","volume":"63"},"uris":["http://www.mendeley.com/documents/?uuid=02be4543-d8ed-48c5-adf5-9dcbc4cc0c40"]}],"mendeley":{"formattedCitation":"(Hill et al., 2020)","plainTextFormattedCitation":"(Hill et al., 2020)","previouslyFormattedCitation":"(Hill et al., 2020)"},"properties":{"noteIndex":0},"schema":"https://github.com/citation-style-language/schema/raw/master/csl-citation.json"}</w:instrText>
      </w:r>
      <w:r w:rsidR="00672ECB" w:rsidRPr="00870330">
        <w:rPr>
          <w:rFonts w:asciiTheme="minorHAnsi" w:hAnsiTheme="minorHAnsi" w:cstheme="minorHAnsi"/>
          <w:noProof/>
          <w:color w:val="0D0D0D"/>
        </w:rPr>
        <w:fldChar w:fldCharType="separate"/>
      </w:r>
      <w:r w:rsidR="00672ECB" w:rsidRPr="00870330">
        <w:rPr>
          <w:rFonts w:asciiTheme="minorHAnsi" w:hAnsiTheme="minorHAnsi" w:cstheme="minorHAnsi"/>
          <w:noProof/>
          <w:color w:val="0D0D0D"/>
        </w:rPr>
        <w:t>(Hill et al., 2020)</w:t>
      </w:r>
      <w:r w:rsidR="00672ECB" w:rsidRPr="00870330">
        <w:rPr>
          <w:rFonts w:asciiTheme="minorHAnsi" w:hAnsiTheme="minorHAnsi" w:cstheme="minorHAnsi"/>
          <w:noProof/>
          <w:color w:val="0D0D0D"/>
        </w:rPr>
        <w:fldChar w:fldCharType="end"/>
      </w:r>
      <w:r w:rsidR="00672ECB" w:rsidRPr="00870330">
        <w:rPr>
          <w:rFonts w:asciiTheme="minorHAnsi" w:hAnsiTheme="minorHAnsi" w:cstheme="minorHAnsi"/>
          <w:noProof/>
          <w:color w:val="0D0D0D"/>
        </w:rPr>
        <w:t xml:space="preserve">. </w:t>
      </w:r>
      <w:r w:rsidR="00672ECB" w:rsidRPr="00870330">
        <w:rPr>
          <w:rFonts w:asciiTheme="minorHAnsi" w:hAnsiTheme="minorHAnsi" w:cstheme="minorHAnsi"/>
          <w:color w:val="0D0D0D" w:themeColor="text1" w:themeTint="F2"/>
          <w:lang w:eastAsia="id-ID"/>
        </w:rPr>
        <w:t xml:space="preserve">Second, this deforestation study </w:t>
      </w:r>
      <w:r w:rsidR="00BD6D7E" w:rsidRPr="00870330">
        <w:rPr>
          <w:rFonts w:asciiTheme="minorHAnsi" w:hAnsiTheme="minorHAnsi" w:cstheme="minorHAnsi"/>
          <w:color w:val="0D0D0D" w:themeColor="text1" w:themeTint="F2"/>
          <w:lang w:eastAsia="id-ID"/>
        </w:rPr>
        <w:t>utilizes</w:t>
      </w:r>
      <w:r w:rsidR="00672ECB" w:rsidRPr="00870330">
        <w:rPr>
          <w:rFonts w:asciiTheme="minorHAnsi" w:hAnsiTheme="minorHAnsi" w:cstheme="minorHAnsi"/>
          <w:color w:val="0D0D0D" w:themeColor="text1" w:themeTint="F2"/>
          <w:lang w:eastAsia="id-ID"/>
        </w:rPr>
        <w:t xml:space="preserve"> panel data with a larger sample size (N = 9 and T = 23) </w:t>
      </w:r>
      <w:r w:rsidR="00672ECB" w:rsidRPr="00870330">
        <w:rPr>
          <w:rFonts w:asciiTheme="minorHAnsi" w:hAnsiTheme="minorHAnsi" w:cstheme="minorHAnsi"/>
          <w:noProof/>
          <w:color w:val="0D0D0D"/>
        </w:rPr>
        <w:t xml:space="preserve">(see </w:t>
      </w:r>
      <w:r w:rsidR="00672ECB" w:rsidRPr="00870330">
        <w:rPr>
          <w:rFonts w:asciiTheme="minorHAnsi" w:hAnsiTheme="minorHAnsi" w:cstheme="minorHAnsi"/>
          <w:noProof/>
          <w:color w:val="0D0D0D"/>
        </w:rPr>
        <w:fldChar w:fldCharType="begin" w:fldLock="1"/>
      </w:r>
      <w:r w:rsidR="00672ECB" w:rsidRPr="00870330">
        <w:rPr>
          <w:rFonts w:asciiTheme="minorHAnsi" w:hAnsiTheme="minorHAnsi" w:cstheme="minorHAnsi"/>
          <w:noProof/>
          <w:color w:val="0D0D0D"/>
        </w:rPr>
        <w:instrText>ADDIN CSL_CITATION {"citationItems":[{"id":"ITEM-1","itemData":{"DOI":"10.29259/jep.v19i2.15530","ISSN":"1829-5843","abstract":"Forests are unique resources and environments because, in general, they provide many benefits. Changing the function of forest areas to other functions is inseparable from economic development. As a developing country, Indonesia's economy is still dependent on natural resources to support its development. Economic integration through trade openness plays a vital role in economic growth. Policies that enhance the country's ability to trade will help the economy to develop. The more open the trade regime will make the country specialize in semi-finished input products, its competitive advantage. However, economic integration also creates negative externalities in the form of increased deforestation. This study explores the effect of trade openness on deforestation using a panel data method in 20 provinces in Indonesia from 2008-2018. Not many studies have focused on trade openness, large plantations, and social interactions as the driving forces behind deforestation in Indonesia. From the estimation results of the model, it is known that trade openness, economic growth, and activities of logging and forest conversion each contribute to changes in forest cover. If the commodity price rises, it will impact decreasing forest cover. Also, increasing population and density have decreased forest cover because land outside the forest area is limited.","author":[{"dropping-particle":"","family":"Kustanto","given":"Andi","non-dropping-particle":"","parse-names":false,"suffix":""}],"container-title":"Jurnal Ekonomi Pembangunan","id":"ITEM-1","issue":"2","issued":{"date-parts":[["2022"]]},"page":"165-182","title":"Does Trade Openness Cause Deforestation? A Case Study from Indonesia","type":"article-journal","volume":"19"},"uris":["http://www.mendeley.com/documents/?uuid=f6005a0f-f5c9-4b79-a6d4-36cf2917f84b"]}],"mendeley":{"formattedCitation":"(Kustanto, 2022)","manualFormatting":"Kustanto, 2022","plainTextFormattedCitation":"(Kustanto, 2022)","previouslyFormattedCitation":"(Kustanto, 2022)"},"properties":{"noteIndex":0},"schema":"https://github.com/citation-style-language/schema/raw/master/csl-citation.json"}</w:instrText>
      </w:r>
      <w:r w:rsidR="00672ECB" w:rsidRPr="00870330">
        <w:rPr>
          <w:rFonts w:asciiTheme="minorHAnsi" w:hAnsiTheme="minorHAnsi" w:cstheme="minorHAnsi"/>
          <w:noProof/>
          <w:color w:val="0D0D0D"/>
        </w:rPr>
        <w:fldChar w:fldCharType="separate"/>
      </w:r>
      <w:r w:rsidR="00672ECB" w:rsidRPr="00870330">
        <w:rPr>
          <w:rFonts w:asciiTheme="minorHAnsi" w:hAnsiTheme="minorHAnsi" w:cstheme="minorHAnsi"/>
          <w:noProof/>
          <w:color w:val="0D0D0D"/>
        </w:rPr>
        <w:t>Kustanto, 2022</w:t>
      </w:r>
      <w:r w:rsidR="00672ECB" w:rsidRPr="00870330">
        <w:rPr>
          <w:rFonts w:asciiTheme="minorHAnsi" w:hAnsiTheme="minorHAnsi" w:cstheme="minorHAnsi"/>
          <w:noProof/>
          <w:color w:val="0D0D0D"/>
        </w:rPr>
        <w:fldChar w:fldCharType="end"/>
      </w:r>
      <w:r w:rsidR="00672ECB" w:rsidRPr="00870330">
        <w:rPr>
          <w:rFonts w:asciiTheme="minorHAnsi" w:hAnsiTheme="minorHAnsi" w:cstheme="minorHAnsi"/>
          <w:noProof/>
          <w:color w:val="0D0D0D"/>
        </w:rPr>
        <w:t xml:space="preserve">; </w:t>
      </w:r>
      <w:r w:rsidR="00672ECB" w:rsidRPr="00870330">
        <w:rPr>
          <w:rFonts w:asciiTheme="minorHAnsi" w:hAnsiTheme="minorHAnsi" w:cstheme="minorHAnsi"/>
          <w:noProof/>
          <w:color w:val="0D0D0D"/>
        </w:rPr>
        <w:fldChar w:fldCharType="begin" w:fldLock="1"/>
      </w:r>
      <w:r w:rsidR="00672ECB" w:rsidRPr="00870330">
        <w:rPr>
          <w:rFonts w:asciiTheme="minorHAnsi" w:hAnsiTheme="minorHAnsi" w:cstheme="minorHAnsi"/>
          <w:noProof/>
          <w:color w:val="0D0D0D"/>
        </w:rPr>
        <w:instrText>ADDIN CSL_CITATION {"citationItems":[{"id":"ITEM-1","itemData":{"DOI":"10.14710/pwk.v15i1.21267","ISSN":"1858-3903","abstract":"This study aims to analyze the process of changing forest area or deforestation that is multidimensional and complex, encompassing economic aspects, aspects of governance, social and demographic aspects and physical and environmental aspects represented by 15 independent variables in 10 countries in Southeast Asia in the year period 2008-2015. The analysis and study besides relying on the theoretical foundation and previous research also included several variables that describe the complexity and multidimensional changes in forest area. However, these efforts are often constrained by incomplete data and data reliability. In contrast to some previous studies which focused more on economic aspects or aspects of population increase that affected changes in forest area. This research also includes aspects of governance and social and demographic aspects as well as environmental aspect which are expected to complement the spectrum and study of the problems of deforestation and forest degradation. The method used in this study uses pooled least squares and a series of tests to produce the best model specifications and estimators. In research that uses a 95% confidence level on p-value at a value of α = 0.05, it was found that from 15 variables there were only 6 (six) variables that significantly affected the increase in the human development index.","author":[{"dropping-particle":"","family":"Handalani","given":"Radite Teguh","non-dropping-particle":"","parse-names":false,"suffix":""}],"container-title":"Jurnal Pembangunan Wilayah &amp; Kota","id":"ITEM-1","issue":"1","issued":{"date-parts":[["2019"]]},"page":"1-19","title":"Determinan Deforestasi Negara-Negara Di Kawasan Asia Tenggara Periode 2008-2015","type":"article-journal","volume":"15"},"uris":["http://www.mendeley.com/documents/?uuid=338b3d6a-d111-44f3-8ad5-7c7c079edd97"]}],"mendeley":{"formattedCitation":"(Handalani, 2019)","manualFormatting":"Handalani, 2019","plainTextFormattedCitation":"(Handalani, 2019)","previouslyFormattedCitation":"(Handalani, 2019)"},"properties":{"noteIndex":0},"schema":"https://github.com/citation-style-language/schema/raw/master/csl-citation.json"}</w:instrText>
      </w:r>
      <w:r w:rsidR="00672ECB" w:rsidRPr="00870330">
        <w:rPr>
          <w:rFonts w:asciiTheme="minorHAnsi" w:hAnsiTheme="minorHAnsi" w:cstheme="minorHAnsi"/>
          <w:noProof/>
          <w:color w:val="0D0D0D"/>
        </w:rPr>
        <w:fldChar w:fldCharType="separate"/>
      </w:r>
      <w:r w:rsidR="00672ECB" w:rsidRPr="00870330">
        <w:rPr>
          <w:rFonts w:asciiTheme="minorHAnsi" w:hAnsiTheme="minorHAnsi" w:cstheme="minorHAnsi"/>
          <w:noProof/>
          <w:color w:val="0D0D0D"/>
        </w:rPr>
        <w:t>Handalani, 2019</w:t>
      </w:r>
      <w:r w:rsidR="00672ECB" w:rsidRPr="00870330">
        <w:rPr>
          <w:rFonts w:asciiTheme="minorHAnsi" w:hAnsiTheme="minorHAnsi" w:cstheme="minorHAnsi"/>
          <w:noProof/>
          <w:color w:val="0D0D0D"/>
        </w:rPr>
        <w:fldChar w:fldCharType="end"/>
      </w:r>
      <w:r w:rsidR="00672ECB" w:rsidRPr="00870330">
        <w:rPr>
          <w:rFonts w:asciiTheme="minorHAnsi" w:hAnsiTheme="minorHAnsi" w:cstheme="minorHAnsi"/>
          <w:noProof/>
          <w:color w:val="0D0D0D"/>
        </w:rPr>
        <w:t xml:space="preserve">; </w:t>
      </w:r>
      <w:r w:rsidR="00672ECB" w:rsidRPr="00870330">
        <w:rPr>
          <w:rFonts w:asciiTheme="minorHAnsi" w:hAnsiTheme="minorHAnsi" w:cstheme="minorHAnsi"/>
          <w:noProof/>
          <w:color w:val="0D0D0D"/>
        </w:rPr>
        <w:fldChar w:fldCharType="begin" w:fldLock="1"/>
      </w:r>
      <w:r w:rsidR="00672ECB" w:rsidRPr="00870330">
        <w:rPr>
          <w:rFonts w:asciiTheme="minorHAnsi" w:hAnsiTheme="minorHAnsi" w:cstheme="minorHAnsi"/>
          <w:noProof/>
          <w:color w:val="0D0D0D"/>
        </w:rPr>
        <w:instrText>ADDIN CSL_CITATION {"citationItems":[{"id":"ITEM-1","itemData":{"DOI":"10.1142/S0217590820500514","ISSN":"02175908","abstract":"This study examines the determinants of emissions for a global sample of 120 countries during the 1995-2012 period using panel data analysis. Specifically, an extended version of the STIRPAT model combined with the EKC was employed to examine the determinants of emissions for the full sample and three subsamples of countries at different income levels. Three proxies for emissions are used, including CO2, N2O and CH4 emissions. The two-step generalized method of moments (GMM) is employed as the estimation technique. The empirical results indicate the evidence of EKC for the global sample and all subgroups of countries for CO2 emissions. On the other hand, U-shaped relationships between income and emissions are found for all three subsamples in the cases of N2O and CH4 emissions. Energy intensity appears to be the major driver of CO2 emissions for all groups of countries as well as for N2O and CH4 emissions for high-income and upper-middle-income countries. The effects of industrialization and urbanization vary across different types of emissions and different income country groups. The global environmental policy should focus on encouraging energy efficiency, enhancing the use of eco-friendly energy resources, as well as incorporating the impacts of industrialization and urbanization on emissions.","author":[{"dropping-particle":"","family":"Le","given":"Thai Ha","non-dropping-particle":"","parse-names":false,"suffix":""},{"dropping-particle":"","family":"Nguyen","given":"Canh Phuc","non-dropping-particle":"","parse-names":false,"suffix":""}],"container-title":"Singapore Economic Review","id":"ITEM-1","issued":{"date-parts":[["2020"]]},"title":"DETERMINANTS of GREENHOUSE GAS EMISSIONS REVISITED: A GLOBAL PERSPECTIVE","type":"article-journal"},"uris":["http://www.mendeley.com/documents/?uuid=77d658bf-790b-4e4b-b5f9-302ff02fb511"]}],"mendeley":{"formattedCitation":"(Le &amp; Nguyen, 2020)","manualFormatting":"Le &amp; Nguyen, 2020)","plainTextFormattedCitation":"(Le &amp; Nguyen, 2020)","previouslyFormattedCitation":"(Le &amp; Nguyen, 2020)"},"properties":{"noteIndex":0},"schema":"https://github.com/citation-style-language/schema/raw/master/csl-citation.json"}</w:instrText>
      </w:r>
      <w:r w:rsidR="00672ECB" w:rsidRPr="00870330">
        <w:rPr>
          <w:rFonts w:asciiTheme="minorHAnsi" w:hAnsiTheme="minorHAnsi" w:cstheme="minorHAnsi"/>
          <w:noProof/>
          <w:color w:val="0D0D0D"/>
        </w:rPr>
        <w:fldChar w:fldCharType="separate"/>
      </w:r>
      <w:r w:rsidR="00672ECB" w:rsidRPr="00870330">
        <w:rPr>
          <w:rFonts w:asciiTheme="minorHAnsi" w:hAnsiTheme="minorHAnsi" w:cstheme="minorHAnsi"/>
          <w:noProof/>
          <w:color w:val="0D0D0D"/>
        </w:rPr>
        <w:t>Le &amp; Nguyen, 2020)</w:t>
      </w:r>
      <w:r w:rsidR="00672ECB" w:rsidRPr="00870330">
        <w:rPr>
          <w:rFonts w:asciiTheme="minorHAnsi" w:hAnsiTheme="minorHAnsi" w:cstheme="minorHAnsi"/>
          <w:noProof/>
          <w:color w:val="0D0D0D"/>
        </w:rPr>
        <w:fldChar w:fldCharType="end"/>
      </w:r>
      <w:r w:rsidR="00672ECB" w:rsidRPr="00870330">
        <w:rPr>
          <w:rFonts w:asciiTheme="minorHAnsi" w:hAnsiTheme="minorHAnsi" w:cstheme="minorHAnsi"/>
          <w:noProof/>
          <w:color w:val="0D0D0D"/>
        </w:rPr>
        <w:t xml:space="preserve">. </w:t>
      </w:r>
      <w:r w:rsidR="00672ECB" w:rsidRPr="00870330">
        <w:rPr>
          <w:rFonts w:asciiTheme="minorHAnsi" w:hAnsiTheme="minorHAnsi" w:cstheme="minorHAnsi"/>
          <w:color w:val="0D0D0D" w:themeColor="text1" w:themeTint="F2"/>
          <w:lang w:eastAsia="id-ID"/>
        </w:rPr>
        <w:t xml:space="preserve">Third, we present the causality test for heterogeneous panels proposed by </w:t>
      </w:r>
      <w:r w:rsidR="00672ECB" w:rsidRPr="00870330">
        <w:rPr>
          <w:rFonts w:asciiTheme="minorHAnsi" w:hAnsiTheme="minorHAnsi" w:cstheme="minorHAnsi"/>
          <w:noProof/>
          <w:color w:val="0D0D0D"/>
        </w:rPr>
        <w:fldChar w:fldCharType="begin" w:fldLock="1"/>
      </w:r>
      <w:r w:rsidR="00672ECB" w:rsidRPr="00870330">
        <w:rPr>
          <w:rFonts w:asciiTheme="minorHAnsi" w:hAnsiTheme="minorHAnsi" w:cstheme="minorHAnsi"/>
          <w:noProof/>
          <w:color w:val="0D0D0D"/>
        </w:rPr>
        <w:instrText>ADDIN CSL_CITATION {"citationItems":[{"id":"ITEM-1","itemData":{"DOI":"10.1016/j.econmod.2012.02.014","ISSN":"02649993","abstract":"This paper proposes a very simple test of Granger (1969) non-causality for heterogeneous panel data models. Our test statistic is based on the individual Wald statistics of Granger non causality averaged across the cross-section units. First, this statistic is shown to converge sequentially to a standard normal distribution. Second, the semi-asymptotic distribution of the average statistic is characterized for a fixed T sample. A standardized statistic based on an approximation of the moments of Wald statistics is hence proposed. Third, Monte Carlo experiments show that our standardized panel statistics have very good small sample properties, even in the presence of cross-sectional dependence. © 2012 Elsevier B.V.","author":[{"dropping-particle":"","family":"Dumitrescu","given":"Elena Ivona","non-dropping-particle":"","parse-names":false,"suffix":""},{"dropping-particle":"","family":"Hurlin","given":"Christophe","non-dropping-particle":"","parse-names":false,"suffix":""}],"container-title":"Economic Modelling","id":"ITEM-1","issue":"4","issued":{"date-parts":[["2012"]]},"page":"1450-1460","publisher":"Elsevier B.V.","title":"Testing for Granger non-causality in heterogeneous panels","type":"article-journal","volume":"29"},"uris":["http://www.mendeley.com/documents/?uuid=9b327d6a-4544-4d9c-aa6c-fa30054dfc43"]}],"mendeley":{"formattedCitation":"(Dumitrescu &amp; Hurlin, 2012)","manualFormatting":"Dumitrescu &amp; Hurlin (2012)","plainTextFormattedCitation":"(Dumitrescu &amp; Hurlin, 2012)","previouslyFormattedCitation":"(Dumitrescu &amp; Hurlin, 2012)"},"properties":{"noteIndex":0},"schema":"https://github.com/citation-style-language/schema/raw/master/csl-citation.json"}</w:instrText>
      </w:r>
      <w:r w:rsidR="00672ECB" w:rsidRPr="00870330">
        <w:rPr>
          <w:rFonts w:asciiTheme="minorHAnsi" w:hAnsiTheme="minorHAnsi" w:cstheme="minorHAnsi"/>
          <w:noProof/>
          <w:color w:val="0D0D0D"/>
        </w:rPr>
        <w:fldChar w:fldCharType="separate"/>
      </w:r>
      <w:r w:rsidR="00672ECB" w:rsidRPr="00870330">
        <w:rPr>
          <w:rFonts w:asciiTheme="minorHAnsi" w:hAnsiTheme="minorHAnsi" w:cstheme="minorHAnsi"/>
          <w:noProof/>
          <w:color w:val="0D0D0D"/>
        </w:rPr>
        <w:t>Dumitrescu &amp; Hurlin (2012)</w:t>
      </w:r>
      <w:r w:rsidR="00672ECB" w:rsidRPr="00870330">
        <w:rPr>
          <w:rFonts w:asciiTheme="minorHAnsi" w:hAnsiTheme="minorHAnsi" w:cstheme="minorHAnsi"/>
          <w:noProof/>
          <w:color w:val="0D0D0D"/>
        </w:rPr>
        <w:fldChar w:fldCharType="end"/>
      </w:r>
      <w:r w:rsidR="00672ECB" w:rsidRPr="00870330">
        <w:rPr>
          <w:rFonts w:asciiTheme="minorHAnsi" w:hAnsiTheme="minorHAnsi" w:cstheme="minorHAnsi"/>
          <w:noProof/>
          <w:color w:val="0D0D0D"/>
        </w:rPr>
        <w:t xml:space="preserve">. </w:t>
      </w:r>
      <w:r w:rsidR="00672ECB" w:rsidRPr="00870330">
        <w:rPr>
          <w:rFonts w:asciiTheme="minorHAnsi" w:hAnsiTheme="minorHAnsi" w:cstheme="minorHAnsi"/>
          <w:color w:val="0D0D0D" w:themeColor="text1" w:themeTint="F2"/>
          <w:lang w:eastAsia="id-ID"/>
        </w:rPr>
        <w:t xml:space="preserve">Fourth, the measure of deforestation employed in this </w:t>
      </w:r>
      <w:r w:rsidR="00AC0D52" w:rsidRPr="00870330">
        <w:rPr>
          <w:rFonts w:asciiTheme="minorHAnsi" w:hAnsiTheme="minorHAnsi" w:cstheme="minorHAnsi"/>
          <w:color w:val="0D0D0D" w:themeColor="text1" w:themeTint="F2"/>
          <w:lang w:eastAsia="id-ID"/>
        </w:rPr>
        <w:t>inve</w:t>
      </w:r>
      <w:r w:rsidR="00D04D70" w:rsidRPr="00870330">
        <w:rPr>
          <w:rFonts w:asciiTheme="minorHAnsi" w:hAnsiTheme="minorHAnsi" w:cstheme="minorHAnsi"/>
          <w:color w:val="0D0D0D" w:themeColor="text1" w:themeTint="F2"/>
          <w:lang w:eastAsia="id-ID"/>
        </w:rPr>
        <w:t>s</w:t>
      </w:r>
      <w:r w:rsidR="00AC0D52" w:rsidRPr="00870330">
        <w:rPr>
          <w:rFonts w:asciiTheme="minorHAnsi" w:hAnsiTheme="minorHAnsi" w:cstheme="minorHAnsi"/>
          <w:color w:val="0D0D0D" w:themeColor="text1" w:themeTint="F2"/>
          <w:lang w:eastAsia="id-ID"/>
        </w:rPr>
        <w:t>tiga</w:t>
      </w:r>
      <w:r w:rsidR="00D04D70" w:rsidRPr="00870330">
        <w:rPr>
          <w:rFonts w:asciiTheme="minorHAnsi" w:hAnsiTheme="minorHAnsi" w:cstheme="minorHAnsi"/>
          <w:color w:val="0D0D0D" w:themeColor="text1" w:themeTint="F2"/>
          <w:lang w:eastAsia="id-ID"/>
        </w:rPr>
        <w:t xml:space="preserve">tion </w:t>
      </w:r>
      <w:r w:rsidR="00672ECB" w:rsidRPr="00870330">
        <w:rPr>
          <w:rFonts w:asciiTheme="minorHAnsi" w:hAnsiTheme="minorHAnsi" w:cstheme="minorHAnsi"/>
          <w:color w:val="0D0D0D" w:themeColor="text1" w:themeTint="F2"/>
          <w:lang w:eastAsia="id-ID"/>
        </w:rPr>
        <w:t>is net rates of forest changes, while previous studies use forest cover. Differences in deforestation indicators may give different empirical results, both the coefficient direction and the magnitude</w:t>
      </w:r>
      <w:r w:rsidR="00982E53" w:rsidRPr="00870330">
        <w:rPr>
          <w:rFonts w:asciiTheme="minorHAnsi" w:hAnsiTheme="minorHAnsi" w:cstheme="minorHAnsi"/>
          <w:color w:val="0D0D0D" w:themeColor="text1" w:themeTint="F2"/>
          <w:lang w:eastAsia="id-ID"/>
        </w:rPr>
        <w:t>.</w:t>
      </w:r>
    </w:p>
    <w:p w14:paraId="0000000C" w14:textId="77777777" w:rsidR="00214FDC" w:rsidRPr="00870330" w:rsidRDefault="00214FDC">
      <w:pPr>
        <w:spacing w:after="0"/>
        <w:jc w:val="both"/>
        <w:rPr>
          <w:color w:val="0D0D0D" w:themeColor="text1" w:themeTint="F2"/>
        </w:rPr>
      </w:pPr>
    </w:p>
    <w:p w14:paraId="00000024" w14:textId="77777777" w:rsidR="00214FDC" w:rsidRPr="00870330" w:rsidRDefault="00F21149">
      <w:pPr>
        <w:spacing w:after="0"/>
        <w:jc w:val="both"/>
        <w:rPr>
          <w:b/>
          <w:color w:val="0D0D0D" w:themeColor="text1" w:themeTint="F2"/>
          <w:sz w:val="28"/>
          <w:szCs w:val="28"/>
        </w:rPr>
      </w:pPr>
      <w:r w:rsidRPr="00870330">
        <w:rPr>
          <w:b/>
          <w:color w:val="0D0D0D" w:themeColor="text1" w:themeTint="F2"/>
          <w:sz w:val="28"/>
          <w:szCs w:val="28"/>
        </w:rPr>
        <w:t>Research Method</w:t>
      </w:r>
    </w:p>
    <w:p w14:paraId="00000025" w14:textId="77777777" w:rsidR="00214FDC" w:rsidRPr="00870330" w:rsidRDefault="00214FDC">
      <w:pPr>
        <w:spacing w:after="0"/>
        <w:jc w:val="both"/>
        <w:rPr>
          <w:color w:val="0D0D0D" w:themeColor="text1" w:themeTint="F2"/>
        </w:rPr>
      </w:pPr>
    </w:p>
    <w:p w14:paraId="78129378" w14:textId="77777777" w:rsidR="003653B8" w:rsidRPr="00870330" w:rsidRDefault="004C2EEB" w:rsidP="003653B8">
      <w:pPr>
        <w:spacing w:after="0"/>
        <w:jc w:val="both"/>
        <w:rPr>
          <w:color w:val="0D0D0D" w:themeColor="text1" w:themeTint="F2"/>
        </w:rPr>
      </w:pPr>
      <w:r w:rsidRPr="00870330">
        <w:rPr>
          <w:rFonts w:asciiTheme="minorHAnsi" w:hAnsiTheme="minorHAnsi" w:cstheme="minorHAnsi"/>
          <w:b/>
          <w:color w:val="0D0D0D" w:themeColor="text1" w:themeTint="F2"/>
          <w:lang w:val="en-US"/>
        </w:rPr>
        <w:t>Data</w:t>
      </w:r>
    </w:p>
    <w:p w14:paraId="1061BCBD" w14:textId="3350929F" w:rsidR="004C2EEB" w:rsidRPr="00870330" w:rsidRDefault="004C2EEB" w:rsidP="003653B8">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 xml:space="preserve">This empirical study uses secondary data, i.e. panel data from nine Southeast Asian countries in the period of 1996-2018. The research period was determined by the availability of the data. The samples are Indonesia, Malaysia, Thailand, Vietnam, the Philippines, Laos, Brunei Darussalam, Cambodia, and </w:t>
      </w:r>
      <w:r w:rsidRPr="00870330">
        <w:rPr>
          <w:rFonts w:asciiTheme="minorHAnsi" w:hAnsiTheme="minorHAnsi" w:cstheme="minorHAnsi"/>
          <w:color w:val="0D0D0D" w:themeColor="text1" w:themeTint="F2"/>
          <w:lang w:eastAsia="id-ID"/>
        </w:rPr>
        <w:lastRenderedPageBreak/>
        <w:t xml:space="preserve">Myanmar. The data needed to form the variables are forest cover area (% of land area), export value (% of GDP), import value (% of GDP), per capita GDP (constant prices in 2015), the estimated value of the corruption control index (from -2.5 to 2.5), arable land area (% of land area), and </w:t>
      </w:r>
      <w:r w:rsidR="00EE4135" w:rsidRPr="00870330">
        <w:rPr>
          <w:rFonts w:asciiTheme="minorHAnsi" w:hAnsiTheme="minorHAnsi" w:cstheme="minorHAnsi"/>
          <w:color w:val="0D0D0D" w:themeColor="text1" w:themeTint="F2"/>
          <w:lang w:eastAsia="id-ID"/>
        </w:rPr>
        <w:t>population growth</w:t>
      </w:r>
      <w:r w:rsidRPr="00870330">
        <w:rPr>
          <w:rFonts w:asciiTheme="minorHAnsi" w:hAnsiTheme="minorHAnsi" w:cstheme="minorHAnsi"/>
          <w:color w:val="0D0D0D" w:themeColor="text1" w:themeTint="F2"/>
          <w:lang w:eastAsia="id-ID"/>
        </w:rPr>
        <w:t>. These data were obtained from the annual statistics of World Development Indicators (WDI) and World Governance Indicators (WGI) published by the World Bank. Since corruption control indices for 1997, 1999, and 2001 were not available, the gap was filled by applying the</w:t>
      </w:r>
      <w:r w:rsidR="00BD3F46" w:rsidRPr="00870330">
        <w:rPr>
          <w:rFonts w:asciiTheme="minorHAnsi" w:hAnsiTheme="minorHAnsi" w:cstheme="minorHAnsi"/>
          <w:color w:val="0D0D0D" w:themeColor="text1" w:themeTint="F2"/>
          <w:lang w:eastAsia="id-ID"/>
        </w:rPr>
        <w:t xml:space="preserve"> linier</w:t>
      </w:r>
      <w:r w:rsidRPr="00870330">
        <w:rPr>
          <w:rFonts w:asciiTheme="minorHAnsi" w:hAnsiTheme="minorHAnsi" w:cstheme="minorHAnsi"/>
          <w:color w:val="0D0D0D" w:themeColor="text1" w:themeTint="F2"/>
          <w:lang w:eastAsia="id-ID"/>
        </w:rPr>
        <w:t xml:space="preserve"> </w:t>
      </w:r>
      <w:r w:rsidR="002A57A7" w:rsidRPr="00870330">
        <w:rPr>
          <w:rFonts w:asciiTheme="minorHAnsi" w:hAnsiTheme="minorHAnsi" w:cstheme="minorHAnsi"/>
          <w:color w:val="0D0D0D" w:themeColor="text1" w:themeTint="F2"/>
          <w:lang w:eastAsia="id-ID"/>
        </w:rPr>
        <w:t>interpolation</w:t>
      </w:r>
      <w:r w:rsidRPr="00870330">
        <w:rPr>
          <w:rFonts w:asciiTheme="minorHAnsi" w:hAnsiTheme="minorHAnsi" w:cstheme="minorHAnsi"/>
          <w:color w:val="0D0D0D" w:themeColor="text1" w:themeTint="F2"/>
          <w:lang w:eastAsia="id-ID"/>
        </w:rPr>
        <w:t xml:space="preserve"> technique. The number of observations in this study </w:t>
      </w:r>
      <w:r w:rsidR="00AA0620" w:rsidRPr="00870330">
        <w:rPr>
          <w:rFonts w:asciiTheme="minorHAnsi" w:hAnsiTheme="minorHAnsi" w:cstheme="minorHAnsi"/>
          <w:color w:val="0D0D0D" w:themeColor="text1" w:themeTint="F2"/>
          <w:lang w:eastAsia="id-ID"/>
        </w:rPr>
        <w:t>is</w:t>
      </w:r>
      <w:r w:rsidRPr="00870330">
        <w:rPr>
          <w:rFonts w:asciiTheme="minorHAnsi" w:hAnsiTheme="minorHAnsi" w:cstheme="minorHAnsi"/>
          <w:color w:val="0D0D0D" w:themeColor="text1" w:themeTint="F2"/>
          <w:lang w:eastAsia="id-ID"/>
        </w:rPr>
        <w:t xml:space="preserve"> 207, acquired from nine countries and 23 series.</w:t>
      </w:r>
    </w:p>
    <w:p w14:paraId="236DFD96" w14:textId="77777777" w:rsidR="00E31004" w:rsidRPr="00870330" w:rsidRDefault="00E31004" w:rsidP="003653B8">
      <w:pPr>
        <w:spacing w:after="0"/>
        <w:jc w:val="both"/>
        <w:rPr>
          <w:color w:val="0D0D0D" w:themeColor="text1" w:themeTint="F2"/>
        </w:rPr>
      </w:pPr>
    </w:p>
    <w:p w14:paraId="6ADBDC3A" w14:textId="77777777" w:rsidR="003653B8" w:rsidRPr="00870330" w:rsidRDefault="00F21149" w:rsidP="003653B8">
      <w:pPr>
        <w:pStyle w:val="NormalafterHeading"/>
        <w:spacing w:line="259" w:lineRule="auto"/>
        <w:rPr>
          <w:rFonts w:asciiTheme="minorHAnsi" w:hAnsiTheme="minorHAnsi" w:cstheme="minorHAnsi"/>
          <w:b/>
          <w:color w:val="0D0D0D" w:themeColor="text1" w:themeTint="F2"/>
          <w:lang w:val="en-US"/>
        </w:rPr>
      </w:pPr>
      <w:r w:rsidRPr="00870330">
        <w:rPr>
          <w:rFonts w:asciiTheme="minorHAnsi" w:hAnsiTheme="minorHAnsi" w:cstheme="minorHAnsi"/>
          <w:b/>
          <w:color w:val="0D0D0D" w:themeColor="text1" w:themeTint="F2"/>
          <w:lang w:val="en-US"/>
        </w:rPr>
        <w:t>Model Specification</w:t>
      </w:r>
    </w:p>
    <w:p w14:paraId="58A7F769" w14:textId="713674D4" w:rsidR="004C2EEB" w:rsidRPr="00870330" w:rsidRDefault="004C2EEB" w:rsidP="003653B8">
      <w:pPr>
        <w:pStyle w:val="NormalafterHeading"/>
        <w:spacing w:line="259" w:lineRule="auto"/>
        <w:rPr>
          <w:rFonts w:ascii="Calibri" w:hAnsi="Calibri" w:cs="Calibri"/>
        </w:rPr>
      </w:pPr>
      <w:r w:rsidRPr="00870330">
        <w:rPr>
          <w:rFonts w:asciiTheme="minorHAnsi" w:hAnsiTheme="minorHAnsi" w:cstheme="minorHAnsi"/>
          <w:color w:val="0D0D0D" w:themeColor="text1" w:themeTint="F2"/>
        </w:rPr>
        <w:t xml:space="preserve">This </w:t>
      </w:r>
      <w:r w:rsidR="00274B98" w:rsidRPr="00870330">
        <w:rPr>
          <w:rFonts w:asciiTheme="minorHAnsi" w:hAnsiTheme="minorHAnsi" w:cstheme="minorHAnsi"/>
          <w:color w:val="0D0D0D" w:themeColor="text1" w:themeTint="F2"/>
        </w:rPr>
        <w:t>study</w:t>
      </w:r>
      <w:r w:rsidRPr="00870330">
        <w:rPr>
          <w:rFonts w:asciiTheme="minorHAnsi" w:hAnsiTheme="minorHAnsi" w:cstheme="minorHAnsi"/>
          <w:color w:val="0D0D0D" w:themeColor="text1" w:themeTint="F2"/>
        </w:rPr>
        <w:t xml:space="preserve"> </w:t>
      </w:r>
      <w:r w:rsidR="00F21149" w:rsidRPr="00870330">
        <w:rPr>
          <w:rFonts w:asciiTheme="minorHAnsi" w:hAnsiTheme="minorHAnsi" w:cstheme="minorHAnsi"/>
          <w:color w:val="0D0D0D" w:themeColor="text1" w:themeTint="F2"/>
        </w:rPr>
        <w:t xml:space="preserve">intends to </w:t>
      </w:r>
      <w:r w:rsidR="00E31004" w:rsidRPr="00870330">
        <w:rPr>
          <w:rFonts w:asciiTheme="minorHAnsi" w:hAnsiTheme="minorHAnsi" w:cstheme="minorHAnsi"/>
          <w:color w:val="0D0D0D" w:themeColor="text1" w:themeTint="F2"/>
        </w:rPr>
        <w:t>investigate</w:t>
      </w:r>
      <w:r w:rsidRPr="00870330">
        <w:rPr>
          <w:rFonts w:asciiTheme="minorHAnsi" w:hAnsiTheme="minorHAnsi" w:cstheme="minorHAnsi"/>
          <w:color w:val="0D0D0D" w:themeColor="text1" w:themeTint="F2"/>
        </w:rPr>
        <w:t xml:space="preserve"> the </w:t>
      </w:r>
      <w:r w:rsidR="00274B98" w:rsidRPr="00870330">
        <w:rPr>
          <w:rFonts w:asciiTheme="minorHAnsi" w:hAnsiTheme="minorHAnsi" w:cstheme="minorHAnsi"/>
          <w:color w:val="0D0D0D" w:themeColor="text1" w:themeTint="F2"/>
        </w:rPr>
        <w:t>nexus</w:t>
      </w:r>
      <w:r w:rsidRPr="00870330">
        <w:rPr>
          <w:rFonts w:asciiTheme="minorHAnsi" w:hAnsiTheme="minorHAnsi" w:cstheme="minorHAnsi"/>
          <w:color w:val="0D0D0D" w:themeColor="text1" w:themeTint="F2"/>
        </w:rPr>
        <w:t xml:space="preserve"> between economy, governance, and deforestation using the EKC framework</w:t>
      </w:r>
      <w:r w:rsidR="00274B98" w:rsidRPr="00870330">
        <w:rPr>
          <w:rFonts w:asciiTheme="minorHAnsi" w:hAnsiTheme="minorHAnsi" w:cstheme="minorHAnsi"/>
          <w:color w:val="0D0D0D" w:themeColor="text1" w:themeTint="F2"/>
        </w:rPr>
        <w:t xml:space="preserve">. </w:t>
      </w:r>
      <w:r w:rsidRPr="00870330">
        <w:rPr>
          <w:rFonts w:asciiTheme="minorHAnsi" w:hAnsiTheme="minorHAnsi" w:cstheme="minorHAnsi"/>
          <w:color w:val="0D0D0D" w:themeColor="text1" w:themeTint="F2"/>
        </w:rPr>
        <w:t xml:space="preserve">The selected economic indicators are per capita GDP and trade openness, while governance is proxied by corruption control index. Referring to previous studies on EKC deforestation </w:t>
      </w:r>
      <w:r w:rsidR="00246BA6" w:rsidRPr="00870330">
        <w:rPr>
          <w:rFonts w:asciiTheme="minorHAnsi" w:hAnsiTheme="minorHAnsi" w:cstheme="minorHAnsi"/>
          <w:noProof/>
          <w:color w:val="0D0D0D"/>
          <w:sz w:val="24"/>
          <w:szCs w:val="24"/>
        </w:rPr>
        <w:t>(</w:t>
      </w:r>
      <w:r w:rsidR="00246BA6" w:rsidRPr="00870330">
        <w:rPr>
          <w:rFonts w:asciiTheme="minorHAnsi" w:hAnsiTheme="minorHAnsi" w:cstheme="minorHAnsi"/>
          <w:noProof/>
          <w:color w:val="0D0D0D"/>
          <w:sz w:val="24"/>
          <w:szCs w:val="24"/>
        </w:rPr>
        <w:fldChar w:fldCharType="begin" w:fldLock="1"/>
      </w:r>
      <w:r w:rsidR="00246BA6" w:rsidRPr="00870330">
        <w:rPr>
          <w:rFonts w:asciiTheme="minorHAnsi" w:hAnsiTheme="minorHAnsi" w:cstheme="minorHAnsi"/>
          <w:noProof/>
          <w:color w:val="0D0D0D"/>
          <w:sz w:val="24"/>
          <w:szCs w:val="24"/>
        </w:rPr>
        <w:instrText>ADDIN CSL_CITATION {"citationItems":[{"id":"ITEM-1","itemData":{"DOI":"10.1016/j.forpol.2020.102282","ISSN":"13899341","abstract":"This paper investigates an unresolved question in environmental economics: An Environmental Kuznets Curve for deforestation (EKCd). It relies on a 55 year panel of forest cover data reconstructed from the periodic national forest inventories of 114 countries clustered in low, middle, and high income groups—as defined by the World Bank—and examines these clusters within both static and dynamic frameworks. The results are supportive of the inverse U-shaped EKC for deforestation. For low income countries strong effort will be required to avoid further increases in forest loss as these countries develop. Middle income countries, the largest cluster under investigation, display the classic bell-shaped EKCd with the turning point for a decreasing rate of deforestation at US$ 3,790. Deforestation continues thereafter, only at a lower rate until, eventually, for high income countries these rates become negative and these economies begin to show absolute gains in total forest cover. While the combined results from the three clusters confirm the existence of an EKCd, its relatively elevated turning point and the even higher level of development at which forests begin to increase and recover, raise important concern, but also opportunity, for the modern policies and management addressing global forest cover—doubts and opportunities on which the conclusion to this paper reflects further.","author":[{"dropping-particle":"","family":"Caravaggio","given":"Nicola","non-dropping-particle":"","parse-names":false,"suffix":""}],"container-title":"Forest Policy and Economics","id":"ITEM-1","issue":"September","issued":{"date-parts":[["2020"]]},"page":"102282","publisher":"Elsevier","title":"A global empirical re-assessment of the Environmental Kuznets curve for deforestation","type":"article-journal","volume":"119"},"uris":["http://www.mendeley.com/documents/?uuid=3d5671aa-174b-4b6d-82ae-04c659ffae5f"]}],"mendeley":{"formattedCitation":"(Caravaggio, 2020)","manualFormatting":"Caravaggio, 2020","plainTextFormattedCitation":"(Caravaggio, 2020)","previouslyFormattedCitation":"(Caravaggio, 2020)"},"properties":{"noteIndex":0},"schema":"https://github.com/citation-style-language/schema/raw/master/csl-citation.json"}</w:instrText>
      </w:r>
      <w:r w:rsidR="00246BA6" w:rsidRPr="00870330">
        <w:rPr>
          <w:rFonts w:asciiTheme="minorHAnsi" w:hAnsiTheme="minorHAnsi" w:cstheme="minorHAnsi"/>
          <w:noProof/>
          <w:color w:val="0D0D0D"/>
          <w:sz w:val="24"/>
          <w:szCs w:val="24"/>
        </w:rPr>
        <w:fldChar w:fldCharType="separate"/>
      </w:r>
      <w:r w:rsidR="00246BA6" w:rsidRPr="00870330">
        <w:rPr>
          <w:rFonts w:asciiTheme="minorHAnsi" w:hAnsiTheme="minorHAnsi" w:cstheme="minorHAnsi"/>
          <w:noProof/>
          <w:color w:val="0D0D0D"/>
          <w:sz w:val="24"/>
          <w:szCs w:val="24"/>
        </w:rPr>
        <w:t>Caravaggio, 2020</w:t>
      </w:r>
      <w:r w:rsidR="00246BA6" w:rsidRPr="00870330">
        <w:rPr>
          <w:rFonts w:asciiTheme="minorHAnsi" w:hAnsiTheme="minorHAnsi" w:cstheme="minorHAnsi"/>
          <w:noProof/>
          <w:color w:val="0D0D0D"/>
          <w:sz w:val="24"/>
          <w:szCs w:val="24"/>
        </w:rPr>
        <w:fldChar w:fldCharType="end"/>
      </w:r>
      <w:r w:rsidR="00246BA6" w:rsidRPr="00870330">
        <w:rPr>
          <w:rFonts w:asciiTheme="minorHAnsi" w:hAnsiTheme="minorHAnsi" w:cstheme="minorHAnsi"/>
          <w:noProof/>
          <w:color w:val="0D0D0D"/>
          <w:sz w:val="24"/>
          <w:szCs w:val="24"/>
        </w:rPr>
        <w:t xml:space="preserve">; </w:t>
      </w:r>
      <w:r w:rsidR="00246BA6" w:rsidRPr="00870330">
        <w:rPr>
          <w:rFonts w:asciiTheme="minorHAnsi" w:hAnsiTheme="minorHAnsi" w:cstheme="minorHAnsi"/>
          <w:noProof/>
          <w:color w:val="0D0D0D"/>
          <w:sz w:val="24"/>
          <w:szCs w:val="24"/>
        </w:rPr>
        <w:fldChar w:fldCharType="begin" w:fldLock="1"/>
      </w:r>
      <w:r w:rsidR="00246BA6" w:rsidRPr="00870330">
        <w:rPr>
          <w:rFonts w:asciiTheme="minorHAnsi" w:hAnsiTheme="minorHAnsi" w:cstheme="minorHAnsi"/>
          <w:noProof/>
          <w:color w:val="0D0D0D"/>
          <w:sz w:val="24"/>
          <w:szCs w:val="24"/>
        </w:rPr>
        <w:instrText>ADDIN CSL_CITATION {"citationItems":[{"id":"ITEM-1","itemData":{"DOI":"10.1016/j.forpol.2021.102488","ISSN":"13899341","abstract":"Deforestation is a significant environmental problem, contributing to biodiversity loss, land degradation, soil erosion, and climate change. During the past half-century, the continent of Africa has suffered massive losses of forested areas due to the changing structure of economies, increasing population, and expanding globalization. This research examines statistical evidence for the Environmental Kuznets Curve (EKC) hypothesis as applied to deforestation occurring within Africa from 1990 to 2016. Changes in forest cover data are explained with Generalized Method of Moments (GMM) estimators to overcome the endogeneity problems arising from reverse causality. The empirical results of Panel GMM confirm the EKC hypothesis is valid for deforestation in Africa with a turning point estimated to be US $3000. Heterogenous panel non-causality findings suggest that Africa could deter and reverse deforestation through appropriate land-use and forest products trade policies, and the consequences of these policies would not impact their economic growth.","author":[{"dropping-particle":"","family":"Ajanaku","given":"B. A.","non-dropping-particle":"","parse-names":false,"suffix":""},{"dropping-particle":"","family":"Collins","given":"A. R.","non-dropping-particle":"","parse-names":false,"suffix":""}],"container-title":"Forest Policy and Economics","id":"ITEM-1","issue":"May","issued":{"date-parts":[["2021"]]},"page":"102488","publisher":"Elsevier B.V.","title":"Economic growth and deforestation in African countries: Is the environmental Kuznets curve hypothesis applicable?","type":"article-journal","volume":"129"},"uris":["http://www.mendeley.com/documents/?uuid=24f622ed-0f79-4f00-9fba-56f4aa51ea86"]}],"mendeley":{"formattedCitation":"(Ajanaku &amp; Collins, 2021)","manualFormatting":"Ajanaku &amp; Collins, 2021","plainTextFormattedCitation":"(Ajanaku &amp; Collins, 2021)","previouslyFormattedCitation":"(Ajanaku &amp; Collins, 2021)"},"properties":{"noteIndex":0},"schema":"https://github.com/citation-style-language/schema/raw/master/csl-citation.json"}</w:instrText>
      </w:r>
      <w:r w:rsidR="00246BA6" w:rsidRPr="00870330">
        <w:rPr>
          <w:rFonts w:asciiTheme="minorHAnsi" w:hAnsiTheme="minorHAnsi" w:cstheme="minorHAnsi"/>
          <w:noProof/>
          <w:color w:val="0D0D0D"/>
          <w:sz w:val="24"/>
          <w:szCs w:val="24"/>
        </w:rPr>
        <w:fldChar w:fldCharType="separate"/>
      </w:r>
      <w:r w:rsidR="00246BA6" w:rsidRPr="00870330">
        <w:rPr>
          <w:rFonts w:asciiTheme="minorHAnsi" w:hAnsiTheme="minorHAnsi" w:cstheme="minorHAnsi"/>
          <w:noProof/>
          <w:color w:val="0D0D0D"/>
          <w:sz w:val="24"/>
          <w:szCs w:val="24"/>
        </w:rPr>
        <w:t>Ajanaku &amp; Collins, 2021</w:t>
      </w:r>
      <w:r w:rsidR="00246BA6" w:rsidRPr="00870330">
        <w:rPr>
          <w:rFonts w:asciiTheme="minorHAnsi" w:hAnsiTheme="minorHAnsi" w:cstheme="minorHAnsi"/>
          <w:noProof/>
          <w:color w:val="0D0D0D"/>
          <w:sz w:val="24"/>
          <w:szCs w:val="24"/>
        </w:rPr>
        <w:fldChar w:fldCharType="end"/>
      </w:r>
      <w:r w:rsidR="00E5047D" w:rsidRPr="00870330">
        <w:rPr>
          <w:rFonts w:asciiTheme="minorHAnsi" w:hAnsiTheme="minorHAnsi" w:cstheme="minorHAnsi"/>
          <w:noProof/>
          <w:color w:val="0D0D0D"/>
          <w:sz w:val="24"/>
          <w:szCs w:val="24"/>
        </w:rPr>
        <w:t xml:space="preserve">; </w:t>
      </w:r>
      <w:r w:rsidR="00E5047D" w:rsidRPr="00870330">
        <w:rPr>
          <w:rFonts w:asciiTheme="minorHAnsi" w:hAnsiTheme="minorHAnsi" w:cstheme="minorHAnsi"/>
          <w:noProof/>
          <w:color w:val="0D0D0D"/>
          <w:sz w:val="24"/>
          <w:szCs w:val="24"/>
        </w:rPr>
        <w:fldChar w:fldCharType="begin" w:fldLock="1"/>
      </w:r>
      <w:r w:rsidR="006A7EED" w:rsidRPr="00870330">
        <w:rPr>
          <w:rFonts w:asciiTheme="minorHAnsi" w:hAnsiTheme="minorHAnsi" w:cstheme="minorHAnsi"/>
          <w:noProof/>
          <w:color w:val="0D0D0D"/>
          <w:sz w:val="24"/>
          <w:szCs w:val="24"/>
        </w:rPr>
        <w:instrText>ADDIN CSL_CITATION {"citationItems":[{"id":"ITEM-1","itemData":{"DOI":"10.1016/j.ecolecon.2006.03.014","ISSN":"09218009","abstract":"Institutions for secure property rights and better environmental policies for moving the system towards a sustainable growth path can reduce the height of an environmental Kuznets curve (EKC) relationship between income and deforestation. This study examines the impact of these specific institutional factors on the EKC relationship for deforestation across Latin American, African and Asian countries. The factors related to agricultural production, population, economy and governmental policies of each country are hypothesised to affect deforestation. Results of the Latin American countries show significant evidence of an EKC relationship for deforestation and also relevance of the institutional factors to reduce the rate of deforestation. Improvements in institutions for secure property rights and better environmental policies can thus significantly reduce the rate of deforestation without hindering the level of economic growth. Evidence also suggests that the effect of agricultural production on deforestation could be halted by strengthening institutional factors. There was found to be complementarity between the institutional factors and forest sector polices, and an additive effect between the institutional factors and forest products export promotion policies, which could also eventually reduce the rate of deforestation. © 2006 Elsevier B.V. All rights reserved.","author":[{"dropping-particle":"","family":"Culas","given":"Richard J.","non-dropping-particle":"","parse-names":false,"suffix":""}],"container-title":"Ecological Economics","id":"ITEM-1","issue":"2-3","issued":{"date-parts":[["2007"]]},"page":"429-437","title":"Deforestation and the environmental Kuznets curve: An institutional perspective","type":"article-journal","volume":"61"},"uris":["http://www.mendeley.com/documents/?uuid=2fc20927-e428-4065-8af5-d43a425678f4"]}],"mendeley":{"formattedCitation":"(Culas, 2007)","manualFormatting":"Culas, 2007)","plainTextFormattedCitation":"(Culas, 2007)","previouslyFormattedCitation":"(Culas, 2007)"},"properties":{"noteIndex":0},"schema":"https://github.com/citation-style-language/schema/raw/master/csl-citation.json"}</w:instrText>
      </w:r>
      <w:r w:rsidR="00E5047D" w:rsidRPr="00870330">
        <w:rPr>
          <w:rFonts w:asciiTheme="minorHAnsi" w:hAnsiTheme="minorHAnsi" w:cstheme="minorHAnsi"/>
          <w:noProof/>
          <w:color w:val="0D0D0D"/>
          <w:sz w:val="24"/>
          <w:szCs w:val="24"/>
        </w:rPr>
        <w:fldChar w:fldCharType="separate"/>
      </w:r>
      <w:r w:rsidR="00E5047D" w:rsidRPr="00870330">
        <w:rPr>
          <w:rFonts w:asciiTheme="minorHAnsi" w:hAnsiTheme="minorHAnsi" w:cstheme="minorHAnsi"/>
          <w:noProof/>
          <w:color w:val="0D0D0D"/>
          <w:sz w:val="24"/>
          <w:szCs w:val="24"/>
        </w:rPr>
        <w:t>Culas, 2007)</w:t>
      </w:r>
      <w:r w:rsidR="00E5047D" w:rsidRPr="00870330">
        <w:rPr>
          <w:rFonts w:asciiTheme="minorHAnsi" w:hAnsiTheme="minorHAnsi" w:cstheme="minorHAnsi"/>
          <w:noProof/>
          <w:color w:val="0D0D0D"/>
          <w:sz w:val="24"/>
          <w:szCs w:val="24"/>
        </w:rPr>
        <w:fldChar w:fldCharType="end"/>
      </w:r>
      <w:r w:rsidR="00246BA6" w:rsidRPr="00870330">
        <w:rPr>
          <w:rFonts w:asciiTheme="minorHAnsi" w:hAnsiTheme="minorHAnsi" w:cstheme="minorHAnsi"/>
          <w:noProof/>
          <w:color w:val="0D0D0D"/>
          <w:sz w:val="24"/>
          <w:szCs w:val="24"/>
        </w:rPr>
        <w:t xml:space="preserve">, </w:t>
      </w:r>
      <w:r w:rsidRPr="00870330">
        <w:rPr>
          <w:rFonts w:asciiTheme="minorHAnsi" w:hAnsiTheme="minorHAnsi" w:cstheme="minorHAnsi"/>
          <w:color w:val="0D0D0D" w:themeColor="text1" w:themeTint="F2"/>
        </w:rPr>
        <w:t>equation 1 is the empirical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gridCol w:w="693"/>
      </w:tblGrid>
      <w:tr w:rsidR="00A05921" w:rsidRPr="00870330" w14:paraId="3D28CBC2" w14:textId="77777777" w:rsidTr="00A05921">
        <w:tc>
          <w:tcPr>
            <w:tcW w:w="8789" w:type="dxa"/>
            <w:vAlign w:val="center"/>
          </w:tcPr>
          <w:p w14:paraId="3ECB64D7" w14:textId="7087072A" w:rsidR="004C2EEB" w:rsidRPr="00870330" w:rsidRDefault="003921E4" w:rsidP="002255F9">
            <w:pPr>
              <w:spacing w:before="160" w:after="160" w:line="259" w:lineRule="auto"/>
              <w:jc w:val="center"/>
              <w:rPr>
                <w:rFonts w:eastAsiaTheme="minorEastAsia" w:cstheme="minorHAnsi"/>
                <w:i/>
                <w:color w:val="0D0D0D" w:themeColor="text1" w:themeTint="F2"/>
              </w:rPr>
            </w:pPr>
            <m:oMathPara>
              <m:oMathParaPr>
                <m:jc m:val="center"/>
              </m:oMathParaPr>
              <m:oMath>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DEF</m:t>
                    </m:r>
                  </m:e>
                  <m:sub>
                    <m:r>
                      <w:rPr>
                        <w:rFonts w:ascii="Cambria Math" w:hAnsi="Cambria Math" w:cstheme="minorHAnsi"/>
                        <w:color w:val="0D0D0D" w:themeColor="text1" w:themeTint="F2"/>
                      </w:rPr>
                      <m:t>it</m:t>
                    </m:r>
                  </m:sub>
                </m:sSub>
                <m:r>
                  <w:rPr>
                    <w:rFonts w:ascii="Cambria Math" w:hAnsi="Cambria Math" w:cstheme="minorHAnsi"/>
                    <w:color w:val="0D0D0D" w:themeColor="text1" w:themeTint="F2"/>
                  </w:rPr>
                  <m:t>=</m:t>
                </m:r>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β</m:t>
                    </m:r>
                  </m:e>
                  <m:sub>
                    <m:r>
                      <w:rPr>
                        <w:rFonts w:ascii="Cambria Math" w:hAnsi="Cambria Math" w:cstheme="minorHAnsi"/>
                        <w:color w:val="0D0D0D" w:themeColor="text1" w:themeTint="F2"/>
                      </w:rPr>
                      <m:t>0</m:t>
                    </m:r>
                  </m:sub>
                </m:sSub>
                <m:r>
                  <w:rPr>
                    <w:rFonts w:ascii="Cambria Math" w:hAnsi="Cambria Math" w:cstheme="minorHAnsi"/>
                    <w:color w:val="0D0D0D" w:themeColor="text1" w:themeTint="F2"/>
                  </w:rPr>
                  <m:t>+</m:t>
                </m:r>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β</m:t>
                    </m:r>
                  </m:e>
                  <m:sub>
                    <m:r>
                      <w:rPr>
                        <w:rFonts w:ascii="Cambria Math" w:hAnsi="Cambria Math" w:cstheme="minorHAnsi"/>
                        <w:color w:val="0D0D0D" w:themeColor="text1" w:themeTint="F2"/>
                      </w:rPr>
                      <m:t>1</m:t>
                    </m:r>
                  </m:sub>
                </m:sSub>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GDP</m:t>
                    </m:r>
                  </m:e>
                  <m:sub>
                    <m:r>
                      <w:rPr>
                        <w:rFonts w:ascii="Cambria Math" w:hAnsi="Cambria Math" w:cstheme="minorHAnsi"/>
                        <w:color w:val="0D0D0D" w:themeColor="text1" w:themeTint="F2"/>
                      </w:rPr>
                      <m:t>it</m:t>
                    </m:r>
                  </m:sub>
                </m:sSub>
                <m:r>
                  <w:rPr>
                    <w:rFonts w:ascii="Cambria Math" w:hAnsi="Cambria Math" w:cstheme="minorHAnsi"/>
                    <w:color w:val="0D0D0D" w:themeColor="text1" w:themeTint="F2"/>
                  </w:rPr>
                  <m:t>+</m:t>
                </m:r>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β</m:t>
                    </m:r>
                  </m:e>
                  <m:sub>
                    <m:r>
                      <w:rPr>
                        <w:rFonts w:ascii="Cambria Math" w:hAnsi="Cambria Math" w:cstheme="minorHAnsi"/>
                        <w:color w:val="0D0D0D" w:themeColor="text1" w:themeTint="F2"/>
                      </w:rPr>
                      <m:t>2</m:t>
                    </m:r>
                  </m:sub>
                </m:sSub>
                <m:sSubSup>
                  <m:sSubSupPr>
                    <m:ctrlPr>
                      <w:rPr>
                        <w:rFonts w:ascii="Cambria Math" w:hAnsi="Cambria Math" w:cstheme="minorHAnsi"/>
                        <w:i/>
                        <w:color w:val="0D0D0D" w:themeColor="text1" w:themeTint="F2"/>
                      </w:rPr>
                    </m:ctrlPr>
                  </m:sSubSupPr>
                  <m:e>
                    <m:r>
                      <w:rPr>
                        <w:rFonts w:ascii="Cambria Math" w:hAnsi="Cambria Math" w:cstheme="minorHAnsi"/>
                        <w:color w:val="0D0D0D" w:themeColor="text1" w:themeTint="F2"/>
                      </w:rPr>
                      <m:t>GDP</m:t>
                    </m:r>
                  </m:e>
                  <m:sub>
                    <m:r>
                      <w:rPr>
                        <w:rFonts w:ascii="Cambria Math" w:hAnsi="Cambria Math" w:cstheme="minorHAnsi"/>
                        <w:color w:val="0D0D0D" w:themeColor="text1" w:themeTint="F2"/>
                      </w:rPr>
                      <m:t>it</m:t>
                    </m:r>
                  </m:sub>
                  <m:sup>
                    <m:r>
                      <w:rPr>
                        <w:rFonts w:ascii="Cambria Math" w:hAnsi="Cambria Math" w:cstheme="minorHAnsi"/>
                        <w:color w:val="0D0D0D" w:themeColor="text1" w:themeTint="F2"/>
                      </w:rPr>
                      <m:t>2</m:t>
                    </m:r>
                  </m:sup>
                </m:sSubSup>
                <m:r>
                  <w:rPr>
                    <w:rFonts w:ascii="Cambria Math" w:hAnsi="Cambria Math" w:cstheme="minorHAnsi"/>
                    <w:color w:val="0D0D0D" w:themeColor="text1" w:themeTint="F2"/>
                  </w:rPr>
                  <m:t>+</m:t>
                </m:r>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β</m:t>
                    </m:r>
                  </m:e>
                  <m:sub>
                    <m:r>
                      <w:rPr>
                        <w:rFonts w:ascii="Cambria Math" w:hAnsi="Cambria Math" w:cstheme="minorHAnsi"/>
                        <w:color w:val="0D0D0D" w:themeColor="text1" w:themeTint="F2"/>
                      </w:rPr>
                      <m:t>3</m:t>
                    </m:r>
                  </m:sub>
                </m:sSub>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TO</m:t>
                    </m:r>
                  </m:e>
                  <m:sub>
                    <m:r>
                      <w:rPr>
                        <w:rFonts w:ascii="Cambria Math" w:hAnsi="Cambria Math" w:cstheme="minorHAnsi"/>
                        <w:color w:val="0D0D0D" w:themeColor="text1" w:themeTint="F2"/>
                      </w:rPr>
                      <m:t>it</m:t>
                    </m:r>
                  </m:sub>
                </m:sSub>
                <m:r>
                  <w:rPr>
                    <w:rFonts w:ascii="Cambria Math" w:hAnsi="Cambria Math" w:cstheme="minorHAnsi"/>
                    <w:color w:val="0D0D0D" w:themeColor="text1" w:themeTint="F2"/>
                  </w:rPr>
                  <m:t>++</m:t>
                </m:r>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β</m:t>
                    </m:r>
                  </m:e>
                  <m:sub>
                    <m:r>
                      <w:rPr>
                        <w:rFonts w:ascii="Cambria Math" w:hAnsi="Cambria Math" w:cstheme="minorHAnsi"/>
                        <w:color w:val="0D0D0D" w:themeColor="text1" w:themeTint="F2"/>
                      </w:rPr>
                      <m:t>4</m:t>
                    </m:r>
                  </m:sub>
                </m:sSub>
                <m:r>
                  <w:rPr>
                    <w:rFonts w:ascii="Cambria Math" w:hAnsi="Cambria Math" w:cstheme="minorHAnsi"/>
                    <w:color w:val="0D0D0D" w:themeColor="text1" w:themeTint="F2"/>
                  </w:rPr>
                  <m:t>CO</m:t>
                </m:r>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R</m:t>
                    </m:r>
                  </m:e>
                  <m:sub>
                    <m:r>
                      <w:rPr>
                        <w:rFonts w:ascii="Cambria Math" w:hAnsi="Cambria Math" w:cstheme="minorHAnsi"/>
                        <w:color w:val="0D0D0D" w:themeColor="text1" w:themeTint="F2"/>
                      </w:rPr>
                      <m:t>it</m:t>
                    </m:r>
                  </m:sub>
                </m:sSub>
                <m:r>
                  <w:rPr>
                    <w:rFonts w:ascii="Cambria Math" w:hAnsi="Cambria Math" w:cstheme="minorHAnsi"/>
                    <w:color w:val="0D0D0D" w:themeColor="text1" w:themeTint="F2"/>
                  </w:rPr>
                  <m:t>+</m:t>
                </m:r>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β</m:t>
                    </m:r>
                  </m:e>
                  <m:sub>
                    <m:r>
                      <w:rPr>
                        <w:rFonts w:ascii="Cambria Math" w:hAnsi="Cambria Math" w:cstheme="minorHAnsi"/>
                        <w:color w:val="0D0D0D" w:themeColor="text1" w:themeTint="F2"/>
                      </w:rPr>
                      <m:t>5</m:t>
                    </m:r>
                  </m:sub>
                </m:sSub>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ARABLE</m:t>
                    </m:r>
                  </m:e>
                  <m:sub>
                    <m:r>
                      <w:rPr>
                        <w:rFonts w:ascii="Cambria Math" w:hAnsi="Cambria Math" w:cstheme="minorHAnsi"/>
                        <w:color w:val="0D0D0D" w:themeColor="text1" w:themeTint="F2"/>
                      </w:rPr>
                      <m:t>it</m:t>
                    </m:r>
                  </m:sub>
                </m:sSub>
                <m:r>
                  <w:rPr>
                    <w:rFonts w:ascii="Cambria Math" w:hAnsi="Cambria Math" w:cstheme="minorHAnsi"/>
                    <w:color w:val="0D0D0D" w:themeColor="text1" w:themeTint="F2"/>
                  </w:rPr>
                  <m:t>+</m:t>
                </m:r>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β</m:t>
                    </m:r>
                  </m:e>
                  <m:sub>
                    <m:r>
                      <w:rPr>
                        <w:rFonts w:ascii="Cambria Math" w:hAnsi="Cambria Math" w:cstheme="minorHAnsi"/>
                        <w:color w:val="0D0D0D" w:themeColor="text1" w:themeTint="F2"/>
                      </w:rPr>
                      <m:t>6</m:t>
                    </m:r>
                  </m:sub>
                </m:sSub>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POPG</m:t>
                    </m:r>
                  </m:e>
                  <m:sub>
                    <m:r>
                      <w:rPr>
                        <w:rFonts w:ascii="Cambria Math" w:hAnsi="Cambria Math" w:cstheme="minorHAnsi"/>
                        <w:color w:val="0D0D0D" w:themeColor="text1" w:themeTint="F2"/>
                      </w:rPr>
                      <m:t>it</m:t>
                    </m:r>
                  </m:sub>
                </m:sSub>
                <m:r>
                  <w:rPr>
                    <w:rFonts w:ascii="Cambria Math" w:hAnsi="Cambria Math" w:cstheme="minorHAnsi"/>
                    <w:color w:val="0D0D0D" w:themeColor="text1" w:themeTint="F2"/>
                  </w:rPr>
                  <m:t>+</m:t>
                </m:r>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e</m:t>
                    </m:r>
                  </m:e>
                  <m:sub>
                    <m:r>
                      <w:rPr>
                        <w:rFonts w:ascii="Cambria Math" w:hAnsi="Cambria Math" w:cstheme="minorHAnsi"/>
                        <w:color w:val="0D0D0D" w:themeColor="text1" w:themeTint="F2"/>
                      </w:rPr>
                      <m:t>it</m:t>
                    </m:r>
                  </m:sub>
                </m:sSub>
              </m:oMath>
            </m:oMathPara>
          </w:p>
        </w:tc>
        <w:tc>
          <w:tcPr>
            <w:tcW w:w="709" w:type="dxa"/>
            <w:vAlign w:val="center"/>
          </w:tcPr>
          <w:p w14:paraId="1BE862F3" w14:textId="77777777" w:rsidR="004C2EEB" w:rsidRPr="00870330" w:rsidRDefault="004C2EEB" w:rsidP="00A05921">
            <w:pPr>
              <w:spacing w:line="259" w:lineRule="auto"/>
              <w:jc w:val="center"/>
              <w:rPr>
                <w:rFonts w:cstheme="minorHAnsi"/>
                <w:color w:val="0D0D0D" w:themeColor="text1" w:themeTint="F2"/>
              </w:rPr>
            </w:pPr>
            <w:r w:rsidRPr="00870330">
              <w:rPr>
                <w:rFonts w:cstheme="minorHAnsi"/>
                <w:color w:val="0D0D0D" w:themeColor="text1" w:themeTint="F2"/>
              </w:rPr>
              <w:t>(1)</w:t>
            </w:r>
          </w:p>
        </w:tc>
      </w:tr>
    </w:tbl>
    <w:p w14:paraId="611DB641" w14:textId="550CA5DB" w:rsidR="004C2EEB" w:rsidRPr="00870330" w:rsidRDefault="004C2EEB" w:rsidP="004C2EEB">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 xml:space="preserve">In the equation above, DEF is deforestation, GDP is per capita income, GDP2 is the quadratic form of per capita GDP, COR is corruption control index, TOP is trade openness, POPG is population growth, ARABLE is arable land area, subscripts </w:t>
      </w:r>
      <w:proofErr w:type="spellStart"/>
      <w:r w:rsidRPr="00870330">
        <w:rPr>
          <w:rFonts w:asciiTheme="minorHAnsi" w:hAnsiTheme="minorHAnsi" w:cstheme="minorHAnsi"/>
          <w:color w:val="0D0D0D" w:themeColor="text1" w:themeTint="F2"/>
          <w:lang w:eastAsia="id-ID"/>
        </w:rPr>
        <w:t>i</w:t>
      </w:r>
      <w:proofErr w:type="spellEnd"/>
      <w:r w:rsidRPr="00870330">
        <w:rPr>
          <w:rFonts w:asciiTheme="minorHAnsi" w:hAnsiTheme="minorHAnsi" w:cstheme="minorHAnsi"/>
          <w:color w:val="0D0D0D" w:themeColor="text1" w:themeTint="F2"/>
          <w:lang w:eastAsia="id-ID"/>
        </w:rPr>
        <w:t xml:space="preserve"> and t are countries and periods (1996 – 2018), </w:t>
      </w:r>
      <w:r w:rsidRPr="00870330">
        <w:rPr>
          <w:rFonts w:asciiTheme="minorHAnsi" w:hAnsiTheme="minorHAnsi" w:cstheme="minorHAnsi"/>
          <w:color w:val="0D0D0D" w:themeColor="text1" w:themeTint="F2"/>
        </w:rPr>
        <w:t>β</w:t>
      </w:r>
      <w:r w:rsidRPr="00870330">
        <w:rPr>
          <w:rFonts w:asciiTheme="minorHAnsi" w:hAnsiTheme="minorHAnsi" w:cstheme="minorHAnsi"/>
          <w:color w:val="0D0D0D" w:themeColor="text1" w:themeTint="F2"/>
          <w:vertAlign w:val="subscript"/>
        </w:rPr>
        <w:t xml:space="preserve">1 </w:t>
      </w:r>
      <w:r w:rsidRPr="00870330">
        <w:rPr>
          <w:rFonts w:asciiTheme="minorHAnsi" w:hAnsiTheme="minorHAnsi" w:cstheme="minorHAnsi"/>
          <w:color w:val="0D0D0D" w:themeColor="text1" w:themeTint="F2"/>
        </w:rPr>
        <w:t>... β</w:t>
      </w:r>
      <w:r w:rsidRPr="00870330">
        <w:rPr>
          <w:rFonts w:asciiTheme="minorHAnsi" w:hAnsiTheme="minorHAnsi" w:cstheme="minorHAnsi"/>
          <w:color w:val="0D0D0D" w:themeColor="text1" w:themeTint="F2"/>
          <w:vertAlign w:val="subscript"/>
        </w:rPr>
        <w:t xml:space="preserve">6 </w:t>
      </w:r>
      <w:r w:rsidRPr="00870330">
        <w:rPr>
          <w:rFonts w:asciiTheme="minorHAnsi" w:hAnsiTheme="minorHAnsi" w:cstheme="minorHAnsi"/>
          <w:color w:val="0D0D0D" w:themeColor="text1" w:themeTint="F2"/>
          <w:lang w:eastAsia="id-ID"/>
        </w:rPr>
        <w:t xml:space="preserve">is the coefficient of the explanatory variable, </w:t>
      </w:r>
      <w:r w:rsidRPr="00870330">
        <w:rPr>
          <w:rFonts w:asciiTheme="minorHAnsi" w:hAnsiTheme="minorHAnsi" w:cstheme="minorHAnsi"/>
          <w:color w:val="0D0D0D" w:themeColor="text1" w:themeTint="F2"/>
        </w:rPr>
        <w:t>β</w:t>
      </w:r>
      <w:r w:rsidRPr="00870330">
        <w:rPr>
          <w:rFonts w:asciiTheme="minorHAnsi" w:hAnsiTheme="minorHAnsi" w:cstheme="minorHAnsi"/>
          <w:color w:val="0D0D0D" w:themeColor="text1" w:themeTint="F2"/>
          <w:vertAlign w:val="subscript"/>
        </w:rPr>
        <w:t>0</w:t>
      </w:r>
      <w:r w:rsidRPr="00870330">
        <w:rPr>
          <w:rFonts w:asciiTheme="minorHAnsi" w:hAnsiTheme="minorHAnsi" w:cstheme="minorHAnsi"/>
          <w:color w:val="0D0D0D" w:themeColor="text1" w:themeTint="F2"/>
          <w:lang w:eastAsia="id-ID"/>
        </w:rPr>
        <w:t xml:space="preserve"> is the intercept, and </w:t>
      </w:r>
      <m:oMath>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e</m:t>
            </m:r>
          </m:e>
          <m:sub>
            <m:r>
              <w:rPr>
                <w:rFonts w:ascii="Cambria Math" w:hAnsi="Cambria Math" w:cstheme="minorHAnsi"/>
                <w:color w:val="0D0D0D" w:themeColor="text1" w:themeTint="F2"/>
              </w:rPr>
              <m:t>it</m:t>
            </m:r>
          </m:sub>
        </m:sSub>
      </m:oMath>
      <w:r w:rsidRPr="00870330">
        <w:rPr>
          <w:rFonts w:asciiTheme="minorHAnsi" w:hAnsiTheme="minorHAnsi" w:cstheme="minorHAnsi"/>
          <w:color w:val="0D0D0D" w:themeColor="text1" w:themeTint="F2"/>
          <w:lang w:eastAsia="id-ID"/>
        </w:rPr>
        <w:t xml:space="preserve"> is the error term. The EKC (inverted-U curve) hypothesis is confirmed only if the coefficient values of </w:t>
      </w:r>
      <w:r w:rsidRPr="00870330">
        <w:rPr>
          <w:rFonts w:asciiTheme="minorHAnsi" w:hAnsiTheme="minorHAnsi" w:cstheme="minorHAnsi"/>
          <w:color w:val="0D0D0D" w:themeColor="text1" w:themeTint="F2"/>
        </w:rPr>
        <w:t>β1 &gt; 0 and β2 &lt; 0</w:t>
      </w:r>
      <w:r w:rsidRPr="00870330">
        <w:rPr>
          <w:rFonts w:asciiTheme="minorHAnsi" w:hAnsiTheme="minorHAnsi" w:cstheme="minorHAnsi"/>
          <w:color w:val="0D0D0D" w:themeColor="text1" w:themeTint="F2"/>
          <w:lang w:eastAsia="id-ID"/>
        </w:rPr>
        <w:t>. The EKC turning point can be obtained through equation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gridCol w:w="693"/>
      </w:tblGrid>
      <w:tr w:rsidR="00A05921" w:rsidRPr="00870330" w14:paraId="4AE199C9" w14:textId="77777777" w:rsidTr="00A05921">
        <w:tc>
          <w:tcPr>
            <w:tcW w:w="8789" w:type="dxa"/>
            <w:vAlign w:val="center"/>
          </w:tcPr>
          <w:p w14:paraId="4BE5C137" w14:textId="24BF27C0" w:rsidR="004C2EEB" w:rsidRPr="00870330" w:rsidRDefault="003921E4" w:rsidP="004C2EEB">
            <w:pPr>
              <w:pStyle w:val="Title"/>
              <w:spacing w:before="0" w:after="0" w:line="259" w:lineRule="auto"/>
              <w:jc w:val="both"/>
              <w:rPr>
                <w:rFonts w:eastAsiaTheme="minorEastAsia" w:cstheme="minorHAnsi"/>
                <w:b w:val="0"/>
                <w:i/>
                <w:color w:val="0D0D0D" w:themeColor="text1" w:themeTint="F2"/>
                <w:sz w:val="22"/>
                <w:szCs w:val="22"/>
              </w:rPr>
            </w:pPr>
            <m:oMathPara>
              <m:oMath>
                <m:sSup>
                  <m:sSupPr>
                    <m:ctrlPr>
                      <w:rPr>
                        <w:rFonts w:ascii="Cambria Math" w:eastAsiaTheme="minorEastAsia" w:hAnsi="Cambria Math" w:cstheme="minorHAnsi"/>
                        <w:b w:val="0"/>
                        <w:i/>
                        <w:color w:val="0D0D0D" w:themeColor="text1" w:themeTint="F2"/>
                        <w:sz w:val="22"/>
                        <w:szCs w:val="22"/>
                      </w:rPr>
                    </m:ctrlPr>
                  </m:sSupPr>
                  <m:e>
                    <m:r>
                      <m:rPr>
                        <m:sty m:val="bi"/>
                      </m:rPr>
                      <w:rPr>
                        <w:rFonts w:ascii="Cambria Math" w:eastAsiaTheme="minorEastAsia" w:hAnsi="Cambria Math" w:cstheme="minorHAnsi"/>
                        <w:color w:val="0D0D0D" w:themeColor="text1" w:themeTint="F2"/>
                        <w:sz w:val="22"/>
                        <w:szCs w:val="22"/>
                      </w:rPr>
                      <m:t>t</m:t>
                    </m:r>
                  </m:e>
                  <m:sup>
                    <m:r>
                      <m:rPr>
                        <m:sty m:val="bi"/>
                      </m:rPr>
                      <w:rPr>
                        <w:rFonts w:ascii="Cambria Math" w:eastAsiaTheme="minorEastAsia" w:hAnsi="Cambria Math" w:cstheme="minorHAnsi"/>
                        <w:color w:val="0D0D0D" w:themeColor="text1" w:themeTint="F2"/>
                        <w:sz w:val="22"/>
                        <w:szCs w:val="22"/>
                      </w:rPr>
                      <m:t>*</m:t>
                    </m:r>
                  </m:sup>
                </m:sSup>
                <m:r>
                  <m:rPr>
                    <m:sty m:val="bi"/>
                  </m:rPr>
                  <w:rPr>
                    <w:rFonts w:ascii="Cambria Math" w:eastAsiaTheme="minorEastAsia" w:hAnsi="Cambria Math" w:cstheme="minorHAnsi"/>
                    <w:color w:val="0D0D0D" w:themeColor="text1" w:themeTint="F2"/>
                    <w:sz w:val="22"/>
                    <w:szCs w:val="22"/>
                  </w:rPr>
                  <m:t>=exp</m:t>
                </m:r>
                <m:d>
                  <m:dPr>
                    <m:ctrlPr>
                      <w:rPr>
                        <w:rFonts w:ascii="Cambria Math" w:eastAsiaTheme="minorEastAsia" w:hAnsi="Cambria Math" w:cstheme="minorHAnsi"/>
                        <w:b w:val="0"/>
                        <w:i/>
                        <w:color w:val="0D0D0D" w:themeColor="text1" w:themeTint="F2"/>
                        <w:sz w:val="22"/>
                        <w:szCs w:val="22"/>
                      </w:rPr>
                    </m:ctrlPr>
                  </m:dPr>
                  <m:e>
                    <m:r>
                      <m:rPr>
                        <m:sty m:val="bi"/>
                      </m:rPr>
                      <w:rPr>
                        <w:rFonts w:ascii="Cambria Math" w:eastAsiaTheme="minorEastAsia" w:hAnsi="Cambria Math" w:cstheme="minorHAnsi"/>
                        <w:color w:val="0D0D0D" w:themeColor="text1" w:themeTint="F2"/>
                        <w:sz w:val="22"/>
                        <w:szCs w:val="22"/>
                      </w:rPr>
                      <m:t>-</m:t>
                    </m:r>
                    <m:f>
                      <m:fPr>
                        <m:ctrlPr>
                          <w:rPr>
                            <w:rFonts w:ascii="Cambria Math" w:eastAsiaTheme="minorEastAsia" w:hAnsi="Cambria Math" w:cstheme="minorHAnsi"/>
                            <w:b w:val="0"/>
                            <w:i/>
                            <w:color w:val="0D0D0D" w:themeColor="text1" w:themeTint="F2"/>
                            <w:sz w:val="22"/>
                            <w:szCs w:val="22"/>
                          </w:rPr>
                        </m:ctrlPr>
                      </m:fPr>
                      <m:num>
                        <m:sSub>
                          <m:sSubPr>
                            <m:ctrlPr>
                              <w:rPr>
                                <w:rFonts w:ascii="Cambria Math" w:eastAsiaTheme="minorEastAsia" w:hAnsi="Cambria Math" w:cstheme="minorHAnsi"/>
                                <w:b w:val="0"/>
                                <w:i/>
                                <w:color w:val="0D0D0D" w:themeColor="text1" w:themeTint="F2"/>
                                <w:sz w:val="22"/>
                                <w:szCs w:val="22"/>
                              </w:rPr>
                            </m:ctrlPr>
                          </m:sSubPr>
                          <m:e>
                            <m:r>
                              <m:rPr>
                                <m:sty m:val="bi"/>
                              </m:rPr>
                              <w:rPr>
                                <w:rFonts w:ascii="Cambria Math" w:eastAsiaTheme="minorEastAsia" w:hAnsi="Cambria Math" w:cstheme="minorHAnsi"/>
                                <w:color w:val="0D0D0D" w:themeColor="text1" w:themeTint="F2"/>
                                <w:sz w:val="22"/>
                                <w:szCs w:val="22"/>
                              </w:rPr>
                              <m:t>β</m:t>
                            </m:r>
                          </m:e>
                          <m:sub>
                            <m:r>
                              <m:rPr>
                                <m:sty m:val="bi"/>
                              </m:rPr>
                              <w:rPr>
                                <w:rFonts w:ascii="Cambria Math" w:eastAsiaTheme="minorEastAsia" w:hAnsi="Cambria Math" w:cstheme="minorHAnsi"/>
                                <w:color w:val="0D0D0D" w:themeColor="text1" w:themeTint="F2"/>
                                <w:sz w:val="22"/>
                                <w:szCs w:val="22"/>
                              </w:rPr>
                              <m:t>1</m:t>
                            </m:r>
                          </m:sub>
                        </m:sSub>
                      </m:num>
                      <m:den>
                        <m:r>
                          <m:rPr>
                            <m:sty m:val="bi"/>
                          </m:rPr>
                          <w:rPr>
                            <w:rFonts w:ascii="Cambria Math" w:eastAsiaTheme="minorEastAsia" w:hAnsi="Cambria Math" w:cstheme="minorHAnsi"/>
                            <w:color w:val="0D0D0D" w:themeColor="text1" w:themeTint="F2"/>
                            <w:sz w:val="22"/>
                            <w:szCs w:val="22"/>
                          </w:rPr>
                          <m:t>2×</m:t>
                        </m:r>
                        <m:sSub>
                          <m:sSubPr>
                            <m:ctrlPr>
                              <w:rPr>
                                <w:rFonts w:ascii="Cambria Math" w:eastAsiaTheme="minorEastAsia" w:hAnsi="Cambria Math" w:cstheme="minorHAnsi"/>
                                <w:b w:val="0"/>
                                <w:i/>
                                <w:color w:val="0D0D0D" w:themeColor="text1" w:themeTint="F2"/>
                                <w:sz w:val="22"/>
                                <w:szCs w:val="22"/>
                              </w:rPr>
                            </m:ctrlPr>
                          </m:sSubPr>
                          <m:e>
                            <m:r>
                              <m:rPr>
                                <m:sty m:val="bi"/>
                              </m:rPr>
                              <w:rPr>
                                <w:rFonts w:ascii="Cambria Math" w:eastAsiaTheme="minorEastAsia" w:hAnsi="Cambria Math" w:cstheme="minorHAnsi"/>
                                <w:color w:val="0D0D0D" w:themeColor="text1" w:themeTint="F2"/>
                                <w:sz w:val="22"/>
                                <w:szCs w:val="22"/>
                              </w:rPr>
                              <m:t>β</m:t>
                            </m:r>
                          </m:e>
                          <m:sub>
                            <m:r>
                              <m:rPr>
                                <m:sty m:val="bi"/>
                              </m:rPr>
                              <w:rPr>
                                <w:rFonts w:ascii="Cambria Math" w:eastAsiaTheme="minorEastAsia" w:hAnsi="Cambria Math" w:cstheme="minorHAnsi"/>
                                <w:color w:val="0D0D0D" w:themeColor="text1" w:themeTint="F2"/>
                                <w:sz w:val="22"/>
                                <w:szCs w:val="22"/>
                              </w:rPr>
                              <m:t>2</m:t>
                            </m:r>
                          </m:sub>
                        </m:sSub>
                      </m:den>
                    </m:f>
                  </m:e>
                </m:d>
              </m:oMath>
            </m:oMathPara>
          </w:p>
        </w:tc>
        <w:tc>
          <w:tcPr>
            <w:tcW w:w="709" w:type="dxa"/>
            <w:vAlign w:val="center"/>
          </w:tcPr>
          <w:p w14:paraId="48324082" w14:textId="77777777" w:rsidR="004C2EEB" w:rsidRPr="00870330" w:rsidRDefault="004C2EEB" w:rsidP="00A05921">
            <w:pPr>
              <w:spacing w:line="259" w:lineRule="auto"/>
              <w:jc w:val="right"/>
              <w:rPr>
                <w:rFonts w:cstheme="minorHAnsi"/>
                <w:color w:val="0D0D0D" w:themeColor="text1" w:themeTint="F2"/>
              </w:rPr>
            </w:pPr>
            <w:r w:rsidRPr="00870330">
              <w:rPr>
                <w:rFonts w:cstheme="minorHAnsi"/>
                <w:color w:val="0D0D0D" w:themeColor="text1" w:themeTint="F2"/>
              </w:rPr>
              <w:t>(2)</w:t>
            </w:r>
          </w:p>
        </w:tc>
      </w:tr>
    </w:tbl>
    <w:p w14:paraId="4BD596B3" w14:textId="6625D8A9" w:rsidR="004C2EEB" w:rsidRPr="00870330" w:rsidRDefault="00CC0B56" w:rsidP="004C2EEB">
      <w:pPr>
        <w:pStyle w:val="NormalafterHeading"/>
        <w:spacing w:line="259" w:lineRule="auto"/>
        <w:rPr>
          <w:rFonts w:asciiTheme="minorHAnsi" w:hAnsiTheme="minorHAnsi" w:cstheme="minorHAnsi"/>
          <w:b/>
          <w:iCs/>
          <w:color w:val="0D0D0D" w:themeColor="text1" w:themeTint="F2"/>
          <w:spacing w:val="-8"/>
          <w:lang w:val="en-US"/>
        </w:rPr>
      </w:pPr>
      <w:r w:rsidRPr="00870330">
        <w:rPr>
          <w:rFonts w:asciiTheme="minorHAnsi" w:hAnsiTheme="minorHAnsi" w:cstheme="minorHAnsi"/>
          <w:b/>
          <w:iCs/>
          <w:color w:val="0D0D0D" w:themeColor="text1" w:themeTint="F2"/>
          <w:spacing w:val="-8"/>
          <w:lang w:val="en-US"/>
        </w:rPr>
        <w:t xml:space="preserve">Operational </w:t>
      </w:r>
      <w:r w:rsidR="00867EB2" w:rsidRPr="00870330">
        <w:rPr>
          <w:rFonts w:asciiTheme="minorHAnsi" w:hAnsiTheme="minorHAnsi" w:cstheme="minorHAnsi"/>
          <w:b/>
          <w:iCs/>
          <w:color w:val="0D0D0D" w:themeColor="text1" w:themeTint="F2"/>
          <w:spacing w:val="-8"/>
          <w:lang w:val="en-US"/>
        </w:rPr>
        <w:t>Variables</w:t>
      </w:r>
    </w:p>
    <w:p w14:paraId="01D529B6" w14:textId="031E563B" w:rsidR="004C2EEB" w:rsidRPr="00870330" w:rsidRDefault="004C2EEB" w:rsidP="003653B8">
      <w:pPr>
        <w:pStyle w:val="NormalafterHeading"/>
        <w:spacing w:line="259" w:lineRule="auto"/>
        <w:rPr>
          <w:rFonts w:asciiTheme="minorHAnsi" w:hAnsiTheme="minorHAnsi" w:cstheme="minorHAnsi"/>
          <w:color w:val="0D0D0D" w:themeColor="text1" w:themeTint="F2"/>
          <w:lang w:val="en-US"/>
        </w:rPr>
      </w:pPr>
      <w:r w:rsidRPr="00870330">
        <w:rPr>
          <w:rFonts w:asciiTheme="minorHAnsi" w:hAnsiTheme="minorHAnsi" w:cstheme="minorHAnsi"/>
          <w:color w:val="0D0D0D" w:themeColor="text1" w:themeTint="F2"/>
        </w:rPr>
        <w:t xml:space="preserve">Deforestation is the removal of forest cover and changes in vegetation, from forestry to non-forestry </w:t>
      </w:r>
      <w:r w:rsidR="00246BA6" w:rsidRPr="00870330">
        <w:rPr>
          <w:rFonts w:asciiTheme="minorHAnsi" w:hAnsiTheme="minorHAnsi" w:cstheme="minorHAnsi"/>
          <w:noProof/>
          <w:color w:val="0D0D0D"/>
        </w:rPr>
        <w:t>(</w:t>
      </w:r>
      <w:r w:rsidR="00246BA6" w:rsidRPr="00870330">
        <w:rPr>
          <w:rFonts w:asciiTheme="minorHAnsi" w:hAnsiTheme="minorHAnsi" w:cstheme="minorHAnsi"/>
          <w:noProof/>
          <w:color w:val="0D0D0D"/>
        </w:rPr>
        <w:fldChar w:fldCharType="begin" w:fldLock="1"/>
      </w:r>
      <w:r w:rsidR="00246BA6" w:rsidRPr="00870330">
        <w:rPr>
          <w:rFonts w:asciiTheme="minorHAnsi" w:hAnsiTheme="minorHAnsi" w:cstheme="minorHAnsi"/>
          <w:noProof/>
          <w:color w:val="0D0D0D"/>
        </w:rPr>
        <w:instrText>ADDIN CSL_CITATION {"citationItems":[{"id":"ITEM-1","itemData":{"DOI":"10.1088/1748-9326/7/4/044009","ISSN":"17489326","abstract":"Countries are encouraged to identify drivers of deforestation and forest degradation in the development of national strategies and action plans for REDD+. In this letter we provide an assessment of proximate drivers of deforestation and forest degradation by synthesizing empirical data reported by countries as part of their REDD+ readiness activities, CIFOR country profiles, UNFCCC national communications and scientific literature. Based on deforestation rate and remaining forest cover 100 (sub)tropical non-AnnexI countries were grouped into four forest transition phases. Driver data of 46 countries were summarized for each phase and by continent, and were used as a proxy to estimate drivers for the countries with missing data. The deforestation drivers are similar in Africa and Asia, while degradation drivers are more similar in Latin America and Asia. Commercial agriculture is the most important driver of deforestation, followed by subsistence agriculture. Timber extraction and logging drives most of the degradation, followed by fuelwood collection and charcoal production, uncontrolled fire and livestock grazing. The results reflect the most up to date and comprehensive overview of current national-level data availability on drivers, which is expected to improve over time within the frame of the UNFCCC REDD+ process. © 2012 IOP Publishing Ltd.","author":[{"dropping-particle":"","family":"Hosonuma","given":"Noriko","non-dropping-particle":"","parse-names":false,"suffix":""},{"dropping-particle":"","family":"Herold","given":"Martin","non-dropping-particle":"","parse-names":false,"suffix":""},{"dropping-particle":"","family":"Sy","given":"Veronique","non-dropping-particle":"De","parse-names":false,"suffix":""},{"dropping-particle":"","family":"Fries","given":"Ruth S.","non-dropping-particle":"De","parse-names":false,"suffix":""},{"dropping-particle":"","family":"Brockhaus","given":"Maria","non-dropping-particle":"","parse-names":false,"suffix":""},{"dropping-particle":"","family":"Verchot","given":"Louis","non-dropping-particle":"","parse-names":false,"suffix":""},{"dropping-particle":"","family":"Angelsen","given":"Arild","non-dropping-particle":"","parse-names":false,"suffix":""},{"dropping-particle":"","family":"Romijn","given":"Erika","non-dropping-particle":"","parse-names":false,"suffix":""}],"container-title":"Environmental Research Letters","id":"ITEM-1","issue":"4","issued":{"date-parts":[["2012"]]},"page":"1-12","title":"An assessment of deforestation and forest degradation drivers in developing countries","type":"article-journal","volume":"7"},"uris":["http://www.mendeley.com/documents/?uuid=53105ef0-b210-4f3d-8dd7-ebafeb436d08"]}],"mendeley":{"formattedCitation":"(Hosonuma et al., 2012)","manualFormatting":"Hosonuma et al., 2012)","plainTextFormattedCitation":"(Hosonuma et al., 2012)","previouslyFormattedCitation":"(Hosonuma et al., 2012)"},"properties":{"noteIndex":0},"schema":"https://github.com/citation-style-language/schema/raw/master/csl-citation.json"}</w:instrText>
      </w:r>
      <w:r w:rsidR="00246BA6" w:rsidRPr="00870330">
        <w:rPr>
          <w:rFonts w:asciiTheme="minorHAnsi" w:hAnsiTheme="minorHAnsi" w:cstheme="minorHAnsi"/>
          <w:noProof/>
          <w:color w:val="0D0D0D"/>
        </w:rPr>
        <w:fldChar w:fldCharType="separate"/>
      </w:r>
      <w:r w:rsidR="00246BA6" w:rsidRPr="00870330">
        <w:rPr>
          <w:rFonts w:asciiTheme="minorHAnsi" w:hAnsiTheme="minorHAnsi" w:cstheme="minorHAnsi"/>
          <w:noProof/>
          <w:color w:val="0D0D0D"/>
        </w:rPr>
        <w:t>Hosonuma et al., 2012)</w:t>
      </w:r>
      <w:r w:rsidR="00246BA6" w:rsidRPr="00870330">
        <w:rPr>
          <w:rFonts w:asciiTheme="minorHAnsi" w:hAnsiTheme="minorHAnsi" w:cstheme="minorHAnsi"/>
          <w:noProof/>
          <w:color w:val="0D0D0D"/>
        </w:rPr>
        <w:fldChar w:fldCharType="end"/>
      </w:r>
      <w:r w:rsidR="00246BA6"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rPr>
        <w:t xml:space="preserve">Deforestation is proxied by net rates of forest changes, as used by </w:t>
      </w:r>
      <w:r w:rsidR="00246BA6" w:rsidRPr="00870330">
        <w:rPr>
          <w:rFonts w:asciiTheme="minorHAnsi" w:hAnsiTheme="minorHAnsi" w:cstheme="minorHAnsi"/>
          <w:noProof/>
          <w:color w:val="0D0D0D"/>
        </w:rPr>
        <w:fldChar w:fldCharType="begin" w:fldLock="1"/>
      </w:r>
      <w:r w:rsidR="00246BA6" w:rsidRPr="00870330">
        <w:rPr>
          <w:rFonts w:asciiTheme="minorHAnsi" w:hAnsiTheme="minorHAnsi" w:cstheme="minorHAnsi"/>
          <w:noProof/>
          <w:color w:val="0D0D0D"/>
        </w:rPr>
        <w:instrText>ADDIN CSL_CITATION {"citationItems":[{"id":"ITEM-1","itemData":{"ISSN":"13087800","abstract":"The main objective of this study is to empirically demonstrate the inverse U-shaped relationship, which is generally called the environmental Kuznets curve (EKC), between economic development and deforestation rate in Indonesia. For this purpose, we analyzed time-series data for Indonesia over 46 years from 1962 to 2007 with the autoregressive distributed lag (ARDL) bounds testing approach to cointegration. Results support the long-run inverted-U relationship, which implies that, while the deforestation rate increases at the initial stage of economic growth, it declines after a threshold point. The income turning point of the EKC was calculated to be US$ 990.4. These findings derived solely from the time-series data for Indonesia provide helpful information for the Indonesian government and policy-makers in the sense that it explicitly indicates the specific tendency for that country.","author":[{"dropping-particle":"","family":"Waluyo","given":"Efendi Agus","non-dropping-particle":"","parse-names":false,"suffix":""},{"dropping-particle":"","family":"Terawaki","given":"Taku","non-dropping-particle":"","parse-names":false,"suffix":""}],"container-title":"Journal of Economic Cooperation and Development","id":"ITEM-1","issue":"3","issued":{"date-parts":[["2016"]]},"page":"87-108","title":"Environmental kuznets curve for deforestation in Indonesia: An ARDL bounds testing approach","type":"article-journal","volume":"37"},"uris":["http://www.mendeley.com/documents/?uuid=93001349-9603-4748-b0ef-2d69b5f7df32"]}],"mendeley":{"formattedCitation":"(Waluyo &amp; Terawaki, 2016)","manualFormatting":"Waluyo &amp; Terawaki (2016)","plainTextFormattedCitation":"(Waluyo &amp; Terawaki, 2016)","previouslyFormattedCitation":"(Waluyo &amp; Terawaki, 2016)"},"properties":{"noteIndex":0},"schema":"https://github.com/citation-style-language/schema/raw/master/csl-citation.json"}</w:instrText>
      </w:r>
      <w:r w:rsidR="00246BA6" w:rsidRPr="00870330">
        <w:rPr>
          <w:rFonts w:asciiTheme="minorHAnsi" w:hAnsiTheme="minorHAnsi" w:cstheme="minorHAnsi"/>
          <w:noProof/>
          <w:color w:val="0D0D0D"/>
        </w:rPr>
        <w:fldChar w:fldCharType="separate"/>
      </w:r>
      <w:r w:rsidR="00246BA6" w:rsidRPr="00870330">
        <w:rPr>
          <w:rFonts w:asciiTheme="minorHAnsi" w:hAnsiTheme="minorHAnsi" w:cstheme="minorHAnsi"/>
          <w:noProof/>
          <w:color w:val="0D0D0D"/>
        </w:rPr>
        <w:t>Waluyo &amp; Terawaki (2016)</w:t>
      </w:r>
      <w:r w:rsidR="00246BA6" w:rsidRPr="00870330">
        <w:rPr>
          <w:rFonts w:asciiTheme="minorHAnsi" w:hAnsiTheme="minorHAnsi" w:cstheme="minorHAnsi"/>
          <w:noProof/>
          <w:color w:val="0D0D0D"/>
        </w:rPr>
        <w:fldChar w:fldCharType="end"/>
      </w:r>
      <w:r w:rsidR="00246BA6"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rPr>
        <w:t>The net deforestation rate w</w:t>
      </w:r>
      <w:r w:rsidR="007B093B" w:rsidRPr="00870330">
        <w:rPr>
          <w:rFonts w:asciiTheme="minorHAnsi" w:hAnsiTheme="minorHAnsi" w:cstheme="minorHAnsi"/>
          <w:color w:val="0D0D0D" w:themeColor="text1" w:themeTint="F2"/>
        </w:rPr>
        <w:t xml:space="preserve">as obtained using equation 3. </w:t>
      </w:r>
      <m:oMath>
        <m:r>
          <w:rPr>
            <w:rFonts w:ascii="Cambria Math" w:hAnsi="Cambria Math" w:cstheme="minorHAnsi"/>
            <w:color w:val="0D0D0D" w:themeColor="text1" w:themeTint="F2"/>
          </w:rPr>
          <m:t>F</m:t>
        </m:r>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C</m:t>
            </m:r>
          </m:e>
          <m:sub>
            <m:r>
              <w:rPr>
                <w:rFonts w:ascii="Cambria Math" w:hAnsi="Cambria Math" w:cstheme="minorHAnsi"/>
                <w:color w:val="0D0D0D" w:themeColor="text1" w:themeTint="F2"/>
              </w:rPr>
              <m:t>it</m:t>
            </m:r>
          </m:sub>
        </m:sSub>
      </m:oMath>
      <w:r w:rsidRPr="00870330">
        <w:rPr>
          <w:rFonts w:asciiTheme="minorHAnsi" w:hAnsiTheme="minorHAnsi" w:cstheme="minorHAnsi"/>
          <w:color w:val="0D0D0D" w:themeColor="text1" w:themeTint="F2"/>
        </w:rPr>
        <w:t xml:space="preserve"> </w:t>
      </w:r>
      <w:r w:rsidR="00903888" w:rsidRPr="00870330">
        <w:rPr>
          <w:rFonts w:asciiTheme="minorHAnsi" w:hAnsiTheme="minorHAnsi" w:cstheme="minorHAnsi"/>
          <w:color w:val="0D0D0D" w:themeColor="text1" w:themeTint="F2"/>
        </w:rPr>
        <w:t>denote</w:t>
      </w:r>
      <w:r w:rsidR="007B093B" w:rsidRPr="00870330">
        <w:rPr>
          <w:rFonts w:asciiTheme="minorHAnsi" w:hAnsiTheme="minorHAnsi" w:cstheme="minorHAnsi"/>
          <w:color w:val="0D0D0D" w:themeColor="text1" w:themeTint="F2"/>
        </w:rPr>
        <w:t>s</w:t>
      </w:r>
      <w:r w:rsidRPr="00870330">
        <w:rPr>
          <w:rFonts w:asciiTheme="minorHAnsi" w:hAnsiTheme="minorHAnsi" w:cstheme="minorHAnsi"/>
          <w:color w:val="0D0D0D" w:themeColor="text1" w:themeTint="F2"/>
        </w:rPr>
        <w:t xml:space="preserve"> the forest cover area (%) of country i in period t. If the DEF value is positive, i.e. the forest cover area in the analysis period (t) is lower than the forest cover area in the previous period (t-1), deforestation is indicated, and vice versa.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521"/>
      </w:tblGrid>
      <w:tr w:rsidR="00A05921" w:rsidRPr="00870330" w14:paraId="0CE8C7A5" w14:textId="77777777" w:rsidTr="00D94EB9">
        <w:tc>
          <w:tcPr>
            <w:tcW w:w="8505" w:type="dxa"/>
            <w:vAlign w:val="center"/>
          </w:tcPr>
          <w:p w14:paraId="69ADD8D2" w14:textId="25E07E5D" w:rsidR="004C2EEB" w:rsidRPr="00870330" w:rsidRDefault="00D94EB9" w:rsidP="00A05921">
            <w:pPr>
              <w:pStyle w:val="Title"/>
              <w:spacing w:before="0" w:after="0" w:line="259" w:lineRule="auto"/>
              <w:jc w:val="both"/>
              <w:rPr>
                <w:rFonts w:cstheme="minorHAnsi"/>
                <w:b w:val="0"/>
                <w:color w:val="0D0D0D" w:themeColor="text1" w:themeTint="F2"/>
                <w:sz w:val="22"/>
                <w:szCs w:val="22"/>
              </w:rPr>
            </w:pPr>
            <m:oMathPara>
              <m:oMath>
                <m:r>
                  <m:rPr>
                    <m:sty m:val="bi"/>
                  </m:rPr>
                  <w:rPr>
                    <w:rFonts w:ascii="Cambria Math" w:hAnsi="Cambria Math" w:cstheme="minorHAnsi"/>
                    <w:color w:val="0D0D0D" w:themeColor="text1" w:themeTint="F2"/>
                    <w:sz w:val="22"/>
                    <w:szCs w:val="22"/>
                  </w:rPr>
                  <m:t>DE</m:t>
                </m:r>
                <m:sSub>
                  <m:sSubPr>
                    <m:ctrlPr>
                      <w:rPr>
                        <w:rFonts w:ascii="Cambria Math" w:hAnsi="Cambria Math" w:cstheme="minorHAnsi"/>
                        <w:b w:val="0"/>
                        <w:i/>
                        <w:color w:val="0D0D0D" w:themeColor="text1" w:themeTint="F2"/>
                        <w:sz w:val="22"/>
                        <w:szCs w:val="22"/>
                      </w:rPr>
                    </m:ctrlPr>
                  </m:sSubPr>
                  <m:e>
                    <m:r>
                      <m:rPr>
                        <m:sty m:val="bi"/>
                      </m:rPr>
                      <w:rPr>
                        <w:rFonts w:ascii="Cambria Math" w:hAnsi="Cambria Math" w:cstheme="minorHAnsi"/>
                        <w:color w:val="0D0D0D" w:themeColor="text1" w:themeTint="F2"/>
                        <w:sz w:val="22"/>
                        <w:szCs w:val="22"/>
                      </w:rPr>
                      <m:t>F</m:t>
                    </m:r>
                  </m:e>
                  <m:sub>
                    <m:r>
                      <m:rPr>
                        <m:sty m:val="bi"/>
                      </m:rPr>
                      <w:rPr>
                        <w:rFonts w:ascii="Cambria Math" w:hAnsi="Cambria Math" w:cstheme="minorHAnsi"/>
                        <w:color w:val="0D0D0D" w:themeColor="text1" w:themeTint="F2"/>
                        <w:sz w:val="22"/>
                        <w:szCs w:val="22"/>
                      </w:rPr>
                      <m:t>it</m:t>
                    </m:r>
                  </m:sub>
                </m:sSub>
                <m:r>
                  <m:rPr>
                    <m:sty m:val="bi"/>
                  </m:rPr>
                  <w:rPr>
                    <w:rFonts w:ascii="Cambria Math" w:hAnsi="Cambria Math" w:cstheme="minorHAnsi"/>
                    <w:color w:val="0D0D0D" w:themeColor="text1" w:themeTint="F2"/>
                    <w:sz w:val="22"/>
                    <w:szCs w:val="22"/>
                  </w:rPr>
                  <m:t>=</m:t>
                </m:r>
                <m:d>
                  <m:dPr>
                    <m:ctrlPr>
                      <w:rPr>
                        <w:rFonts w:ascii="Cambria Math" w:hAnsi="Cambria Math" w:cstheme="minorHAnsi"/>
                        <w:b w:val="0"/>
                        <w:i/>
                        <w:color w:val="0D0D0D" w:themeColor="text1" w:themeTint="F2"/>
                        <w:sz w:val="22"/>
                        <w:szCs w:val="22"/>
                      </w:rPr>
                    </m:ctrlPr>
                  </m:dPr>
                  <m:e>
                    <m:f>
                      <m:fPr>
                        <m:ctrlPr>
                          <w:rPr>
                            <w:rFonts w:ascii="Cambria Math" w:hAnsi="Cambria Math" w:cstheme="minorHAnsi"/>
                            <w:b w:val="0"/>
                            <w:i/>
                            <w:color w:val="0D0D0D" w:themeColor="text1" w:themeTint="F2"/>
                            <w:sz w:val="22"/>
                            <w:szCs w:val="22"/>
                          </w:rPr>
                        </m:ctrlPr>
                      </m:fPr>
                      <m:num>
                        <m:sSub>
                          <m:sSubPr>
                            <m:ctrlPr>
                              <w:rPr>
                                <w:rFonts w:ascii="Cambria Math" w:hAnsi="Cambria Math" w:cstheme="minorHAnsi"/>
                                <w:b w:val="0"/>
                                <w:i/>
                                <w:color w:val="0D0D0D" w:themeColor="text1" w:themeTint="F2"/>
                                <w:sz w:val="22"/>
                                <w:szCs w:val="22"/>
                              </w:rPr>
                            </m:ctrlPr>
                          </m:sSubPr>
                          <m:e>
                            <m:r>
                              <m:rPr>
                                <m:sty m:val="bi"/>
                              </m:rPr>
                              <w:rPr>
                                <w:rFonts w:ascii="Cambria Math" w:hAnsi="Cambria Math" w:cstheme="minorHAnsi"/>
                                <w:color w:val="0D0D0D" w:themeColor="text1" w:themeTint="F2"/>
                                <w:sz w:val="22"/>
                                <w:szCs w:val="22"/>
                              </w:rPr>
                              <m:t>FC</m:t>
                            </m:r>
                          </m:e>
                          <m:sub>
                            <m:r>
                              <m:rPr>
                                <m:sty m:val="bi"/>
                              </m:rPr>
                              <w:rPr>
                                <w:rFonts w:ascii="Cambria Math" w:hAnsi="Cambria Math" w:cstheme="minorHAnsi"/>
                                <w:color w:val="0D0D0D" w:themeColor="text1" w:themeTint="F2"/>
                                <w:sz w:val="22"/>
                                <w:szCs w:val="22"/>
                              </w:rPr>
                              <m:t>it-1</m:t>
                            </m:r>
                          </m:sub>
                        </m:sSub>
                        <m:r>
                          <m:rPr>
                            <m:sty m:val="bi"/>
                          </m:rPr>
                          <w:rPr>
                            <w:rFonts w:ascii="Cambria Math" w:hAnsi="Cambria Math" w:cstheme="minorHAnsi"/>
                            <w:color w:val="0D0D0D" w:themeColor="text1" w:themeTint="F2"/>
                            <w:sz w:val="22"/>
                            <w:szCs w:val="22"/>
                          </w:rPr>
                          <m:t>-</m:t>
                        </m:r>
                        <m:sSub>
                          <m:sSubPr>
                            <m:ctrlPr>
                              <w:rPr>
                                <w:rFonts w:ascii="Cambria Math" w:hAnsi="Cambria Math" w:cstheme="minorHAnsi"/>
                                <w:b w:val="0"/>
                                <w:i/>
                                <w:color w:val="0D0D0D" w:themeColor="text1" w:themeTint="F2"/>
                                <w:sz w:val="22"/>
                                <w:szCs w:val="22"/>
                              </w:rPr>
                            </m:ctrlPr>
                          </m:sSubPr>
                          <m:e>
                            <m:r>
                              <m:rPr>
                                <m:sty m:val="bi"/>
                              </m:rPr>
                              <w:rPr>
                                <w:rFonts w:ascii="Cambria Math" w:hAnsi="Cambria Math" w:cstheme="minorHAnsi"/>
                                <w:color w:val="0D0D0D" w:themeColor="text1" w:themeTint="F2"/>
                                <w:sz w:val="22"/>
                                <w:szCs w:val="22"/>
                              </w:rPr>
                              <m:t>FC</m:t>
                            </m:r>
                          </m:e>
                          <m:sub>
                            <m:r>
                              <m:rPr>
                                <m:sty m:val="bi"/>
                              </m:rPr>
                              <w:rPr>
                                <w:rFonts w:ascii="Cambria Math" w:hAnsi="Cambria Math" w:cstheme="minorHAnsi"/>
                                <w:color w:val="0D0D0D" w:themeColor="text1" w:themeTint="F2"/>
                                <w:sz w:val="22"/>
                                <w:szCs w:val="22"/>
                              </w:rPr>
                              <m:t>it</m:t>
                            </m:r>
                          </m:sub>
                        </m:sSub>
                      </m:num>
                      <m:den>
                        <m:sSub>
                          <m:sSubPr>
                            <m:ctrlPr>
                              <w:rPr>
                                <w:rFonts w:ascii="Cambria Math" w:hAnsi="Cambria Math" w:cstheme="minorHAnsi"/>
                                <w:b w:val="0"/>
                                <w:i/>
                                <w:color w:val="0D0D0D" w:themeColor="text1" w:themeTint="F2"/>
                                <w:sz w:val="22"/>
                                <w:szCs w:val="22"/>
                              </w:rPr>
                            </m:ctrlPr>
                          </m:sSubPr>
                          <m:e>
                            <m:r>
                              <m:rPr>
                                <m:sty m:val="bi"/>
                              </m:rPr>
                              <w:rPr>
                                <w:rFonts w:ascii="Cambria Math" w:hAnsi="Cambria Math" w:cstheme="minorHAnsi"/>
                                <w:color w:val="0D0D0D" w:themeColor="text1" w:themeTint="F2"/>
                                <w:sz w:val="22"/>
                                <w:szCs w:val="22"/>
                              </w:rPr>
                              <m:t>FC</m:t>
                            </m:r>
                          </m:e>
                          <m:sub>
                            <m:r>
                              <m:rPr>
                                <m:sty m:val="bi"/>
                              </m:rPr>
                              <w:rPr>
                                <w:rFonts w:ascii="Cambria Math" w:hAnsi="Cambria Math" w:cstheme="minorHAnsi"/>
                                <w:color w:val="0D0D0D" w:themeColor="text1" w:themeTint="F2"/>
                                <w:sz w:val="22"/>
                                <w:szCs w:val="22"/>
                              </w:rPr>
                              <m:t>it</m:t>
                            </m:r>
                          </m:sub>
                        </m:sSub>
                      </m:den>
                    </m:f>
                  </m:e>
                </m:d>
              </m:oMath>
            </m:oMathPara>
          </w:p>
        </w:tc>
        <w:tc>
          <w:tcPr>
            <w:tcW w:w="521" w:type="dxa"/>
            <w:vAlign w:val="center"/>
          </w:tcPr>
          <w:p w14:paraId="4D63E8DA" w14:textId="77777777" w:rsidR="004C2EEB" w:rsidRPr="00870330" w:rsidRDefault="004C2EEB" w:rsidP="00A05921">
            <w:pPr>
              <w:spacing w:line="259" w:lineRule="auto"/>
              <w:jc w:val="center"/>
              <w:rPr>
                <w:rFonts w:cstheme="minorHAnsi"/>
                <w:color w:val="0D0D0D" w:themeColor="text1" w:themeTint="F2"/>
              </w:rPr>
            </w:pPr>
            <w:r w:rsidRPr="00870330">
              <w:rPr>
                <w:rFonts w:cstheme="minorHAnsi"/>
                <w:color w:val="0D0D0D" w:themeColor="text1" w:themeTint="F2"/>
              </w:rPr>
              <w:t>(3)</w:t>
            </w:r>
          </w:p>
        </w:tc>
      </w:tr>
    </w:tbl>
    <w:p w14:paraId="4771446A" w14:textId="77777777" w:rsidR="00867EB2" w:rsidRPr="00870330" w:rsidRDefault="00867EB2" w:rsidP="003653B8">
      <w:pPr>
        <w:pStyle w:val="NormalafterHeading"/>
        <w:spacing w:line="259" w:lineRule="auto"/>
        <w:rPr>
          <w:rFonts w:asciiTheme="minorHAnsi" w:hAnsiTheme="minorHAnsi" w:cstheme="minorHAnsi"/>
          <w:b/>
          <w:color w:val="0D0D0D" w:themeColor="text1" w:themeTint="F2"/>
          <w:lang w:val="en-US"/>
        </w:rPr>
      </w:pPr>
    </w:p>
    <w:p w14:paraId="7545BF7A" w14:textId="50995531" w:rsidR="004C2EEB" w:rsidRPr="00870330" w:rsidRDefault="0034716A" w:rsidP="003653B8">
      <w:pPr>
        <w:pStyle w:val="NormalafterHeading"/>
        <w:spacing w:line="259" w:lineRule="auto"/>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P</w:t>
      </w:r>
      <w:r w:rsidR="004C2EEB" w:rsidRPr="00870330">
        <w:rPr>
          <w:rFonts w:asciiTheme="minorHAnsi" w:hAnsiTheme="minorHAnsi" w:cstheme="minorHAnsi"/>
          <w:color w:val="0D0D0D" w:themeColor="text1" w:themeTint="F2"/>
        </w:rPr>
        <w:t xml:space="preserve">er capita income was measured according to the per capita Gross Domestic Product (GDP) value at constant prices in 2015, following previous studies </w:t>
      </w:r>
      <w:r w:rsidR="00246BA6" w:rsidRPr="00870330">
        <w:rPr>
          <w:rFonts w:asciiTheme="minorHAnsi" w:hAnsiTheme="minorHAnsi" w:cstheme="minorHAnsi"/>
          <w:noProof/>
          <w:color w:val="0D0D0D"/>
        </w:rPr>
        <w:fldChar w:fldCharType="begin" w:fldLock="1"/>
      </w:r>
      <w:r w:rsidR="00246BA6" w:rsidRPr="00870330">
        <w:rPr>
          <w:rFonts w:asciiTheme="minorHAnsi" w:hAnsiTheme="minorHAnsi" w:cstheme="minorHAnsi"/>
          <w:noProof/>
          <w:color w:val="0D0D0D"/>
        </w:rPr>
        <w:instrText>ADDIN CSL_CITATION {"citationItems":[{"id":"ITEM-1","itemData":{"DOI":"10.1016/j.forpol.2021.102488","ISSN":"13899341","abstract":"Deforestation is a significant environmental problem, contributing to biodiversity loss, land degradation, soil erosion, and climate change. During the past half-century, the continent of Africa has suffered massive losses of forested areas due to the changing structure of economies, increasing population, and expanding globalization. This research examines statistical evidence for the Environmental Kuznets Curve (EKC) hypothesis as applied to deforestation occurring within Africa from 1990 to 2016. Changes in forest cover data are explained with Generalized Method of Moments (GMM) estimators to overcome the endogeneity problems arising from reverse causality. The empirical results of Panel GMM confirm the EKC hypothesis is valid for deforestation in Africa with a turning point estimated to be US $3000. Heterogenous panel non-causality findings suggest that Africa could deter and reverse deforestation through appropriate land-use and forest products trade policies, and the consequences of these policies would not impact their economic growth.","author":[{"dropping-particle":"","family":"Ajanaku","given":"B. A.","non-dropping-particle":"","parse-names":false,"suffix":""},{"dropping-particle":"","family":"Collins","given":"A. R.","non-dropping-particle":"","parse-names":false,"suffix":""}],"container-title":"Forest Policy and Economics","id":"ITEM-1","issue":"May","issued":{"date-parts":[["2021"]]},"page":"102488","publisher":"Elsevier B.V.","title":"Economic growth and deforestation in African countries: Is the environmental Kuznets curve hypothesis applicable?","type":"article-journal","volume":"129"},"uris":["http://www.mendeley.com/documents/?uuid=24f622ed-0f79-4f00-9fba-56f4aa51ea86"]}],"mendeley":{"formattedCitation":"(Ajanaku &amp; Collins, 2021)","manualFormatting":"(Ajanaku &amp; Collins, 2021","plainTextFormattedCitation":"(Ajanaku &amp; Collins, 2021)","previouslyFormattedCitation":"(Ajanaku &amp; Collins, 2021)"},"properties":{"noteIndex":0},"schema":"https://github.com/citation-style-language/schema/raw/master/csl-citation.json"}</w:instrText>
      </w:r>
      <w:r w:rsidR="00246BA6" w:rsidRPr="00870330">
        <w:rPr>
          <w:rFonts w:asciiTheme="minorHAnsi" w:hAnsiTheme="minorHAnsi" w:cstheme="minorHAnsi"/>
          <w:noProof/>
          <w:color w:val="0D0D0D"/>
        </w:rPr>
        <w:fldChar w:fldCharType="separate"/>
      </w:r>
      <w:r w:rsidR="00246BA6" w:rsidRPr="00870330">
        <w:rPr>
          <w:rFonts w:asciiTheme="minorHAnsi" w:hAnsiTheme="minorHAnsi" w:cstheme="minorHAnsi"/>
          <w:noProof/>
          <w:color w:val="0D0D0D"/>
        </w:rPr>
        <w:t>(Ajanaku &amp; Collins, 2021</w:t>
      </w:r>
      <w:r w:rsidR="00246BA6" w:rsidRPr="00870330">
        <w:rPr>
          <w:rFonts w:asciiTheme="minorHAnsi" w:hAnsiTheme="minorHAnsi" w:cstheme="minorHAnsi"/>
          <w:noProof/>
          <w:color w:val="0D0D0D"/>
        </w:rPr>
        <w:fldChar w:fldCharType="end"/>
      </w:r>
      <w:r w:rsidR="00246BA6" w:rsidRPr="00870330">
        <w:rPr>
          <w:rFonts w:asciiTheme="minorHAnsi" w:hAnsiTheme="minorHAnsi" w:cstheme="minorHAnsi"/>
          <w:noProof/>
          <w:color w:val="0D0D0D"/>
        </w:rPr>
        <w:t xml:space="preserve">; </w:t>
      </w:r>
      <w:r w:rsidR="00246BA6" w:rsidRPr="00870330">
        <w:rPr>
          <w:rFonts w:asciiTheme="minorHAnsi" w:hAnsiTheme="minorHAnsi" w:cstheme="minorHAnsi"/>
          <w:noProof/>
          <w:color w:val="0D0D0D"/>
        </w:rPr>
        <w:fldChar w:fldCharType="begin" w:fldLock="1"/>
      </w:r>
      <w:r w:rsidR="00246BA6" w:rsidRPr="00870330">
        <w:rPr>
          <w:rFonts w:asciiTheme="minorHAnsi" w:hAnsiTheme="minorHAnsi" w:cstheme="minorHAnsi"/>
          <w:noProof/>
          <w:color w:val="0D0D0D"/>
        </w:rPr>
        <w:instrText>ADDIN CSL_CITATION {"citationItems":[{"id":"ITEM-1","itemData":{"DOI":"10.1016/j.forpol.2020.102282","ISSN":"13899341","abstract":"This paper investigates an unresolved question in environmental economics: An Environmental Kuznets Curve for deforestation (EKCd). It relies on a 55 year panel of forest cover data reconstructed from the periodic national forest inventories of 114 countries clustered in low, middle, and high income groups—as defined by the World Bank—and examines these clusters within both static and dynamic frameworks. The results are supportive of the inverse U-shaped EKC for deforestation. For low income countries strong effort will be required to avoid further increases in forest loss as these countries develop. Middle income countries, the largest cluster under investigation, display the classic bell-shaped EKCd with the turning point for a decreasing rate of deforestation at US$ 3,790. Deforestation continues thereafter, only at a lower rate until, eventually, for high income countries these rates become negative and these economies begin to show absolute gains in total forest cover. While the combined results from the three clusters confirm the existence of an EKCd, its relatively elevated turning point and the even higher level of development at which forests begin to increase and recover, raise important concern, but also opportunity, for the modern policies and management addressing global forest cover—doubts and opportunities on which the conclusion to this paper reflects further.","author":[{"dropping-particle":"","family":"Caravaggio","given":"Nicola","non-dropping-particle":"","parse-names":false,"suffix":""}],"container-title":"Forest Policy and Economics","id":"ITEM-1","issue":"September","issued":{"date-parts":[["2020"]]},"page":"102282","publisher":"Elsevier","title":"A global empirical re-assessment of the Environmental Kuznets curve for deforestation","type":"article-journal","volume":"119"},"uris":["http://www.mendeley.com/documents/?uuid=3d5671aa-174b-4b6d-82ae-04c659ffae5f"]}],"mendeley":{"formattedCitation":"(Caravaggio, 2020)","manualFormatting":"Caravaggio, 2020)","plainTextFormattedCitation":"(Caravaggio, 2020)","previouslyFormattedCitation":"(Caravaggio, 2020)"},"properties":{"noteIndex":0},"schema":"https://github.com/citation-style-language/schema/raw/master/csl-citation.json"}</w:instrText>
      </w:r>
      <w:r w:rsidR="00246BA6" w:rsidRPr="00870330">
        <w:rPr>
          <w:rFonts w:asciiTheme="minorHAnsi" w:hAnsiTheme="minorHAnsi" w:cstheme="minorHAnsi"/>
          <w:noProof/>
          <w:color w:val="0D0D0D"/>
        </w:rPr>
        <w:fldChar w:fldCharType="separate"/>
      </w:r>
      <w:r w:rsidR="00246BA6" w:rsidRPr="00870330">
        <w:rPr>
          <w:rFonts w:asciiTheme="minorHAnsi" w:hAnsiTheme="minorHAnsi" w:cstheme="minorHAnsi"/>
          <w:noProof/>
          <w:color w:val="0D0D0D"/>
        </w:rPr>
        <w:t>Caravaggio, 2020)</w:t>
      </w:r>
      <w:r w:rsidR="00246BA6" w:rsidRPr="00870330">
        <w:rPr>
          <w:rFonts w:asciiTheme="minorHAnsi" w:hAnsiTheme="minorHAnsi" w:cstheme="minorHAnsi"/>
          <w:noProof/>
          <w:color w:val="0D0D0D"/>
        </w:rPr>
        <w:fldChar w:fldCharType="end"/>
      </w:r>
      <w:r w:rsidR="00246BA6" w:rsidRPr="00870330">
        <w:rPr>
          <w:rFonts w:asciiTheme="minorHAnsi" w:hAnsiTheme="minorHAnsi" w:cstheme="minorHAnsi"/>
          <w:noProof/>
          <w:color w:val="0D0D0D"/>
        </w:rPr>
        <w:t xml:space="preserve">. </w:t>
      </w:r>
      <w:r w:rsidR="004C2EEB" w:rsidRPr="00870330">
        <w:rPr>
          <w:rFonts w:asciiTheme="minorHAnsi" w:hAnsiTheme="minorHAnsi" w:cstheme="minorHAnsi"/>
          <w:color w:val="0D0D0D" w:themeColor="text1" w:themeTint="F2"/>
        </w:rPr>
        <w:t xml:space="preserve">The quadratic variable of per capita GDP was established to test the EKC hypothesis. The GDP coefficient is expected to be positive, while the GDP2 coefficient is </w:t>
      </w:r>
      <w:r w:rsidRPr="00870330">
        <w:rPr>
          <w:rFonts w:asciiTheme="minorHAnsi" w:hAnsiTheme="minorHAnsi" w:cstheme="minorHAnsi"/>
          <w:color w:val="0D0D0D" w:themeColor="text1" w:themeTint="F2"/>
        </w:rPr>
        <w:t>supposed</w:t>
      </w:r>
      <w:r w:rsidR="004C2EEB" w:rsidRPr="00870330">
        <w:rPr>
          <w:rFonts w:asciiTheme="minorHAnsi" w:hAnsiTheme="minorHAnsi" w:cstheme="minorHAnsi"/>
          <w:color w:val="0D0D0D" w:themeColor="text1" w:themeTint="F2"/>
        </w:rPr>
        <w:t xml:space="preserve"> to be negative, so the </w:t>
      </w:r>
      <w:r w:rsidR="00FE1842" w:rsidRPr="00870330">
        <w:rPr>
          <w:rFonts w:asciiTheme="minorHAnsi" w:hAnsiTheme="minorHAnsi" w:cstheme="minorHAnsi"/>
          <w:color w:val="0D0D0D" w:themeColor="text1" w:themeTint="F2"/>
        </w:rPr>
        <w:t>link</w:t>
      </w:r>
      <w:r w:rsidR="004C2EEB" w:rsidRPr="00870330">
        <w:rPr>
          <w:rFonts w:asciiTheme="minorHAnsi" w:hAnsiTheme="minorHAnsi" w:cstheme="minorHAnsi"/>
          <w:color w:val="0D0D0D" w:themeColor="text1" w:themeTint="F2"/>
        </w:rPr>
        <w:t xml:space="preserve"> between per capita GDP and deforestation follows the inverted-U curve</w:t>
      </w:r>
      <w:r w:rsidR="005B15B3" w:rsidRPr="00870330">
        <w:rPr>
          <w:rFonts w:asciiTheme="minorHAnsi" w:hAnsiTheme="minorHAnsi" w:cstheme="minorHAnsi"/>
          <w:color w:val="0D0D0D" w:themeColor="text1" w:themeTint="F2"/>
        </w:rPr>
        <w:t>,</w:t>
      </w:r>
      <w:r w:rsidR="004C2EEB" w:rsidRPr="00870330">
        <w:rPr>
          <w:rFonts w:asciiTheme="minorHAnsi" w:hAnsiTheme="minorHAnsi" w:cstheme="minorHAnsi"/>
          <w:color w:val="0D0D0D" w:themeColor="text1" w:themeTint="F2"/>
        </w:rPr>
        <w:t xml:space="preserve"> </w:t>
      </w:r>
      <w:r w:rsidR="005B15B3" w:rsidRPr="00870330">
        <w:rPr>
          <w:rFonts w:asciiTheme="minorHAnsi" w:hAnsiTheme="minorHAnsi" w:cstheme="minorHAnsi"/>
          <w:color w:val="0D0D0D" w:themeColor="text1" w:themeTint="F2"/>
        </w:rPr>
        <w:t>which</w:t>
      </w:r>
      <w:r w:rsidR="004C2EEB" w:rsidRPr="00870330">
        <w:rPr>
          <w:rFonts w:asciiTheme="minorHAnsi" w:hAnsiTheme="minorHAnsi" w:cstheme="minorHAnsi"/>
          <w:color w:val="0D0D0D" w:themeColor="text1" w:themeTint="F2"/>
        </w:rPr>
        <w:t xml:space="preserve"> supports the EKC hypothesis.</w:t>
      </w:r>
      <w:r w:rsidR="00867EB2" w:rsidRPr="00870330">
        <w:rPr>
          <w:rFonts w:asciiTheme="minorHAnsi" w:hAnsiTheme="minorHAnsi" w:cstheme="minorHAnsi"/>
          <w:color w:val="0D0D0D" w:themeColor="text1" w:themeTint="F2"/>
          <w:lang w:val="en-US"/>
        </w:rPr>
        <w:t xml:space="preserve"> </w:t>
      </w:r>
      <w:r w:rsidR="00867EB2" w:rsidRPr="00870330">
        <w:rPr>
          <w:rFonts w:asciiTheme="minorHAnsi" w:hAnsiTheme="minorHAnsi" w:cstheme="minorHAnsi"/>
          <w:color w:val="0D0D0D" w:themeColor="text1" w:themeTint="F2"/>
        </w:rPr>
        <w:t>T</w:t>
      </w:r>
      <w:r w:rsidR="004C2EEB" w:rsidRPr="00870330">
        <w:rPr>
          <w:rFonts w:asciiTheme="minorHAnsi" w:hAnsiTheme="minorHAnsi" w:cstheme="minorHAnsi"/>
          <w:color w:val="0D0D0D" w:themeColor="text1" w:themeTint="F2"/>
        </w:rPr>
        <w:t>rade openness was measured using the ratio between total tr</w:t>
      </w:r>
      <w:r w:rsidRPr="00870330">
        <w:rPr>
          <w:rFonts w:asciiTheme="minorHAnsi" w:hAnsiTheme="minorHAnsi" w:cstheme="minorHAnsi"/>
          <w:color w:val="0D0D0D" w:themeColor="text1" w:themeTint="F2"/>
        </w:rPr>
        <w:t>ade (e</w:t>
      </w:r>
      <w:r w:rsidR="003824E2" w:rsidRPr="00870330">
        <w:rPr>
          <w:rFonts w:asciiTheme="minorHAnsi" w:hAnsiTheme="minorHAnsi" w:cstheme="minorHAnsi"/>
          <w:color w:val="0D0D0D" w:themeColor="text1" w:themeTint="F2"/>
        </w:rPr>
        <w:t>xports +</w:t>
      </w:r>
      <w:r w:rsidR="00213326" w:rsidRPr="00870330">
        <w:rPr>
          <w:rFonts w:asciiTheme="minorHAnsi" w:hAnsiTheme="minorHAnsi" w:cstheme="minorHAnsi"/>
          <w:color w:val="0D0D0D" w:themeColor="text1" w:themeTint="F2"/>
        </w:rPr>
        <w:t xml:space="preserve"> imports) and GDP. </w:t>
      </w:r>
      <w:r w:rsidR="004C2EEB" w:rsidRPr="00870330">
        <w:rPr>
          <w:rFonts w:asciiTheme="minorHAnsi" w:hAnsiTheme="minorHAnsi" w:cstheme="minorHAnsi"/>
          <w:color w:val="0D0D0D" w:themeColor="text1" w:themeTint="F2"/>
        </w:rPr>
        <w:t xml:space="preserve">Trade openness is categorized as the underlying factor of deforestation. The empirical findings of </w:t>
      </w:r>
      <w:r w:rsidR="00246BA6" w:rsidRPr="00870330">
        <w:rPr>
          <w:rFonts w:asciiTheme="minorHAnsi" w:hAnsiTheme="minorHAnsi" w:cstheme="minorHAnsi"/>
          <w:noProof/>
          <w:color w:val="0D0D0D"/>
        </w:rPr>
        <w:fldChar w:fldCharType="begin" w:fldLock="1"/>
      </w:r>
      <w:r w:rsidR="00246BA6" w:rsidRPr="00870330">
        <w:rPr>
          <w:rFonts w:asciiTheme="minorHAnsi" w:hAnsiTheme="minorHAnsi" w:cstheme="minorHAnsi"/>
          <w:noProof/>
          <w:color w:val="0D0D0D"/>
        </w:rPr>
        <w:instrText>ADDIN CSL_CITATION {"citationItems":[{"id":"ITEM-1","itemData":{"DOI":"10.1016/j.ecolecon.2015.11.014","ISSN":"09218009","abstract":"One of the objectives of this paper is to investigate how international trade has affected the dynamics of deforestation in the Brazilian Amazon at the level of the municipality. This analysis focuses on the expansion of crop and cattle activities, and other determinants of deforestation such as GDP per capita, conservation areas and property rights. We combine standard econometrics with spatial econometrics to capture the socioeconomic interactions among the agents in their interrelated economic system. The data used in this study correspond to a balanced panel of 732 municipalities from 2000 to 2010. The main findings suggest that as openness to trade in the Amazon increases, deforestation also increases. We also find that it is the production of soybeans and beef cattle that drives deforestation in the region. The property rights indicator also has a significant impact in deforestation. Moreover, as the GDP per capita goes up, deforestation increases. The conservation areas have a negative impact on deforestation.","author":[{"dropping-particle":"","family":"Faria","given":"Weslem Rodrigues","non-dropping-particle":"","parse-names":false,"suffix":""},{"dropping-particle":"","family":"Almeida","given":"Alexandre Nunes","non-dropping-particle":"","parse-names":false,"suffix":""}],"container-title":"Ecological Economics","id":"ITEM-1","issued":{"date-parts":[["2016"]]},"page":"85-97","publisher":"Elsevier B.V.","title":"Relationship between openness to trade and deforestation: Empirical evidence from the Brazilian Amazon","type":"article-journal","volume":"121"},"uris":["http://www.mendeley.com/documents/?uuid=f058c9b5-5fe2-41de-a4fd-d08f0676433c"]}],"mendeley":{"formattedCitation":"(Faria &amp; Almeida, 2016)","manualFormatting":"Faria &amp; Almeida (2016)","plainTextFormattedCitation":"(Faria &amp; Almeida, 2016)","previouslyFormattedCitation":"(Faria &amp; Almeida, 2016)"},"properties":{"noteIndex":0},"schema":"https://github.com/citation-style-language/schema/raw/master/csl-citation.json"}</w:instrText>
      </w:r>
      <w:r w:rsidR="00246BA6" w:rsidRPr="00870330">
        <w:rPr>
          <w:rFonts w:asciiTheme="minorHAnsi" w:hAnsiTheme="minorHAnsi" w:cstheme="minorHAnsi"/>
          <w:noProof/>
          <w:color w:val="0D0D0D"/>
        </w:rPr>
        <w:fldChar w:fldCharType="separate"/>
      </w:r>
      <w:r w:rsidR="00246BA6" w:rsidRPr="00870330">
        <w:rPr>
          <w:rFonts w:asciiTheme="minorHAnsi" w:hAnsiTheme="minorHAnsi" w:cstheme="minorHAnsi"/>
          <w:noProof/>
          <w:color w:val="0D0D0D"/>
        </w:rPr>
        <w:t>Faria &amp; Almeida (2016)</w:t>
      </w:r>
      <w:r w:rsidR="00246BA6" w:rsidRPr="00870330">
        <w:rPr>
          <w:rFonts w:asciiTheme="minorHAnsi" w:hAnsiTheme="minorHAnsi" w:cstheme="minorHAnsi"/>
          <w:noProof/>
          <w:color w:val="0D0D0D"/>
        </w:rPr>
        <w:fldChar w:fldCharType="end"/>
      </w:r>
      <w:r w:rsidR="0064654C" w:rsidRPr="00870330">
        <w:rPr>
          <w:rFonts w:asciiTheme="minorHAnsi" w:hAnsiTheme="minorHAnsi" w:cstheme="minorHAnsi"/>
          <w:noProof/>
          <w:color w:val="0D0D0D"/>
        </w:rPr>
        <w:t xml:space="preserve"> and</w:t>
      </w:r>
      <w:r w:rsidR="00246BA6" w:rsidRPr="00870330">
        <w:rPr>
          <w:rFonts w:asciiTheme="minorHAnsi" w:hAnsiTheme="minorHAnsi" w:cstheme="minorHAnsi"/>
          <w:noProof/>
          <w:color w:val="0D0D0D"/>
        </w:rPr>
        <w:t xml:space="preserve"> </w:t>
      </w:r>
      <w:r w:rsidR="00246BA6" w:rsidRPr="00870330">
        <w:rPr>
          <w:rFonts w:asciiTheme="minorHAnsi" w:hAnsiTheme="minorHAnsi" w:cstheme="minorHAnsi"/>
          <w:noProof/>
          <w:color w:val="0D0D0D"/>
        </w:rPr>
        <w:fldChar w:fldCharType="begin" w:fldLock="1"/>
      </w:r>
      <w:r w:rsidR="00246BA6" w:rsidRPr="00870330">
        <w:rPr>
          <w:rFonts w:asciiTheme="minorHAnsi" w:hAnsiTheme="minorHAnsi" w:cstheme="minorHAnsi"/>
          <w:noProof/>
          <w:color w:val="0D0D0D"/>
        </w:rPr>
        <w:instrText>ADDIN CSL_CITATION {"citationItems":[{"id":"ITEM-1","itemData":{"DOI":"10.29259/jep.v19i2.15530","ISSN":"1829-5843","abstract":"Forests are unique resources and environments because, in general, they provide many benefits. Changing the function of forest areas to other functions is inseparable from economic development. As a developing country, Indonesia's economy is still dependent on natural resources to support its development. Economic integration through trade openness plays a vital role in economic growth. Policies that enhance the country's ability to trade will help the economy to develop. The more open the trade regime will make the country specialize in semi-finished input products, its competitive advantage. However, economic integration also creates negative externalities in the form of increased deforestation. This study explores the effect of trade openness on deforestation using a panel data method in 20 provinces in Indonesia from 2008-2018. Not many studies have focused on trade openness, large plantations, and social interactions as the driving forces behind deforestation in Indonesia. From the estimation results of the model, it is known that trade openness, economic growth, and activities of logging and forest conversion each contribute to changes in forest cover. If the commodity price rises, it will impact decreasing forest cover. Also, increasing population and density have decreased forest cover because land outside the forest area is limited.","author":[{"dropping-particle":"","family":"Kustanto","given":"Andi","non-dropping-particle":"","parse-names":false,"suffix":""}],"container-title":"Jurnal Ekonomi Pembangunan","id":"ITEM-1","issue":"2","issued":{"date-parts":[["2022"]]},"page":"165-182","title":"Does Trade Openness Cause Deforestation? A Case Study from Indonesia","type":"article-journal","volume":"19"},"uris":["http://www.mendeley.com/documents/?uuid=f6005a0f-f5c9-4b79-a6d4-36cf2917f84b"]}],"mendeley":{"formattedCitation":"(Kustanto, 2022)","manualFormatting":"Kustanto (2022)","plainTextFormattedCitation":"(Kustanto, 2022)","previouslyFormattedCitation":"(Kustanto, 2022)"},"properties":{"noteIndex":0},"schema":"https://github.com/citation-style-language/schema/raw/master/csl-citation.json"}</w:instrText>
      </w:r>
      <w:r w:rsidR="00246BA6" w:rsidRPr="00870330">
        <w:rPr>
          <w:rFonts w:asciiTheme="minorHAnsi" w:hAnsiTheme="minorHAnsi" w:cstheme="minorHAnsi"/>
          <w:noProof/>
          <w:color w:val="0D0D0D"/>
        </w:rPr>
        <w:fldChar w:fldCharType="separate"/>
      </w:r>
      <w:r w:rsidR="00246BA6" w:rsidRPr="00870330">
        <w:rPr>
          <w:rFonts w:asciiTheme="minorHAnsi" w:hAnsiTheme="minorHAnsi" w:cstheme="minorHAnsi"/>
          <w:noProof/>
          <w:color w:val="0D0D0D"/>
        </w:rPr>
        <w:t>Kustanto (2022)</w:t>
      </w:r>
      <w:r w:rsidR="00246BA6" w:rsidRPr="00870330">
        <w:rPr>
          <w:rFonts w:asciiTheme="minorHAnsi" w:hAnsiTheme="minorHAnsi" w:cstheme="minorHAnsi"/>
          <w:noProof/>
          <w:color w:val="0D0D0D"/>
        </w:rPr>
        <w:fldChar w:fldCharType="end"/>
      </w:r>
      <w:r w:rsidR="0064654C" w:rsidRPr="00870330">
        <w:rPr>
          <w:rFonts w:asciiTheme="minorHAnsi" w:hAnsiTheme="minorHAnsi" w:cstheme="minorHAnsi"/>
          <w:noProof/>
          <w:color w:val="0D0D0D"/>
        </w:rPr>
        <w:t xml:space="preserve"> </w:t>
      </w:r>
      <w:r w:rsidR="004C2EEB" w:rsidRPr="00870330">
        <w:rPr>
          <w:rFonts w:asciiTheme="minorHAnsi" w:hAnsiTheme="minorHAnsi" w:cstheme="minorHAnsi"/>
          <w:color w:val="0D0D0D" w:themeColor="text1" w:themeTint="F2"/>
        </w:rPr>
        <w:t xml:space="preserve">confirm </w:t>
      </w:r>
      <w:r w:rsidR="0064654C" w:rsidRPr="00870330">
        <w:rPr>
          <w:rFonts w:asciiTheme="minorHAnsi" w:hAnsiTheme="minorHAnsi" w:cstheme="minorHAnsi"/>
          <w:color w:val="0D0D0D" w:themeColor="text1" w:themeTint="F2"/>
        </w:rPr>
        <w:t>that trade openness and globaliz</w:t>
      </w:r>
      <w:r w:rsidR="004C2EEB" w:rsidRPr="00870330">
        <w:rPr>
          <w:rFonts w:asciiTheme="minorHAnsi" w:hAnsiTheme="minorHAnsi" w:cstheme="minorHAnsi"/>
          <w:color w:val="0D0D0D" w:themeColor="text1" w:themeTint="F2"/>
        </w:rPr>
        <w:t xml:space="preserve">ation are </w:t>
      </w:r>
      <w:r w:rsidR="004A225C" w:rsidRPr="00870330">
        <w:rPr>
          <w:rFonts w:asciiTheme="minorHAnsi" w:hAnsiTheme="minorHAnsi" w:cstheme="minorHAnsi"/>
          <w:color w:val="0D0D0D" w:themeColor="text1" w:themeTint="F2"/>
        </w:rPr>
        <w:t xml:space="preserve">the </w:t>
      </w:r>
      <w:r w:rsidR="0064654C" w:rsidRPr="00870330">
        <w:rPr>
          <w:rFonts w:asciiTheme="minorHAnsi" w:hAnsiTheme="minorHAnsi" w:cstheme="minorHAnsi"/>
          <w:color w:val="0D0D0D" w:themeColor="text1" w:themeTint="F2"/>
        </w:rPr>
        <w:t xml:space="preserve">top </w:t>
      </w:r>
      <w:r w:rsidR="004A225C" w:rsidRPr="00870330">
        <w:rPr>
          <w:rFonts w:asciiTheme="minorHAnsi" w:hAnsiTheme="minorHAnsi" w:cstheme="minorHAnsi"/>
          <w:color w:val="0D0D0D" w:themeColor="text1" w:themeTint="F2"/>
        </w:rPr>
        <w:t xml:space="preserve">drivers of deforestation in </w:t>
      </w:r>
      <w:r w:rsidR="005B15B3" w:rsidRPr="00870330">
        <w:rPr>
          <w:rFonts w:asciiTheme="minorHAnsi" w:hAnsiTheme="minorHAnsi" w:cstheme="minorHAnsi"/>
          <w:color w:val="0D0D0D" w:themeColor="text1" w:themeTint="F2"/>
        </w:rPr>
        <w:t xml:space="preserve">the </w:t>
      </w:r>
      <w:r w:rsidR="0064654C" w:rsidRPr="00870330">
        <w:rPr>
          <w:rFonts w:asciiTheme="minorHAnsi" w:hAnsiTheme="minorHAnsi" w:cstheme="minorHAnsi"/>
          <w:color w:val="0D0D0D" w:themeColor="text1" w:themeTint="F2"/>
        </w:rPr>
        <w:t>tropical forest.</w:t>
      </w:r>
    </w:p>
    <w:p w14:paraId="7C0E30C1" w14:textId="77777777" w:rsidR="00867EB2" w:rsidRPr="00870330" w:rsidRDefault="00867EB2" w:rsidP="003653B8">
      <w:pPr>
        <w:pStyle w:val="NormalafterHeading"/>
        <w:spacing w:line="259" w:lineRule="auto"/>
        <w:rPr>
          <w:rFonts w:asciiTheme="minorHAnsi" w:hAnsiTheme="minorHAnsi" w:cstheme="minorHAnsi"/>
          <w:color w:val="0D0D0D" w:themeColor="text1" w:themeTint="F2"/>
        </w:rPr>
      </w:pPr>
    </w:p>
    <w:p w14:paraId="290032F3" w14:textId="1E08A277" w:rsidR="004C2EEB" w:rsidRPr="00870330" w:rsidRDefault="004C2EEB" w:rsidP="003653B8">
      <w:pPr>
        <w:pStyle w:val="NormalafterHeading"/>
        <w:spacing w:line="259" w:lineRule="auto"/>
        <w:rPr>
          <w:rFonts w:asciiTheme="minorHAnsi" w:hAnsiTheme="minorHAnsi" w:cstheme="minorHAnsi"/>
          <w:color w:val="0D0D0D" w:themeColor="text1" w:themeTint="F2"/>
          <w:lang w:val="en-US"/>
        </w:rPr>
      </w:pPr>
      <w:r w:rsidRPr="00870330">
        <w:rPr>
          <w:rFonts w:asciiTheme="minorHAnsi" w:hAnsiTheme="minorHAnsi" w:cstheme="minorHAnsi"/>
          <w:color w:val="0D0D0D" w:themeColor="text1" w:themeTint="F2"/>
        </w:rPr>
        <w:t>In this research, governance is considered as a fundamental factor that prevents practices leading to forest de</w:t>
      </w:r>
      <w:r w:rsidR="00F21149" w:rsidRPr="00870330">
        <w:rPr>
          <w:rFonts w:asciiTheme="minorHAnsi" w:hAnsiTheme="minorHAnsi" w:cstheme="minorHAnsi"/>
          <w:color w:val="0D0D0D" w:themeColor="text1" w:themeTint="F2"/>
        </w:rPr>
        <w:t>pletion</w:t>
      </w:r>
      <w:r w:rsidRPr="00870330">
        <w:rPr>
          <w:rFonts w:asciiTheme="minorHAnsi" w:hAnsiTheme="minorHAnsi" w:cstheme="minorHAnsi"/>
          <w:color w:val="0D0D0D" w:themeColor="text1" w:themeTint="F2"/>
        </w:rPr>
        <w:t xml:space="preserve">. </w:t>
      </w:r>
      <w:r w:rsidR="00246BA6" w:rsidRPr="00870330">
        <w:rPr>
          <w:rFonts w:asciiTheme="minorHAnsi" w:hAnsiTheme="minorHAnsi" w:cstheme="minorHAnsi"/>
          <w:noProof/>
          <w:color w:val="0D0D0D"/>
        </w:rPr>
        <w:fldChar w:fldCharType="begin" w:fldLock="1"/>
      </w:r>
      <w:r w:rsidR="00246BA6" w:rsidRPr="00870330">
        <w:rPr>
          <w:rFonts w:asciiTheme="minorHAnsi" w:hAnsiTheme="minorHAnsi" w:cstheme="minorHAnsi"/>
          <w:noProof/>
          <w:color w:val="0D0D0D"/>
        </w:rPr>
        <w:instrText>ADDIN CSL_CITATION {"citationItems":[{"id":"ITEM-1","itemData":{"DOI":"10.1016/j.forpol.2021.102488","ISSN":"13899341","abstract":"Deforestation is a significant environmental problem, contributing to biodiversity loss, land degradation, soil erosion, and climate change. During the past half-century, the continent of Africa has suffered massive losses of forested areas due to the changing structure of economies, increasing population, and expanding globalization. This research examines statistical evidence for the Environmental Kuznets Curve (EKC) hypothesis as applied to deforestation occurring within Africa from 1990 to 2016. Changes in forest cover data are explained with Generalized Method of Moments (GMM) estimators to overcome the endogeneity problems arising from reverse causality. The empirical results of Panel GMM confirm the EKC hypothesis is valid for deforestation in Africa with a turning point estimated to be US $3000. Heterogenous panel non-causality findings suggest that Africa could deter and reverse deforestation through appropriate land-use and forest products trade policies, and the consequences of these policies would not impact their economic growth.","author":[{"dropping-particle":"","family":"Ajanaku","given":"B. A.","non-dropping-particle":"","parse-names":false,"suffix":""},{"dropping-particle":"","family":"Collins","given":"A. R.","non-dropping-particle":"","parse-names":false,"suffix":""}],"container-title":"Forest Policy and Economics","id":"ITEM-1","issue":"May","issued":{"date-parts":[["2021"]]},"page":"102488","publisher":"Elsevier B.V.","title":"Economic growth and deforestation in African countries: Is the environmental Kuznets curve hypothesis applicable?","type":"article-journal","volume":"129"},"uris":["http://www.mendeley.com/documents/?uuid=24f622ed-0f79-4f00-9fba-56f4aa51ea86"]}],"mendeley":{"formattedCitation":"(Ajanaku &amp; Collins, 2021)","manualFormatting":"Ajanaku &amp; Collins (2021","plainTextFormattedCitation":"(Ajanaku &amp; Collins, 2021)","previouslyFormattedCitation":"(Ajanaku &amp; Collins, 2021)"},"properties":{"noteIndex":0},"schema":"https://github.com/citation-style-language/schema/raw/master/csl-citation.json"}</w:instrText>
      </w:r>
      <w:r w:rsidR="00246BA6" w:rsidRPr="00870330">
        <w:rPr>
          <w:rFonts w:asciiTheme="minorHAnsi" w:hAnsiTheme="minorHAnsi" w:cstheme="minorHAnsi"/>
          <w:noProof/>
          <w:color w:val="0D0D0D"/>
        </w:rPr>
        <w:fldChar w:fldCharType="separate"/>
      </w:r>
      <w:r w:rsidR="00246BA6" w:rsidRPr="00870330">
        <w:rPr>
          <w:rFonts w:asciiTheme="minorHAnsi" w:hAnsiTheme="minorHAnsi" w:cstheme="minorHAnsi"/>
          <w:noProof/>
          <w:color w:val="0D0D0D"/>
        </w:rPr>
        <w:t>Ajanaku &amp; Collins (2021</w:t>
      </w:r>
      <w:r w:rsidR="00246BA6" w:rsidRPr="00870330">
        <w:rPr>
          <w:rFonts w:asciiTheme="minorHAnsi" w:hAnsiTheme="minorHAnsi" w:cstheme="minorHAnsi"/>
          <w:noProof/>
          <w:color w:val="0D0D0D"/>
        </w:rPr>
        <w:fldChar w:fldCharType="end"/>
      </w:r>
      <w:r w:rsidR="00246BA6"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rPr>
        <w:t xml:space="preserve">found that political rights and civil independence have a negative and significant effect on deforestation. This study opted for corruption control index as the proxy for governance. This index measures the extent to which public power is used for personal gain </w:t>
      </w:r>
      <w:r w:rsidRPr="00870330">
        <w:rPr>
          <w:rFonts w:asciiTheme="minorHAnsi" w:hAnsiTheme="minorHAnsi" w:cstheme="minorHAnsi"/>
          <w:color w:val="0D0D0D" w:themeColor="text1" w:themeTint="F2"/>
        </w:rPr>
        <w:lastRenderedPageBreak/>
        <w:t>(small</w:t>
      </w:r>
      <w:r w:rsidR="004A225C" w:rsidRPr="00870330">
        <w:rPr>
          <w:rFonts w:asciiTheme="minorHAnsi" w:hAnsiTheme="minorHAnsi" w:cstheme="minorHAnsi"/>
          <w:color w:val="0D0D0D" w:themeColor="text1" w:themeTint="F2"/>
        </w:rPr>
        <w:t>-</w:t>
      </w:r>
      <w:r w:rsidRPr="00870330">
        <w:rPr>
          <w:rFonts w:asciiTheme="minorHAnsi" w:hAnsiTheme="minorHAnsi" w:cstheme="minorHAnsi"/>
          <w:color w:val="0D0D0D" w:themeColor="text1" w:themeTint="F2"/>
        </w:rPr>
        <w:t xml:space="preserve"> and large</w:t>
      </w:r>
      <w:r w:rsidR="004A225C" w:rsidRPr="00870330">
        <w:rPr>
          <w:rFonts w:asciiTheme="minorHAnsi" w:hAnsiTheme="minorHAnsi" w:cstheme="minorHAnsi"/>
          <w:color w:val="0D0D0D" w:themeColor="text1" w:themeTint="F2"/>
        </w:rPr>
        <w:t>- scale</w:t>
      </w:r>
      <w:r w:rsidRPr="00870330">
        <w:rPr>
          <w:rFonts w:asciiTheme="minorHAnsi" w:hAnsiTheme="minorHAnsi" w:cstheme="minorHAnsi"/>
          <w:color w:val="0D0D0D" w:themeColor="text1" w:themeTint="F2"/>
        </w:rPr>
        <w:t xml:space="preserve"> corruption) and for arrests based on elite and private interests. The corruption control index is published by the World Governance Indicator (WGI). The index ranges between -2.5 and 2.5. A higher in</w:t>
      </w:r>
      <w:r w:rsidR="00867EB2" w:rsidRPr="00870330">
        <w:rPr>
          <w:rFonts w:asciiTheme="minorHAnsi" w:hAnsiTheme="minorHAnsi" w:cstheme="minorHAnsi"/>
          <w:color w:val="0D0D0D" w:themeColor="text1" w:themeTint="F2"/>
        </w:rPr>
        <w:t>dex indicates better governance</w:t>
      </w:r>
      <w:r w:rsidRPr="00870330">
        <w:rPr>
          <w:rFonts w:asciiTheme="minorHAnsi" w:hAnsiTheme="minorHAnsi" w:cstheme="minorHAnsi"/>
          <w:color w:val="0D0D0D" w:themeColor="text1" w:themeTint="F2"/>
        </w:rPr>
        <w:t>.</w:t>
      </w:r>
    </w:p>
    <w:p w14:paraId="3B7469DE" w14:textId="77777777" w:rsidR="00867EB2" w:rsidRPr="00870330" w:rsidRDefault="00867EB2" w:rsidP="003653B8">
      <w:pPr>
        <w:pStyle w:val="NormalafterHeading"/>
        <w:spacing w:line="259" w:lineRule="auto"/>
        <w:rPr>
          <w:rFonts w:asciiTheme="minorHAnsi" w:hAnsiTheme="minorHAnsi" w:cstheme="minorHAnsi"/>
          <w:b/>
          <w:color w:val="0D0D0D" w:themeColor="text1" w:themeTint="F2"/>
          <w:lang w:val="en-US"/>
        </w:rPr>
      </w:pPr>
    </w:p>
    <w:p w14:paraId="700667BB" w14:textId="1DAC555A" w:rsidR="004C2EEB" w:rsidRPr="00870330" w:rsidRDefault="004C2EEB" w:rsidP="003653B8">
      <w:pPr>
        <w:pStyle w:val="NormalafterHeading"/>
        <w:spacing w:line="259" w:lineRule="auto"/>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xml:space="preserve">To </w:t>
      </w:r>
      <w:r w:rsidR="00BB09D1" w:rsidRPr="00870330">
        <w:rPr>
          <w:rFonts w:asciiTheme="minorHAnsi" w:hAnsiTheme="minorHAnsi" w:cstheme="minorHAnsi"/>
          <w:color w:val="0D0D0D" w:themeColor="text1" w:themeTint="F2"/>
        </w:rPr>
        <w:t>tackle</w:t>
      </w:r>
      <w:r w:rsidRPr="00870330">
        <w:rPr>
          <w:rFonts w:asciiTheme="minorHAnsi" w:hAnsiTheme="minorHAnsi" w:cstheme="minorHAnsi"/>
          <w:color w:val="0D0D0D" w:themeColor="text1" w:themeTint="F2"/>
        </w:rPr>
        <w:t xml:space="preserve"> the issue of Omitted Variable Bias (OVB), this study includes control variables related to agricultural and demographic factors. P</w:t>
      </w:r>
      <w:r w:rsidR="00320F58" w:rsidRPr="00870330">
        <w:rPr>
          <w:rFonts w:asciiTheme="minorHAnsi" w:hAnsiTheme="minorHAnsi" w:cstheme="minorHAnsi"/>
          <w:color w:val="0D0D0D" w:themeColor="text1" w:themeTint="F2"/>
        </w:rPr>
        <w:t>revious</w:t>
      </w:r>
      <w:r w:rsidRPr="00870330">
        <w:rPr>
          <w:rFonts w:asciiTheme="minorHAnsi" w:hAnsiTheme="minorHAnsi" w:cstheme="minorHAnsi"/>
          <w:color w:val="0D0D0D" w:themeColor="text1" w:themeTint="F2"/>
        </w:rPr>
        <w:t xml:space="preserve"> </w:t>
      </w:r>
      <w:r w:rsidR="00960436" w:rsidRPr="00870330">
        <w:rPr>
          <w:rFonts w:asciiTheme="minorHAnsi" w:hAnsiTheme="minorHAnsi" w:cstheme="minorHAnsi"/>
          <w:color w:val="0D0D0D" w:themeColor="text1" w:themeTint="F2"/>
        </w:rPr>
        <w:t>research</w:t>
      </w:r>
      <w:r w:rsidR="00320F58" w:rsidRPr="00870330">
        <w:rPr>
          <w:rFonts w:asciiTheme="minorHAnsi" w:hAnsiTheme="minorHAnsi" w:cstheme="minorHAnsi"/>
          <w:color w:val="0D0D0D" w:themeColor="text1" w:themeTint="F2"/>
        </w:rPr>
        <w:t>s indicate</w:t>
      </w:r>
      <w:r w:rsidR="00960436" w:rsidRPr="00870330">
        <w:rPr>
          <w:rFonts w:asciiTheme="minorHAnsi" w:hAnsiTheme="minorHAnsi" w:cstheme="minorHAnsi"/>
          <w:color w:val="0D0D0D" w:themeColor="text1" w:themeTint="F2"/>
        </w:rPr>
        <w:t xml:space="preserve"> that they are </w:t>
      </w:r>
      <w:r w:rsidR="0095262E" w:rsidRPr="00870330">
        <w:rPr>
          <w:rFonts w:asciiTheme="minorHAnsi" w:hAnsiTheme="minorHAnsi" w:cstheme="minorHAnsi"/>
          <w:color w:val="0D0D0D" w:themeColor="text1" w:themeTint="F2"/>
        </w:rPr>
        <w:t>prominent</w:t>
      </w:r>
      <w:r w:rsidR="00960436" w:rsidRPr="00870330">
        <w:rPr>
          <w:rFonts w:asciiTheme="minorHAnsi" w:hAnsiTheme="minorHAnsi" w:cstheme="minorHAnsi"/>
          <w:color w:val="0D0D0D" w:themeColor="text1" w:themeTint="F2"/>
        </w:rPr>
        <w:t xml:space="preserve"> </w:t>
      </w:r>
      <w:r w:rsidRPr="00870330">
        <w:rPr>
          <w:rFonts w:asciiTheme="minorHAnsi" w:hAnsiTheme="minorHAnsi" w:cstheme="minorHAnsi"/>
          <w:color w:val="0D0D0D" w:themeColor="text1" w:themeTint="F2"/>
        </w:rPr>
        <w:t xml:space="preserve">drivers of </w:t>
      </w:r>
      <w:r w:rsidR="00960436" w:rsidRPr="00870330">
        <w:rPr>
          <w:rFonts w:asciiTheme="minorHAnsi" w:hAnsiTheme="minorHAnsi" w:cstheme="minorHAnsi"/>
          <w:color w:val="0D0D0D" w:themeColor="text1" w:themeTint="F2"/>
        </w:rPr>
        <w:t xml:space="preserve">forest cover </w:t>
      </w:r>
      <w:r w:rsidR="001B602F" w:rsidRPr="00870330">
        <w:rPr>
          <w:rFonts w:asciiTheme="minorHAnsi" w:hAnsiTheme="minorHAnsi" w:cstheme="minorHAnsi"/>
          <w:color w:val="0D0D0D" w:themeColor="text1" w:themeTint="F2"/>
        </w:rPr>
        <w:t>change</w:t>
      </w:r>
      <w:r w:rsidR="0080167D" w:rsidRPr="00870330">
        <w:rPr>
          <w:rFonts w:asciiTheme="minorHAnsi" w:hAnsiTheme="minorHAnsi" w:cstheme="minorHAnsi"/>
          <w:color w:val="0D0D0D" w:themeColor="text1" w:themeTint="F2"/>
        </w:rPr>
        <w:t xml:space="preserve"> </w:t>
      </w:r>
      <w:r w:rsidR="0080167D" w:rsidRPr="00870330">
        <w:rPr>
          <w:rFonts w:asciiTheme="minorHAnsi" w:hAnsiTheme="minorHAnsi" w:cstheme="minorHAnsi"/>
          <w:noProof/>
          <w:color w:val="0D0D0D"/>
        </w:rPr>
        <w:fldChar w:fldCharType="begin" w:fldLock="1"/>
      </w:r>
      <w:r w:rsidR="0080167D" w:rsidRPr="00870330">
        <w:rPr>
          <w:rFonts w:asciiTheme="minorHAnsi" w:hAnsiTheme="minorHAnsi" w:cstheme="minorHAnsi"/>
          <w:noProof/>
          <w:color w:val="0D0D0D"/>
        </w:rPr>
        <w:instrText>ADDIN CSL_CITATION {"citationItems":[{"id":"ITEM-1","itemData":{"DOI":"10.1002/pa.2037","ISSN":"14791854","abstract":"This study empirically explores the linkage between urbanization and deforestation while controlling for the role of energy consumption, trade openness, and economic growth within recent data from 1971 to 2015. To do this, we employed the vector error correction-Granger causality approach and Pesaran's autoregressive distributed lag cointegration technique. The Bayer–Hanck cointegration test establishes an equilibrium relationship among the variables. Results reveal that economic growth, energy consumption, and urbanization have a significant impact on deforestation in Nigeria, thereby reducing the quality of the environment. Short- and long-run unidirectional casualty flows from urbanization to deforestation. Therefore, policies for reducing deforestation and enhancing environmental sustainability for growth and development were suggested.","author":[{"dropping-particle":"","family":"Nathaniel","given":"Solomon Prince","non-dropping-particle":"","parse-names":false,"suffix":""},{"dropping-particle":"","family":"Bekun","given":"Festus Victor","non-dropping-particle":"","parse-names":false,"suffix":""}],"container-title":"Journal of Public Affairs","id":"ITEM-1","issue":"2","issued":{"date-parts":[["2020"]]},"title":"Environmental management amidst energy use, urbanization, trade openness, and deforestation: The Nigerian experience","type":"article-journal","volume":"20"},"uris":["http://www.mendeley.com/documents/?uuid=0f8f77e6-d4f4-4081-bed5-ff4dfbea7589"]}],"mendeley":{"formattedCitation":"(Nathaniel &amp; Bekun, 2020)","manualFormatting":"(Nathaniel &amp; Bekun, 2020","plainTextFormattedCitation":"(Nathaniel &amp; Bekun, 2020)","previouslyFormattedCitation":"(Nathaniel &amp; Bekun, 2020)"},"properties":{"noteIndex":0},"schema":"https://github.com/citation-style-language/schema/raw/master/csl-citation.json"}</w:instrText>
      </w:r>
      <w:r w:rsidR="0080167D" w:rsidRPr="00870330">
        <w:rPr>
          <w:rFonts w:asciiTheme="minorHAnsi" w:hAnsiTheme="minorHAnsi" w:cstheme="minorHAnsi"/>
          <w:noProof/>
          <w:color w:val="0D0D0D"/>
        </w:rPr>
        <w:fldChar w:fldCharType="separate"/>
      </w:r>
      <w:r w:rsidR="0080167D" w:rsidRPr="00870330">
        <w:rPr>
          <w:rFonts w:asciiTheme="minorHAnsi" w:hAnsiTheme="minorHAnsi" w:cstheme="minorHAnsi"/>
          <w:noProof/>
          <w:color w:val="0D0D0D"/>
        </w:rPr>
        <w:t>(Nathaniel &amp; Bekun, 2020</w:t>
      </w:r>
      <w:r w:rsidR="0080167D" w:rsidRPr="00870330">
        <w:rPr>
          <w:rFonts w:asciiTheme="minorHAnsi" w:hAnsiTheme="minorHAnsi" w:cstheme="minorHAnsi"/>
          <w:noProof/>
          <w:color w:val="0D0D0D"/>
        </w:rPr>
        <w:fldChar w:fldCharType="end"/>
      </w:r>
      <w:r w:rsidR="0080167D" w:rsidRPr="00870330">
        <w:rPr>
          <w:rFonts w:asciiTheme="minorHAnsi" w:hAnsiTheme="minorHAnsi" w:cstheme="minorHAnsi"/>
          <w:noProof/>
          <w:color w:val="0D0D0D"/>
        </w:rPr>
        <w:t xml:space="preserve">; </w:t>
      </w:r>
      <w:r w:rsidR="0080167D" w:rsidRPr="00870330">
        <w:rPr>
          <w:rFonts w:asciiTheme="minorHAnsi" w:hAnsiTheme="minorHAnsi" w:cstheme="minorHAnsi"/>
          <w:noProof/>
          <w:color w:val="0D0D0D"/>
        </w:rPr>
        <w:fldChar w:fldCharType="begin" w:fldLock="1"/>
      </w:r>
      <w:r w:rsidR="0080167D" w:rsidRPr="00870330">
        <w:rPr>
          <w:rFonts w:asciiTheme="minorHAnsi" w:hAnsiTheme="minorHAnsi" w:cstheme="minorHAnsi"/>
          <w:noProof/>
          <w:color w:val="0D0D0D"/>
        </w:rPr>
        <w:instrText>ADDIN CSL_CITATION {"citationItems":[{"id":"ITEM-1","itemData":{"DOI":"10.1007/s11356-020-12071-6","ISSN":"16147499","PMID":"33411273","abstract":"This study examines the effect of globalization and urbanization on deforestation in Burkina Faso, over the period 1980 to 2017. The study employed the autoregressive distributive lag (ARDL) model and the Toda-Yamamoto Granger causality approach. Empirical findings affirmed that globalization, urbanization, and agricultural land have a positive and significant effect on deforestation in the long run, while population density reduces the deforestation rate, thus indicating an improvement in environmental quality. On the other hand, urbanization, economic growth, and population density have a positive and significant impact on deforestation in the short run. Furthermore, the Granger causality approach confirmed a bidirectional association between deforestation and urbanization and between globalization and agricultural land, as well as between urbanization and population density. The result further affirmed a unidirectional causal link running from urbanization to agricultural land. Based on the empirical findings, the study recommends that the government should ensure more regulation on the removal of barriers to international trade. The study further recommends that the government should implement relevant agricultural policies to guard against deforestation since the results of the study suggest that agriculture contributes negatively to deforestation in Burkina Faso.","author":[{"dropping-particle":"","family":"Yameogo","given":"Claire Emilienne Wati","non-dropping-particle":"","parse-names":false,"suffix":""}],"container-title":"Environmental Science and Pollution Research","id":"ITEM-1","issue":"17","issued":{"date-parts":[["2021"]]},"page":"22011-22021","publisher":"Environmental Science and Pollution Research","title":"Globalization, urbanization, and deforestation linkage in Burkina Faso","type":"article-journal","volume":"28"},"uris":["http://www.mendeley.com/documents/?uuid=35896b0e-62a1-4b05-a2d7-ae508cf486b9"]}],"mendeley":{"formattedCitation":"(Yameogo, 2021)","manualFormatting":"Yameogo, 2021","plainTextFormattedCitation":"(Yameogo, 2021)","previouslyFormattedCitation":"(Yameogo, 2021)"},"properties":{"noteIndex":0},"schema":"https://github.com/citation-style-language/schema/raw/master/csl-citation.json"}</w:instrText>
      </w:r>
      <w:r w:rsidR="0080167D" w:rsidRPr="00870330">
        <w:rPr>
          <w:rFonts w:asciiTheme="minorHAnsi" w:hAnsiTheme="minorHAnsi" w:cstheme="minorHAnsi"/>
          <w:noProof/>
          <w:color w:val="0D0D0D"/>
        </w:rPr>
        <w:fldChar w:fldCharType="separate"/>
      </w:r>
      <w:r w:rsidR="0080167D" w:rsidRPr="00870330">
        <w:rPr>
          <w:rFonts w:asciiTheme="minorHAnsi" w:hAnsiTheme="minorHAnsi" w:cstheme="minorHAnsi"/>
          <w:noProof/>
          <w:color w:val="0D0D0D"/>
        </w:rPr>
        <w:t>Yameogo, 2021</w:t>
      </w:r>
      <w:r w:rsidR="0080167D" w:rsidRPr="00870330">
        <w:rPr>
          <w:rFonts w:asciiTheme="minorHAnsi" w:hAnsiTheme="minorHAnsi" w:cstheme="minorHAnsi"/>
          <w:noProof/>
          <w:color w:val="0D0D0D"/>
        </w:rPr>
        <w:fldChar w:fldCharType="end"/>
      </w:r>
      <w:r w:rsidR="0080167D" w:rsidRPr="00870330">
        <w:rPr>
          <w:rFonts w:asciiTheme="minorHAnsi" w:hAnsiTheme="minorHAnsi" w:cstheme="minorHAnsi"/>
          <w:noProof/>
          <w:color w:val="0D0D0D"/>
        </w:rPr>
        <w:t xml:space="preserve">; </w:t>
      </w:r>
      <w:r w:rsidR="0080167D" w:rsidRPr="00870330">
        <w:rPr>
          <w:rFonts w:asciiTheme="minorHAnsi" w:hAnsiTheme="minorHAnsi" w:cstheme="minorHAnsi"/>
          <w:noProof/>
          <w:color w:val="0D0D0D"/>
        </w:rPr>
        <w:fldChar w:fldCharType="begin" w:fldLock="1"/>
      </w:r>
      <w:r w:rsidR="0080167D" w:rsidRPr="00870330">
        <w:rPr>
          <w:rFonts w:asciiTheme="minorHAnsi" w:hAnsiTheme="minorHAnsi" w:cstheme="minorHAnsi"/>
          <w:noProof/>
          <w:color w:val="0D0D0D"/>
        </w:rPr>
        <w:instrText>ADDIN CSL_CITATION {"citationItems":[{"id":"ITEM-1","itemData":{"DOI":"10.1016/j.sciaf.2019.e00146","ISSN":"24682276","abstract":"Ghana's protected forest reserves have suffered average annual deforestation rates of 0.7%, 0.5%, 0.4%, and 0.6% for the periods 1990–2000, 2000–2005, 2005–2010 and 2010–2015, respectively. The Ashanti region has recorded the second highest deforestation rates. Despite the government's efforts to maintain and protect Ghana's forest reserves, deforestation continues. We observed deforestation patterns in the Ashanti region of Ghana from 1986 to 2015 using Landsat imagery to identify the main causes of deforestation. We obtained and processed two adjacent Landsat images from the United States Geological Survey's (USGS) National Centre for Earth Resources Observation and Science at 30 m spatial resolution for 1986, 2002, and 2015. We then supported the results with findings from 291 farm household surveys in communities fringing the forest reserves. By 2015, dense forest covered 53.3% of the land area of the forest reserves, and the remaining area had been disturbed. Expansion of annual crop farms and tree crops caused 78% of the forest loss within the 29-year period. Afforestation projects are ongoing some of which employ the participation of farmers, yet agricultural expansion exerts more pressure on the remaining dense forest. Agricultural intensification on existing farmlands may reduce farm expansion into the remaining forest areas. Strengthening and enforcing forest protection laws could minimise the extent of agricultural encroachment into forests. Mixed tree-crop systems could reduce the effects of arable farming on deforestation, limit the clearance of trees from farmlands, enhance the provision of ecosystem services, and improve the soil's fertility and moisture content. A forest transition may be underway leading to more trees in agricultural systems and better protection of residual natural forests.","author":[{"dropping-particle":"","family":"Acheampong","given":"Emmanuel Opoku","non-dropping-particle":"","parse-names":false,"suffix":""},{"dropping-particle":"","family":"Macgregor","given":"Colin J.","non-dropping-particle":"","parse-names":false,"suffix":""},{"dropping-particle":"","family":"Sloan","given":"Sean","non-dropping-particle":"","parse-names":false,"suffix":""},{"dropping-particle":"","family":"Sayer","given":"Jeffrey","non-dropping-particle":"","parse-names":false,"suffix":""}],"container-title":"Scientific African","id":"ITEM-1","issue":"e00146","issued":{"date-parts":[["2019"]]},"page":"1-11","publisher":"Elsevier B.V.","title":"Deforestation is driven by agricultural expansion in Ghana's forest reserves","type":"article-journal","volume":"5"},"uris":["http://www.mendeley.com/documents/?uuid=5bb49ded-eba1-4574-8406-2cc9c47684f7"]}],"mendeley":{"formattedCitation":"(Acheampong et al., 2019)","manualFormatting":"Acheampong et al., 2019","plainTextFormattedCitation":"(Acheampong et al., 2019)","previouslyFormattedCitation":"(Acheampong et al., 2019)"},"properties":{"noteIndex":0},"schema":"https://github.com/citation-style-language/schema/raw/master/csl-citation.json"}</w:instrText>
      </w:r>
      <w:r w:rsidR="0080167D" w:rsidRPr="00870330">
        <w:rPr>
          <w:rFonts w:asciiTheme="minorHAnsi" w:hAnsiTheme="minorHAnsi" w:cstheme="minorHAnsi"/>
          <w:noProof/>
          <w:color w:val="0D0D0D"/>
        </w:rPr>
        <w:fldChar w:fldCharType="separate"/>
      </w:r>
      <w:r w:rsidR="0080167D" w:rsidRPr="00870330">
        <w:rPr>
          <w:rFonts w:asciiTheme="minorHAnsi" w:hAnsiTheme="minorHAnsi" w:cstheme="minorHAnsi"/>
          <w:noProof/>
          <w:color w:val="0D0D0D"/>
        </w:rPr>
        <w:t>Acheampong et al., 2019</w:t>
      </w:r>
      <w:r w:rsidR="0080167D" w:rsidRPr="00870330">
        <w:rPr>
          <w:rFonts w:asciiTheme="minorHAnsi" w:hAnsiTheme="minorHAnsi" w:cstheme="minorHAnsi"/>
          <w:noProof/>
          <w:color w:val="0D0D0D"/>
        </w:rPr>
        <w:fldChar w:fldCharType="end"/>
      </w:r>
      <w:r w:rsidR="0080167D" w:rsidRPr="00870330">
        <w:rPr>
          <w:rFonts w:asciiTheme="minorHAnsi" w:hAnsiTheme="minorHAnsi" w:cstheme="minorHAnsi"/>
          <w:noProof/>
          <w:color w:val="0D0D0D"/>
        </w:rPr>
        <w:t xml:space="preserve">; </w:t>
      </w:r>
      <w:r w:rsidR="0080167D" w:rsidRPr="00870330">
        <w:rPr>
          <w:rFonts w:asciiTheme="minorHAnsi" w:hAnsiTheme="minorHAnsi" w:cstheme="minorHAnsi"/>
          <w:noProof/>
          <w:color w:val="0D0D0D"/>
        </w:rPr>
        <w:fldChar w:fldCharType="begin" w:fldLock="1"/>
      </w:r>
      <w:r w:rsidR="004F08C7" w:rsidRPr="00870330">
        <w:rPr>
          <w:rFonts w:asciiTheme="minorHAnsi" w:hAnsiTheme="minorHAnsi" w:cstheme="minorHAnsi"/>
          <w:noProof/>
          <w:color w:val="0D0D0D"/>
        </w:rPr>
        <w:instrText>ADDIN CSL_CITATION {"citationItems":[{"id":"ITEM-1","itemData":{"DOI":"10.3390/land8030048","ISSN":"2073445X","abstract":"Deforestation is recognized as a major driver of the loss of biodiversity and ecosystem services. It also disturbs natural processes such as biogeochemical, hydrological, and ecological cycles. In Malawi, deforestation is estimated to be responsible for the loss of 33,000 hectares per year, and is mainly attributed to agriculture expansion, tobacco growing, and excessive use of biomass. However, little research has been conducted at either the local level or that of forests located on customary land. This research aimed to identify and analyze the underlying driving factors associated with the proximate factors of agriculture expansion, tobacco growing, and brick burning in Mwazisi. Landsat images for 1991, 2004, and 2017 were downloaded from the United States Geological Survey website and used to analyze changes in forest cover. Interviews with households (n = 399) and Natural Resource Committee members, a focus group discussion with key officers, and observations were conducted during field data collection in 2017. The results of the land cover analysis showed that forest covered 66% of the study area in 1991, and by 2017 it had decreased to 45.8%. Most households depend on wood from customary land forests for tobacco curing (69%) and brick burning (68%). Furthermore, 47.6% of the households have expanded their agriculture land by approximately 0.57 hectares during the past 15 years. The interview survey and the focus group discussion identified that the underlying driving factors towards these anthropogenic activities are: (a) population growth, (b) poverty, (c) expensive alternative building materials, (d) lack of awareness, (e) lack of resources, (f) lack of commitment from the tobacco companies, and (g) market system of the cash crops grown in the area. In conclusion, a set of economic, institutional, social, and demographic factors, which are associated with imbalanced relationship between rural and urban areas, underpin agriculture expansion, tobacco growing, and brick burning, and have thereby contributed to the decline of the forest cover in Mwazisi, Malawi.","author":[{"dropping-particle":"","family":"Ngwira","given":"Susan","non-dropping-particle":"","parse-names":false,"suffix":""},{"dropping-particle":"","family":"Watanabe","given":"Teiji","non-dropping-particle":"","parse-names":false,"suffix":""}],"container-title":"Land","id":"ITEM-1","issue":"3","issued":{"date-parts":[["2019"]]},"publisher":"MDPI","title":"An analysis of the causes of deforestation in malawi: A case of mwazisi","type":"article-journal","volume":"8"},"uris":["http://www.mendeley.com/documents/?uuid=958f39d0-3981-3645-8e55-5e66ef8c314b"]}],"mendeley":{"formattedCitation":"(Ngwira &amp; Watanabe, 2019)","manualFormatting":"Ngwira &amp; Watanabe, 2019","plainTextFormattedCitation":"(Ngwira &amp; Watanabe, 2019)","previouslyFormattedCitation":"(Ngwira &amp; Watanabe, 2019)"},"properties":{"noteIndex":0},"schema":"https://github.com/citation-style-language/schema/raw/master/csl-citation.json"}</w:instrText>
      </w:r>
      <w:r w:rsidR="0080167D" w:rsidRPr="00870330">
        <w:rPr>
          <w:rFonts w:asciiTheme="minorHAnsi" w:hAnsiTheme="minorHAnsi" w:cstheme="minorHAnsi"/>
          <w:noProof/>
          <w:color w:val="0D0D0D"/>
        </w:rPr>
        <w:fldChar w:fldCharType="separate"/>
      </w:r>
      <w:r w:rsidR="0080167D" w:rsidRPr="00870330">
        <w:rPr>
          <w:rFonts w:asciiTheme="minorHAnsi" w:hAnsiTheme="minorHAnsi" w:cstheme="minorHAnsi"/>
          <w:noProof/>
          <w:color w:val="0D0D0D"/>
        </w:rPr>
        <w:t>Ngwira &amp; Watanabe, 2019</w:t>
      </w:r>
      <w:r w:rsidR="0080167D" w:rsidRPr="00870330">
        <w:rPr>
          <w:rFonts w:asciiTheme="minorHAnsi" w:hAnsiTheme="minorHAnsi" w:cstheme="minorHAnsi"/>
          <w:noProof/>
          <w:color w:val="0D0D0D"/>
        </w:rPr>
        <w:fldChar w:fldCharType="end"/>
      </w:r>
      <w:r w:rsidR="0080167D" w:rsidRPr="00870330">
        <w:rPr>
          <w:rFonts w:asciiTheme="minorHAnsi" w:hAnsiTheme="minorHAnsi" w:cstheme="minorHAnsi"/>
          <w:noProof/>
          <w:color w:val="0D0D0D"/>
        </w:rPr>
        <w:t xml:space="preserve">; </w:t>
      </w:r>
      <w:r w:rsidR="0080167D" w:rsidRPr="00870330">
        <w:rPr>
          <w:rFonts w:asciiTheme="minorHAnsi" w:hAnsiTheme="minorHAnsi" w:cstheme="minorHAnsi"/>
          <w:noProof/>
          <w:color w:val="0D0D0D"/>
        </w:rPr>
        <w:fldChar w:fldCharType="begin" w:fldLock="1"/>
      </w:r>
      <w:r w:rsidR="0080167D" w:rsidRPr="00870330">
        <w:rPr>
          <w:rFonts w:asciiTheme="minorHAnsi" w:hAnsiTheme="minorHAnsi" w:cstheme="minorHAnsi"/>
          <w:noProof/>
          <w:color w:val="0D0D0D"/>
        </w:rPr>
        <w:instrText>ADDIN CSL_CITATION {"citationItems":[{"id":"ITEM-1","itemData":{"DOI":"10.3390/land10020186","ISSN":"2073445X","abstract":"The present study focuses on identifying and describing the possible proximate and underlying causes of deforestation and its factors using the combination of two techniques: (1) specialized consultation and (2) spatial logistic regression modeling. These techniques were implemented to characterize the deforestation process qualitatively and quantitatively, and then to graphically represent the deforestation process from a temporal and spatial point of view. The study area is the North Pacific Basin, Mexico, from 2002 to 2014. The map difference technique was used to obtain deforestation using the land-use and vegetation maps. A survey was carried out to identify the possible proximate and underlying causes of deforestation, with the aid of 44 specialized government officials, researchers, and people who live in the surrounding deforested areas. The results indicated total deforestation of 3,938.77 km2 in the study area. The most important proximate deforestation causes were agricultural expansion (53.42%), infrastructure extension (20.21%), and wood extraction (16.17%), and the most important underlying causes were demographic factors (34.85%), economics factors (29.26%), and policy and institutional factors (22.59%). Based on the spatial logistic regression model, the factors with the highest statistical significance were forestry productivity, the slope, the altitude, the distance from population centers with fewer than 2500 inhabitants, the distance from farming areas, and the distance from natural protected areas.","author":[{"dropping-particle":"","family":"Plata-Rocha","given":"Wenseslao","non-dropping-particle":"","parse-names":false,"suffix":""},{"dropping-particle":"","family":"Monjardin-Armenta","given":"Sergio Alberto","non-dropping-particle":"","parse-names":false,"suffix":""},{"dropping-particle":"","family":"Pacheco-Angulo","given":"Carlos Eduardo","non-dropping-particle":"","parse-names":false,"suffix":""},{"dropping-particle":"","family":"Rangel-Peraza","given":"Jesus Gabriel","non-dropping-particle":"","parse-names":false,"suffix":""},{"dropping-particle":"","family":"Franco-Ochoa","given":"Cuauhtemoc","non-dropping-particle":"","parse-names":false,"suffix":""},{"dropping-particle":"","family":"Mora-Felix","given":"Zuriel Dathan","non-dropping-particle":"","parse-names":false,"suffix":""}],"container-title":"Land","id":"ITEM-1","issue":"2","issued":{"date-parts":[["2021"]]},"page":"1-18","title":"Proximate and underlying deforestation causes in a tropical basin through specialized consultation and spatial logistic regression modeling","type":"article-journal","volume":"10"},"uris":["http://www.mendeley.com/documents/?uuid=bdfe3b33-7674-4023-b453-530d96fdbf7f"]}],"mendeley":{"formattedCitation":"(Plata-Rocha et al., 2021)","manualFormatting":"Plata-Rocha et al., 2021)","plainTextFormattedCitation":"(Plata-Rocha et al., 2021)","previouslyFormattedCitation":"(Plata-Rocha et al., 2021)"},"properties":{"noteIndex":0},"schema":"https://github.com/citation-style-language/schema/raw/master/csl-citation.json"}</w:instrText>
      </w:r>
      <w:r w:rsidR="0080167D" w:rsidRPr="00870330">
        <w:rPr>
          <w:rFonts w:asciiTheme="minorHAnsi" w:hAnsiTheme="minorHAnsi" w:cstheme="minorHAnsi"/>
          <w:noProof/>
          <w:color w:val="0D0D0D"/>
        </w:rPr>
        <w:fldChar w:fldCharType="separate"/>
      </w:r>
      <w:r w:rsidR="0080167D" w:rsidRPr="00870330">
        <w:rPr>
          <w:rFonts w:asciiTheme="minorHAnsi" w:hAnsiTheme="minorHAnsi" w:cstheme="minorHAnsi"/>
          <w:noProof/>
          <w:color w:val="0D0D0D"/>
        </w:rPr>
        <w:t>Plata-Rocha et al., 2021)</w:t>
      </w:r>
      <w:r w:rsidR="0080167D" w:rsidRPr="00870330">
        <w:rPr>
          <w:rFonts w:asciiTheme="minorHAnsi" w:hAnsiTheme="minorHAnsi" w:cstheme="minorHAnsi"/>
          <w:noProof/>
          <w:color w:val="0D0D0D"/>
        </w:rPr>
        <w:fldChar w:fldCharType="end"/>
      </w:r>
      <w:r w:rsidR="0080167D" w:rsidRPr="00870330">
        <w:rPr>
          <w:rFonts w:asciiTheme="minorHAnsi" w:hAnsiTheme="minorHAnsi" w:cstheme="minorHAnsi"/>
          <w:noProof/>
          <w:color w:val="0D0D0D"/>
        </w:rPr>
        <w:t>.</w:t>
      </w:r>
      <w:r w:rsidR="0080167D" w:rsidRPr="00870330">
        <w:rPr>
          <w:rFonts w:asciiTheme="minorHAnsi" w:hAnsiTheme="minorHAnsi" w:cstheme="minorHAnsi"/>
          <w:color w:val="0D0D0D" w:themeColor="text1" w:themeTint="F2"/>
        </w:rPr>
        <w:t xml:space="preserve"> </w:t>
      </w:r>
      <w:r w:rsidRPr="00870330">
        <w:rPr>
          <w:rFonts w:asciiTheme="minorHAnsi" w:hAnsiTheme="minorHAnsi" w:cstheme="minorHAnsi"/>
          <w:color w:val="0D0D0D" w:themeColor="text1" w:themeTint="F2"/>
        </w:rPr>
        <w:t xml:space="preserve">Agriculture is proxied by arable land area (% of land area), while demography is proxied by population growth rate (%). Arable land area and population growth are expected to positively </w:t>
      </w:r>
      <w:r w:rsidR="00960436" w:rsidRPr="00870330">
        <w:rPr>
          <w:rFonts w:asciiTheme="minorHAnsi" w:hAnsiTheme="minorHAnsi" w:cstheme="minorHAnsi"/>
          <w:color w:val="0D0D0D" w:themeColor="text1" w:themeTint="F2"/>
        </w:rPr>
        <w:t>effect</w:t>
      </w:r>
      <w:r w:rsidRPr="00870330">
        <w:rPr>
          <w:rFonts w:asciiTheme="minorHAnsi" w:hAnsiTheme="minorHAnsi" w:cstheme="minorHAnsi"/>
          <w:color w:val="0D0D0D" w:themeColor="text1" w:themeTint="F2"/>
        </w:rPr>
        <w:t xml:space="preserve"> deforestation. Table 1 contains the summary of research variables, operational definitions, and expected </w:t>
      </w:r>
      <w:r w:rsidR="00CC2A36" w:rsidRPr="00870330">
        <w:rPr>
          <w:rFonts w:asciiTheme="minorHAnsi" w:hAnsiTheme="minorHAnsi" w:cstheme="minorHAnsi"/>
          <w:color w:val="0D0D0D" w:themeColor="text1" w:themeTint="F2"/>
        </w:rPr>
        <w:t>sign</w:t>
      </w:r>
      <w:r w:rsidRPr="00870330">
        <w:rPr>
          <w:rFonts w:asciiTheme="minorHAnsi" w:hAnsiTheme="minorHAnsi" w:cstheme="minorHAnsi"/>
          <w:color w:val="0D0D0D" w:themeColor="text1" w:themeTint="F2"/>
        </w:rPr>
        <w:t>s.</w:t>
      </w:r>
    </w:p>
    <w:p w14:paraId="623B7F2A" w14:textId="77777777" w:rsidR="00CC2A36" w:rsidRPr="00870330" w:rsidRDefault="00CC2A36" w:rsidP="00CC2A36">
      <w:pPr>
        <w:spacing w:after="0"/>
        <w:rPr>
          <w:lang w:val="sv-SE" w:eastAsia="id-ID"/>
        </w:rPr>
      </w:pPr>
    </w:p>
    <w:p w14:paraId="79FE2299" w14:textId="77777777" w:rsidR="00B63884" w:rsidRPr="00870330" w:rsidRDefault="00B63884" w:rsidP="00B63884">
      <w:pPr>
        <w:pStyle w:val="Caption"/>
        <w:spacing w:after="0" w:line="259" w:lineRule="auto"/>
        <w:jc w:val="center"/>
        <w:rPr>
          <w:rFonts w:asciiTheme="minorHAnsi" w:eastAsia="Times New Roman" w:hAnsiTheme="minorHAnsi" w:cstheme="minorHAnsi"/>
          <w:b w:val="0"/>
          <w:color w:val="0D0D0D" w:themeColor="text1" w:themeTint="F2"/>
          <w:sz w:val="22"/>
          <w:szCs w:val="22"/>
        </w:rPr>
      </w:pPr>
      <w:r w:rsidRPr="00870330">
        <w:rPr>
          <w:rFonts w:asciiTheme="minorHAnsi" w:hAnsiTheme="minorHAnsi" w:cstheme="minorHAnsi"/>
          <w:b w:val="0"/>
          <w:color w:val="0D0D0D" w:themeColor="text1" w:themeTint="F2"/>
          <w:sz w:val="22"/>
          <w:szCs w:val="22"/>
        </w:rPr>
        <w:t xml:space="preserve">Table 1 Summary of Research Variables </w:t>
      </w:r>
    </w:p>
    <w:tbl>
      <w:tblPr>
        <w:tblW w:w="9214" w:type="dxa"/>
        <w:tblLayout w:type="fixed"/>
        <w:tblLook w:val="04A0" w:firstRow="1" w:lastRow="0" w:firstColumn="1" w:lastColumn="0" w:noHBand="0" w:noVBand="1"/>
      </w:tblPr>
      <w:tblGrid>
        <w:gridCol w:w="2835"/>
        <w:gridCol w:w="851"/>
        <w:gridCol w:w="4819"/>
        <w:gridCol w:w="709"/>
      </w:tblGrid>
      <w:tr w:rsidR="00B63884" w:rsidRPr="00870330" w14:paraId="3B494162" w14:textId="77777777" w:rsidTr="00CC2A36">
        <w:tc>
          <w:tcPr>
            <w:tcW w:w="2835" w:type="dxa"/>
            <w:tcBorders>
              <w:top w:val="single" w:sz="4" w:space="0" w:color="auto"/>
              <w:bottom w:val="single" w:sz="4" w:space="0" w:color="auto"/>
            </w:tcBorders>
            <w:shd w:val="clear" w:color="auto" w:fill="auto"/>
            <w:vAlign w:val="center"/>
          </w:tcPr>
          <w:p w14:paraId="258242FE" w14:textId="77777777" w:rsidR="00B63884" w:rsidRPr="00870330" w:rsidRDefault="00B63884"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Variable (notation)</w:t>
            </w:r>
          </w:p>
        </w:tc>
        <w:tc>
          <w:tcPr>
            <w:tcW w:w="851" w:type="dxa"/>
            <w:tcBorders>
              <w:top w:val="single" w:sz="4" w:space="0" w:color="auto"/>
              <w:bottom w:val="single" w:sz="4" w:space="0" w:color="auto"/>
            </w:tcBorders>
            <w:shd w:val="clear" w:color="auto" w:fill="auto"/>
            <w:vAlign w:val="center"/>
          </w:tcPr>
          <w:p w14:paraId="1150C40C" w14:textId="77777777" w:rsidR="00B63884" w:rsidRPr="00870330" w:rsidRDefault="00B63884"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Unit</w:t>
            </w:r>
          </w:p>
        </w:tc>
        <w:tc>
          <w:tcPr>
            <w:tcW w:w="4819" w:type="dxa"/>
            <w:tcBorders>
              <w:top w:val="single" w:sz="4" w:space="0" w:color="auto"/>
              <w:bottom w:val="single" w:sz="4" w:space="0" w:color="auto"/>
              <w:right w:val="single" w:sz="4" w:space="0" w:color="FFFFFF"/>
            </w:tcBorders>
            <w:shd w:val="clear" w:color="auto" w:fill="auto"/>
            <w:vAlign w:val="center"/>
          </w:tcPr>
          <w:p w14:paraId="627DB58F" w14:textId="77777777" w:rsidR="00B63884" w:rsidRPr="00870330" w:rsidRDefault="00B63884"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Operational</w:t>
            </w:r>
          </w:p>
        </w:tc>
        <w:tc>
          <w:tcPr>
            <w:tcW w:w="709" w:type="dxa"/>
            <w:tcBorders>
              <w:top w:val="single" w:sz="4" w:space="0" w:color="auto"/>
              <w:bottom w:val="single" w:sz="4" w:space="0" w:color="auto"/>
              <w:right w:val="single" w:sz="4" w:space="0" w:color="FFFFFF"/>
            </w:tcBorders>
          </w:tcPr>
          <w:p w14:paraId="0BAB0771" w14:textId="77777777" w:rsidR="00B63884" w:rsidRPr="00870330" w:rsidRDefault="00B63884" w:rsidP="00CC2A36">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β</w:t>
            </w:r>
          </w:p>
        </w:tc>
      </w:tr>
      <w:tr w:rsidR="00B63884" w:rsidRPr="00870330" w14:paraId="28278132" w14:textId="77777777" w:rsidTr="00CC2A36">
        <w:tc>
          <w:tcPr>
            <w:tcW w:w="2835" w:type="dxa"/>
            <w:tcBorders>
              <w:top w:val="single" w:sz="4" w:space="0" w:color="auto"/>
            </w:tcBorders>
            <w:shd w:val="clear" w:color="auto" w:fill="auto"/>
          </w:tcPr>
          <w:p w14:paraId="045E2373" w14:textId="77777777" w:rsidR="00B63884" w:rsidRPr="00870330" w:rsidRDefault="00B63884"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Deforestation (DEF)</w:t>
            </w:r>
          </w:p>
        </w:tc>
        <w:tc>
          <w:tcPr>
            <w:tcW w:w="851" w:type="dxa"/>
            <w:tcBorders>
              <w:top w:val="single" w:sz="4" w:space="0" w:color="auto"/>
            </w:tcBorders>
            <w:shd w:val="clear" w:color="auto" w:fill="auto"/>
          </w:tcPr>
          <w:p w14:paraId="2A8293E6" w14:textId="77777777" w:rsidR="00B63884" w:rsidRPr="00870330" w:rsidRDefault="00B63884"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xml:space="preserve">% </w:t>
            </w:r>
          </w:p>
        </w:tc>
        <w:tc>
          <w:tcPr>
            <w:tcW w:w="4819" w:type="dxa"/>
            <w:tcBorders>
              <w:top w:val="single" w:sz="4" w:space="0" w:color="auto"/>
              <w:right w:val="single" w:sz="4" w:space="0" w:color="FFFFFF"/>
            </w:tcBorders>
            <w:shd w:val="clear" w:color="auto" w:fill="auto"/>
          </w:tcPr>
          <w:p w14:paraId="6E709CF8" w14:textId="4596FD49" w:rsidR="00B63884" w:rsidRPr="00870330" w:rsidRDefault="00B63884"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xml:space="preserve">Net deforestation rate </w:t>
            </w:r>
          </w:p>
        </w:tc>
        <w:tc>
          <w:tcPr>
            <w:tcW w:w="709" w:type="dxa"/>
            <w:tcBorders>
              <w:top w:val="single" w:sz="4" w:space="0" w:color="auto"/>
              <w:right w:val="single" w:sz="4" w:space="0" w:color="FFFFFF"/>
            </w:tcBorders>
          </w:tcPr>
          <w:p w14:paraId="7142BBB2" w14:textId="77777777" w:rsidR="00B63884" w:rsidRPr="00870330" w:rsidRDefault="00B63884" w:rsidP="00CC2A36">
            <w:pPr>
              <w:spacing w:after="0"/>
              <w:jc w:val="center"/>
              <w:rPr>
                <w:rFonts w:asciiTheme="minorHAnsi" w:hAnsiTheme="minorHAnsi" w:cstheme="minorHAnsi"/>
                <w:color w:val="0D0D0D" w:themeColor="text1" w:themeTint="F2"/>
              </w:rPr>
            </w:pPr>
          </w:p>
        </w:tc>
      </w:tr>
      <w:tr w:rsidR="00B63884" w:rsidRPr="00870330" w14:paraId="47CE1634" w14:textId="77777777" w:rsidTr="00CC2A36">
        <w:trPr>
          <w:trHeight w:val="150"/>
        </w:trPr>
        <w:tc>
          <w:tcPr>
            <w:tcW w:w="2835" w:type="dxa"/>
            <w:shd w:val="clear" w:color="auto" w:fill="auto"/>
          </w:tcPr>
          <w:p w14:paraId="0E941370" w14:textId="77777777" w:rsidR="00B63884" w:rsidRPr="00870330" w:rsidRDefault="00B63884"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Per capita income (GDP)</w:t>
            </w:r>
          </w:p>
        </w:tc>
        <w:tc>
          <w:tcPr>
            <w:tcW w:w="851" w:type="dxa"/>
            <w:shd w:val="clear" w:color="auto" w:fill="auto"/>
          </w:tcPr>
          <w:p w14:paraId="61BA72F9" w14:textId="77777777" w:rsidR="00B63884" w:rsidRPr="00870330" w:rsidRDefault="00B63884"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Dollar</w:t>
            </w:r>
          </w:p>
        </w:tc>
        <w:tc>
          <w:tcPr>
            <w:tcW w:w="4819" w:type="dxa"/>
            <w:shd w:val="clear" w:color="auto" w:fill="auto"/>
          </w:tcPr>
          <w:p w14:paraId="48D998A4" w14:textId="0401F01C" w:rsidR="00B63884" w:rsidRPr="00870330" w:rsidRDefault="00B63884" w:rsidP="000D6E8D">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Per</w:t>
            </w:r>
            <w:r w:rsidR="000D6E8D" w:rsidRPr="00870330">
              <w:rPr>
                <w:rFonts w:asciiTheme="minorHAnsi" w:hAnsiTheme="minorHAnsi" w:cstheme="minorHAnsi"/>
                <w:color w:val="0D0D0D" w:themeColor="text1" w:themeTint="F2"/>
              </w:rPr>
              <w:t xml:space="preserve"> capita Gross Domestic Product</w:t>
            </w:r>
            <w:r w:rsidRPr="00870330">
              <w:rPr>
                <w:rFonts w:asciiTheme="minorHAnsi" w:hAnsiTheme="minorHAnsi" w:cstheme="minorHAnsi"/>
                <w:color w:val="0D0D0D" w:themeColor="text1" w:themeTint="F2"/>
              </w:rPr>
              <w:t xml:space="preserve"> (constant price in 2015)</w:t>
            </w:r>
          </w:p>
        </w:tc>
        <w:tc>
          <w:tcPr>
            <w:tcW w:w="709" w:type="dxa"/>
          </w:tcPr>
          <w:p w14:paraId="5EC1B1C7" w14:textId="77777777" w:rsidR="00B63884" w:rsidRPr="00870330" w:rsidRDefault="00B63884" w:rsidP="00CC2A36">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w:t>
            </w:r>
          </w:p>
        </w:tc>
      </w:tr>
      <w:tr w:rsidR="00B63884" w:rsidRPr="00870330" w14:paraId="4C19F92E" w14:textId="77777777" w:rsidTr="00CC2A36">
        <w:trPr>
          <w:trHeight w:val="165"/>
        </w:trPr>
        <w:tc>
          <w:tcPr>
            <w:tcW w:w="2835" w:type="dxa"/>
            <w:tcBorders>
              <w:bottom w:val="single" w:sz="4" w:space="0" w:color="FFFFFF"/>
            </w:tcBorders>
            <w:shd w:val="clear" w:color="auto" w:fill="auto"/>
            <w:vAlign w:val="center"/>
          </w:tcPr>
          <w:p w14:paraId="4836ACD8" w14:textId="77777777" w:rsidR="00B63884" w:rsidRPr="00870330" w:rsidRDefault="00B63884"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Trade openness (TOP)</w:t>
            </w:r>
          </w:p>
        </w:tc>
        <w:tc>
          <w:tcPr>
            <w:tcW w:w="851" w:type="dxa"/>
            <w:tcBorders>
              <w:bottom w:val="single" w:sz="4" w:space="0" w:color="FFFFFF"/>
            </w:tcBorders>
            <w:shd w:val="clear" w:color="auto" w:fill="auto"/>
            <w:vAlign w:val="center"/>
          </w:tcPr>
          <w:p w14:paraId="7491C025" w14:textId="77777777" w:rsidR="00B63884" w:rsidRPr="00870330" w:rsidRDefault="00B63884"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xml:space="preserve">% </w:t>
            </w:r>
          </w:p>
        </w:tc>
        <w:tc>
          <w:tcPr>
            <w:tcW w:w="4819" w:type="dxa"/>
            <w:tcBorders>
              <w:bottom w:val="single" w:sz="4" w:space="0" w:color="FFFFFF"/>
              <w:right w:val="single" w:sz="4" w:space="0" w:color="FFFFFF"/>
            </w:tcBorders>
            <w:shd w:val="clear" w:color="auto" w:fill="auto"/>
            <w:vAlign w:val="center"/>
          </w:tcPr>
          <w:p w14:paraId="168537F1" w14:textId="40407E5D" w:rsidR="00B63884" w:rsidRPr="00870330" w:rsidRDefault="00B63884" w:rsidP="00391BEF">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Ratio between total trade values (export</w:t>
            </w:r>
            <w:r w:rsidR="00995A3C" w:rsidRPr="00870330">
              <w:rPr>
                <w:rFonts w:asciiTheme="minorHAnsi" w:hAnsiTheme="minorHAnsi" w:cstheme="minorHAnsi"/>
                <w:color w:val="0D0D0D" w:themeColor="text1" w:themeTint="F2"/>
              </w:rPr>
              <w:t xml:space="preserve">s + </w:t>
            </w:r>
            <w:r w:rsidRPr="00870330">
              <w:rPr>
                <w:rFonts w:asciiTheme="minorHAnsi" w:hAnsiTheme="minorHAnsi" w:cstheme="minorHAnsi"/>
                <w:color w:val="0D0D0D" w:themeColor="text1" w:themeTint="F2"/>
              </w:rPr>
              <w:t>import</w:t>
            </w:r>
            <w:r w:rsidR="00995A3C" w:rsidRPr="00870330">
              <w:rPr>
                <w:rFonts w:asciiTheme="minorHAnsi" w:hAnsiTheme="minorHAnsi" w:cstheme="minorHAnsi"/>
                <w:color w:val="0D0D0D" w:themeColor="text1" w:themeTint="F2"/>
              </w:rPr>
              <w:t>s</w:t>
            </w:r>
            <w:r w:rsidRPr="00870330">
              <w:rPr>
                <w:rFonts w:asciiTheme="minorHAnsi" w:hAnsiTheme="minorHAnsi" w:cstheme="minorHAnsi"/>
                <w:color w:val="0D0D0D" w:themeColor="text1" w:themeTint="F2"/>
              </w:rPr>
              <w:t>) and GDP</w:t>
            </w:r>
          </w:p>
        </w:tc>
        <w:tc>
          <w:tcPr>
            <w:tcW w:w="709" w:type="dxa"/>
            <w:tcBorders>
              <w:bottom w:val="single" w:sz="4" w:space="0" w:color="FFFFFF"/>
              <w:right w:val="single" w:sz="4" w:space="0" w:color="FFFFFF"/>
            </w:tcBorders>
          </w:tcPr>
          <w:p w14:paraId="0FBFCCA1" w14:textId="77777777" w:rsidR="00B63884" w:rsidRPr="00870330" w:rsidRDefault="00B63884" w:rsidP="00CC2A36">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w:t>
            </w:r>
          </w:p>
        </w:tc>
      </w:tr>
      <w:tr w:rsidR="00B63884" w:rsidRPr="00870330" w14:paraId="779CA629" w14:textId="77777777" w:rsidTr="00CC2A36">
        <w:tc>
          <w:tcPr>
            <w:tcW w:w="2835" w:type="dxa"/>
            <w:shd w:val="clear" w:color="auto" w:fill="auto"/>
          </w:tcPr>
          <w:p w14:paraId="1B79387F" w14:textId="77777777" w:rsidR="00B63884" w:rsidRPr="00870330" w:rsidRDefault="00B63884"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Arable land (ARABLE)</w:t>
            </w:r>
          </w:p>
        </w:tc>
        <w:tc>
          <w:tcPr>
            <w:tcW w:w="851" w:type="dxa"/>
            <w:shd w:val="clear" w:color="auto" w:fill="auto"/>
          </w:tcPr>
          <w:p w14:paraId="1479315D" w14:textId="77777777" w:rsidR="00B63884" w:rsidRPr="00870330" w:rsidRDefault="00B63884"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xml:space="preserve">% </w:t>
            </w:r>
          </w:p>
        </w:tc>
        <w:tc>
          <w:tcPr>
            <w:tcW w:w="4819" w:type="dxa"/>
            <w:tcBorders>
              <w:right w:val="single" w:sz="4" w:space="0" w:color="FFFFFF"/>
            </w:tcBorders>
            <w:shd w:val="clear" w:color="auto" w:fill="auto"/>
          </w:tcPr>
          <w:p w14:paraId="08676C5E" w14:textId="7BC67762" w:rsidR="00B63884" w:rsidRPr="00870330" w:rsidRDefault="00B63884" w:rsidP="00FA2448">
            <w:pPr>
              <w:spacing w:after="0"/>
              <w:rPr>
                <w:rFonts w:asciiTheme="minorHAnsi" w:hAnsiTheme="minorHAnsi" w:cstheme="minorHAnsi"/>
                <w:color w:val="0D0D0D" w:themeColor="text1" w:themeTint="F2"/>
              </w:rPr>
            </w:pPr>
            <w:r w:rsidRPr="00870330">
              <w:rPr>
                <w:rFonts w:asciiTheme="minorHAnsi" w:hAnsiTheme="minorHAnsi" w:cstheme="minorHAnsi"/>
                <w:iCs/>
                <w:color w:val="0D0D0D" w:themeColor="text1" w:themeTint="F2"/>
              </w:rPr>
              <w:t>Share</w:t>
            </w:r>
            <w:r w:rsidR="00FA2448" w:rsidRPr="00870330">
              <w:rPr>
                <w:rFonts w:asciiTheme="minorHAnsi" w:hAnsiTheme="minorHAnsi" w:cstheme="minorHAnsi"/>
                <w:color w:val="0D0D0D" w:themeColor="text1" w:themeTint="F2"/>
              </w:rPr>
              <w:t xml:space="preserve"> of arable land area</w:t>
            </w:r>
          </w:p>
        </w:tc>
        <w:tc>
          <w:tcPr>
            <w:tcW w:w="709" w:type="dxa"/>
            <w:tcBorders>
              <w:right w:val="single" w:sz="4" w:space="0" w:color="FFFFFF"/>
            </w:tcBorders>
          </w:tcPr>
          <w:p w14:paraId="02B512BE" w14:textId="77777777" w:rsidR="00B63884" w:rsidRPr="00870330" w:rsidRDefault="00B63884" w:rsidP="00CC2A36">
            <w:pPr>
              <w:spacing w:after="0"/>
              <w:jc w:val="center"/>
              <w:rPr>
                <w:rFonts w:asciiTheme="minorHAnsi" w:hAnsiTheme="minorHAnsi" w:cstheme="minorHAnsi"/>
                <w:i/>
                <w:color w:val="0D0D0D" w:themeColor="text1" w:themeTint="F2"/>
              </w:rPr>
            </w:pPr>
            <w:r w:rsidRPr="00870330">
              <w:rPr>
                <w:rFonts w:asciiTheme="minorHAnsi" w:hAnsiTheme="minorHAnsi" w:cstheme="minorHAnsi"/>
                <w:i/>
                <w:color w:val="0D0D0D" w:themeColor="text1" w:themeTint="F2"/>
              </w:rPr>
              <w:t>+</w:t>
            </w:r>
          </w:p>
        </w:tc>
      </w:tr>
      <w:tr w:rsidR="00B63884" w:rsidRPr="00870330" w14:paraId="0B326E5B" w14:textId="77777777" w:rsidTr="00CC2A36">
        <w:tc>
          <w:tcPr>
            <w:tcW w:w="2835" w:type="dxa"/>
            <w:shd w:val="clear" w:color="auto" w:fill="auto"/>
          </w:tcPr>
          <w:p w14:paraId="4F9F7A5E" w14:textId="77777777" w:rsidR="00B63884" w:rsidRPr="00870330" w:rsidRDefault="00B63884"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Population growth (POPG)</w:t>
            </w:r>
          </w:p>
        </w:tc>
        <w:tc>
          <w:tcPr>
            <w:tcW w:w="851" w:type="dxa"/>
            <w:shd w:val="clear" w:color="auto" w:fill="auto"/>
          </w:tcPr>
          <w:p w14:paraId="3426424A" w14:textId="77777777" w:rsidR="00B63884" w:rsidRPr="00870330" w:rsidRDefault="00B63884"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xml:space="preserve">% </w:t>
            </w:r>
          </w:p>
        </w:tc>
        <w:tc>
          <w:tcPr>
            <w:tcW w:w="4819" w:type="dxa"/>
            <w:tcBorders>
              <w:right w:val="single" w:sz="4" w:space="0" w:color="FFFFFF"/>
            </w:tcBorders>
            <w:shd w:val="clear" w:color="auto" w:fill="auto"/>
          </w:tcPr>
          <w:p w14:paraId="3AC9D811" w14:textId="77777777" w:rsidR="00B63884" w:rsidRPr="00870330" w:rsidRDefault="00B63884"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xml:space="preserve">Annual population growth rate </w:t>
            </w:r>
          </w:p>
        </w:tc>
        <w:tc>
          <w:tcPr>
            <w:tcW w:w="709" w:type="dxa"/>
            <w:tcBorders>
              <w:right w:val="single" w:sz="4" w:space="0" w:color="FFFFFF"/>
            </w:tcBorders>
          </w:tcPr>
          <w:p w14:paraId="6C72CD14" w14:textId="77777777" w:rsidR="00B63884" w:rsidRPr="00870330" w:rsidRDefault="00B63884" w:rsidP="00CC2A36">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w:t>
            </w:r>
          </w:p>
        </w:tc>
      </w:tr>
      <w:tr w:rsidR="00B63884" w:rsidRPr="00870330" w14:paraId="77333399" w14:textId="77777777" w:rsidTr="00CC2A36">
        <w:tc>
          <w:tcPr>
            <w:tcW w:w="2835" w:type="dxa"/>
            <w:tcBorders>
              <w:bottom w:val="single" w:sz="4" w:space="0" w:color="auto"/>
            </w:tcBorders>
            <w:shd w:val="clear" w:color="auto" w:fill="auto"/>
          </w:tcPr>
          <w:p w14:paraId="28C056BA" w14:textId="77777777" w:rsidR="00B63884" w:rsidRPr="00870330" w:rsidRDefault="00B63884"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Corruption (COR)</w:t>
            </w:r>
          </w:p>
        </w:tc>
        <w:tc>
          <w:tcPr>
            <w:tcW w:w="851" w:type="dxa"/>
            <w:tcBorders>
              <w:bottom w:val="single" w:sz="4" w:space="0" w:color="auto"/>
            </w:tcBorders>
            <w:shd w:val="clear" w:color="auto" w:fill="auto"/>
          </w:tcPr>
          <w:p w14:paraId="75CBE3DA" w14:textId="1908A37C" w:rsidR="00B63884" w:rsidRPr="00870330" w:rsidRDefault="00CC2A36"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index</w:t>
            </w:r>
          </w:p>
        </w:tc>
        <w:tc>
          <w:tcPr>
            <w:tcW w:w="4819" w:type="dxa"/>
            <w:tcBorders>
              <w:bottom w:val="single" w:sz="4" w:space="0" w:color="auto"/>
              <w:right w:val="single" w:sz="4" w:space="0" w:color="FFFFFF"/>
            </w:tcBorders>
            <w:shd w:val="clear" w:color="auto" w:fill="auto"/>
          </w:tcPr>
          <w:p w14:paraId="29F10A92" w14:textId="2A4E27B6" w:rsidR="00B63884" w:rsidRPr="00870330" w:rsidRDefault="00CC2A36" w:rsidP="00CC2A36">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Corruption control index (-2.5 – 2.5)</w:t>
            </w:r>
          </w:p>
        </w:tc>
        <w:tc>
          <w:tcPr>
            <w:tcW w:w="709" w:type="dxa"/>
            <w:tcBorders>
              <w:bottom w:val="single" w:sz="4" w:space="0" w:color="auto"/>
              <w:right w:val="single" w:sz="4" w:space="0" w:color="FFFFFF"/>
            </w:tcBorders>
          </w:tcPr>
          <w:p w14:paraId="1F2F5DEE" w14:textId="77777777" w:rsidR="00B63884" w:rsidRPr="00870330" w:rsidRDefault="00B63884" w:rsidP="00CC2A36">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w:t>
            </w:r>
          </w:p>
        </w:tc>
      </w:tr>
    </w:tbl>
    <w:p w14:paraId="103745C6" w14:textId="77777777" w:rsidR="004C2EEB" w:rsidRPr="00870330" w:rsidRDefault="004C2EEB" w:rsidP="004C2EEB">
      <w:pPr>
        <w:spacing w:after="0"/>
        <w:rPr>
          <w:rFonts w:asciiTheme="minorHAnsi" w:hAnsiTheme="minorHAnsi" w:cstheme="minorHAnsi"/>
          <w:color w:val="0D0D0D" w:themeColor="text1" w:themeTint="F2"/>
          <w:lang w:eastAsia="id-ID"/>
        </w:rPr>
      </w:pPr>
    </w:p>
    <w:p w14:paraId="63047AEF" w14:textId="77777777" w:rsidR="00A51BC3" w:rsidRPr="00870330" w:rsidRDefault="00A51BC3" w:rsidP="00A51BC3">
      <w:pPr>
        <w:pStyle w:val="NormalafterHeading"/>
        <w:spacing w:line="259" w:lineRule="auto"/>
        <w:rPr>
          <w:rFonts w:asciiTheme="minorHAnsi" w:hAnsiTheme="minorHAnsi" w:cstheme="minorHAnsi"/>
          <w:b/>
          <w:color w:val="0D0D0D" w:themeColor="text1" w:themeTint="F2"/>
          <w:lang w:val="en-US"/>
        </w:rPr>
      </w:pPr>
      <w:r w:rsidRPr="00870330">
        <w:rPr>
          <w:rFonts w:asciiTheme="minorHAnsi" w:hAnsiTheme="minorHAnsi" w:cstheme="minorHAnsi"/>
          <w:b/>
          <w:color w:val="0D0D0D" w:themeColor="text1" w:themeTint="F2"/>
          <w:lang w:val="en-US"/>
        </w:rPr>
        <w:t>Estimation Method</w:t>
      </w:r>
    </w:p>
    <w:p w14:paraId="3DED0DF9" w14:textId="45821F1B" w:rsidR="00A51BC3" w:rsidRPr="00870330" w:rsidRDefault="00A51BC3" w:rsidP="00A51BC3">
      <w:pPr>
        <w:pStyle w:val="NormalafterHeading"/>
        <w:spacing w:line="259" w:lineRule="auto"/>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xml:space="preserve">This study adopts the Pooled Mean Group (PMG) estimation method to investigate the nexus between income, openness, governance, and deforestation in Southeast Asia in the EKC framework. Prior to implementing PMG, this paper conducted unit root and cointegration tests. Unit root test is essential for avoiding spurious regression and checking the model fit. The nature of the ARDL model can only be applied if there is a combination of variable stationarity at the level and first differentiation </w:t>
      </w:r>
      <w:r w:rsidRPr="00870330">
        <w:rPr>
          <w:rFonts w:asciiTheme="minorHAnsi" w:hAnsiTheme="minorHAnsi" w:cstheme="minorHAnsi"/>
          <w:noProof/>
          <w:color w:val="0D0D0D"/>
        </w:rPr>
        <w:fldChar w:fldCharType="begin" w:fldLock="1"/>
      </w:r>
      <w:r w:rsidRPr="00870330">
        <w:rPr>
          <w:rFonts w:asciiTheme="minorHAnsi" w:hAnsiTheme="minorHAnsi" w:cstheme="minorHAnsi"/>
          <w:noProof/>
          <w:color w:val="0D0D0D"/>
        </w:rPr>
        <w:instrText>ADDIN CSL_CITATION {"citationItems":[{"id":"ITEM-1","itemData":{"DOI":"10.1016/j.resourpol.2022.102815","ISSN":"03014207","abstract":"Currently, natural resource price volatility has become an international issue because it creates economic instability and this phenomenon needs attention from researchers and regulators. Therefore, the current study aims to examine the impact of macroeconomic determinants such as exports, human capital, gross domestic product (GDP) growth and foreign direct investment (FDI) on Indonesia's natural resource prices volatility. The authors used secondary sources to collect data and extracted the data from World Bank Indicators (WDI) and Goldman Sachs Commodity Index (GSCI) databases from 1971 to 2020. The researchers have used the autoregressive distributed lag (ARDL) to test the linkage among the understudy constructs. The results have revealed that exports, human capital, GDP growth, and FDI are positively associated with natural resources prices volatility in Indonesia. The current study suggested that the regulatory authorities should formulate effective policies related to the natural resources prices volatility with respect to macroeconomic determinants.","author":[{"dropping-particle":"","family":"Ekananda","given":"Mahjus","non-dropping-particle":"","parse-names":false,"suffix":""}],"container-title":"Resources Policy","id":"ITEM-1","issue":"May","issued":{"date-parts":[["2022"]]},"page":"102815","publisher":"Elsevier Ltd","title":"Role of macroeconomic determinants on the natural resource commodity prices: Indonesia futures volatility","type":"article-journal","volume":"78"},"uris":["http://www.mendeley.com/documents/?uuid=51f1da68-6807-439a-8c8a-e141e17c9c32"]}],"mendeley":{"formattedCitation":"(Ekananda, 2022)","plainTextFormattedCitation":"(Ekananda, 2022)","previouslyFormattedCitation":"(Ekananda, 2022)"},"properties":{"noteIndex":0},"schema":"https://github.com/citation-style-language/schema/raw/master/csl-citation.json"}</w:instrText>
      </w:r>
      <w:r w:rsidRPr="00870330">
        <w:rPr>
          <w:rFonts w:asciiTheme="minorHAnsi" w:hAnsiTheme="minorHAnsi" w:cstheme="minorHAnsi"/>
          <w:noProof/>
          <w:color w:val="0D0D0D"/>
        </w:rPr>
        <w:fldChar w:fldCharType="separate"/>
      </w:r>
      <w:r w:rsidRPr="00870330">
        <w:rPr>
          <w:rFonts w:asciiTheme="minorHAnsi" w:hAnsiTheme="minorHAnsi" w:cstheme="minorHAnsi"/>
          <w:noProof/>
          <w:color w:val="0D0D0D"/>
        </w:rPr>
        <w:t>(Ekananda, 2022)</w:t>
      </w:r>
      <w:r w:rsidRPr="00870330">
        <w:rPr>
          <w:rFonts w:asciiTheme="minorHAnsi" w:hAnsiTheme="minorHAnsi" w:cstheme="minorHAnsi"/>
          <w:noProof/>
          <w:color w:val="0D0D0D"/>
        </w:rPr>
        <w:fldChar w:fldCharType="end"/>
      </w:r>
      <w:r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rPr>
        <w:t xml:space="preserve">This article employs the unit root detection proposed by </w:t>
      </w:r>
      <w:r w:rsidRPr="00870330">
        <w:rPr>
          <w:rFonts w:asciiTheme="minorHAnsi" w:hAnsiTheme="minorHAnsi" w:cstheme="minorHAnsi"/>
          <w:noProof/>
          <w:color w:val="0D0D0D"/>
        </w:rPr>
        <w:fldChar w:fldCharType="begin" w:fldLock="1"/>
      </w:r>
      <w:r w:rsidRPr="00870330">
        <w:rPr>
          <w:rFonts w:asciiTheme="minorHAnsi" w:hAnsiTheme="minorHAnsi" w:cstheme="minorHAnsi"/>
          <w:noProof/>
          <w:color w:val="0D0D0D"/>
        </w:rPr>
        <w:instrText>ADDIN CSL_CITATION {"citationItems":[{"id":"ITEM-1","itemData":{"DOI":"10.1016/S0304-4076(01)00098-7","ISSN":"03044076","abstract":"We consider pooling cross-section time series data for testing the unit root hypothesis. The degree of persistence in individual regression error, the intercept and trend coefficient are allowed to vary freely across individuals. As both the cross-section and time series dimensions of the panel grow large, the pooled t-statistic has a limiting normal distribution that depends on the regression specification but is free from nuisance parameters. Monte Carlo simulations indicate that the asymptotic results provide a good approximation to the test statistics in panels of moderate size, and that the power of the panel-based unit root test is dramatically higher, compared to performing a separate unit root test for each individual time series. © 2002 Elsevier Science B.V. All rights reserved.","author":[{"dropping-particle":"","family":"Levin","given":"Andrew","non-dropping-particle":"","parse-names":false,"suffix":""},{"dropping-particle":"","family":"Lin","given":"Chien Fu","non-dropping-particle":"","parse-names":false,"suffix":""},{"dropping-particle":"","family":"Chu","given":"Chia Shang James","non-dropping-particle":"","parse-names":false,"suffix":""}],"container-title":"Journal of Econometrics","id":"ITEM-1","issue":"1","issued":{"date-parts":[["2002"]]},"page":"1-24","title":"Unit root tests in panel data: Asymptotic and finite-sample properties","type":"article-journal","volume":"108"},"uris":["http://www.mendeley.com/documents/?uuid=fe93a684-eba9-4111-921e-e6ba8463b218"]}],"mendeley":{"formattedCitation":"(Levin et al., 2002)","manualFormatting":"Levin et al. (2002)","plainTextFormattedCitation":"(Levin et al., 2002)","previouslyFormattedCitation":"(Levin et al., 2002)"},"properties":{"noteIndex":0},"schema":"https://github.com/citation-style-language/schema/raw/master/csl-citation.json"}</w:instrText>
      </w:r>
      <w:r w:rsidRPr="00870330">
        <w:rPr>
          <w:rFonts w:asciiTheme="minorHAnsi" w:hAnsiTheme="minorHAnsi" w:cstheme="minorHAnsi"/>
          <w:noProof/>
          <w:color w:val="0D0D0D"/>
        </w:rPr>
        <w:fldChar w:fldCharType="separate"/>
      </w:r>
      <w:r w:rsidRPr="00870330">
        <w:rPr>
          <w:rFonts w:asciiTheme="minorHAnsi" w:hAnsiTheme="minorHAnsi" w:cstheme="minorHAnsi"/>
          <w:noProof/>
          <w:color w:val="0D0D0D"/>
        </w:rPr>
        <w:t>Levin et al. (2002)</w:t>
      </w:r>
      <w:r w:rsidRPr="00870330">
        <w:rPr>
          <w:rFonts w:asciiTheme="minorHAnsi" w:hAnsiTheme="minorHAnsi" w:cstheme="minorHAnsi"/>
          <w:noProof/>
          <w:color w:val="0D0D0D"/>
        </w:rPr>
        <w:fldChar w:fldCharType="end"/>
      </w:r>
      <w:r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rPr>
        <w:t xml:space="preserve">LLC assumes homogeneity (slope and intercept) in the first stage of regression and calls for ADF equations to </w:t>
      </w:r>
      <w:r w:rsidR="007D7BE2" w:rsidRPr="00870330">
        <w:rPr>
          <w:rFonts w:asciiTheme="minorHAnsi" w:hAnsiTheme="minorHAnsi" w:cstheme="minorHAnsi"/>
          <w:color w:val="0D0D0D" w:themeColor="text1" w:themeTint="F2"/>
        </w:rPr>
        <w:t>check</w:t>
      </w:r>
      <w:r w:rsidRPr="00870330">
        <w:rPr>
          <w:rFonts w:asciiTheme="minorHAnsi" w:hAnsiTheme="minorHAnsi" w:cstheme="minorHAnsi"/>
          <w:color w:val="0D0D0D" w:themeColor="text1" w:themeTint="F2"/>
        </w:rPr>
        <w:t xml:space="preserve"> </w:t>
      </w:r>
      <w:r w:rsidR="007D7BE2" w:rsidRPr="00870330">
        <w:rPr>
          <w:rFonts w:asciiTheme="minorHAnsi" w:hAnsiTheme="minorHAnsi" w:cstheme="minorHAnsi"/>
          <w:color w:val="0D0D0D" w:themeColor="text1" w:themeTint="F2"/>
        </w:rPr>
        <w:t>stationarity.</w:t>
      </w:r>
    </w:p>
    <w:p w14:paraId="6F3B437E" w14:textId="77777777" w:rsidR="007D7BE2" w:rsidRPr="00870330" w:rsidRDefault="007D7BE2" w:rsidP="007D7BE2">
      <w:pPr>
        <w:spacing w:after="0"/>
        <w:rPr>
          <w:lang w:val="sv-SE" w:eastAsia="id-ID"/>
        </w:rPr>
      </w:pPr>
    </w:p>
    <w:tbl>
      <w:tblPr>
        <w:tblW w:w="8789" w:type="dxa"/>
        <w:tblLook w:val="04A0" w:firstRow="1" w:lastRow="0" w:firstColumn="1" w:lastColumn="0" w:noHBand="0" w:noVBand="1"/>
      </w:tblPr>
      <w:tblGrid>
        <w:gridCol w:w="8080"/>
        <w:gridCol w:w="709"/>
      </w:tblGrid>
      <w:tr w:rsidR="00A51BC3" w:rsidRPr="00870330" w14:paraId="632D59C2" w14:textId="77777777" w:rsidTr="00995A3C">
        <w:tc>
          <w:tcPr>
            <w:tcW w:w="8080" w:type="dxa"/>
            <w:shd w:val="clear" w:color="auto" w:fill="auto"/>
            <w:vAlign w:val="center"/>
          </w:tcPr>
          <w:p w14:paraId="4A3DD98E" w14:textId="77777777" w:rsidR="00A51BC3" w:rsidRPr="00870330" w:rsidRDefault="00A51BC3" w:rsidP="00995A3C">
            <w:pPr>
              <w:spacing w:after="0"/>
              <w:ind w:left="567"/>
              <w:jc w:val="center"/>
              <w:rPr>
                <w:rFonts w:asciiTheme="minorHAnsi" w:eastAsia="Times New Roman" w:hAnsiTheme="minorHAnsi" w:cstheme="minorHAnsi"/>
                <w:color w:val="0D0D0D" w:themeColor="text1" w:themeTint="F2"/>
              </w:rPr>
            </w:pPr>
            <m:oMathPara>
              <m:oMath>
                <m:r>
                  <w:rPr>
                    <w:rFonts w:ascii="Cambria Math" w:eastAsia="Times New Roman" w:hAnsi="Cambria Math" w:cstheme="minorHAnsi"/>
                    <w:color w:val="0D0D0D" w:themeColor="text1" w:themeTint="F2"/>
                  </w:rPr>
                  <m:t>∆</m:t>
                </m:r>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Y</m:t>
                    </m:r>
                  </m:e>
                  <m:sub>
                    <m:r>
                      <w:rPr>
                        <w:rFonts w:ascii="Cambria Math" w:eastAsia="Times New Roman" w:hAnsi="Cambria Math" w:cstheme="minorHAnsi"/>
                        <w:color w:val="0D0D0D" w:themeColor="text1" w:themeTint="F2"/>
                      </w:rPr>
                      <m:t>it</m:t>
                    </m:r>
                  </m:sub>
                </m:sSub>
                <m:r>
                  <w:rPr>
                    <w:rFonts w:ascii="Cambria Math" w:eastAsia="Times New Roman" w:hAnsi="Cambria Math" w:cstheme="minorHAnsi"/>
                    <w:color w:val="0D0D0D" w:themeColor="text1" w:themeTint="F2"/>
                  </w:rPr>
                  <m:t>=(1-ρ)</m:t>
                </m:r>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Y</m:t>
                    </m:r>
                  </m:e>
                  <m:sub>
                    <m:r>
                      <w:rPr>
                        <w:rFonts w:ascii="Cambria Math" w:eastAsia="Times New Roman" w:hAnsi="Cambria Math" w:cstheme="minorHAnsi"/>
                        <w:color w:val="0D0D0D" w:themeColor="text1" w:themeTint="F2"/>
                      </w:rPr>
                      <m:t>it-1</m:t>
                    </m:r>
                  </m:sub>
                </m:sSub>
                <m:r>
                  <w:rPr>
                    <w:rFonts w:ascii="Cambria Math" w:eastAsia="Times New Roman" w:hAnsi="Cambria Math" w:cstheme="minorHAnsi"/>
                    <w:color w:val="0D0D0D" w:themeColor="text1" w:themeTint="F2"/>
                  </w:rPr>
                  <m:t>+</m:t>
                </m:r>
                <m:nary>
                  <m:naryPr>
                    <m:chr m:val="∑"/>
                    <m:limLoc m:val="undOvr"/>
                    <m:ctrlPr>
                      <w:rPr>
                        <w:rFonts w:ascii="Cambria Math" w:eastAsia="Times New Roman" w:hAnsi="Cambria Math" w:cstheme="minorHAnsi"/>
                        <w:i/>
                        <w:color w:val="0D0D0D" w:themeColor="text1" w:themeTint="F2"/>
                      </w:rPr>
                    </m:ctrlPr>
                  </m:naryPr>
                  <m:sub>
                    <m:r>
                      <w:rPr>
                        <w:rFonts w:ascii="Cambria Math" w:eastAsia="Times New Roman" w:hAnsi="Cambria Math" w:cstheme="minorHAnsi"/>
                        <w:color w:val="0D0D0D" w:themeColor="text1" w:themeTint="F2"/>
                      </w:rPr>
                      <m:t>j=1</m:t>
                    </m:r>
                  </m:sub>
                  <m:sup>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q</m:t>
                        </m:r>
                      </m:e>
                      <m:sub>
                        <m:r>
                          <w:rPr>
                            <w:rFonts w:ascii="Cambria Math" w:eastAsia="Times New Roman" w:hAnsi="Cambria Math" w:cstheme="minorHAnsi"/>
                            <w:color w:val="0D0D0D" w:themeColor="text1" w:themeTint="F2"/>
                          </w:rPr>
                          <m:t>i</m:t>
                        </m:r>
                      </m:sub>
                    </m:sSub>
                  </m:sup>
                  <m:e>
                    <m:r>
                      <w:rPr>
                        <w:rFonts w:ascii="Cambria Math" w:eastAsia="Times New Roman" w:hAnsi="Cambria Math" w:cstheme="minorHAnsi"/>
                        <w:color w:val="0D0D0D" w:themeColor="text1" w:themeTint="F2"/>
                      </w:rPr>
                      <m:t>θ∆</m:t>
                    </m:r>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Y</m:t>
                        </m:r>
                      </m:e>
                      <m:sub>
                        <m:r>
                          <w:rPr>
                            <w:rFonts w:ascii="Cambria Math" w:eastAsia="Times New Roman" w:hAnsi="Cambria Math" w:cstheme="minorHAnsi"/>
                            <w:color w:val="0D0D0D" w:themeColor="text1" w:themeTint="F2"/>
                          </w:rPr>
                          <m:t>it-j</m:t>
                        </m:r>
                      </m:sub>
                    </m:sSub>
                  </m:e>
                </m:nary>
                <m:r>
                  <w:rPr>
                    <w:rFonts w:ascii="Cambria Math" w:eastAsia="Times New Roman" w:hAnsi="Cambria Math" w:cstheme="minorHAnsi"/>
                    <w:color w:val="0D0D0D" w:themeColor="text1" w:themeTint="F2"/>
                  </w:rPr>
                  <m:t>+</m:t>
                </m:r>
                <m:sSubSup>
                  <m:sSubSupPr>
                    <m:ctrlPr>
                      <w:rPr>
                        <w:rFonts w:ascii="Cambria Math" w:eastAsia="Times New Roman" w:hAnsi="Cambria Math" w:cstheme="minorHAnsi"/>
                        <w:i/>
                        <w:color w:val="0D0D0D" w:themeColor="text1" w:themeTint="F2"/>
                      </w:rPr>
                    </m:ctrlPr>
                  </m:sSubSupPr>
                  <m:e>
                    <m:r>
                      <w:rPr>
                        <w:rFonts w:ascii="Cambria Math" w:eastAsia="Times New Roman" w:hAnsi="Cambria Math" w:cstheme="minorHAnsi"/>
                        <w:color w:val="0D0D0D" w:themeColor="text1" w:themeTint="F2"/>
                      </w:rPr>
                      <m:t>Z</m:t>
                    </m:r>
                  </m:e>
                  <m:sub>
                    <m:r>
                      <w:rPr>
                        <w:rFonts w:ascii="Cambria Math" w:eastAsia="Times New Roman" w:hAnsi="Cambria Math" w:cstheme="minorHAnsi"/>
                        <w:color w:val="0D0D0D" w:themeColor="text1" w:themeTint="F2"/>
                      </w:rPr>
                      <m:t>it</m:t>
                    </m:r>
                  </m:sub>
                  <m:sup>
                    <m:r>
                      <w:rPr>
                        <w:rFonts w:ascii="Cambria Math" w:eastAsia="Times New Roman" w:hAnsi="Cambria Math" w:cstheme="minorHAnsi"/>
                        <w:color w:val="0D0D0D" w:themeColor="text1" w:themeTint="F2"/>
                      </w:rPr>
                      <m:t>*</m:t>
                    </m:r>
                  </m:sup>
                </m:sSubSup>
                <m:r>
                  <w:rPr>
                    <w:rFonts w:ascii="Cambria Math" w:eastAsia="Times New Roman" w:hAnsi="Cambria Math" w:cstheme="minorHAnsi"/>
                    <w:color w:val="0D0D0D" w:themeColor="text1" w:themeTint="F2"/>
                  </w:rPr>
                  <m:t>δ+</m:t>
                </m:r>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e</m:t>
                    </m:r>
                  </m:e>
                  <m:sub>
                    <m:r>
                      <w:rPr>
                        <w:rFonts w:ascii="Cambria Math" w:eastAsia="Times New Roman" w:hAnsi="Cambria Math" w:cstheme="minorHAnsi"/>
                        <w:color w:val="0D0D0D" w:themeColor="text1" w:themeTint="F2"/>
                      </w:rPr>
                      <m:t>it</m:t>
                    </m:r>
                  </m:sub>
                </m:sSub>
              </m:oMath>
            </m:oMathPara>
          </w:p>
        </w:tc>
        <w:tc>
          <w:tcPr>
            <w:tcW w:w="709" w:type="dxa"/>
            <w:shd w:val="clear" w:color="auto" w:fill="auto"/>
            <w:vAlign w:val="center"/>
          </w:tcPr>
          <w:p w14:paraId="41CFFD18" w14:textId="77777777" w:rsidR="00A51BC3" w:rsidRPr="00870330" w:rsidRDefault="00A51BC3" w:rsidP="00995A3C">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(4)</w:t>
            </w:r>
          </w:p>
        </w:tc>
      </w:tr>
    </w:tbl>
    <w:p w14:paraId="5DD951B9" w14:textId="77777777" w:rsidR="00A51BC3" w:rsidRPr="00870330" w:rsidRDefault="00A51BC3" w:rsidP="00A51BC3">
      <w:pPr>
        <w:spacing w:after="0"/>
        <w:jc w:val="both"/>
        <w:rPr>
          <w:color w:val="0D0D0D" w:themeColor="text1" w:themeTint="F2"/>
        </w:rPr>
      </w:pPr>
    </w:p>
    <w:p w14:paraId="3FF9F8B4" w14:textId="4407D8E3" w:rsidR="00D840FF" w:rsidRPr="00870330" w:rsidRDefault="003921E4" w:rsidP="00D840FF">
      <w:pPr>
        <w:spacing w:after="0"/>
        <w:jc w:val="both"/>
        <w:rPr>
          <w:rFonts w:asciiTheme="minorHAnsi" w:hAnsiTheme="minorHAnsi" w:cstheme="minorHAnsi"/>
          <w:noProof/>
          <w:color w:val="0D0D0D"/>
        </w:rPr>
      </w:pPr>
      <m:oMath>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Y</m:t>
            </m:r>
          </m:e>
          <m:sub>
            <m:r>
              <w:rPr>
                <w:rFonts w:ascii="Cambria Math" w:hAnsi="Cambria Math" w:cstheme="minorHAnsi"/>
                <w:color w:val="0D0D0D" w:themeColor="text1" w:themeTint="F2"/>
              </w:rPr>
              <m:t>it</m:t>
            </m:r>
          </m:sub>
        </m:sSub>
      </m:oMath>
      <w:r w:rsidR="00D840FF" w:rsidRPr="00870330">
        <w:rPr>
          <w:rFonts w:asciiTheme="minorHAnsi" w:hAnsiTheme="minorHAnsi" w:cstheme="minorHAnsi"/>
          <w:color w:val="0D0D0D" w:themeColor="text1" w:themeTint="F2"/>
        </w:rPr>
        <w:t xml:space="preserve"> </w:t>
      </w:r>
      <w:r w:rsidR="00A34E98" w:rsidRPr="00870330">
        <w:rPr>
          <w:rFonts w:asciiTheme="minorHAnsi" w:hAnsiTheme="minorHAnsi" w:cstheme="minorHAnsi"/>
          <w:color w:val="0D0D0D" w:themeColor="text1" w:themeTint="F2"/>
          <w:lang w:eastAsia="id-ID"/>
        </w:rPr>
        <w:t>=</w:t>
      </w:r>
      <w:r w:rsidR="00D840FF" w:rsidRPr="00870330">
        <w:rPr>
          <w:rFonts w:asciiTheme="minorHAnsi" w:hAnsiTheme="minorHAnsi" w:cstheme="minorHAnsi"/>
          <w:color w:val="0D0D0D" w:themeColor="text1" w:themeTint="F2"/>
          <w:lang w:eastAsia="id-ID"/>
        </w:rPr>
        <w:t xml:space="preserve"> a variable in the form of panel data, </w:t>
      </w:r>
      <m:oMath>
        <m:r>
          <w:rPr>
            <w:rFonts w:ascii="Cambria Math" w:hAnsi="Cambria Math" w:cstheme="minorHAnsi"/>
            <w:color w:val="0D0D0D" w:themeColor="text1" w:themeTint="F2"/>
          </w:rPr>
          <m:t>∆</m:t>
        </m:r>
      </m:oMath>
      <w:r w:rsidR="00D840FF" w:rsidRPr="00870330">
        <w:rPr>
          <w:rFonts w:asciiTheme="minorHAnsi" w:hAnsiTheme="minorHAnsi" w:cstheme="minorHAnsi"/>
          <w:color w:val="0D0D0D" w:themeColor="text1" w:themeTint="F2"/>
        </w:rPr>
        <w:t xml:space="preserve"> </w:t>
      </w:r>
      <w:r w:rsidR="00D840FF" w:rsidRPr="00870330">
        <w:rPr>
          <w:rFonts w:asciiTheme="minorHAnsi" w:hAnsiTheme="minorHAnsi" w:cstheme="minorHAnsi"/>
          <w:color w:val="0D0D0D" w:themeColor="text1" w:themeTint="F2"/>
          <w:lang w:eastAsia="id-ID"/>
        </w:rPr>
        <w:t xml:space="preserve">= differentiation, q = number of ADF regression lags, </w:t>
      </w:r>
      <m:oMath>
        <m:r>
          <w:rPr>
            <w:rFonts w:ascii="Cambria Math" w:hAnsi="Cambria Math" w:cstheme="minorHAnsi"/>
            <w:color w:val="0D0D0D" w:themeColor="text1" w:themeTint="F2"/>
          </w:rPr>
          <m:t>θ</m:t>
        </m:r>
      </m:oMath>
      <w:r w:rsidR="00A34E98" w:rsidRPr="00870330">
        <w:rPr>
          <w:rFonts w:asciiTheme="minorHAnsi" w:hAnsiTheme="minorHAnsi" w:cstheme="minorHAnsi"/>
          <w:color w:val="0D0D0D" w:themeColor="text1" w:themeTint="F2"/>
          <w:lang w:eastAsia="id-ID"/>
        </w:rPr>
        <w:t xml:space="preserve"> =</w:t>
      </w:r>
      <w:r w:rsidR="00D840FF" w:rsidRPr="00870330">
        <w:rPr>
          <w:rFonts w:asciiTheme="minorHAnsi" w:hAnsiTheme="minorHAnsi" w:cstheme="minorHAnsi"/>
          <w:color w:val="0D0D0D" w:themeColor="text1" w:themeTint="F2"/>
          <w:lang w:eastAsia="id-ID"/>
        </w:rPr>
        <w:t xml:space="preserve"> the coefficient </w:t>
      </w:r>
      <w:proofErr w:type="gramStart"/>
      <w:r w:rsidR="00D840FF" w:rsidRPr="00870330">
        <w:rPr>
          <w:rFonts w:asciiTheme="minorHAnsi" w:hAnsiTheme="minorHAnsi" w:cstheme="minorHAnsi"/>
          <w:color w:val="0D0D0D" w:themeColor="text1" w:themeTint="F2"/>
          <w:lang w:eastAsia="id-ID"/>
        </w:rPr>
        <w:t xml:space="preserve">of </w:t>
      </w:r>
      <w:proofErr w:type="gramEnd"/>
      <m:oMath>
        <m:r>
          <w:rPr>
            <w:rFonts w:ascii="Cambria Math" w:hAnsi="Cambria Math" w:cstheme="minorHAnsi"/>
            <w:color w:val="0D0D0D" w:themeColor="text1" w:themeTint="F2"/>
          </w:rPr>
          <m:t>∆</m:t>
        </m:r>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Y</m:t>
            </m:r>
          </m:e>
          <m:sub>
            <m:r>
              <w:rPr>
                <w:rFonts w:ascii="Cambria Math" w:hAnsi="Cambria Math" w:cstheme="minorHAnsi"/>
                <w:color w:val="0D0D0D" w:themeColor="text1" w:themeTint="F2"/>
              </w:rPr>
              <m:t>it-1</m:t>
            </m:r>
          </m:sub>
        </m:sSub>
      </m:oMath>
      <w:r w:rsidR="00A34E98" w:rsidRPr="00870330">
        <w:rPr>
          <w:rFonts w:asciiTheme="minorHAnsi" w:hAnsiTheme="minorHAnsi" w:cstheme="minorHAnsi"/>
          <w:color w:val="0D0D0D" w:themeColor="text1" w:themeTint="F2"/>
          <w:lang w:eastAsia="id-ID"/>
        </w:rPr>
        <w:t>, Z =</w:t>
      </w:r>
      <w:r w:rsidR="00D840FF" w:rsidRPr="00870330">
        <w:rPr>
          <w:rFonts w:asciiTheme="minorHAnsi" w:hAnsiTheme="minorHAnsi" w:cstheme="minorHAnsi"/>
          <w:color w:val="0D0D0D" w:themeColor="text1" w:themeTint="F2"/>
          <w:lang w:eastAsia="id-ID"/>
        </w:rPr>
        <w:t xml:space="preserve"> deterministic component, and </w:t>
      </w:r>
      <m:oMath>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e</m:t>
            </m:r>
          </m:e>
          <m:sub>
            <m:r>
              <w:rPr>
                <w:rFonts w:ascii="Cambria Math" w:hAnsi="Cambria Math" w:cstheme="minorHAnsi"/>
                <w:color w:val="0D0D0D" w:themeColor="text1" w:themeTint="F2"/>
              </w:rPr>
              <m:t>it</m:t>
            </m:r>
          </m:sub>
        </m:sSub>
      </m:oMath>
      <w:r w:rsidR="00D840FF" w:rsidRPr="00870330">
        <w:rPr>
          <w:rFonts w:asciiTheme="minorHAnsi" w:hAnsiTheme="minorHAnsi" w:cstheme="minorHAnsi"/>
          <w:color w:val="0D0D0D" w:themeColor="text1" w:themeTint="F2"/>
        </w:rPr>
        <w:t xml:space="preserve"> </w:t>
      </w:r>
      <w:r w:rsidR="00A34E98" w:rsidRPr="00870330">
        <w:rPr>
          <w:rFonts w:asciiTheme="minorHAnsi" w:hAnsiTheme="minorHAnsi" w:cstheme="minorHAnsi"/>
          <w:color w:val="0D0D0D" w:themeColor="text1" w:themeTint="F2"/>
          <w:lang w:eastAsia="id-ID"/>
        </w:rPr>
        <w:t>=</w:t>
      </w:r>
      <w:r w:rsidR="00D840FF" w:rsidRPr="00870330">
        <w:rPr>
          <w:rFonts w:asciiTheme="minorHAnsi" w:hAnsiTheme="minorHAnsi" w:cstheme="minorHAnsi"/>
          <w:color w:val="0D0D0D" w:themeColor="text1" w:themeTint="F2"/>
          <w:lang w:eastAsia="id-ID"/>
        </w:rPr>
        <w:t xml:space="preserve"> error. LLC assumes homogeneity in the autoregressive coefficients for all individual panels </w:t>
      </w:r>
      <w:r w:rsidR="00D840FF" w:rsidRPr="00870330">
        <w:rPr>
          <w:rFonts w:asciiTheme="minorHAnsi" w:hAnsiTheme="minorHAnsi" w:cstheme="minorHAnsi"/>
          <w:color w:val="0D0D0D" w:themeColor="text1" w:themeTint="F2"/>
        </w:rPr>
        <w:t>(</w:t>
      </w:r>
      <m:oMath>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ρ</m:t>
            </m:r>
          </m:e>
          <m:sub>
            <m:r>
              <w:rPr>
                <w:rFonts w:ascii="Cambria Math" w:hAnsi="Cambria Math" w:cstheme="minorHAnsi"/>
                <w:color w:val="0D0D0D" w:themeColor="text1" w:themeTint="F2"/>
              </w:rPr>
              <m:t>i</m:t>
            </m:r>
          </m:sub>
        </m:sSub>
        <m:r>
          <w:rPr>
            <w:rFonts w:ascii="Cambria Math" w:hAnsi="Cambria Math" w:cstheme="minorHAnsi"/>
            <w:color w:val="0D0D0D" w:themeColor="text1" w:themeTint="F2"/>
          </w:rPr>
          <m:t>=ρ</m:t>
        </m:r>
      </m:oMath>
      <w:r w:rsidR="00D840FF" w:rsidRPr="00870330">
        <w:rPr>
          <w:rFonts w:asciiTheme="minorHAnsi" w:hAnsiTheme="minorHAnsi" w:cstheme="minorHAnsi"/>
          <w:color w:val="0D0D0D" w:themeColor="text1" w:themeTint="F2"/>
        </w:rPr>
        <w:t xml:space="preserve">). </w:t>
      </w:r>
      <w:r w:rsidR="00D840FF" w:rsidRPr="00870330">
        <w:rPr>
          <w:rFonts w:asciiTheme="minorHAnsi" w:hAnsiTheme="minorHAnsi" w:cstheme="minorHAnsi"/>
          <w:color w:val="0D0D0D" w:themeColor="text1" w:themeTint="F2"/>
          <w:lang w:eastAsia="id-ID"/>
        </w:rPr>
        <w:t xml:space="preserve">Y is stationary </w:t>
      </w:r>
      <w:proofErr w:type="gramStart"/>
      <w:r w:rsidR="00D840FF" w:rsidRPr="00870330">
        <w:rPr>
          <w:rFonts w:asciiTheme="minorHAnsi" w:hAnsiTheme="minorHAnsi" w:cstheme="minorHAnsi"/>
          <w:color w:val="0D0D0D" w:themeColor="text1" w:themeTint="F2"/>
          <w:lang w:eastAsia="id-ID"/>
        </w:rPr>
        <w:t xml:space="preserve">if </w:t>
      </w:r>
      <w:proofErr w:type="gramEnd"/>
      <m:oMath>
        <m:d>
          <m:dPr>
            <m:begChr m:val="|"/>
            <m:endChr m:val="|"/>
            <m:ctrlPr>
              <w:rPr>
                <w:rFonts w:ascii="Cambria Math" w:hAnsi="Cambria Math" w:cstheme="minorHAnsi"/>
                <w:i/>
                <w:color w:val="0D0D0D" w:themeColor="text1" w:themeTint="F2"/>
              </w:rPr>
            </m:ctrlPr>
          </m:dPr>
          <m:e>
            <m:r>
              <w:rPr>
                <w:rFonts w:ascii="Cambria Math" w:hAnsi="Cambria Math" w:cstheme="minorHAnsi"/>
                <w:color w:val="0D0D0D" w:themeColor="text1" w:themeTint="F2"/>
              </w:rPr>
              <m:t>ρ</m:t>
            </m:r>
          </m:e>
        </m:d>
        <m:r>
          <w:rPr>
            <w:rFonts w:ascii="Cambria Math" w:hAnsi="Cambria Math" w:cstheme="minorHAnsi"/>
            <w:color w:val="0D0D0D" w:themeColor="text1" w:themeTint="F2"/>
          </w:rPr>
          <m:t>&lt;1</m:t>
        </m:r>
      </m:oMath>
      <w:r w:rsidR="00D840FF" w:rsidRPr="00870330">
        <w:rPr>
          <w:rFonts w:asciiTheme="minorHAnsi" w:hAnsiTheme="minorHAnsi" w:cstheme="minorHAnsi"/>
          <w:color w:val="0D0D0D" w:themeColor="text1" w:themeTint="F2"/>
          <w:lang w:eastAsia="id-ID"/>
        </w:rPr>
        <w:t>. Reject the null hypothesis if the t-statistic is g</w:t>
      </w:r>
      <w:r w:rsidR="007B536C" w:rsidRPr="00870330">
        <w:rPr>
          <w:rFonts w:asciiTheme="minorHAnsi" w:hAnsiTheme="minorHAnsi" w:cstheme="minorHAnsi"/>
          <w:color w:val="0D0D0D" w:themeColor="text1" w:themeTint="F2"/>
          <w:lang w:eastAsia="id-ID"/>
        </w:rPr>
        <w:t>reater than the critical values</w:t>
      </w:r>
      <w:r w:rsidR="00D840FF" w:rsidRPr="00870330">
        <w:rPr>
          <w:rFonts w:asciiTheme="minorHAnsi" w:hAnsiTheme="minorHAnsi" w:cstheme="minorHAnsi"/>
          <w:color w:val="0D0D0D" w:themeColor="text1" w:themeTint="F2"/>
          <w:lang w:eastAsia="id-ID"/>
        </w:rPr>
        <w:t xml:space="preserve"> or the p-value is smaller than the </w:t>
      </w:r>
      <w:r w:rsidR="001F1FDE" w:rsidRPr="00870330">
        <w:rPr>
          <w:rFonts w:asciiTheme="minorHAnsi" w:hAnsiTheme="minorHAnsi" w:cstheme="minorHAnsi"/>
          <w:color w:val="0D0D0D" w:themeColor="text1" w:themeTint="F2"/>
          <w:lang w:eastAsia="id-ID"/>
        </w:rPr>
        <w:t>10%</w:t>
      </w:r>
      <w:r w:rsidR="00D840FF" w:rsidRPr="00870330">
        <w:rPr>
          <w:rFonts w:asciiTheme="minorHAnsi" w:hAnsiTheme="minorHAnsi" w:cstheme="minorHAnsi"/>
          <w:color w:val="0D0D0D" w:themeColor="text1" w:themeTint="F2"/>
          <w:lang w:eastAsia="id-ID"/>
        </w:rPr>
        <w:t xml:space="preserve"> significance level. To check the robustness, </w:t>
      </w:r>
      <w:r w:rsidR="00C5745F" w:rsidRPr="00870330">
        <w:rPr>
          <w:rFonts w:asciiTheme="minorHAnsi" w:hAnsiTheme="minorHAnsi" w:cstheme="minorHAnsi"/>
          <w:color w:val="0D0D0D" w:themeColor="text1" w:themeTint="F2"/>
          <w:lang w:eastAsia="id-ID"/>
        </w:rPr>
        <w:t>we present</w:t>
      </w:r>
      <w:r w:rsidR="0045519B" w:rsidRPr="00870330">
        <w:rPr>
          <w:rFonts w:asciiTheme="minorHAnsi" w:hAnsiTheme="minorHAnsi" w:cstheme="minorHAnsi"/>
          <w:color w:val="0D0D0D" w:themeColor="text1" w:themeTint="F2"/>
          <w:lang w:eastAsia="id-ID"/>
        </w:rPr>
        <w:t xml:space="preserve"> the </w:t>
      </w:r>
      <w:r w:rsidR="00860891" w:rsidRPr="00870330">
        <w:rPr>
          <w:rFonts w:asciiTheme="minorHAnsi" w:hAnsiTheme="minorHAnsi" w:cstheme="minorHAnsi"/>
          <w:color w:val="0D0D0D" w:themeColor="text1" w:themeTint="F2"/>
          <w:lang w:eastAsia="id-ID"/>
        </w:rPr>
        <w:t>IPS unit root test as proposed by</w:t>
      </w:r>
      <w:r w:rsidR="007B536C" w:rsidRPr="00870330">
        <w:rPr>
          <w:rFonts w:asciiTheme="minorHAnsi" w:hAnsiTheme="minorHAnsi" w:cstheme="minorHAnsi"/>
          <w:color w:val="0D0D0D" w:themeColor="text1" w:themeTint="F2"/>
          <w:lang w:eastAsia="id-ID"/>
        </w:rPr>
        <w:t xml:space="preserve"> </w:t>
      </w:r>
      <w:r w:rsidR="00634A85" w:rsidRPr="00870330">
        <w:rPr>
          <w:rFonts w:asciiTheme="minorHAnsi" w:hAnsiTheme="minorHAnsi" w:cstheme="minorHAnsi"/>
          <w:color w:val="0D0D0D" w:themeColor="text1" w:themeTint="F2"/>
          <w:lang w:eastAsia="id-ID"/>
        </w:rPr>
        <w:fldChar w:fldCharType="begin" w:fldLock="1"/>
      </w:r>
      <w:r w:rsidR="00BD22CC">
        <w:rPr>
          <w:rFonts w:asciiTheme="minorHAnsi" w:hAnsiTheme="minorHAnsi" w:cstheme="minorHAnsi"/>
          <w:color w:val="0D0D0D" w:themeColor="text1" w:themeTint="F2"/>
          <w:lang w:eastAsia="id-ID"/>
        </w:rPr>
        <w:instrText>ADDIN CSL_CITATION {"citationItems":[{"id":"ITEM-1","itemData":{"DOI":"10.1016/S0304-4076(03)00092-7","ISSN":"03044076","abstract":"This paper proposes unit root tests for dynamic heterogeneous panels based on the mean of individual unit root statistics. In particular it proposes a standardized t-bar test statistic based on the (augmented) Dickey-Fuller statistics averaged across the groups. Under a general setting this statistic is shown to converge in probability to a standard normal variate sequentially with T (the time series dimension) → ∞, followed by N (the cross sectional dimension) → ∞. A diagonal convergence result with T and N → ∞ while N/T → k, k being a finite non-negative constant, is also conjectured. In the special case where errors in individual Dickey-Fuller (DF) regressions are serially uncorrelated a modified version of the standardized t-bar statistic is shown to be distributed as standard normal as N → ∞ for a fixed T, so long as T &gt; 5 in the case of DF regressions with intercepts and T &gt; 6 in the case of DF regressions with intercepts and linear time trends. An exact fixed N and T test is also developed using the simple average of the DF statistics. Monte Carlo results show that if a large enough lag order is selected for the underlying ADF regressions, then the small sample performances of the t-bar test is reasonably satisfactory and generally better than the test proposed by Levin and Lin (Unpublished manuscript, University of California, San Diego, 1993). © 2003 Elsevier Science B.V. All rights reserved.","author":[{"dropping-particle":"","family":"Im","given":"Kyung So","non-dropping-particle":"","parse-names":false,"suffix":""},{"dropping-particle":"","family":"Pesaran","given":"M. Hashem","non-dropping-particle":"","parse-names":false,"suffix":""},{"dropping-particle":"","family":"Shin","given":"Yongcheol","non-dropping-particle":"","parse-names":false,"suffix":""}],"container-title":"Journal of Econometrics","id":"ITEM-1","issue":"1","issued":{"date-parts":[["2003"]]},"page":"53-74","title":"Testing for unit roots in heterogeneous panels","type":"article-journal","volume":"115"},"uris":["http://www.mendeley.com/documents/?uuid=7f901a6e-18ab-4855-bafd-475561ecc9d7"]}],"mendeley":{"formattedCitation":"(Im et al., 2003)","manualFormatting":"Im et al. (2003)","plainTextFormattedCitation":"(Im et al., 2003)","previouslyFormattedCitation":"(Im et al., 2003)"},"properties":{"noteIndex":0},"schema":"https://github.com/citation-style-language/schema/raw/master/csl-citation.json"}</w:instrText>
      </w:r>
      <w:r w:rsidR="00634A85" w:rsidRPr="00870330">
        <w:rPr>
          <w:rFonts w:asciiTheme="minorHAnsi" w:hAnsiTheme="minorHAnsi" w:cstheme="minorHAnsi"/>
          <w:color w:val="0D0D0D" w:themeColor="text1" w:themeTint="F2"/>
          <w:lang w:eastAsia="id-ID"/>
        </w:rPr>
        <w:fldChar w:fldCharType="separate"/>
      </w:r>
      <w:r w:rsidR="00634A85" w:rsidRPr="00870330">
        <w:rPr>
          <w:rFonts w:asciiTheme="minorHAnsi" w:hAnsiTheme="minorHAnsi" w:cstheme="minorHAnsi"/>
          <w:noProof/>
          <w:color w:val="0D0D0D" w:themeColor="text1" w:themeTint="F2"/>
          <w:lang w:eastAsia="id-ID"/>
        </w:rPr>
        <w:t>Im et al. (2003)</w:t>
      </w:r>
      <w:r w:rsidR="00634A85" w:rsidRPr="00870330">
        <w:rPr>
          <w:rFonts w:asciiTheme="minorHAnsi" w:hAnsiTheme="minorHAnsi" w:cstheme="minorHAnsi"/>
          <w:color w:val="0D0D0D" w:themeColor="text1" w:themeTint="F2"/>
          <w:lang w:eastAsia="id-ID"/>
        </w:rPr>
        <w:fldChar w:fldCharType="end"/>
      </w:r>
      <w:r w:rsidR="00634A85" w:rsidRPr="00870330">
        <w:rPr>
          <w:rFonts w:asciiTheme="minorHAnsi" w:hAnsiTheme="minorHAnsi" w:cstheme="minorHAnsi"/>
          <w:color w:val="0D0D0D" w:themeColor="text1" w:themeTint="F2"/>
          <w:lang w:eastAsia="id-ID"/>
        </w:rPr>
        <w:t>.</w:t>
      </w:r>
    </w:p>
    <w:p w14:paraId="7EBE5EBB" w14:textId="77777777" w:rsidR="00C84AE0" w:rsidRPr="00870330" w:rsidRDefault="00C84AE0" w:rsidP="004C2EEB">
      <w:pPr>
        <w:spacing w:after="0"/>
        <w:jc w:val="both"/>
        <w:rPr>
          <w:rFonts w:asciiTheme="minorHAnsi" w:hAnsiTheme="minorHAnsi" w:cstheme="minorHAnsi"/>
          <w:color w:val="0D0D0D" w:themeColor="text1" w:themeTint="F2"/>
          <w:lang w:eastAsia="id-ID"/>
        </w:rPr>
      </w:pPr>
    </w:p>
    <w:p w14:paraId="0AF0F2B9" w14:textId="18BED679" w:rsidR="004C2EEB" w:rsidRPr="00870330" w:rsidRDefault="002B39E7" w:rsidP="0080167D">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Next</w:t>
      </w:r>
      <w:r w:rsidR="004C2EEB" w:rsidRPr="00870330">
        <w:rPr>
          <w:rFonts w:asciiTheme="minorHAnsi" w:hAnsiTheme="minorHAnsi" w:cstheme="minorHAnsi"/>
          <w:color w:val="0D0D0D" w:themeColor="text1" w:themeTint="F2"/>
          <w:lang w:eastAsia="id-ID"/>
        </w:rPr>
        <w:t xml:space="preserve">, this study applies the </w:t>
      </w:r>
      <w:proofErr w:type="spellStart"/>
      <w:r w:rsidR="004C2EEB" w:rsidRPr="00870330">
        <w:rPr>
          <w:rFonts w:asciiTheme="minorHAnsi" w:hAnsiTheme="minorHAnsi" w:cstheme="minorHAnsi"/>
          <w:color w:val="0D0D0D" w:themeColor="text1" w:themeTint="F2"/>
          <w:lang w:eastAsia="id-ID"/>
        </w:rPr>
        <w:t>cointegration</w:t>
      </w:r>
      <w:proofErr w:type="spellEnd"/>
      <w:r w:rsidR="004C2EEB" w:rsidRPr="00870330">
        <w:rPr>
          <w:rFonts w:asciiTheme="minorHAnsi" w:hAnsiTheme="minorHAnsi" w:cstheme="minorHAnsi"/>
          <w:color w:val="0D0D0D" w:themeColor="text1" w:themeTint="F2"/>
          <w:lang w:eastAsia="id-ID"/>
        </w:rPr>
        <w:t xml:space="preserve"> test proposed by </w:t>
      </w:r>
      <w:r w:rsidR="0080167D" w:rsidRPr="00870330">
        <w:rPr>
          <w:rFonts w:asciiTheme="minorHAnsi" w:hAnsiTheme="minorHAnsi" w:cstheme="minorHAnsi"/>
          <w:noProof/>
          <w:color w:val="0D0D0D"/>
        </w:rPr>
        <w:fldChar w:fldCharType="begin" w:fldLock="1"/>
      </w:r>
      <w:r w:rsidR="0080167D" w:rsidRPr="00870330">
        <w:rPr>
          <w:rFonts w:asciiTheme="minorHAnsi" w:hAnsiTheme="minorHAnsi" w:cstheme="minorHAnsi"/>
          <w:noProof/>
          <w:color w:val="0D0D0D"/>
        </w:rPr>
        <w:instrText>ADDIN CSL_CITATION {"citationItems":[{"id":"ITEM-1","itemData":{"DOI":"10.1016/S0304-4076(98)00023-2","ISSN":"03044076","abstract":"In the first half of the paper I study spurious regressions in panel data. Asymptotic properties of the least-squares dummy variable (LSDV) estimator and other conventional statistics are examined. The asymptotics of LSDV estimator are different from those of the spurious regression in the pure time-series. This has an important consequence for residual-based cointegration tests in panel data, because the null distribution of residual-based cointegration tests depends on the asymptotics of LSDV estimator. In the second half of the paper I study residual-based tests for cointegration regression in panel data. I study Dickey-Fuller (DF) tests and an augmented Dickey-Fuller (ADF) test to test the null of no cointegration. Asymptotic distributions of the tests are derived and Monte Carlo experiments are conducted to evaluate finite sample properties of the proposed tests. © 1999 Elsevier Science S.A. All rights reserved.","author":[{"dropping-particle":"","family":"Kao","given":"Chihwa","non-dropping-particle":"","parse-names":false,"suffix":""}],"container-title":"Journal of Econometrics","id":"ITEM-1","issue":"1","issued":{"date-parts":[["1999"]]},"page":"1-44","title":"Spurious regression and residual-based tests for cointegration in panel data","type":"article-journal","volume":"90"},"uris":["http://www.mendeley.com/documents/?uuid=9dcb633d-d25a-49b3-b006-d566a2fbfd7d"]}],"mendeley":{"formattedCitation":"(Kao, 1999)","manualFormatting":"Kao (1999)","plainTextFormattedCitation":"(Kao, 1999)","previouslyFormattedCitation":"(Kao, 1999)"},"properties":{"noteIndex":0},"schema":"https://github.com/citation-style-language/schema/raw/master/csl-citation.json"}</w:instrText>
      </w:r>
      <w:r w:rsidR="0080167D" w:rsidRPr="00870330">
        <w:rPr>
          <w:rFonts w:asciiTheme="minorHAnsi" w:hAnsiTheme="minorHAnsi" w:cstheme="minorHAnsi"/>
          <w:noProof/>
          <w:color w:val="0D0D0D"/>
        </w:rPr>
        <w:fldChar w:fldCharType="separate"/>
      </w:r>
      <w:r w:rsidR="0080167D" w:rsidRPr="00870330">
        <w:rPr>
          <w:rFonts w:asciiTheme="minorHAnsi" w:hAnsiTheme="minorHAnsi" w:cstheme="minorHAnsi"/>
          <w:noProof/>
          <w:color w:val="0D0D0D"/>
        </w:rPr>
        <w:t>Kao (1999)</w:t>
      </w:r>
      <w:r w:rsidR="0080167D" w:rsidRPr="00870330">
        <w:rPr>
          <w:rFonts w:asciiTheme="minorHAnsi" w:hAnsiTheme="minorHAnsi" w:cstheme="minorHAnsi"/>
          <w:noProof/>
          <w:color w:val="0D0D0D"/>
        </w:rPr>
        <w:fldChar w:fldCharType="end"/>
      </w:r>
      <w:r w:rsidR="0080167D" w:rsidRPr="00870330">
        <w:rPr>
          <w:rFonts w:asciiTheme="minorHAnsi" w:hAnsiTheme="minorHAnsi" w:cstheme="minorHAnsi"/>
          <w:noProof/>
          <w:color w:val="0D0D0D"/>
        </w:rPr>
        <w:t xml:space="preserve">. </w:t>
      </w:r>
      <w:proofErr w:type="spellStart"/>
      <w:r w:rsidR="004C2EEB" w:rsidRPr="00870330">
        <w:rPr>
          <w:rFonts w:asciiTheme="minorHAnsi" w:hAnsiTheme="minorHAnsi" w:cstheme="minorHAnsi"/>
          <w:color w:val="0D0D0D" w:themeColor="text1" w:themeTint="F2"/>
          <w:lang w:eastAsia="id-ID"/>
        </w:rPr>
        <w:t>Cointegration</w:t>
      </w:r>
      <w:proofErr w:type="spellEnd"/>
      <w:r w:rsidR="004C2EEB" w:rsidRPr="00870330">
        <w:rPr>
          <w:rFonts w:asciiTheme="minorHAnsi" w:hAnsiTheme="minorHAnsi" w:cstheme="minorHAnsi"/>
          <w:color w:val="0D0D0D" w:themeColor="text1" w:themeTint="F2"/>
          <w:lang w:eastAsia="id-ID"/>
        </w:rPr>
        <w:t xml:space="preserve"> indicates a long-term relationship, i.e. the combination of a number of variables that are not stationary yet become stationary and integrated in the same order. </w:t>
      </w:r>
      <w:r w:rsidR="0080167D" w:rsidRPr="00870330">
        <w:rPr>
          <w:rFonts w:asciiTheme="minorHAnsi" w:hAnsiTheme="minorHAnsi" w:cstheme="minorHAnsi"/>
          <w:noProof/>
          <w:color w:val="0D0D0D"/>
        </w:rPr>
        <w:fldChar w:fldCharType="begin" w:fldLock="1"/>
      </w:r>
      <w:r w:rsidR="0080167D" w:rsidRPr="00870330">
        <w:rPr>
          <w:rFonts w:asciiTheme="minorHAnsi" w:hAnsiTheme="minorHAnsi" w:cstheme="minorHAnsi"/>
          <w:noProof/>
          <w:color w:val="0D0D0D"/>
        </w:rPr>
        <w:instrText>ADDIN CSL_CITATION {"citationItems":[{"id":"ITEM-1","itemData":{"DOI":"10.1016/S0304-4076(98)00023-2","ISSN":"03044076","abstract":"In the first half of the paper I study spurious regressions in panel data. Asymptotic properties of the least-squares dummy variable (LSDV) estimator and other conventional statistics are examined. The asymptotics of LSDV estimator are different from those of the spurious regression in the pure time-series. This has an important consequence for residual-based cointegration tests in panel data, because the null distribution of residual-based cointegration tests depends on the asymptotics of LSDV estimator. In the second half of the paper I study residual-based tests for cointegration regression in panel data. I study Dickey-Fuller (DF) tests and an augmented Dickey-Fuller (ADF) test to test the null of no cointegration. Asymptotic distributions of the tests are derived and Monte Carlo experiments are conducted to evaluate finite sample properties of the proposed tests. © 1999 Elsevier Science S.A. All rights reserved.","author":[{"dropping-particle":"","family":"Kao","given":"Chihwa","non-dropping-particle":"","parse-names":false,"suffix":""}],"container-title":"Journal of Econometrics","id":"ITEM-1","issue":"1","issued":{"date-parts":[["1999"]]},"page":"1-44","title":"Spurious regression and residual-based tests for cointegration in panel data","type":"article-journal","volume":"90"},"uris":["http://www.mendeley.com/documents/?uuid=9dcb633d-d25a-49b3-b006-d566a2fbfd7d"]}],"mendeley":{"formattedCitation":"(Kao, 1999)","manualFormatting":"Kao (1999)","plainTextFormattedCitation":"(Kao, 1999)","previouslyFormattedCitation":"(Kao, 1999)"},"properties":{"noteIndex":0},"schema":"https://github.com/citation-style-language/schema/raw/master/csl-citation.json"}</w:instrText>
      </w:r>
      <w:r w:rsidR="0080167D" w:rsidRPr="00870330">
        <w:rPr>
          <w:rFonts w:asciiTheme="minorHAnsi" w:hAnsiTheme="minorHAnsi" w:cstheme="minorHAnsi"/>
          <w:noProof/>
          <w:color w:val="0D0D0D"/>
        </w:rPr>
        <w:fldChar w:fldCharType="separate"/>
      </w:r>
      <w:r w:rsidR="0080167D" w:rsidRPr="00870330">
        <w:rPr>
          <w:rFonts w:asciiTheme="minorHAnsi" w:hAnsiTheme="minorHAnsi" w:cstheme="minorHAnsi"/>
          <w:noProof/>
          <w:color w:val="0D0D0D"/>
        </w:rPr>
        <w:t>Kao (1999)</w:t>
      </w:r>
      <w:r w:rsidR="0080167D" w:rsidRPr="00870330">
        <w:rPr>
          <w:rFonts w:asciiTheme="minorHAnsi" w:hAnsiTheme="minorHAnsi" w:cstheme="minorHAnsi"/>
          <w:noProof/>
          <w:color w:val="0D0D0D"/>
        </w:rPr>
        <w:fldChar w:fldCharType="end"/>
      </w:r>
      <w:r w:rsidR="0080167D" w:rsidRPr="00870330">
        <w:rPr>
          <w:rFonts w:asciiTheme="minorHAnsi" w:hAnsiTheme="minorHAnsi" w:cstheme="minorHAnsi"/>
          <w:noProof/>
          <w:color w:val="0D0D0D"/>
        </w:rPr>
        <w:t xml:space="preserve"> </w:t>
      </w:r>
      <w:r w:rsidR="004C2EEB" w:rsidRPr="00870330">
        <w:rPr>
          <w:rFonts w:asciiTheme="minorHAnsi" w:hAnsiTheme="minorHAnsi" w:cstheme="minorHAnsi"/>
          <w:color w:val="0D0D0D" w:themeColor="text1" w:themeTint="F2"/>
          <w:lang w:eastAsia="id-ID"/>
        </w:rPr>
        <w:t>assumes the homogeneity of the intercept and the slope for individual panels in the first stage of regression.</w:t>
      </w:r>
    </w:p>
    <w:p w14:paraId="68453700" w14:textId="77777777" w:rsidR="00C84AE0" w:rsidRPr="00870330" w:rsidRDefault="00C84AE0" w:rsidP="0080167D">
      <w:pPr>
        <w:spacing w:after="0"/>
        <w:jc w:val="both"/>
        <w:rPr>
          <w:rFonts w:asciiTheme="minorHAnsi" w:hAnsiTheme="minorHAnsi" w:cstheme="minorHAnsi"/>
          <w:color w:val="0D0D0D" w:themeColor="text1" w:themeTint="F2"/>
          <w:lang w:eastAsia="id-ID"/>
        </w:rPr>
      </w:pPr>
    </w:p>
    <w:tbl>
      <w:tblPr>
        <w:tblW w:w="8897" w:type="dxa"/>
        <w:tblLayout w:type="fixed"/>
        <w:tblLook w:val="04A0" w:firstRow="1" w:lastRow="0" w:firstColumn="1" w:lastColumn="0" w:noHBand="0" w:noVBand="1"/>
      </w:tblPr>
      <w:tblGrid>
        <w:gridCol w:w="7763"/>
        <w:gridCol w:w="1134"/>
      </w:tblGrid>
      <w:tr w:rsidR="00A05921" w:rsidRPr="00870330" w14:paraId="6206C96C" w14:textId="77777777" w:rsidTr="00A05921">
        <w:tc>
          <w:tcPr>
            <w:tcW w:w="7763" w:type="dxa"/>
            <w:shd w:val="clear" w:color="auto" w:fill="auto"/>
            <w:vAlign w:val="center"/>
          </w:tcPr>
          <w:p w14:paraId="589C618C" w14:textId="77777777" w:rsidR="004C2EEB" w:rsidRPr="00870330" w:rsidRDefault="003921E4" w:rsidP="00A05921">
            <w:pPr>
              <w:spacing w:after="0"/>
              <w:ind w:firstLine="567"/>
              <w:jc w:val="center"/>
              <w:rPr>
                <w:rFonts w:asciiTheme="minorHAnsi" w:hAnsiTheme="minorHAnsi" w:cstheme="minorHAnsi"/>
                <w:color w:val="0D0D0D" w:themeColor="text1" w:themeTint="F2"/>
              </w:rPr>
            </w:pPr>
            <m:oMathPara>
              <m:oMath>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y</m:t>
                    </m:r>
                  </m:e>
                  <m:sub>
                    <m:r>
                      <w:rPr>
                        <w:rFonts w:ascii="Cambria Math" w:hAnsi="Cambria Math" w:cstheme="minorHAnsi"/>
                        <w:color w:val="0D0D0D" w:themeColor="text1" w:themeTint="F2"/>
                      </w:rPr>
                      <m:t>it</m:t>
                    </m:r>
                  </m:sub>
                </m:sSub>
                <m:r>
                  <w:rPr>
                    <w:rFonts w:ascii="Cambria Math" w:hAnsi="Cambria Math" w:cstheme="minorHAnsi"/>
                    <w:color w:val="0D0D0D" w:themeColor="text1" w:themeTint="F2"/>
                  </w:rPr>
                  <m:t>=</m:t>
                </m:r>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α</m:t>
                    </m:r>
                  </m:e>
                  <m:sub>
                    <m:r>
                      <w:rPr>
                        <w:rFonts w:ascii="Cambria Math" w:hAnsi="Cambria Math" w:cstheme="minorHAnsi"/>
                        <w:color w:val="0D0D0D" w:themeColor="text1" w:themeTint="F2"/>
                      </w:rPr>
                      <m:t>i</m:t>
                    </m:r>
                  </m:sub>
                </m:sSub>
                <m:r>
                  <w:rPr>
                    <w:rFonts w:ascii="Cambria Math" w:hAnsi="Cambria Math" w:cstheme="minorHAnsi"/>
                    <w:color w:val="0D0D0D" w:themeColor="text1" w:themeTint="F2"/>
                  </w:rPr>
                  <m:t>+β</m:t>
                </m:r>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x</m:t>
                    </m:r>
                  </m:e>
                  <m:sub>
                    <m:r>
                      <w:rPr>
                        <w:rFonts w:ascii="Cambria Math" w:hAnsi="Cambria Math" w:cstheme="minorHAnsi"/>
                        <w:color w:val="0D0D0D" w:themeColor="text1" w:themeTint="F2"/>
                      </w:rPr>
                      <m:t>it</m:t>
                    </m:r>
                  </m:sub>
                </m:sSub>
                <m:r>
                  <w:rPr>
                    <w:rFonts w:ascii="Cambria Math" w:hAnsi="Cambria Math" w:cstheme="minorHAnsi"/>
                    <w:color w:val="0D0D0D" w:themeColor="text1" w:themeTint="F2"/>
                  </w:rPr>
                  <m:t>+</m:t>
                </m:r>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e</m:t>
                    </m:r>
                  </m:e>
                  <m:sub>
                    <m:r>
                      <w:rPr>
                        <w:rFonts w:ascii="Cambria Math" w:hAnsi="Cambria Math" w:cstheme="minorHAnsi"/>
                        <w:color w:val="0D0D0D" w:themeColor="text1" w:themeTint="F2"/>
                      </w:rPr>
                      <m:t>it</m:t>
                    </m:r>
                  </m:sub>
                </m:sSub>
              </m:oMath>
            </m:oMathPara>
          </w:p>
        </w:tc>
        <w:tc>
          <w:tcPr>
            <w:tcW w:w="1134" w:type="dxa"/>
            <w:shd w:val="clear" w:color="auto" w:fill="auto"/>
            <w:vAlign w:val="center"/>
          </w:tcPr>
          <w:p w14:paraId="0257167F"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(5)</w:t>
            </w:r>
          </w:p>
        </w:tc>
      </w:tr>
    </w:tbl>
    <w:p w14:paraId="396A126C" w14:textId="293AEB33" w:rsidR="004C2EEB" w:rsidRPr="00870330" w:rsidRDefault="00763262" w:rsidP="004C2EEB">
      <w:pPr>
        <w:pStyle w:val="NormalafterHeading"/>
        <w:spacing w:line="259" w:lineRule="auto"/>
        <w:ind w:firstLine="567"/>
        <w:jc w:val="left"/>
        <w:rPr>
          <w:rFonts w:asciiTheme="minorHAnsi" w:hAnsiTheme="minorHAnsi" w:cstheme="minorHAnsi"/>
          <w:color w:val="0D0D0D" w:themeColor="text1" w:themeTint="F2"/>
          <w:lang w:val="en-US"/>
        </w:rPr>
      </w:pPr>
      <w:proofErr w:type="gramStart"/>
      <w:r w:rsidRPr="00870330">
        <w:rPr>
          <w:rFonts w:asciiTheme="minorHAnsi" w:hAnsiTheme="minorHAnsi" w:cstheme="minorHAnsi"/>
          <w:color w:val="0D0D0D" w:themeColor="text1" w:themeTint="F2"/>
          <w:lang w:val="en-US"/>
        </w:rPr>
        <w:t>and</w:t>
      </w:r>
      <w:proofErr w:type="gramEnd"/>
    </w:p>
    <w:tbl>
      <w:tblPr>
        <w:tblW w:w="8897" w:type="dxa"/>
        <w:tblLayout w:type="fixed"/>
        <w:tblLook w:val="04A0" w:firstRow="1" w:lastRow="0" w:firstColumn="1" w:lastColumn="0" w:noHBand="0" w:noVBand="1"/>
      </w:tblPr>
      <w:tblGrid>
        <w:gridCol w:w="7763"/>
        <w:gridCol w:w="1134"/>
      </w:tblGrid>
      <w:tr w:rsidR="00A05921" w:rsidRPr="00870330" w14:paraId="4BA2822A" w14:textId="77777777" w:rsidTr="00A05921">
        <w:tc>
          <w:tcPr>
            <w:tcW w:w="7763" w:type="dxa"/>
            <w:shd w:val="clear" w:color="auto" w:fill="auto"/>
            <w:vAlign w:val="center"/>
          </w:tcPr>
          <w:p w14:paraId="35519014" w14:textId="77777777" w:rsidR="004C2EEB" w:rsidRPr="00870330" w:rsidRDefault="003921E4" w:rsidP="00A05921">
            <w:pPr>
              <w:spacing w:after="0"/>
              <w:ind w:firstLine="567"/>
              <w:jc w:val="center"/>
              <w:rPr>
                <w:rFonts w:asciiTheme="minorHAnsi" w:hAnsiTheme="minorHAnsi" w:cstheme="minorHAnsi"/>
                <w:color w:val="0D0D0D" w:themeColor="text1" w:themeTint="F2"/>
              </w:rPr>
            </w:pPr>
            <m:oMathPara>
              <m:oMath>
                <m:sSub>
                  <m:sSubPr>
                    <m:ctrlPr>
                      <w:rPr>
                        <w:rFonts w:ascii="Cambria Math" w:hAnsi="Cambria Math" w:cstheme="minorHAnsi"/>
                        <w:i/>
                        <w:color w:val="0D0D0D" w:themeColor="text1" w:themeTint="F2"/>
                      </w:rPr>
                    </m:ctrlPr>
                  </m:sSubPr>
                  <m:e>
                    <m:acc>
                      <m:accPr>
                        <m:ctrlPr>
                          <w:rPr>
                            <w:rFonts w:ascii="Cambria Math" w:hAnsi="Cambria Math" w:cstheme="minorHAnsi"/>
                            <w:i/>
                            <w:color w:val="0D0D0D" w:themeColor="text1" w:themeTint="F2"/>
                          </w:rPr>
                        </m:ctrlPr>
                      </m:accPr>
                      <m:e>
                        <m:r>
                          <w:rPr>
                            <w:rFonts w:ascii="Cambria Math" w:hAnsi="Cambria Math" w:cstheme="minorHAnsi"/>
                            <w:color w:val="0D0D0D" w:themeColor="text1" w:themeTint="F2"/>
                          </w:rPr>
                          <m:t>e</m:t>
                        </m:r>
                      </m:e>
                    </m:acc>
                  </m:e>
                  <m:sub>
                    <m:r>
                      <w:rPr>
                        <w:rFonts w:ascii="Cambria Math" w:hAnsi="Cambria Math" w:cstheme="minorHAnsi"/>
                        <w:color w:val="0D0D0D" w:themeColor="text1" w:themeTint="F2"/>
                      </w:rPr>
                      <m:t>it</m:t>
                    </m:r>
                  </m:sub>
                </m:sSub>
                <m:r>
                  <w:rPr>
                    <w:rFonts w:ascii="Cambria Math" w:hAnsi="Cambria Math" w:cstheme="minorHAnsi"/>
                    <w:color w:val="0D0D0D" w:themeColor="text1" w:themeTint="F2"/>
                  </w:rPr>
                  <m:t>=ρ</m:t>
                </m:r>
                <m:sSub>
                  <m:sSubPr>
                    <m:ctrlPr>
                      <w:rPr>
                        <w:rFonts w:ascii="Cambria Math" w:hAnsi="Cambria Math" w:cstheme="minorHAnsi"/>
                        <w:i/>
                        <w:color w:val="0D0D0D" w:themeColor="text1" w:themeTint="F2"/>
                      </w:rPr>
                    </m:ctrlPr>
                  </m:sSubPr>
                  <m:e>
                    <m:acc>
                      <m:accPr>
                        <m:ctrlPr>
                          <w:rPr>
                            <w:rFonts w:ascii="Cambria Math" w:hAnsi="Cambria Math" w:cstheme="minorHAnsi"/>
                            <w:i/>
                            <w:color w:val="0D0D0D" w:themeColor="text1" w:themeTint="F2"/>
                          </w:rPr>
                        </m:ctrlPr>
                      </m:accPr>
                      <m:e>
                        <m:r>
                          <w:rPr>
                            <w:rFonts w:ascii="Cambria Math" w:hAnsi="Cambria Math" w:cstheme="minorHAnsi"/>
                            <w:color w:val="0D0D0D" w:themeColor="text1" w:themeTint="F2"/>
                          </w:rPr>
                          <m:t>e</m:t>
                        </m:r>
                      </m:e>
                    </m:acc>
                  </m:e>
                  <m:sub>
                    <m:r>
                      <w:rPr>
                        <w:rFonts w:ascii="Cambria Math" w:hAnsi="Cambria Math" w:cstheme="minorHAnsi"/>
                        <w:color w:val="0D0D0D" w:themeColor="text1" w:themeTint="F2"/>
                      </w:rPr>
                      <m:t>it-1</m:t>
                    </m:r>
                  </m:sub>
                </m:sSub>
                <m:r>
                  <w:rPr>
                    <w:rFonts w:ascii="Cambria Math" w:hAnsi="Cambria Math" w:cstheme="minorHAnsi"/>
                    <w:color w:val="0D0D0D" w:themeColor="text1" w:themeTint="F2"/>
                  </w:rPr>
                  <m:t>+</m:t>
                </m:r>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v</m:t>
                    </m:r>
                  </m:e>
                  <m:sub>
                    <m:r>
                      <w:rPr>
                        <w:rFonts w:ascii="Cambria Math" w:hAnsi="Cambria Math" w:cstheme="minorHAnsi"/>
                        <w:color w:val="0D0D0D" w:themeColor="text1" w:themeTint="F2"/>
                      </w:rPr>
                      <m:t>it</m:t>
                    </m:r>
                  </m:sub>
                </m:sSub>
              </m:oMath>
            </m:oMathPara>
          </w:p>
        </w:tc>
        <w:tc>
          <w:tcPr>
            <w:tcW w:w="1134" w:type="dxa"/>
            <w:shd w:val="clear" w:color="auto" w:fill="auto"/>
            <w:vAlign w:val="center"/>
          </w:tcPr>
          <w:p w14:paraId="151116C0"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(6)</w:t>
            </w:r>
          </w:p>
        </w:tc>
      </w:tr>
    </w:tbl>
    <w:p w14:paraId="425BD9A2" w14:textId="77777777" w:rsidR="00C84AE0" w:rsidRPr="00870330" w:rsidRDefault="00C84AE0" w:rsidP="004C2EEB">
      <w:pPr>
        <w:spacing w:after="0"/>
        <w:jc w:val="both"/>
        <w:rPr>
          <w:color w:val="0D0D0D" w:themeColor="text1" w:themeTint="F2"/>
        </w:rPr>
      </w:pPr>
    </w:p>
    <w:p w14:paraId="34686ADD" w14:textId="7B42606F" w:rsidR="004C2EEB" w:rsidRPr="00870330" w:rsidRDefault="003921E4" w:rsidP="004C2EEB">
      <w:pPr>
        <w:spacing w:after="0"/>
        <w:jc w:val="both"/>
        <w:rPr>
          <w:rFonts w:asciiTheme="minorHAnsi" w:hAnsiTheme="minorHAnsi" w:cstheme="minorHAnsi"/>
          <w:color w:val="0D0D0D" w:themeColor="text1" w:themeTint="F2"/>
          <w:lang w:eastAsia="id-ID"/>
        </w:rPr>
      </w:pPr>
      <m:oMath>
        <m:sSub>
          <m:sSubPr>
            <m:ctrlPr>
              <w:rPr>
                <w:rFonts w:ascii="Cambria Math" w:hAnsi="Cambria Math" w:cstheme="minorHAnsi"/>
                <w:i/>
                <w:color w:val="0D0D0D" w:themeColor="text1" w:themeTint="F2"/>
              </w:rPr>
            </m:ctrlPr>
          </m:sSubPr>
          <m:e>
            <m:acc>
              <m:accPr>
                <m:ctrlPr>
                  <w:rPr>
                    <w:rFonts w:ascii="Cambria Math" w:hAnsi="Cambria Math" w:cstheme="minorHAnsi"/>
                    <w:i/>
                    <w:color w:val="0D0D0D" w:themeColor="text1" w:themeTint="F2"/>
                  </w:rPr>
                </m:ctrlPr>
              </m:accPr>
              <m:e>
                <m:r>
                  <w:rPr>
                    <w:rFonts w:ascii="Cambria Math" w:hAnsi="Cambria Math" w:cstheme="minorHAnsi"/>
                    <w:color w:val="0D0D0D" w:themeColor="text1" w:themeTint="F2"/>
                  </w:rPr>
                  <m:t>e</m:t>
                </m:r>
              </m:e>
            </m:acc>
          </m:e>
          <m:sub>
            <m:r>
              <w:rPr>
                <w:rFonts w:ascii="Cambria Math" w:hAnsi="Cambria Math" w:cstheme="minorHAnsi"/>
                <w:color w:val="0D0D0D" w:themeColor="text1" w:themeTint="F2"/>
              </w:rPr>
              <m:t>it</m:t>
            </m:r>
          </m:sub>
        </m:sSub>
      </m:oMath>
      <w:r w:rsidR="00594901" w:rsidRPr="00870330">
        <w:rPr>
          <w:rFonts w:asciiTheme="minorHAnsi" w:hAnsiTheme="minorHAnsi" w:cstheme="minorHAnsi"/>
          <w:color w:val="0D0D0D" w:themeColor="text1" w:themeTint="F2"/>
          <w:lang w:eastAsia="id-ID"/>
        </w:rPr>
        <w:t xml:space="preserve"> </w:t>
      </w:r>
      <w:proofErr w:type="gramStart"/>
      <w:r w:rsidR="00606D23" w:rsidRPr="00870330">
        <w:rPr>
          <w:rFonts w:asciiTheme="minorHAnsi" w:hAnsiTheme="minorHAnsi" w:cstheme="minorHAnsi"/>
          <w:color w:val="0D0D0D" w:themeColor="text1" w:themeTint="F2"/>
          <w:lang w:eastAsia="id-ID"/>
        </w:rPr>
        <w:t>expresses</w:t>
      </w:r>
      <w:proofErr w:type="gramEnd"/>
      <w:r w:rsidR="00594901" w:rsidRPr="00870330">
        <w:rPr>
          <w:rFonts w:asciiTheme="minorHAnsi" w:hAnsiTheme="minorHAnsi" w:cstheme="minorHAnsi"/>
          <w:color w:val="0D0D0D" w:themeColor="text1" w:themeTint="F2"/>
          <w:lang w:eastAsia="id-ID"/>
        </w:rPr>
        <w:t xml:space="preserve"> the equation residual, while y and x are </w:t>
      </w:r>
      <w:proofErr w:type="spellStart"/>
      <w:r w:rsidR="00594901" w:rsidRPr="00870330">
        <w:rPr>
          <w:rFonts w:asciiTheme="minorHAnsi" w:hAnsiTheme="minorHAnsi" w:cstheme="minorHAnsi"/>
          <w:color w:val="0D0D0D" w:themeColor="text1" w:themeTint="F2"/>
          <w:lang w:eastAsia="id-ID"/>
        </w:rPr>
        <w:t>cointegrated</w:t>
      </w:r>
      <w:proofErr w:type="spellEnd"/>
      <w:r w:rsidR="00594901" w:rsidRPr="00870330">
        <w:rPr>
          <w:rFonts w:asciiTheme="minorHAnsi" w:hAnsiTheme="minorHAnsi" w:cstheme="minorHAnsi"/>
          <w:color w:val="0D0D0D" w:themeColor="text1" w:themeTint="F2"/>
          <w:lang w:eastAsia="id-ID"/>
        </w:rPr>
        <w:t xml:space="preserve"> if </w:t>
      </w:r>
      <m:oMath>
        <m:r>
          <w:rPr>
            <w:rFonts w:ascii="Cambria Math" w:hAnsi="Cambria Math" w:cstheme="minorHAnsi"/>
            <w:color w:val="0D0D0D" w:themeColor="text1" w:themeTint="F2"/>
          </w:rPr>
          <m:t>ρ&lt;1</m:t>
        </m:r>
      </m:oMath>
      <w:r w:rsidR="00594901" w:rsidRPr="00870330">
        <w:rPr>
          <w:rFonts w:asciiTheme="minorHAnsi" w:hAnsiTheme="minorHAnsi" w:cstheme="minorHAnsi"/>
          <w:color w:val="0D0D0D" w:themeColor="text1" w:themeTint="F2"/>
          <w:lang w:eastAsia="id-ID"/>
        </w:rPr>
        <w:t xml:space="preserve">. </w:t>
      </w:r>
      <w:r w:rsidR="004C2EEB" w:rsidRPr="00870330">
        <w:rPr>
          <w:rFonts w:asciiTheme="minorHAnsi" w:hAnsiTheme="minorHAnsi" w:cstheme="minorHAnsi"/>
          <w:color w:val="0D0D0D" w:themeColor="text1" w:themeTint="F2"/>
          <w:lang w:eastAsia="id-ID"/>
        </w:rPr>
        <w:t xml:space="preserve">To </w:t>
      </w:r>
      <w:r w:rsidR="00634A85" w:rsidRPr="00870330">
        <w:rPr>
          <w:rFonts w:asciiTheme="minorHAnsi" w:hAnsiTheme="minorHAnsi" w:cstheme="minorHAnsi"/>
          <w:color w:val="0D0D0D" w:themeColor="text1" w:themeTint="F2"/>
          <w:lang w:eastAsia="id-ID"/>
        </w:rPr>
        <w:t>verify</w:t>
      </w:r>
      <w:r w:rsidR="004C2EEB" w:rsidRPr="00870330">
        <w:rPr>
          <w:rFonts w:asciiTheme="minorHAnsi" w:hAnsiTheme="minorHAnsi" w:cstheme="minorHAnsi"/>
          <w:color w:val="0D0D0D" w:themeColor="text1" w:themeTint="F2"/>
          <w:lang w:eastAsia="id-ID"/>
        </w:rPr>
        <w:t xml:space="preserve"> the robustness, this </w:t>
      </w:r>
      <w:r w:rsidR="00A235B8" w:rsidRPr="00870330">
        <w:rPr>
          <w:rFonts w:asciiTheme="minorHAnsi" w:hAnsiTheme="minorHAnsi" w:cstheme="minorHAnsi"/>
          <w:color w:val="0D0D0D" w:themeColor="text1" w:themeTint="F2"/>
          <w:lang w:eastAsia="id-ID"/>
        </w:rPr>
        <w:t>paper performs</w:t>
      </w:r>
      <w:r w:rsidR="004C2EEB" w:rsidRPr="00870330">
        <w:rPr>
          <w:rFonts w:asciiTheme="minorHAnsi" w:hAnsiTheme="minorHAnsi" w:cstheme="minorHAnsi"/>
          <w:color w:val="0D0D0D" w:themeColor="text1" w:themeTint="F2"/>
          <w:lang w:eastAsia="id-ID"/>
        </w:rPr>
        <w:t xml:space="preserve"> the </w:t>
      </w:r>
      <w:proofErr w:type="spellStart"/>
      <w:r w:rsidR="004C2EEB" w:rsidRPr="00870330">
        <w:rPr>
          <w:rFonts w:asciiTheme="minorHAnsi" w:hAnsiTheme="minorHAnsi" w:cstheme="minorHAnsi"/>
          <w:color w:val="0D0D0D" w:themeColor="text1" w:themeTint="F2"/>
          <w:lang w:eastAsia="id-ID"/>
        </w:rPr>
        <w:t>cointegration</w:t>
      </w:r>
      <w:proofErr w:type="spellEnd"/>
      <w:r w:rsidR="004C2EEB" w:rsidRPr="00870330">
        <w:rPr>
          <w:rFonts w:asciiTheme="minorHAnsi" w:hAnsiTheme="minorHAnsi" w:cstheme="minorHAnsi"/>
          <w:color w:val="0D0D0D" w:themeColor="text1" w:themeTint="F2"/>
          <w:lang w:eastAsia="id-ID"/>
        </w:rPr>
        <w:t xml:space="preserve"> tests of </w:t>
      </w:r>
      <w:r w:rsidR="00D52014" w:rsidRPr="00870330">
        <w:rPr>
          <w:rFonts w:asciiTheme="minorHAnsi" w:hAnsiTheme="minorHAnsi" w:cstheme="minorHAnsi"/>
          <w:noProof/>
          <w:color w:val="0D0D0D"/>
        </w:rPr>
        <w:fldChar w:fldCharType="begin" w:fldLock="1"/>
      </w:r>
      <w:r w:rsidR="00D52014" w:rsidRPr="00870330">
        <w:rPr>
          <w:rFonts w:asciiTheme="minorHAnsi" w:hAnsiTheme="minorHAnsi" w:cstheme="minorHAnsi"/>
          <w:noProof/>
          <w:color w:val="0D0D0D"/>
        </w:rPr>
        <w:instrText>ADDIN CSL_CITATION {"citationItems":[{"id":"ITEM-1","itemData":{"DOI":"10.1017/S0266466604203073","ISSN":"02664666","abstract":"We examine properties of residual-based tests for the null of no cointegration for dynamic panels in which both the short-run dynamics and the long-run slope coefficients are permitted to be heterogeneous across individual members of the panel. The tests also allow for individual heterogeneous fixed effects and trend terms, and we consider both pooled within dimension tests and group mean between dimension tests. We derive limiting distributions for these and show that they are normal and free of nuisance parameters. We also provide Monte Carlo evidence to demonstrate their small sample size and power performance, and we illustrate their use in testing purchasing power parity for the post-Bretton Woods period.","author":[{"dropping-particle":"","family":"Pedroni","given":"Peter","non-dropping-particle":"","parse-names":false,"suffix":""}],"container-title":"Econometric Theory","id":"ITEM-1","issue":"3","issued":{"date-parts":[["2004"]]},"page":"597-625","title":"Panel cointegration: Asymptotic and finite sample properties of pooled time series tests with an application to the PPP hypothesis","type":"article-journal","volume":"20"},"uris":["http://www.mendeley.com/documents/?uuid=3163342d-b5cc-47d0-8d91-841e9f21ea2f"]}],"mendeley":{"formattedCitation":"(Pedroni, 2004)","manualFormatting":"Pedroni (2004)","plainTextFormattedCitation":"(Pedroni, 2004)","previouslyFormattedCitation":"(Pedroni, 2004)"},"properties":{"noteIndex":0},"schema":"https://github.com/citation-style-language/schema/raw/master/csl-citation.json"}</w:instrText>
      </w:r>
      <w:r w:rsidR="00D52014" w:rsidRPr="00870330">
        <w:rPr>
          <w:rFonts w:asciiTheme="minorHAnsi" w:hAnsiTheme="minorHAnsi" w:cstheme="minorHAnsi"/>
          <w:noProof/>
          <w:color w:val="0D0D0D"/>
        </w:rPr>
        <w:fldChar w:fldCharType="separate"/>
      </w:r>
      <w:r w:rsidR="00D52014" w:rsidRPr="00870330">
        <w:rPr>
          <w:rFonts w:asciiTheme="minorHAnsi" w:hAnsiTheme="minorHAnsi" w:cstheme="minorHAnsi"/>
          <w:noProof/>
          <w:color w:val="0D0D0D"/>
        </w:rPr>
        <w:t>Pedroni (2004)</w:t>
      </w:r>
      <w:r w:rsidR="00D52014"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and</w:t>
      </w:r>
      <w:r w:rsidR="00D52014" w:rsidRPr="00870330">
        <w:rPr>
          <w:rFonts w:asciiTheme="minorHAnsi" w:hAnsiTheme="minorHAnsi" w:cstheme="minorHAnsi"/>
          <w:noProof/>
          <w:color w:val="0D0D0D"/>
        </w:rPr>
        <w:t xml:space="preserve"> </w:t>
      </w:r>
      <w:r w:rsidR="00D52014" w:rsidRPr="00870330">
        <w:rPr>
          <w:rFonts w:asciiTheme="minorHAnsi" w:hAnsiTheme="minorHAnsi" w:cstheme="minorHAnsi"/>
          <w:noProof/>
          <w:color w:val="0D0D0D"/>
        </w:rPr>
        <w:fldChar w:fldCharType="begin" w:fldLock="1"/>
      </w:r>
      <w:r w:rsidR="00D52014" w:rsidRPr="00870330">
        <w:rPr>
          <w:rFonts w:asciiTheme="minorHAnsi" w:hAnsiTheme="minorHAnsi" w:cstheme="minorHAnsi"/>
          <w:noProof/>
          <w:color w:val="0D0D0D"/>
        </w:rPr>
        <w:instrText>ADDIN CSL_CITATION {"citationItems":[{"id":"ITEM-1","itemData":{"DOI":"10.1080/07474930500243019","ISSN":"07474938","abstract":"In this paper, two new simple residual-based panel data tests are proposed for the null of no cointegration. The tests are simple because they do not require any correction for the temporal dependencies of the data. Yet they are able to accommodate individual specific short-run dynamics, individual specific intercept and trend terms, and individual specific slope parameters. The limiting distributions of the tests are derived and are shown to be free of nuisance parameters. The Monte Carlo results in this paper suggest that the asymptotic results are borne out well even in very small samples. Copyright © Taylor &amp; Francis, Inc.","author":[{"dropping-particle":"","family":"Westerlund","given":"Joakim","non-dropping-particle":"","parse-names":false,"suffix":""}],"container-title":"Econometric Reviews","id":"ITEM-1","issue":"3","issued":{"date-parts":[["2005"]]},"page":"297-316","title":"New simple tests for panel cointegration","type":"article-journal","volume":"24"},"uris":["http://www.mendeley.com/documents/?uuid=3e8774ae-7c06-4ee0-973f-e6500fa71ab8"]}],"mendeley":{"formattedCitation":"(Westerlund, 2005)","manualFormatting":"Westerlund (2005)","plainTextFormattedCitation":"(Westerlund, 2005)","previouslyFormattedCitation":"(Westerlund, 2005)"},"properties":{"noteIndex":0},"schema":"https://github.com/citation-style-language/schema/raw/master/csl-citation.json"}</w:instrText>
      </w:r>
      <w:r w:rsidR="00D52014" w:rsidRPr="00870330">
        <w:rPr>
          <w:rFonts w:asciiTheme="minorHAnsi" w:hAnsiTheme="minorHAnsi" w:cstheme="minorHAnsi"/>
          <w:noProof/>
          <w:color w:val="0D0D0D"/>
        </w:rPr>
        <w:fldChar w:fldCharType="separate"/>
      </w:r>
      <w:r w:rsidR="00D52014" w:rsidRPr="00870330">
        <w:rPr>
          <w:rFonts w:asciiTheme="minorHAnsi" w:hAnsiTheme="minorHAnsi" w:cstheme="minorHAnsi"/>
          <w:noProof/>
          <w:color w:val="0D0D0D"/>
        </w:rPr>
        <w:t>Westerlund (2005)</w:t>
      </w:r>
      <w:r w:rsidR="00D52014" w:rsidRPr="00870330">
        <w:rPr>
          <w:rFonts w:asciiTheme="minorHAnsi" w:hAnsiTheme="minorHAnsi" w:cstheme="minorHAnsi"/>
          <w:noProof/>
          <w:color w:val="0D0D0D"/>
        </w:rPr>
        <w:fldChar w:fldCharType="end"/>
      </w:r>
      <w:r w:rsidR="00D52014" w:rsidRPr="00870330">
        <w:rPr>
          <w:rFonts w:asciiTheme="minorHAnsi" w:hAnsiTheme="minorHAnsi" w:cstheme="minorHAnsi"/>
          <w:noProof/>
          <w:color w:val="0D0D0D"/>
        </w:rPr>
        <w:t xml:space="preserve">. </w:t>
      </w:r>
      <w:r w:rsidR="004C2EEB" w:rsidRPr="00870330">
        <w:rPr>
          <w:rFonts w:asciiTheme="minorHAnsi" w:hAnsiTheme="minorHAnsi" w:cstheme="minorHAnsi"/>
          <w:color w:val="0D0D0D" w:themeColor="text1" w:themeTint="F2"/>
          <w:lang w:eastAsia="id-ID"/>
        </w:rPr>
        <w:t xml:space="preserve">In contrast to Kao, </w:t>
      </w:r>
      <w:proofErr w:type="spellStart"/>
      <w:r w:rsidR="004C2EEB" w:rsidRPr="00870330">
        <w:rPr>
          <w:rFonts w:asciiTheme="minorHAnsi" w:hAnsiTheme="minorHAnsi" w:cstheme="minorHAnsi"/>
          <w:color w:val="0D0D0D" w:themeColor="text1" w:themeTint="F2"/>
          <w:lang w:eastAsia="id-ID"/>
        </w:rPr>
        <w:t>Pedroni's</w:t>
      </w:r>
      <w:proofErr w:type="spellEnd"/>
      <w:r w:rsidR="004C2EEB" w:rsidRPr="00870330">
        <w:rPr>
          <w:rFonts w:asciiTheme="minorHAnsi" w:hAnsiTheme="minorHAnsi" w:cstheme="minorHAnsi"/>
          <w:color w:val="0D0D0D" w:themeColor="text1" w:themeTint="F2"/>
          <w:lang w:eastAsia="id-ID"/>
        </w:rPr>
        <w:t xml:space="preserve"> </w:t>
      </w:r>
      <w:proofErr w:type="spellStart"/>
      <w:r w:rsidR="004C2EEB" w:rsidRPr="00870330">
        <w:rPr>
          <w:rFonts w:asciiTheme="minorHAnsi" w:hAnsiTheme="minorHAnsi" w:cstheme="minorHAnsi"/>
          <w:color w:val="0D0D0D" w:themeColor="text1" w:themeTint="F2"/>
          <w:lang w:eastAsia="id-ID"/>
        </w:rPr>
        <w:t>cointegration</w:t>
      </w:r>
      <w:proofErr w:type="spellEnd"/>
      <w:r w:rsidR="004C2EEB" w:rsidRPr="00870330">
        <w:rPr>
          <w:rFonts w:asciiTheme="minorHAnsi" w:hAnsiTheme="minorHAnsi" w:cstheme="minorHAnsi"/>
          <w:color w:val="0D0D0D" w:themeColor="text1" w:themeTint="F2"/>
          <w:lang w:eastAsia="id-ID"/>
        </w:rPr>
        <w:t xml:space="preserve"> test allows intercept heterogeneity and adds trend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{"citationItems":[{"id":"ITEM-1","itemData":{"ISBN":"978-602-318-000-4","author":[{"dropping-particle":"","family":"Ekananda","given":"Mahjus","non-dropping-particle":"","parse-names":false,"suffix":""}],"id":"ITEM-1","issued":{"date-parts":[["2014"]]},"publisher":"Mitra Wacana Media","publisher-place":"Jakarta","title":"Analisis Data Time Series untuk Penelitian Ekonomi, Manajemen dan Akuntansi","type":"book"},"uris":["http://www.mendeley.com/documents/?uuid=24e5d508-45c0-4dca-8f72-b338af2e80d0"]}],"mendeley":{"formattedCitation":"(Ekananda, 2014)","plainTextFormattedCitation":"(Ekananda, 2014)","previouslyFormattedCitation":"(Ekananda, 2014)"},"properties":{"noteIndex":0},"schema":"https://github.com/citation-style-language/schema/raw/master/csl-citation.json"}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(Ekananda, 2014)</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004C2EEB" w:rsidRPr="00870330">
        <w:rPr>
          <w:rFonts w:asciiTheme="minorHAnsi" w:hAnsiTheme="minorHAnsi" w:cstheme="minorHAnsi"/>
          <w:color w:val="0D0D0D" w:themeColor="text1" w:themeTint="F2"/>
          <w:lang w:eastAsia="id-ID"/>
        </w:rPr>
        <w:t>There are seven statistical tests: panel v-stat, rho-stat, PP-stat, and ADF-stat, Group rho-stat, PP-stat, and ADF-stat; they were estimated using the within- and between-dimension approaches.</w:t>
      </w:r>
    </w:p>
    <w:p w14:paraId="187FED46" w14:textId="77777777" w:rsidR="00C84AE0" w:rsidRPr="00870330" w:rsidRDefault="00C84AE0" w:rsidP="004C2EEB">
      <w:pPr>
        <w:spacing w:after="0"/>
        <w:jc w:val="both"/>
        <w:rPr>
          <w:rFonts w:asciiTheme="minorHAnsi" w:hAnsiTheme="minorHAnsi" w:cstheme="minorHAnsi"/>
          <w:color w:val="0D0D0D" w:themeColor="text1" w:themeTint="F2"/>
          <w:lang w:eastAsia="id-ID"/>
        </w:rPr>
      </w:pPr>
    </w:p>
    <w:p w14:paraId="6B985D7D" w14:textId="25A0F5EF" w:rsidR="003A4ED4" w:rsidRPr="00870330" w:rsidRDefault="004C2EEB" w:rsidP="005D1099">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 xml:space="preserve">Then, this </w:t>
      </w:r>
      <w:r w:rsidR="00D455EF" w:rsidRPr="00870330">
        <w:rPr>
          <w:rFonts w:asciiTheme="minorHAnsi" w:hAnsiTheme="minorHAnsi" w:cstheme="minorHAnsi"/>
          <w:color w:val="0D0D0D" w:themeColor="text1" w:themeTint="F2"/>
          <w:lang w:eastAsia="id-ID"/>
        </w:rPr>
        <w:t xml:space="preserve">study </w:t>
      </w:r>
      <w:r w:rsidR="00C84AE0" w:rsidRPr="00870330">
        <w:rPr>
          <w:rFonts w:asciiTheme="minorHAnsi" w:hAnsiTheme="minorHAnsi" w:cstheme="minorHAnsi"/>
          <w:color w:val="0D0D0D" w:themeColor="text1" w:themeTint="F2"/>
          <w:lang w:eastAsia="id-ID"/>
        </w:rPr>
        <w:t>implement</w:t>
      </w:r>
      <w:r w:rsidRPr="00870330">
        <w:rPr>
          <w:rFonts w:asciiTheme="minorHAnsi" w:hAnsiTheme="minorHAnsi" w:cstheme="minorHAnsi"/>
          <w:color w:val="0D0D0D" w:themeColor="text1" w:themeTint="F2"/>
          <w:lang w:eastAsia="id-ID"/>
        </w:rPr>
        <w:t xml:space="preserve">s the PMG or Autoregressive Distributed Lags (ARDL) panel proposed by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American Statistical Association is collaborating with JSTOR to digitize, preserve and extend access to Journal of the American Statistical Association. It is now quite common to have panels in which both T, the number of time series observations, and N, the number of groups, are quite large and of the same order of magnitude. The usual practice is either to estimate N separate regressions and calculate the coefficient means, which we call the mean group (MG) estimator, or to pool the data and assume that the slope coefficients and error variances are identical. In this article we propose an intermediate procedure, the pooled mean group (PMG) estimator, which constrains long-run coefficients to be identical but allows short-run coefficients and error variances to differ across groups. We consider both the case where the regressors are stationary and the case where they follow unit root processes, and for both cases derive the asymptotic distribution of the PMG estimators as T tends to infinity. We also provide two empirical applications: aggregate consumption functions for 24 Organization for Economic Cooperation and Development economies over the period 1962-1993, and energy demand functions for 10 Asian developing economies over the period 1974-1990.","author":[{"dropping-particle":"","family":"Pesaran","given":"M. Hashem","non-dropping-particle":"","parse-names":false,"suffix":""},{"dropping-particle":"","family":"Shin","given":"Yongcheol","non-dropping-particle":"","parse-names":false,"suffix":""},{"dropping-particle":"","family":"Smith","given":"Ron P","non-dropping-particle":"","parse-names":false,"suffix":""},{"dropping-particle":"","family":"Hashem","given":"M","non-dropping-particle":"","parse-names":false,"suffix":""}],"container-title":"Source: Journal of the American Statistical Association","id":"ITEM-1","issue":"446","issued":{"date-parts":[["1999"]]},"page":"621-634","title":"Pooled Mean Group Estimation of Dynamic Heterogeneous Panels","type":"article-journal","volume":"94"},"uris":["http://www.mendeley.com/documents/?uuid=4df114db-c5a4-3c1c-a20e-ac428c4f88de"]}],"mendeley":{"formattedCitation":"(Pesaran et al., 1999)","manualFormatting":"Pesaran et al. (1999)","plainTextFormattedCitation":"(Pesaran et al., 1999)","previouslyFormattedCitation":"(Pesaran et al., 1999)"},"properties":{"noteIndex":0},"schema":"https://github.com/citation-style-language/schema/raw/master/csl-citation.json"}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Pesaran et al. (1999)</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 xml:space="preserve">PMG accommodates issues concerning panel data heterogeneity and allows for different slopes and intercepts between individuals in the short term, but is assumed to be homogeneous in the long term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American Statistical Association is collaborating with JSTOR to digitize, preserve and extend access to Journal of the American Statistical Association. It is now quite common to have panels in which both T, the number of time series observations, and N, the number of groups, are quite large and of the same order of magnitude. The usual practice is either to estimate N separate regressions and calculate the coefficient means, which we call the mean group (MG) estimator, or to pool the data and assume that the slope coefficients and error variances are identical. In this article we propose an intermediate procedure, the pooled mean group (PMG) estimator, which constrains long-run coefficients to be identical but allows short-run coefficients and error variances to differ across groups. We consider both the case where the regressors are stationary and the case where they follow unit root processes, and for both cases derive the asymptotic distribution of the PMG estimators as T tends to infinity. We also provide two empirical applications: aggregate consumption functions for 24 Organization for Economic Cooperation and Development economies over the period 1962-1993, and energy demand functions for 10 Asian developing economies over the period 1974-1990.","author":[{"dropping-particle":"","family":"Pesaran","given":"M. Hashem","non-dropping-particle":"","parse-names":false,"suffix":""},{"dropping-particle":"","family":"Shin","given":"Yongcheol","non-dropping-particle":"","parse-names":false,"suffix":""},{"dropping-particle":"","family":"Smith","given":"Ron P","non-dropping-particle":"","parse-names":false,"suffix":""},{"dropping-particle":"","family":"Hashem","given":"M","non-dropping-particle":"","parse-names":false,"suffix":""}],"container-title":"Source: Journal of the American Statistical Association","id":"ITEM-1","issue":"446","issued":{"date-parts":[["1999"]]},"page":"621-634","title":"Pooled Mean Group Estimation of Dynamic Heterogeneous Panels","type":"article-journal","volume":"94"},"uris":["http://www.mendeley.com/documents/?uuid=4df114db-c5a4-3c1c-a20e-ac428c4f88de"]}],"mendeley":{"formattedCitation":"(Pesaran et al., 1999)","plainTextFormattedCitation":"(Pesaran et al., 1999)","previouslyFormattedCitation":"(Pesaran et al., 1999)"},"properties":{"noteIndex":0},"schema":"https://github.com/citation-style-language/schema/raw/master/csl-citation.json"}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(Pesaran et al., 1999)</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00341042" w:rsidRPr="00870330">
        <w:rPr>
          <w:rFonts w:asciiTheme="minorHAnsi" w:hAnsiTheme="minorHAnsi" w:cstheme="minorHAnsi"/>
          <w:color w:val="0D0D0D" w:themeColor="text1" w:themeTint="F2"/>
          <w:lang w:eastAsia="id-ID"/>
        </w:rPr>
        <w:t>The</w:t>
      </w:r>
      <w:r w:rsidR="000A2560" w:rsidRPr="00870330">
        <w:rPr>
          <w:rFonts w:asciiTheme="minorHAnsi" w:hAnsiTheme="minorHAnsi" w:cstheme="minorHAnsi"/>
          <w:color w:val="0D0D0D" w:themeColor="text1" w:themeTint="F2"/>
          <w:lang w:eastAsia="id-ID"/>
        </w:rPr>
        <w:t xml:space="preserve"> estimator </w:t>
      </w:r>
      <w:r w:rsidR="00D455EF" w:rsidRPr="00870330">
        <w:rPr>
          <w:rFonts w:asciiTheme="minorHAnsi" w:hAnsiTheme="minorHAnsi" w:cstheme="minorHAnsi"/>
          <w:color w:val="0D0D0D" w:themeColor="text1" w:themeTint="F2"/>
          <w:lang w:eastAsia="id-ID"/>
        </w:rPr>
        <w:t>utilizes</w:t>
      </w:r>
      <w:r w:rsidR="00D33A43" w:rsidRPr="00870330">
        <w:rPr>
          <w:rFonts w:asciiTheme="minorHAnsi" w:hAnsiTheme="minorHAnsi" w:cstheme="minorHAnsi"/>
          <w:color w:val="0D0D0D" w:themeColor="text1" w:themeTint="F2"/>
          <w:lang w:eastAsia="id-ID"/>
        </w:rPr>
        <w:t xml:space="preserve"> </w:t>
      </w:r>
      <w:r w:rsidR="004B7F1B" w:rsidRPr="00870330">
        <w:rPr>
          <w:rFonts w:asciiTheme="minorHAnsi" w:hAnsiTheme="minorHAnsi" w:cstheme="minorHAnsi"/>
          <w:color w:val="0D0D0D" w:themeColor="text1" w:themeTint="F2"/>
          <w:lang w:eastAsia="id-ID"/>
        </w:rPr>
        <w:t>maximum likelihood</w:t>
      </w:r>
      <w:r w:rsidRPr="00870330">
        <w:rPr>
          <w:rFonts w:asciiTheme="minorHAnsi" w:hAnsiTheme="minorHAnsi" w:cstheme="minorHAnsi"/>
          <w:color w:val="0D0D0D" w:themeColor="text1" w:themeTint="F2"/>
          <w:lang w:eastAsia="id-ID"/>
        </w:rPr>
        <w:t>, assumes errors with a normal distribution, and is based on Newton-</w:t>
      </w:r>
      <w:proofErr w:type="spellStart"/>
      <w:r w:rsidRPr="00870330">
        <w:rPr>
          <w:rFonts w:asciiTheme="minorHAnsi" w:hAnsiTheme="minorHAnsi" w:cstheme="minorHAnsi"/>
          <w:color w:val="0D0D0D" w:themeColor="text1" w:themeTint="F2"/>
          <w:lang w:eastAsia="id-ID"/>
        </w:rPr>
        <w:t>Raphson's</w:t>
      </w:r>
      <w:proofErr w:type="spellEnd"/>
      <w:r w:rsidRPr="00870330">
        <w:rPr>
          <w:rFonts w:asciiTheme="minorHAnsi" w:hAnsiTheme="minorHAnsi" w:cstheme="minorHAnsi"/>
          <w:color w:val="0D0D0D" w:themeColor="text1" w:themeTint="F2"/>
          <w:lang w:eastAsia="id-ID"/>
        </w:rPr>
        <w:t xml:space="preserve"> optimized algorithm. Several recent empirical studies also apply this method.</w:t>
      </w:r>
      <w:r w:rsidR="000A1152" w:rsidRPr="00870330">
        <w:rPr>
          <w:rFonts w:asciiTheme="minorHAnsi" w:hAnsiTheme="minorHAnsi" w:cstheme="minorHAnsi"/>
          <w:color w:val="0D0D0D" w:themeColor="text1" w:themeTint="F2"/>
          <w:lang w:eastAsia="id-ID"/>
        </w:rPr>
        <w:t xml:space="preserve">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{"citationItems":[{"id":"ITEM-1","itemData":{"DOI":"10.1007/s11356-017-8850-7","ISSN":"16147499","PMID":"28382444","abstract":"This research examines the causality (For the remainder of the paper, the notion of causality refers to Granger causality.) links among renewable energy consumption (REC), CO2 emissions (CE), non-renewable energy consumption (NREC), and economic growth (GDP) using an autoregressive distributed lag model based on the pooled mean group estimation (ARDL-PMG) and applying Granger causality tests for a panel consisting of 22 African countries for the period between 1990 and 2011. There is unidirectional and irreversible short-run causality from CE to GDP. The causal direction between CE and REC is unobservable over the short-term. Moreover, we find unidirectional, short-run causality from REC to GDP. When testing per pair of variables, there are short-run bidirectional causalities among REC, CE, and GDP. However, if we add CE to the variables REC and NREC, the causality to GDP is observable, and causality from the pair REC and NREC to economic growth is neutral. Likewise, if we add NREC to the variables GDP and REC, there is causality. There are bidirectional long-run causalities among REC, CE, and GDP, which supports the feedback assumption. Causality from GDP to REC is not strong for the panel. If we test per pair of variables, the strong causality from GDP and CE to REC is neutral. The long-run PMG estimates show that NREC and gross domestic product increase CE, whereas REC decreases CE.","author":[{"dropping-particle":"","family":"Attiaoui","given":"Imed","non-dropping-particle":"","parse-names":false,"suffix":""},{"dropping-particle":"","family":"Toumi","given":"Hassen","non-dropping-particle":"","parse-names":false,"suffix":""},{"dropping-particle":"","family":"Ammouri","given":"Bilel","non-dropping-particle":"","parse-names":false,"suffix":""},{"dropping-particle":"","family":"Gargouri","given":"Ilhem","non-dropping-particle":"","parse-names":false,"suffix":""}],"container-title":"Environmental Science and Pollution Research","id":"ITEM-1","issue":"14","issued":{"date-parts":[["2017"]]},"page":"13036-13048","publisher":"Environmental Science and Pollution Research","title":"Causality links among renewable energy consumption, CO2 emissions, and economic growth in Africa: evidence from a panel ARDL-PMG approach","type":"article-journal","volume":"24"},"uris":["http://www.mendeley.com/documents/?uuid=228f645c-5ba1-49bf-ae9c-3f97e23d0ef7"]}],"mendeley":{"formattedCitation":"(Attiaoui et al., 2017)","manualFormatting":"Attiaoui et al. (2017","plainTextFormattedCitation":"(Attiaoui et al., 2017)","previouslyFormattedCitation":"(Attiaoui et al., 2017)"},"properties":{"noteIndex":0},"schema":"https://github.com/citation-style-language/schema/raw/master/csl-citation.json"}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Attiaoui et al. (2017</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used PMG to investigate the</w:t>
      </w:r>
      <w:r w:rsidR="00082179" w:rsidRPr="00870330">
        <w:rPr>
          <w:rFonts w:asciiTheme="minorHAnsi" w:hAnsiTheme="minorHAnsi" w:cstheme="minorHAnsi"/>
          <w:color w:val="0D0D0D" w:themeColor="text1" w:themeTint="F2"/>
          <w:lang w:eastAsia="id-ID"/>
        </w:rPr>
        <w:t xml:space="preserve"> nex</w:t>
      </w:r>
      <w:r w:rsidR="00A51F15" w:rsidRPr="00870330">
        <w:rPr>
          <w:rFonts w:asciiTheme="minorHAnsi" w:hAnsiTheme="minorHAnsi" w:cstheme="minorHAnsi"/>
          <w:color w:val="0D0D0D" w:themeColor="text1" w:themeTint="F2"/>
          <w:lang w:eastAsia="id-ID"/>
        </w:rPr>
        <w:t>us</w:t>
      </w:r>
      <w:r w:rsidRPr="00870330">
        <w:rPr>
          <w:rFonts w:asciiTheme="minorHAnsi" w:hAnsiTheme="minorHAnsi" w:cstheme="minorHAnsi"/>
          <w:color w:val="0D0D0D" w:themeColor="text1" w:themeTint="F2"/>
          <w:lang w:eastAsia="id-ID"/>
        </w:rPr>
        <w:t xml:space="preserve"> between renewable energy consumption, </w:t>
      </w:r>
      <w:r w:rsidR="00724547" w:rsidRPr="00870330">
        <w:rPr>
          <w:rFonts w:asciiTheme="minorHAnsi" w:hAnsiTheme="minorHAnsi" w:cstheme="minorHAnsi"/>
          <w:color w:val="0D0D0D" w:themeColor="text1" w:themeTint="F2"/>
          <w:lang w:eastAsia="id-ID"/>
        </w:rPr>
        <w:t>GDP</w:t>
      </w:r>
      <w:r w:rsidR="000A2560" w:rsidRPr="00870330">
        <w:rPr>
          <w:rFonts w:asciiTheme="minorHAnsi" w:hAnsiTheme="minorHAnsi" w:cstheme="minorHAnsi"/>
          <w:color w:val="0D0D0D" w:themeColor="text1" w:themeTint="F2"/>
          <w:lang w:eastAsia="id-ID"/>
        </w:rPr>
        <w:t xml:space="preserve"> </w:t>
      </w:r>
      <w:r w:rsidRPr="00870330">
        <w:rPr>
          <w:rFonts w:asciiTheme="minorHAnsi" w:hAnsiTheme="minorHAnsi" w:cstheme="minorHAnsi"/>
          <w:color w:val="0D0D0D" w:themeColor="text1" w:themeTint="F2"/>
          <w:lang w:eastAsia="id-ID"/>
        </w:rPr>
        <w:t xml:space="preserve">growth, and </w:t>
      </w:r>
      <w:r w:rsidR="000A2560" w:rsidRPr="00870330">
        <w:rPr>
          <w:rFonts w:asciiTheme="minorHAnsi" w:hAnsiTheme="minorHAnsi" w:cstheme="minorHAnsi"/>
          <w:color w:val="0D0D0D" w:themeColor="text1" w:themeTint="F2"/>
          <w:lang w:eastAsia="id-ID"/>
        </w:rPr>
        <w:t>carbon emissions</w:t>
      </w:r>
      <w:r w:rsidR="00073193" w:rsidRPr="00870330">
        <w:rPr>
          <w:rFonts w:asciiTheme="minorHAnsi" w:hAnsiTheme="minorHAnsi" w:cstheme="minorHAnsi"/>
          <w:color w:val="0D0D0D" w:themeColor="text1" w:themeTint="F2"/>
          <w:lang w:eastAsia="id-ID"/>
        </w:rPr>
        <w:t xml:space="preserve"> in Africa</w:t>
      </w:r>
      <w:r w:rsidRPr="00870330">
        <w:rPr>
          <w:rFonts w:asciiTheme="minorHAnsi" w:hAnsiTheme="minorHAnsi" w:cstheme="minorHAnsi"/>
          <w:color w:val="0D0D0D" w:themeColor="text1" w:themeTint="F2"/>
          <w:lang w:eastAsia="id-ID"/>
        </w:rPr>
        <w:t xml:space="preserve">.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{"citationItems":[{"id":"ITEM-1","itemData":{"DOI":"10.1080/21606544.2021.1979101","ISSN":"21606552","abstract":"The paper examines the association between health expenditure, carbon emission, economic growth, natural resources, and population in developing countries for 2000–2018. It further explores the relationship between these variables over the same period. The study applied Pooled mean group (PMG) and Dynamic ordinary least square (DOLS) estimations to explore the long and short-term impact of environmental pollution, economic growth, and natural resources on health expenditure. PMG and the DOLS results show that economic growth and environmental pollution, and natural resources increase health expenditure at the panel level. However, improved sanitation reduces health spending. The findings for the individual country level from the FMOLS confirmed similar results for some countries. Furthermore, there is bidirectional causality between health spending and economic growth. Developing nations should implement strategic environment management policies that enhanced clean and healthy air to decrease the pressure on health care expenses.","author":[{"dropping-particle":"","family":"Ampon-Wireko","given":"Sabina","non-dropping-particle":"","parse-names":false,"suffix":""},{"dropping-particle":"","family":"Zhou","given":"Lulin","non-dropping-particle":"","parse-names":false,"suffix":""},{"dropping-particle":"","family":"Xu","given":"Xinglong","non-dropping-particle":"","parse-names":false,"suffix":""},{"dropping-particle":"","family":"Dauda","given":"Lamini","non-dropping-particle":"","parse-names":false,"suffix":""},{"dropping-particle":"","family":"Mensah","given":"Isaac Adjei","non-dropping-particle":"","parse-names":false,"suffix":""},{"dropping-particle":"","family":"Larnyo","given":"Ebenezer","non-dropping-particle":"","parse-names":false,"suffix":""},{"dropping-particle":"","family":"Baah Nketiah","given":"Edmond","non-dropping-particle":"","parse-names":false,"suffix":""}],"container-title":"Journal of Environmental Economics and Policy","id":"ITEM-1","issued":{"date-parts":[["2021"]]},"publisher":"Taylor and Francis Ltd.","title":"The relationship between healthcare expenditure, CO2 emissions and natural resources: evidence from developing countries","type":"article-journal"},"uris":["http://www.mendeley.com/documents/?uuid=b098f845-9132-3f99-8506-0f37caff2f7e"]}],"mendeley":{"formattedCitation":"(Ampon-Wireko et al., 2021)","manualFormatting":"Ampon-Wireko et al. (2021)","plainTextFormattedCitation":"(Ampon-Wireko et al., 2021)","previouslyFormattedCitation":"(Ampon-Wireko et al., 2021)"},"properties":{"noteIndex":0},"schema":"https://github.com/citation-style-language/schema/raw/master/csl-citation.json"}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Ampon-Wireko et al. (2021)</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00AD1803" w:rsidRPr="00870330">
        <w:rPr>
          <w:rFonts w:asciiTheme="minorHAnsi" w:hAnsiTheme="minorHAnsi" w:cstheme="minorHAnsi"/>
          <w:color w:val="0D0D0D" w:themeColor="text1" w:themeTint="F2"/>
          <w:lang w:eastAsia="id-ID"/>
        </w:rPr>
        <w:t xml:space="preserve">employed </w:t>
      </w:r>
      <w:r w:rsidRPr="00870330">
        <w:rPr>
          <w:rFonts w:asciiTheme="minorHAnsi" w:hAnsiTheme="minorHAnsi" w:cstheme="minorHAnsi"/>
          <w:color w:val="0D0D0D" w:themeColor="text1" w:themeTint="F2"/>
          <w:lang w:eastAsia="id-ID"/>
        </w:rPr>
        <w:t xml:space="preserve">PMG to </w:t>
      </w:r>
      <w:r w:rsidR="005961DE" w:rsidRPr="00870330">
        <w:rPr>
          <w:rFonts w:asciiTheme="minorHAnsi" w:hAnsiTheme="minorHAnsi" w:cstheme="minorHAnsi"/>
          <w:color w:val="0D0D0D" w:themeColor="text1" w:themeTint="F2"/>
          <w:lang w:eastAsia="id-ID"/>
        </w:rPr>
        <w:t>examine</w:t>
      </w:r>
      <w:r w:rsidRPr="00870330">
        <w:rPr>
          <w:rFonts w:asciiTheme="minorHAnsi" w:hAnsiTheme="minorHAnsi" w:cstheme="minorHAnsi"/>
          <w:color w:val="0D0D0D" w:themeColor="text1" w:themeTint="F2"/>
          <w:lang w:eastAsia="id-ID"/>
        </w:rPr>
        <w:t xml:space="preserve"> the effect of health expenditures on </w:t>
      </w:r>
      <w:r w:rsidR="005961DE" w:rsidRPr="00870330">
        <w:rPr>
          <w:rFonts w:asciiTheme="minorHAnsi" w:hAnsiTheme="minorHAnsi" w:cstheme="minorHAnsi"/>
          <w:color w:val="0D0D0D" w:themeColor="text1" w:themeTint="F2"/>
          <w:lang w:eastAsia="id-ID"/>
        </w:rPr>
        <w:t>CO2</w:t>
      </w:r>
      <w:r w:rsidRPr="00870330">
        <w:rPr>
          <w:rFonts w:asciiTheme="minorHAnsi" w:hAnsiTheme="minorHAnsi" w:cstheme="minorHAnsi"/>
          <w:color w:val="0D0D0D" w:themeColor="text1" w:themeTint="F2"/>
          <w:lang w:eastAsia="id-ID"/>
        </w:rPr>
        <w:t xml:space="preserve"> emissions in developing countries.</w:t>
      </w:r>
      <w:r w:rsidR="00591542" w:rsidRPr="00870330">
        <w:rPr>
          <w:rFonts w:asciiTheme="minorHAnsi" w:hAnsiTheme="minorHAnsi" w:cstheme="minorHAnsi"/>
          <w:color w:val="0D0D0D" w:themeColor="text1" w:themeTint="F2"/>
          <w:lang w:eastAsia="id-ID"/>
        </w:rPr>
        <w:t xml:space="preserve"> </w:t>
      </w:r>
      <w:r w:rsidR="00724547" w:rsidRPr="00870330">
        <w:rPr>
          <w:rFonts w:asciiTheme="minorHAnsi" w:hAnsiTheme="minorHAnsi" w:cstheme="minorHAnsi"/>
          <w:color w:val="0D0D0D" w:themeColor="text1" w:themeTint="F2"/>
          <w:lang w:eastAsia="id-ID"/>
        </w:rPr>
        <w:t xml:space="preserve">Currently, </w:t>
      </w:r>
      <w:r w:rsidR="00591542" w:rsidRPr="00870330">
        <w:rPr>
          <w:rFonts w:asciiTheme="minorHAnsi" w:hAnsiTheme="minorHAnsi" w:cstheme="minorHAnsi"/>
          <w:noProof/>
          <w:color w:val="0D0D0D"/>
        </w:rPr>
        <w:fldChar w:fldCharType="begin" w:fldLock="1"/>
      </w:r>
      <w:r w:rsidR="00591542" w:rsidRPr="00870330">
        <w:rPr>
          <w:rFonts w:asciiTheme="minorHAnsi" w:hAnsiTheme="minorHAnsi" w:cstheme="minorHAnsi"/>
          <w:noProof/>
          <w:color w:val="0D0D0D"/>
        </w:rPr>
        <w:instrText>ADDIN CSL_CITATION {"citationItems":[{"id":"ITEM-1","itemData":{"DOI":"10.1007/s41685-021-00208-5","ISBN":"0123456789","ISSN":"25097954","abstract":"Economic growth brings fortune to a society, but it worsens the ecosystem and results in environmental pollution through carbon dioxide (CO2) emissions. Despite extensive literature, the impact of economic growth on the environment is inconclusive, and the application of the environmental Kuznets Curve (EKC) hypothesis in the case of South Asia is very limited. This study investigated the validity of the EKC hypothesis for South Asia, examining the influence of economic growth on CO2 emissions by incorporating industrial value added (IVA), energy consumption (ENC), and urbanization as control variables. Using annual panel data on selected South Asian economies for the period of 1971–2018, this study applied the pooled mean group and fully modified OLS estimators, and the Dumitrescu–Hurlin panel causality test to accomplish our objective. The findings revealed that economic growth, ENC, and urbanization have significant impacts on environmental pollution in South Asia. Economic growth initially adversely affects the environment, but when GDP attains a certain threshold it takes an inverse turn supported by a negative value of squared GDP, then economic growth becomes a friend of the environment. Both urbanization and ENC add to environmental pollution, and IVA is pollution-neutral. The Dumitrescu–Hurlin panel causality also reveals that economic growth, squared GDP, urbanization, and ENC contribute to CO2 emissions. The outcomes possess implications for policymakers to increase the share of renewable energy sources in the energy mix, and emphasize rural–urban development and pollution-neutral safe production techniques to reduce environmental pollution for the region over the long run.","author":[{"dropping-particle":"","family":"Islam","given":"Md Saiful","non-dropping-particle":"","parse-names":false,"suffix":""}],"container-title":"Asia-Pacific Journal of Regional Science","id":"ITEM-1","issue":"3","issued":{"date-parts":[["2021"]]},"page":"951-973","publisher":"Springer Singapore","title":"Influence of economic growth on environmental pollution in South Asia: a panel cointegration analysis","type":"article-journal","volume":"5"},"uris":["http://www.mendeley.com/documents/?uuid=54da9b26-3519-4385-b465-4d87e6157ed3"]}],"mendeley":{"formattedCitation":"(Islam, 2021)","manualFormatting":"Islam (2021)","plainTextFormattedCitation":"(Islam, 2021)","previouslyFormattedCitation":"(Islam, 2021)"},"properties":{"noteIndex":0},"schema":"https://github.com/citation-style-language/schema/raw/master/csl-citation.json"}</w:instrText>
      </w:r>
      <w:r w:rsidR="00591542" w:rsidRPr="00870330">
        <w:rPr>
          <w:rFonts w:asciiTheme="minorHAnsi" w:hAnsiTheme="minorHAnsi" w:cstheme="minorHAnsi"/>
          <w:noProof/>
          <w:color w:val="0D0D0D"/>
        </w:rPr>
        <w:fldChar w:fldCharType="separate"/>
      </w:r>
      <w:r w:rsidR="00591542" w:rsidRPr="00870330">
        <w:rPr>
          <w:rFonts w:asciiTheme="minorHAnsi" w:hAnsiTheme="minorHAnsi" w:cstheme="minorHAnsi"/>
          <w:noProof/>
          <w:color w:val="0D0D0D"/>
        </w:rPr>
        <w:t>Islam (2021)</w:t>
      </w:r>
      <w:r w:rsidR="00591542" w:rsidRPr="00870330">
        <w:rPr>
          <w:rFonts w:asciiTheme="minorHAnsi" w:hAnsiTheme="minorHAnsi" w:cstheme="minorHAnsi"/>
          <w:noProof/>
          <w:color w:val="0D0D0D"/>
        </w:rPr>
        <w:fldChar w:fldCharType="end"/>
      </w:r>
      <w:r w:rsidR="00591542" w:rsidRPr="00870330">
        <w:rPr>
          <w:rFonts w:asciiTheme="minorHAnsi" w:hAnsiTheme="minorHAnsi" w:cstheme="minorHAnsi"/>
          <w:noProof/>
          <w:color w:val="0D0D0D"/>
        </w:rPr>
        <w:t xml:space="preserve"> </w:t>
      </w:r>
      <w:r w:rsidR="00591542" w:rsidRPr="00870330">
        <w:rPr>
          <w:rFonts w:asciiTheme="minorHAnsi" w:hAnsiTheme="minorHAnsi" w:cstheme="minorHAnsi"/>
          <w:color w:val="0D0D0D" w:themeColor="text1" w:themeTint="F2"/>
          <w:lang w:eastAsia="id-ID"/>
        </w:rPr>
        <w:t xml:space="preserve">applied PMG to test the EKC hypothesis in South Asia. </w:t>
      </w:r>
      <w:r w:rsidRPr="00870330">
        <w:rPr>
          <w:rFonts w:asciiTheme="minorHAnsi" w:hAnsiTheme="minorHAnsi" w:cstheme="minorHAnsi"/>
          <w:color w:val="0D0D0D" w:themeColor="text1" w:themeTint="F2"/>
          <w:lang w:eastAsia="id-ID"/>
        </w:rPr>
        <w:t>The PMG panel equation (</w:t>
      </w:r>
      <w:proofErr w:type="spellStart"/>
      <w:r w:rsidRPr="00870330">
        <w:rPr>
          <w:rFonts w:asciiTheme="minorHAnsi" w:hAnsiTheme="minorHAnsi" w:cstheme="minorHAnsi"/>
          <w:color w:val="0D0D0D" w:themeColor="text1" w:themeTint="F2"/>
          <w:lang w:eastAsia="id-ID"/>
        </w:rPr>
        <w:t>p</w:t>
      </w:r>
      <w:proofErr w:type="gramStart"/>
      <w:r w:rsidRPr="00870330">
        <w:rPr>
          <w:rFonts w:asciiTheme="minorHAnsi" w:hAnsiTheme="minorHAnsi" w:cstheme="minorHAnsi"/>
          <w:color w:val="0D0D0D" w:themeColor="text1" w:themeTint="F2"/>
          <w:lang w:eastAsia="id-ID"/>
        </w:rPr>
        <w:t>,q</w:t>
      </w:r>
      <w:proofErr w:type="spellEnd"/>
      <w:proofErr w:type="gramEnd"/>
      <w:r w:rsidRPr="00870330">
        <w:rPr>
          <w:rFonts w:asciiTheme="minorHAnsi" w:hAnsiTheme="minorHAnsi" w:cstheme="minorHAnsi"/>
          <w:color w:val="0D0D0D" w:themeColor="text1" w:themeTint="F2"/>
          <w:lang w:eastAsia="id-ID"/>
        </w:rPr>
        <w:t>) can be arranged as follows.</w:t>
      </w:r>
    </w:p>
    <w:p w14:paraId="64D35465" w14:textId="77777777" w:rsidR="005D1099" w:rsidRPr="00870330" w:rsidRDefault="005D1099" w:rsidP="005D1099">
      <w:pPr>
        <w:spacing w:after="0"/>
        <w:jc w:val="both"/>
        <w:rPr>
          <w:rFonts w:asciiTheme="minorHAnsi" w:hAnsiTheme="minorHAnsi" w:cstheme="minorHAnsi"/>
          <w:color w:val="0D0D0D" w:themeColor="text1" w:themeTint="F2"/>
          <w:lang w:eastAsia="id-ID"/>
        </w:rPr>
      </w:pPr>
    </w:p>
    <w:tbl>
      <w:tblPr>
        <w:tblW w:w="8931" w:type="dxa"/>
        <w:tblLook w:val="04A0" w:firstRow="1" w:lastRow="0" w:firstColumn="1" w:lastColumn="0" w:noHBand="0" w:noVBand="1"/>
      </w:tblPr>
      <w:tblGrid>
        <w:gridCol w:w="8046"/>
        <w:gridCol w:w="885"/>
      </w:tblGrid>
      <w:tr w:rsidR="00AB0C14" w:rsidRPr="00870330" w14:paraId="459D42DD" w14:textId="77777777" w:rsidTr="00432499">
        <w:tc>
          <w:tcPr>
            <w:tcW w:w="8046" w:type="dxa"/>
            <w:shd w:val="clear" w:color="auto" w:fill="auto"/>
            <w:vAlign w:val="center"/>
          </w:tcPr>
          <w:p w14:paraId="3A802D66" w14:textId="77777777" w:rsidR="00AB0C14" w:rsidRPr="00870330" w:rsidRDefault="00AB0C14" w:rsidP="00432499">
            <w:pPr>
              <w:pStyle w:val="ListParagraph"/>
              <w:spacing w:line="259" w:lineRule="auto"/>
              <w:ind w:left="0" w:firstLine="567"/>
              <w:rPr>
                <w:rFonts w:asciiTheme="minorHAnsi" w:eastAsia="Times New Roman" w:hAnsiTheme="minorHAnsi" w:cstheme="minorHAnsi"/>
                <w:color w:val="0D0D0D" w:themeColor="text1" w:themeTint="F2"/>
                <w:lang w:val="en-US"/>
              </w:rPr>
            </w:pPr>
            <m:oMathPara>
              <m:oMath>
                <m:r>
                  <w:rPr>
                    <w:rFonts w:ascii="Cambria Math" w:eastAsia="Times New Roman" w:hAnsi="Cambria Math" w:cstheme="minorHAnsi"/>
                    <w:color w:val="0D0D0D" w:themeColor="text1" w:themeTint="F2"/>
                    <w:lang w:val="en-US"/>
                  </w:rPr>
                  <m:t>∆</m:t>
                </m:r>
                <m:sSub>
                  <m:sSubPr>
                    <m:ctrlPr>
                      <w:rPr>
                        <w:rFonts w:ascii="Cambria Math" w:eastAsia="Times New Roman" w:hAnsi="Cambria Math" w:cstheme="minorHAnsi"/>
                        <w:i/>
                        <w:color w:val="0D0D0D" w:themeColor="text1" w:themeTint="F2"/>
                        <w:lang w:val="en-US"/>
                      </w:rPr>
                    </m:ctrlPr>
                  </m:sSubPr>
                  <m:e>
                    <m:r>
                      <w:rPr>
                        <w:rFonts w:ascii="Cambria Math" w:eastAsia="Times New Roman" w:hAnsi="Cambria Math" w:cstheme="minorHAnsi"/>
                        <w:color w:val="0D0D0D" w:themeColor="text1" w:themeTint="F2"/>
                        <w:lang w:val="en-US"/>
                      </w:rPr>
                      <m:t>DEF</m:t>
                    </m:r>
                  </m:e>
                  <m:sub>
                    <m:r>
                      <w:rPr>
                        <w:rFonts w:ascii="Cambria Math" w:eastAsia="Times New Roman" w:hAnsi="Cambria Math" w:cstheme="minorHAnsi"/>
                        <w:color w:val="0D0D0D" w:themeColor="text1" w:themeTint="F2"/>
                        <w:lang w:val="en-US"/>
                      </w:rPr>
                      <m:t>it</m:t>
                    </m:r>
                  </m:sub>
                </m:sSub>
                <m:r>
                  <w:rPr>
                    <w:rFonts w:ascii="Cambria Math" w:eastAsia="Times New Roman" w:hAnsi="Cambria Math" w:cstheme="minorHAnsi"/>
                    <w:color w:val="0D0D0D" w:themeColor="text1" w:themeTint="F2"/>
                    <w:lang w:val="en-US"/>
                  </w:rPr>
                  <m:t>=</m:t>
                </m:r>
                <m:sSub>
                  <m:sSubPr>
                    <m:ctrlPr>
                      <w:rPr>
                        <w:rFonts w:ascii="Cambria Math" w:eastAsia="Times New Roman" w:hAnsi="Cambria Math" w:cstheme="minorHAnsi"/>
                        <w:i/>
                        <w:color w:val="0D0D0D" w:themeColor="text1" w:themeTint="F2"/>
                        <w:lang w:val="en-US"/>
                      </w:rPr>
                    </m:ctrlPr>
                  </m:sSubPr>
                  <m:e>
                    <m:r>
                      <w:rPr>
                        <w:rFonts w:ascii="Cambria Math" w:eastAsia="Times New Roman" w:hAnsi="Cambria Math" w:cstheme="minorHAnsi"/>
                        <w:color w:val="0D0D0D" w:themeColor="text1" w:themeTint="F2"/>
                        <w:lang w:val="en-US"/>
                      </w:rPr>
                      <m:t>α</m:t>
                    </m:r>
                  </m:e>
                  <m:sub>
                    <m:r>
                      <w:rPr>
                        <w:rFonts w:ascii="Cambria Math" w:eastAsia="Times New Roman" w:hAnsi="Cambria Math" w:cstheme="minorHAnsi"/>
                        <w:color w:val="0D0D0D" w:themeColor="text1" w:themeTint="F2"/>
                        <w:lang w:val="en-US"/>
                      </w:rPr>
                      <m:t>i</m:t>
                    </m:r>
                  </m:sub>
                </m:sSub>
                <m:r>
                  <w:rPr>
                    <w:rFonts w:ascii="Cambria Math" w:eastAsia="Times New Roman" w:hAnsi="Cambria Math" w:cstheme="minorHAnsi"/>
                    <w:color w:val="0D0D0D" w:themeColor="text1" w:themeTint="F2"/>
                    <w:lang w:val="en-US"/>
                  </w:rPr>
                  <m:t>DE</m:t>
                </m:r>
                <m:sSub>
                  <m:sSubPr>
                    <m:ctrlPr>
                      <w:rPr>
                        <w:rFonts w:ascii="Cambria Math" w:eastAsia="Times New Roman" w:hAnsi="Cambria Math" w:cstheme="minorHAnsi"/>
                        <w:i/>
                        <w:color w:val="0D0D0D" w:themeColor="text1" w:themeTint="F2"/>
                        <w:lang w:val="en-US"/>
                      </w:rPr>
                    </m:ctrlPr>
                  </m:sSubPr>
                  <m:e>
                    <m:r>
                      <w:rPr>
                        <w:rFonts w:ascii="Cambria Math" w:eastAsia="Times New Roman" w:hAnsi="Cambria Math" w:cstheme="minorHAnsi"/>
                        <w:color w:val="0D0D0D" w:themeColor="text1" w:themeTint="F2"/>
                        <w:lang w:val="en-US"/>
                      </w:rPr>
                      <m:t>F</m:t>
                    </m:r>
                  </m:e>
                  <m:sub>
                    <m:r>
                      <w:rPr>
                        <w:rFonts w:ascii="Cambria Math" w:eastAsia="Times New Roman" w:hAnsi="Cambria Math" w:cstheme="minorHAnsi"/>
                        <w:color w:val="0D0D0D" w:themeColor="text1" w:themeTint="F2"/>
                        <w:lang w:val="en-US"/>
                      </w:rPr>
                      <m:t>i,t-1</m:t>
                    </m:r>
                  </m:sub>
                </m:sSub>
                <m:r>
                  <w:rPr>
                    <w:rFonts w:ascii="Cambria Math" w:eastAsia="Times New Roman" w:hAnsi="Cambria Math" w:cstheme="minorHAnsi"/>
                    <w:color w:val="0D0D0D" w:themeColor="text1" w:themeTint="F2"/>
                    <w:lang w:val="en-US"/>
                  </w:rPr>
                  <m:t>-</m:t>
                </m:r>
                <m:sSub>
                  <m:sSubPr>
                    <m:ctrlPr>
                      <w:rPr>
                        <w:rFonts w:ascii="Cambria Math" w:eastAsia="Times New Roman" w:hAnsi="Cambria Math" w:cstheme="minorHAnsi"/>
                        <w:i/>
                        <w:color w:val="0D0D0D" w:themeColor="text1" w:themeTint="F2"/>
                        <w:lang w:val="en-US"/>
                      </w:rPr>
                    </m:ctrlPr>
                  </m:sSubPr>
                  <m:e>
                    <m:r>
                      <w:rPr>
                        <w:rFonts w:ascii="Cambria Math" w:eastAsia="Times New Roman" w:hAnsi="Cambria Math" w:cstheme="minorHAnsi"/>
                        <w:color w:val="0D0D0D" w:themeColor="text1" w:themeTint="F2"/>
                        <w:lang w:val="en-US"/>
                      </w:rPr>
                      <m:t>β</m:t>
                    </m:r>
                  </m:e>
                  <m:sub>
                    <m:r>
                      <w:rPr>
                        <w:rFonts w:ascii="Cambria Math" w:eastAsia="Times New Roman" w:hAnsi="Cambria Math" w:cstheme="minorHAnsi"/>
                        <w:color w:val="0D0D0D" w:themeColor="text1" w:themeTint="F2"/>
                        <w:lang w:val="en-US"/>
                      </w:rPr>
                      <m:t>i</m:t>
                    </m:r>
                  </m:sub>
                </m:sSub>
                <m:sSub>
                  <m:sSubPr>
                    <m:ctrlPr>
                      <w:rPr>
                        <w:rFonts w:ascii="Cambria Math" w:eastAsia="Times New Roman" w:hAnsi="Cambria Math" w:cstheme="minorHAnsi"/>
                        <w:i/>
                        <w:color w:val="0D0D0D" w:themeColor="text1" w:themeTint="F2"/>
                        <w:lang w:val="en-US"/>
                      </w:rPr>
                    </m:ctrlPr>
                  </m:sSubPr>
                  <m:e>
                    <m:r>
                      <w:rPr>
                        <w:rFonts w:ascii="Cambria Math" w:eastAsia="Times New Roman" w:hAnsi="Cambria Math" w:cstheme="minorHAnsi"/>
                        <w:color w:val="0D0D0D" w:themeColor="text1" w:themeTint="F2"/>
                        <w:lang w:val="en-US"/>
                      </w:rPr>
                      <m:t>X</m:t>
                    </m:r>
                  </m:e>
                  <m:sub>
                    <m:r>
                      <w:rPr>
                        <w:rFonts w:ascii="Cambria Math" w:eastAsia="Times New Roman" w:hAnsi="Cambria Math" w:cstheme="minorHAnsi"/>
                        <w:color w:val="0D0D0D" w:themeColor="text1" w:themeTint="F2"/>
                        <w:lang w:val="en-US"/>
                      </w:rPr>
                      <m:t>it</m:t>
                    </m:r>
                  </m:sub>
                </m:sSub>
                <m:r>
                  <w:rPr>
                    <w:rFonts w:ascii="Cambria Math" w:eastAsia="Times New Roman" w:hAnsi="Cambria Math" w:cstheme="minorHAnsi"/>
                    <w:color w:val="0D0D0D" w:themeColor="text1" w:themeTint="F2"/>
                    <w:lang w:val="en-US"/>
                  </w:rPr>
                  <m:t>+</m:t>
                </m:r>
                <m:nary>
                  <m:naryPr>
                    <m:chr m:val="∑"/>
                    <m:limLoc m:val="undOvr"/>
                    <m:ctrlPr>
                      <w:rPr>
                        <w:rFonts w:ascii="Cambria Math" w:eastAsia="Times New Roman" w:hAnsi="Cambria Math" w:cstheme="minorHAnsi"/>
                        <w:i/>
                        <w:color w:val="0D0D0D" w:themeColor="text1" w:themeTint="F2"/>
                        <w:lang w:val="en-US"/>
                      </w:rPr>
                    </m:ctrlPr>
                  </m:naryPr>
                  <m:sub>
                    <m:r>
                      <w:rPr>
                        <w:rFonts w:ascii="Cambria Math" w:eastAsia="Times New Roman" w:hAnsi="Cambria Math" w:cstheme="minorHAnsi"/>
                        <w:color w:val="0D0D0D" w:themeColor="text1" w:themeTint="F2"/>
                        <w:lang w:val="en-US"/>
                      </w:rPr>
                      <m:t>i=1</m:t>
                    </m:r>
                  </m:sub>
                  <m:sup>
                    <m:r>
                      <w:rPr>
                        <w:rFonts w:ascii="Cambria Math" w:eastAsia="Times New Roman" w:hAnsi="Cambria Math" w:cstheme="minorHAnsi"/>
                        <w:color w:val="0D0D0D" w:themeColor="text1" w:themeTint="F2"/>
                        <w:lang w:val="en-US"/>
                      </w:rPr>
                      <m:t>p-1</m:t>
                    </m:r>
                  </m:sup>
                  <m:e>
                    <m:sSubSup>
                      <m:sSubSupPr>
                        <m:ctrlPr>
                          <w:rPr>
                            <w:rFonts w:ascii="Cambria Math" w:eastAsia="Times New Roman" w:hAnsi="Cambria Math" w:cstheme="minorHAnsi"/>
                            <w:i/>
                            <w:color w:val="0D0D0D" w:themeColor="text1" w:themeTint="F2"/>
                            <w:lang w:val="en-US"/>
                          </w:rPr>
                        </m:ctrlPr>
                      </m:sSubSupPr>
                      <m:e>
                        <m:r>
                          <w:rPr>
                            <w:rFonts w:ascii="Cambria Math" w:eastAsia="Times New Roman" w:hAnsi="Cambria Math" w:cstheme="minorHAnsi"/>
                            <w:color w:val="0D0D0D" w:themeColor="text1" w:themeTint="F2"/>
                            <w:lang w:val="en-US"/>
                          </w:rPr>
                          <m:t>λ</m:t>
                        </m:r>
                      </m:e>
                      <m:sub>
                        <m:r>
                          <w:rPr>
                            <w:rFonts w:ascii="Cambria Math" w:eastAsia="Times New Roman" w:hAnsi="Cambria Math" w:cstheme="minorHAnsi"/>
                            <w:color w:val="0D0D0D" w:themeColor="text1" w:themeTint="F2"/>
                            <w:lang w:val="en-US"/>
                          </w:rPr>
                          <m:t>ij</m:t>
                        </m:r>
                      </m:sub>
                      <m:sup>
                        <m:r>
                          <w:rPr>
                            <w:rFonts w:ascii="Cambria Math" w:eastAsia="Times New Roman" w:hAnsi="Cambria Math" w:cstheme="minorHAnsi"/>
                            <w:color w:val="0D0D0D" w:themeColor="text1" w:themeTint="F2"/>
                            <w:lang w:val="en-US"/>
                          </w:rPr>
                          <m:t>'</m:t>
                        </m:r>
                      </m:sup>
                    </m:sSubSup>
                    <m:r>
                      <w:rPr>
                        <w:rFonts w:ascii="Cambria Math" w:eastAsia="Times New Roman" w:hAnsi="Cambria Math" w:cstheme="minorHAnsi"/>
                        <w:color w:val="0D0D0D" w:themeColor="text1" w:themeTint="F2"/>
                        <w:lang w:val="en-US"/>
                      </w:rPr>
                      <m:t>∆DE</m:t>
                    </m:r>
                    <m:sSub>
                      <m:sSubPr>
                        <m:ctrlPr>
                          <w:rPr>
                            <w:rFonts w:ascii="Cambria Math" w:eastAsia="Times New Roman" w:hAnsi="Cambria Math" w:cstheme="minorHAnsi"/>
                            <w:i/>
                            <w:color w:val="0D0D0D" w:themeColor="text1" w:themeTint="F2"/>
                            <w:lang w:val="en-US"/>
                          </w:rPr>
                        </m:ctrlPr>
                      </m:sSubPr>
                      <m:e>
                        <m:r>
                          <w:rPr>
                            <w:rFonts w:ascii="Cambria Math" w:eastAsia="Times New Roman" w:hAnsi="Cambria Math" w:cstheme="minorHAnsi"/>
                            <w:color w:val="0D0D0D" w:themeColor="text1" w:themeTint="F2"/>
                            <w:lang w:val="en-US"/>
                          </w:rPr>
                          <m:t>F</m:t>
                        </m:r>
                      </m:e>
                      <m:sub>
                        <m:r>
                          <w:rPr>
                            <w:rFonts w:ascii="Cambria Math" w:eastAsia="Times New Roman" w:hAnsi="Cambria Math" w:cstheme="minorHAnsi"/>
                            <w:color w:val="0D0D0D" w:themeColor="text1" w:themeTint="F2"/>
                            <w:lang w:val="en-US"/>
                          </w:rPr>
                          <m:t>it-j</m:t>
                        </m:r>
                      </m:sub>
                    </m:sSub>
                  </m:e>
                </m:nary>
                <m:r>
                  <w:rPr>
                    <w:rFonts w:ascii="Cambria Math" w:eastAsia="Times New Roman" w:hAnsi="Cambria Math" w:cstheme="minorHAnsi"/>
                    <w:color w:val="0D0D0D" w:themeColor="text1" w:themeTint="F2"/>
                    <w:lang w:val="en-US"/>
                  </w:rPr>
                  <m:t>+</m:t>
                </m:r>
                <m:nary>
                  <m:naryPr>
                    <m:chr m:val="∑"/>
                    <m:limLoc m:val="undOvr"/>
                    <m:ctrlPr>
                      <w:rPr>
                        <w:rFonts w:ascii="Cambria Math" w:eastAsia="Times New Roman" w:hAnsi="Cambria Math" w:cstheme="minorHAnsi"/>
                        <w:i/>
                        <w:color w:val="0D0D0D" w:themeColor="text1" w:themeTint="F2"/>
                        <w:lang w:val="en-US"/>
                      </w:rPr>
                    </m:ctrlPr>
                  </m:naryPr>
                  <m:sub>
                    <m:r>
                      <w:rPr>
                        <w:rFonts w:ascii="Cambria Math" w:eastAsia="Times New Roman" w:hAnsi="Cambria Math" w:cstheme="minorHAnsi"/>
                        <w:color w:val="0D0D0D" w:themeColor="text1" w:themeTint="F2"/>
                        <w:lang w:val="en-US"/>
                      </w:rPr>
                      <m:t>j=0</m:t>
                    </m:r>
                  </m:sub>
                  <m:sup>
                    <m:r>
                      <w:rPr>
                        <w:rFonts w:ascii="Cambria Math" w:eastAsia="Times New Roman" w:hAnsi="Cambria Math" w:cstheme="minorHAnsi"/>
                        <w:color w:val="0D0D0D" w:themeColor="text1" w:themeTint="F2"/>
                        <w:lang w:val="en-US"/>
                      </w:rPr>
                      <m:t>q-1</m:t>
                    </m:r>
                  </m:sup>
                  <m:e>
                    <m:sSubSup>
                      <m:sSubSupPr>
                        <m:ctrlPr>
                          <w:rPr>
                            <w:rFonts w:ascii="Cambria Math" w:eastAsia="Times New Roman" w:hAnsi="Cambria Math" w:cstheme="minorHAnsi"/>
                            <w:i/>
                            <w:color w:val="0D0D0D" w:themeColor="text1" w:themeTint="F2"/>
                            <w:lang w:val="en-US"/>
                          </w:rPr>
                        </m:ctrlPr>
                      </m:sSubSupPr>
                      <m:e>
                        <m:r>
                          <w:rPr>
                            <w:rFonts w:ascii="Cambria Math" w:eastAsia="Times New Roman" w:hAnsi="Cambria Math" w:cstheme="minorHAnsi"/>
                            <w:color w:val="0D0D0D" w:themeColor="text1" w:themeTint="F2"/>
                            <w:lang w:val="en-US"/>
                          </w:rPr>
                          <m:t>δ</m:t>
                        </m:r>
                      </m:e>
                      <m:sub>
                        <m:r>
                          <w:rPr>
                            <w:rFonts w:ascii="Cambria Math" w:eastAsia="Times New Roman" w:hAnsi="Cambria Math" w:cstheme="minorHAnsi"/>
                            <w:color w:val="0D0D0D" w:themeColor="text1" w:themeTint="F2"/>
                            <w:lang w:val="en-US"/>
                          </w:rPr>
                          <m:t>ij</m:t>
                        </m:r>
                      </m:sub>
                      <m:sup>
                        <m:r>
                          <w:rPr>
                            <w:rFonts w:ascii="Cambria Math" w:eastAsia="Times New Roman" w:hAnsi="Cambria Math" w:cstheme="minorHAnsi"/>
                            <w:color w:val="0D0D0D" w:themeColor="text1" w:themeTint="F2"/>
                            <w:lang w:val="en-US"/>
                          </w:rPr>
                          <m:t>'</m:t>
                        </m:r>
                      </m:sup>
                    </m:sSubSup>
                  </m:e>
                </m:nary>
                <m:r>
                  <w:rPr>
                    <w:rFonts w:ascii="Cambria Math" w:eastAsia="Times New Roman" w:hAnsi="Cambria Math" w:cstheme="minorHAnsi"/>
                    <w:color w:val="0D0D0D" w:themeColor="text1" w:themeTint="F2"/>
                    <w:lang w:val="en-US"/>
                  </w:rPr>
                  <m:t>∆</m:t>
                </m:r>
                <m:sSub>
                  <m:sSubPr>
                    <m:ctrlPr>
                      <w:rPr>
                        <w:rFonts w:ascii="Cambria Math" w:eastAsia="Times New Roman" w:hAnsi="Cambria Math" w:cstheme="minorHAnsi"/>
                        <w:i/>
                        <w:color w:val="0D0D0D" w:themeColor="text1" w:themeTint="F2"/>
                        <w:lang w:val="en-US"/>
                      </w:rPr>
                    </m:ctrlPr>
                  </m:sSubPr>
                  <m:e>
                    <m:r>
                      <w:rPr>
                        <w:rFonts w:ascii="Cambria Math" w:eastAsia="Times New Roman" w:hAnsi="Cambria Math" w:cstheme="minorHAnsi"/>
                        <w:color w:val="0D0D0D" w:themeColor="text1" w:themeTint="F2"/>
                        <w:lang w:val="en-US"/>
                      </w:rPr>
                      <m:t>X</m:t>
                    </m:r>
                  </m:e>
                  <m:sub>
                    <m:r>
                      <w:rPr>
                        <w:rFonts w:ascii="Cambria Math" w:eastAsia="Times New Roman" w:hAnsi="Cambria Math" w:cstheme="minorHAnsi"/>
                        <w:color w:val="0D0D0D" w:themeColor="text1" w:themeTint="F2"/>
                        <w:lang w:val="en-US"/>
                      </w:rPr>
                      <m:t>it-j</m:t>
                    </m:r>
                  </m:sub>
                </m:sSub>
                <m:r>
                  <w:rPr>
                    <w:rFonts w:ascii="Cambria Math" w:eastAsia="Times New Roman" w:hAnsi="Cambria Math" w:cstheme="minorHAnsi"/>
                    <w:color w:val="0D0D0D" w:themeColor="text1" w:themeTint="F2"/>
                    <w:lang w:val="en-US"/>
                  </w:rPr>
                  <m:t>+</m:t>
                </m:r>
                <m:sSub>
                  <m:sSubPr>
                    <m:ctrlPr>
                      <w:rPr>
                        <w:rFonts w:ascii="Cambria Math" w:eastAsia="Times New Roman" w:hAnsi="Cambria Math" w:cstheme="minorHAnsi"/>
                        <w:i/>
                        <w:color w:val="0D0D0D" w:themeColor="text1" w:themeTint="F2"/>
                        <w:lang w:val="en-US"/>
                      </w:rPr>
                    </m:ctrlPr>
                  </m:sSubPr>
                  <m:e>
                    <m:r>
                      <w:rPr>
                        <w:rFonts w:ascii="Cambria Math" w:eastAsia="Times New Roman" w:hAnsi="Cambria Math" w:cstheme="minorHAnsi"/>
                        <w:color w:val="0D0D0D" w:themeColor="text1" w:themeTint="F2"/>
                        <w:lang w:val="en-US"/>
                      </w:rPr>
                      <m:t>v</m:t>
                    </m:r>
                  </m:e>
                  <m:sub>
                    <m:r>
                      <w:rPr>
                        <w:rFonts w:ascii="Cambria Math" w:eastAsia="Times New Roman" w:hAnsi="Cambria Math" w:cstheme="minorHAnsi"/>
                        <w:color w:val="0D0D0D" w:themeColor="text1" w:themeTint="F2"/>
                        <w:lang w:val="en-US"/>
                      </w:rPr>
                      <m:t>i</m:t>
                    </m:r>
                  </m:sub>
                </m:sSub>
                <m:r>
                  <w:rPr>
                    <w:rFonts w:ascii="Cambria Math" w:eastAsia="Times New Roman" w:hAnsi="Cambria Math" w:cstheme="minorHAnsi"/>
                    <w:color w:val="0D0D0D" w:themeColor="text1" w:themeTint="F2"/>
                    <w:lang w:val="en-US"/>
                  </w:rPr>
                  <m:t>+</m:t>
                </m:r>
                <m:sSub>
                  <m:sSubPr>
                    <m:ctrlPr>
                      <w:rPr>
                        <w:rFonts w:ascii="Cambria Math" w:eastAsia="Times New Roman" w:hAnsi="Cambria Math" w:cstheme="minorHAnsi"/>
                        <w:i/>
                        <w:color w:val="0D0D0D" w:themeColor="text1" w:themeTint="F2"/>
                        <w:lang w:val="en-US"/>
                      </w:rPr>
                    </m:ctrlPr>
                  </m:sSubPr>
                  <m:e>
                    <m:r>
                      <w:rPr>
                        <w:rFonts w:ascii="Cambria Math" w:eastAsia="Times New Roman" w:hAnsi="Cambria Math" w:cstheme="minorHAnsi"/>
                        <w:color w:val="0D0D0D" w:themeColor="text1" w:themeTint="F2"/>
                        <w:lang w:val="en-US"/>
                      </w:rPr>
                      <m:t>ε</m:t>
                    </m:r>
                  </m:e>
                  <m:sub>
                    <m:r>
                      <w:rPr>
                        <w:rFonts w:ascii="Cambria Math" w:eastAsia="Times New Roman" w:hAnsi="Cambria Math" w:cstheme="minorHAnsi"/>
                        <w:color w:val="0D0D0D" w:themeColor="text1" w:themeTint="F2"/>
                        <w:lang w:val="en-US"/>
                      </w:rPr>
                      <m:t>it</m:t>
                    </m:r>
                  </m:sub>
                </m:sSub>
              </m:oMath>
            </m:oMathPara>
          </w:p>
        </w:tc>
        <w:tc>
          <w:tcPr>
            <w:tcW w:w="885" w:type="dxa"/>
            <w:shd w:val="clear" w:color="auto" w:fill="auto"/>
            <w:vAlign w:val="center"/>
          </w:tcPr>
          <w:p w14:paraId="625A8495" w14:textId="0E7B8379" w:rsidR="00AB0C14" w:rsidRPr="00870330" w:rsidRDefault="005D1099" w:rsidP="00432499">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(7</w:t>
            </w:r>
            <w:r w:rsidR="00AB0C14" w:rsidRPr="00870330">
              <w:rPr>
                <w:rFonts w:asciiTheme="minorHAnsi" w:hAnsiTheme="minorHAnsi" w:cstheme="minorHAnsi"/>
                <w:color w:val="0D0D0D" w:themeColor="text1" w:themeTint="F2"/>
              </w:rPr>
              <w:t>)</w:t>
            </w:r>
          </w:p>
        </w:tc>
      </w:tr>
    </w:tbl>
    <w:p w14:paraId="0B8E4535" w14:textId="77777777" w:rsidR="005D1099" w:rsidRPr="00870330" w:rsidRDefault="005D1099" w:rsidP="005D1099">
      <w:pPr>
        <w:spacing w:after="0"/>
        <w:jc w:val="both"/>
        <w:rPr>
          <w:rFonts w:asciiTheme="minorHAnsi" w:hAnsiTheme="minorHAnsi" w:cstheme="minorHAnsi"/>
          <w:color w:val="0D0D0D" w:themeColor="text1" w:themeTint="F2"/>
          <w:lang w:eastAsia="id-ID"/>
        </w:rPr>
      </w:pPr>
    </w:p>
    <w:p w14:paraId="3D1ADFFE" w14:textId="778970E5" w:rsidR="00AB0C14" w:rsidRPr="00870330" w:rsidRDefault="005D1099" w:rsidP="005D1099">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 xml:space="preserve">Where j denotes the number of lag, </w:t>
      </w:r>
      <m:oMath>
        <m:sSub>
          <m:sSubPr>
            <m:ctrlPr>
              <w:rPr>
                <w:rFonts w:ascii="Cambria Math" w:eastAsia="Times New Roman" w:hAnsi="Cambria Math" w:cstheme="minorHAnsi"/>
                <w:i/>
                <w:color w:val="0D0D0D" w:themeColor="text1" w:themeTint="F2"/>
                <w:lang w:val="en-US"/>
              </w:rPr>
            </m:ctrlPr>
          </m:sSubPr>
          <m:e>
            <m:r>
              <w:rPr>
                <w:rFonts w:ascii="Cambria Math" w:eastAsia="Times New Roman" w:hAnsi="Cambria Math" w:cstheme="minorHAnsi"/>
                <w:color w:val="0D0D0D" w:themeColor="text1" w:themeTint="F2"/>
                <w:lang w:val="en-US"/>
              </w:rPr>
              <m:t>ν</m:t>
            </m:r>
          </m:e>
          <m:sub>
            <m:r>
              <w:rPr>
                <w:rFonts w:ascii="Cambria Math" w:eastAsia="Times New Roman" w:hAnsi="Cambria Math" w:cstheme="minorHAnsi"/>
                <w:color w:val="0D0D0D" w:themeColor="text1" w:themeTint="F2"/>
                <w:lang w:val="en-US"/>
              </w:rPr>
              <m:t>i</m:t>
            </m:r>
          </m:sub>
        </m:sSub>
      </m:oMath>
      <w:r w:rsidRPr="00870330">
        <w:rPr>
          <w:rFonts w:asciiTheme="minorHAnsi" w:hAnsiTheme="minorHAnsi" w:cstheme="minorHAnsi"/>
          <w:color w:val="0D0D0D" w:themeColor="text1" w:themeTint="F2"/>
          <w:lang w:val="en-US"/>
        </w:rPr>
        <w:t xml:space="preserve"> represents fixed effect, and </w:t>
      </w:r>
      <w:r w:rsidRPr="00870330">
        <w:rPr>
          <w:rFonts w:asciiTheme="minorHAnsi" w:hAnsiTheme="minorHAnsi" w:cstheme="minorHAnsi"/>
          <w:color w:val="0D0D0D" w:themeColor="text1" w:themeTint="F2"/>
          <w:lang w:eastAsia="id-ID"/>
        </w:rPr>
        <w:t>X is the vector of independent variables. Next, the error correction equation is formed through equation 8.</w:t>
      </w:r>
    </w:p>
    <w:p w14:paraId="189FD8DE" w14:textId="77777777" w:rsidR="005D1099" w:rsidRPr="00870330" w:rsidRDefault="005D1099" w:rsidP="005D1099">
      <w:pPr>
        <w:spacing w:after="0"/>
        <w:jc w:val="both"/>
        <w:rPr>
          <w:rFonts w:asciiTheme="minorHAnsi" w:hAnsiTheme="minorHAnsi" w:cstheme="minorHAnsi"/>
          <w:color w:val="0D0D0D" w:themeColor="text1" w:themeTint="F2"/>
          <w:lang w:eastAsia="id-ID"/>
        </w:rPr>
      </w:pPr>
    </w:p>
    <w:tbl>
      <w:tblPr>
        <w:tblW w:w="8795" w:type="dxa"/>
        <w:tblInd w:w="-34" w:type="dxa"/>
        <w:tblLook w:val="04A0" w:firstRow="1" w:lastRow="0" w:firstColumn="1" w:lastColumn="0" w:noHBand="0" w:noVBand="1"/>
      </w:tblPr>
      <w:tblGrid>
        <w:gridCol w:w="8222"/>
        <w:gridCol w:w="573"/>
      </w:tblGrid>
      <w:tr w:rsidR="00AB0C14" w:rsidRPr="00870330" w14:paraId="07192529" w14:textId="77777777" w:rsidTr="00432499">
        <w:tc>
          <w:tcPr>
            <w:tcW w:w="8222" w:type="dxa"/>
            <w:shd w:val="clear" w:color="auto" w:fill="auto"/>
            <w:vAlign w:val="center"/>
          </w:tcPr>
          <w:p w14:paraId="4B0FE698" w14:textId="77777777" w:rsidR="00AB0C14" w:rsidRPr="00870330" w:rsidRDefault="00AB0C14" w:rsidP="00432499">
            <w:pPr>
              <w:spacing w:after="0"/>
              <w:jc w:val="center"/>
              <w:rPr>
                <w:rFonts w:asciiTheme="minorHAnsi" w:eastAsia="Times New Roman" w:hAnsiTheme="minorHAnsi" w:cstheme="minorHAnsi"/>
                <w:color w:val="0D0D0D" w:themeColor="text1" w:themeTint="F2"/>
              </w:rPr>
            </w:pPr>
            <m:oMathPara>
              <m:oMath>
                <m:r>
                  <w:rPr>
                    <w:rFonts w:ascii="Cambria Math" w:eastAsia="Times New Roman" w:hAnsi="Cambria Math" w:cstheme="minorHAnsi"/>
                    <w:color w:val="0D0D0D" w:themeColor="text1" w:themeTint="F2"/>
                  </w:rPr>
                  <m:t>∆</m:t>
                </m:r>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DEF</m:t>
                    </m:r>
                  </m:e>
                  <m:sub>
                    <m:r>
                      <w:rPr>
                        <w:rFonts w:ascii="Cambria Math" w:eastAsia="Times New Roman" w:hAnsi="Cambria Math" w:cstheme="minorHAnsi"/>
                        <w:color w:val="0D0D0D" w:themeColor="text1" w:themeTint="F2"/>
                      </w:rPr>
                      <m:t>it</m:t>
                    </m:r>
                  </m:sub>
                </m:sSub>
                <m:r>
                  <w:rPr>
                    <w:rFonts w:ascii="Cambria Math" w:eastAsia="Times New Roman" w:hAnsi="Cambria Math" w:cstheme="minorHAnsi"/>
                    <w:color w:val="0D0D0D" w:themeColor="text1" w:themeTint="F2"/>
                  </w:rPr>
                  <m:t>=</m:t>
                </m:r>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ψ</m:t>
                    </m:r>
                  </m:e>
                  <m:sub>
                    <m:r>
                      <w:rPr>
                        <w:rFonts w:ascii="Cambria Math" w:eastAsia="Times New Roman" w:hAnsi="Cambria Math" w:cstheme="minorHAnsi"/>
                        <w:color w:val="0D0D0D" w:themeColor="text1" w:themeTint="F2"/>
                      </w:rPr>
                      <m:t>i</m:t>
                    </m:r>
                  </m:sub>
                </m:sSub>
                <m:d>
                  <m:dPr>
                    <m:begChr m:val="["/>
                    <m:endChr m:val="]"/>
                    <m:ctrlPr>
                      <w:rPr>
                        <w:rFonts w:ascii="Cambria Math" w:eastAsia="Times New Roman" w:hAnsi="Cambria Math" w:cstheme="minorHAnsi"/>
                        <w:i/>
                        <w:color w:val="0D0D0D" w:themeColor="text1" w:themeTint="F2"/>
                      </w:rPr>
                    </m:ctrlPr>
                  </m:dPr>
                  <m:e>
                    <m:r>
                      <w:rPr>
                        <w:rFonts w:ascii="Cambria Math" w:eastAsia="Times New Roman" w:hAnsi="Cambria Math" w:cstheme="minorHAnsi"/>
                        <w:color w:val="0D0D0D" w:themeColor="text1" w:themeTint="F2"/>
                      </w:rPr>
                      <m:t>DE</m:t>
                    </m:r>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F</m:t>
                        </m:r>
                      </m:e>
                      <m:sub>
                        <m:r>
                          <w:rPr>
                            <w:rFonts w:ascii="Cambria Math" w:eastAsia="Times New Roman" w:hAnsi="Cambria Math" w:cstheme="minorHAnsi"/>
                            <w:color w:val="0D0D0D" w:themeColor="text1" w:themeTint="F2"/>
                          </w:rPr>
                          <m:t>i,t-1</m:t>
                        </m:r>
                      </m:sub>
                    </m:sSub>
                    <m:r>
                      <w:rPr>
                        <w:rFonts w:ascii="Cambria Math" w:eastAsia="Times New Roman" w:hAnsi="Cambria Math" w:cstheme="minorHAnsi"/>
                        <w:color w:val="0D0D0D" w:themeColor="text1" w:themeTint="F2"/>
                      </w:rPr>
                      <m:t>-</m:t>
                    </m:r>
                    <m:d>
                      <m:dPr>
                        <m:ctrlPr>
                          <w:rPr>
                            <w:rFonts w:ascii="Cambria Math" w:eastAsia="Times New Roman" w:hAnsi="Cambria Math" w:cstheme="minorHAnsi"/>
                            <w:i/>
                            <w:color w:val="0D0D0D" w:themeColor="text1" w:themeTint="F2"/>
                          </w:rPr>
                        </m:ctrlPr>
                      </m:dPr>
                      <m:e>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γ</m:t>
                            </m:r>
                          </m:e>
                          <m:sub>
                            <m:r>
                              <w:rPr>
                                <w:rFonts w:ascii="Cambria Math" w:eastAsia="Times New Roman" w:hAnsi="Cambria Math" w:cstheme="minorHAnsi"/>
                                <w:color w:val="0D0D0D" w:themeColor="text1" w:themeTint="F2"/>
                              </w:rPr>
                              <m:t>0</m:t>
                            </m:r>
                          </m:sub>
                        </m:sSub>
                        <m:r>
                          <w:rPr>
                            <w:rFonts w:ascii="Cambria Math" w:eastAsia="Times New Roman" w:hAnsi="Cambria Math" w:cstheme="minorHAnsi"/>
                            <w:color w:val="0D0D0D" w:themeColor="text1" w:themeTint="F2"/>
                          </w:rPr>
                          <m:t>+</m:t>
                        </m:r>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γ</m:t>
                            </m:r>
                          </m:e>
                          <m:sub>
                            <m:r>
                              <w:rPr>
                                <w:rFonts w:ascii="Cambria Math" w:eastAsia="Times New Roman" w:hAnsi="Cambria Math" w:cstheme="minorHAnsi"/>
                                <w:color w:val="0D0D0D" w:themeColor="text1" w:themeTint="F2"/>
                              </w:rPr>
                              <m:t>1</m:t>
                            </m:r>
                          </m:sub>
                        </m:sSub>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X</m:t>
                            </m:r>
                          </m:e>
                          <m:sub>
                            <m:r>
                              <w:rPr>
                                <w:rFonts w:ascii="Cambria Math" w:eastAsia="Times New Roman" w:hAnsi="Cambria Math" w:cstheme="minorHAnsi"/>
                                <w:color w:val="0D0D0D" w:themeColor="text1" w:themeTint="F2"/>
                              </w:rPr>
                              <m:t>it-1</m:t>
                            </m:r>
                          </m:sub>
                        </m:sSub>
                      </m:e>
                    </m:d>
                  </m:e>
                </m:d>
                <m:r>
                  <w:rPr>
                    <w:rFonts w:ascii="Cambria Math" w:eastAsia="Times New Roman" w:hAnsi="Cambria Math" w:cstheme="minorHAnsi"/>
                    <w:color w:val="0D0D0D" w:themeColor="text1" w:themeTint="F2"/>
                  </w:rPr>
                  <m:t>+</m:t>
                </m:r>
                <m:nary>
                  <m:naryPr>
                    <m:chr m:val="∑"/>
                    <m:limLoc m:val="undOvr"/>
                    <m:ctrlPr>
                      <w:rPr>
                        <w:rFonts w:ascii="Cambria Math" w:eastAsia="Times New Roman" w:hAnsi="Cambria Math" w:cstheme="minorHAnsi"/>
                        <w:i/>
                        <w:color w:val="0D0D0D" w:themeColor="text1" w:themeTint="F2"/>
                      </w:rPr>
                    </m:ctrlPr>
                  </m:naryPr>
                  <m:sub>
                    <m:r>
                      <w:rPr>
                        <w:rFonts w:ascii="Cambria Math" w:eastAsia="Times New Roman" w:hAnsi="Cambria Math" w:cstheme="minorHAnsi"/>
                        <w:color w:val="0D0D0D" w:themeColor="text1" w:themeTint="F2"/>
                      </w:rPr>
                      <m:t>j=1</m:t>
                    </m:r>
                  </m:sub>
                  <m:sup>
                    <m:r>
                      <w:rPr>
                        <w:rFonts w:ascii="Cambria Math" w:eastAsia="Times New Roman" w:hAnsi="Cambria Math" w:cstheme="minorHAnsi"/>
                        <w:color w:val="0D0D0D" w:themeColor="text1" w:themeTint="F2"/>
                      </w:rPr>
                      <m:t>p-1</m:t>
                    </m:r>
                  </m:sup>
                  <m:e>
                    <m:sSubSup>
                      <m:sSubSupPr>
                        <m:ctrlPr>
                          <w:rPr>
                            <w:rFonts w:ascii="Cambria Math" w:eastAsia="Times New Roman" w:hAnsi="Cambria Math" w:cstheme="minorHAnsi"/>
                            <w:i/>
                            <w:color w:val="0D0D0D" w:themeColor="text1" w:themeTint="F2"/>
                          </w:rPr>
                        </m:ctrlPr>
                      </m:sSubSupPr>
                      <m:e>
                        <m:r>
                          <w:rPr>
                            <w:rFonts w:ascii="Cambria Math" w:eastAsia="Times New Roman" w:hAnsi="Cambria Math" w:cstheme="minorHAnsi"/>
                            <w:color w:val="0D0D0D" w:themeColor="text1" w:themeTint="F2"/>
                          </w:rPr>
                          <m:t>λ</m:t>
                        </m:r>
                      </m:e>
                      <m:sub>
                        <m:r>
                          <w:rPr>
                            <w:rFonts w:ascii="Cambria Math" w:eastAsia="Times New Roman" w:hAnsi="Cambria Math" w:cstheme="minorHAnsi"/>
                            <w:color w:val="0D0D0D" w:themeColor="text1" w:themeTint="F2"/>
                          </w:rPr>
                          <m:t>ij</m:t>
                        </m:r>
                      </m:sub>
                      <m:sup>
                        <m:r>
                          <w:rPr>
                            <w:rFonts w:ascii="Cambria Math" w:eastAsia="Times New Roman" w:hAnsi="Cambria Math" w:cstheme="minorHAnsi"/>
                            <w:color w:val="0D0D0D" w:themeColor="text1" w:themeTint="F2"/>
                          </w:rPr>
                          <m:t>'</m:t>
                        </m:r>
                      </m:sup>
                    </m:sSubSup>
                    <m:r>
                      <w:rPr>
                        <w:rFonts w:ascii="Cambria Math" w:eastAsia="Times New Roman" w:hAnsi="Cambria Math" w:cstheme="minorHAnsi"/>
                        <w:color w:val="0D0D0D" w:themeColor="text1" w:themeTint="F2"/>
                      </w:rPr>
                      <m:t>∆</m:t>
                    </m:r>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DEF</m:t>
                        </m:r>
                      </m:e>
                      <m:sub>
                        <m:r>
                          <w:rPr>
                            <w:rFonts w:ascii="Cambria Math" w:eastAsia="Times New Roman" w:hAnsi="Cambria Math" w:cstheme="minorHAnsi"/>
                            <w:color w:val="0D0D0D" w:themeColor="text1" w:themeTint="F2"/>
                          </w:rPr>
                          <m:t>it-j</m:t>
                        </m:r>
                      </m:sub>
                    </m:sSub>
                  </m:e>
                </m:nary>
                <m:r>
                  <w:rPr>
                    <w:rFonts w:ascii="Cambria Math" w:eastAsia="Times New Roman" w:hAnsi="Cambria Math" w:cstheme="minorHAnsi"/>
                    <w:color w:val="0D0D0D" w:themeColor="text1" w:themeTint="F2"/>
                  </w:rPr>
                  <m:t>+</m:t>
                </m:r>
                <m:nary>
                  <m:naryPr>
                    <m:chr m:val="∑"/>
                    <m:limLoc m:val="undOvr"/>
                    <m:ctrlPr>
                      <w:rPr>
                        <w:rFonts w:ascii="Cambria Math" w:eastAsia="Times New Roman" w:hAnsi="Cambria Math" w:cstheme="minorHAnsi"/>
                        <w:i/>
                        <w:color w:val="0D0D0D" w:themeColor="text1" w:themeTint="F2"/>
                      </w:rPr>
                    </m:ctrlPr>
                  </m:naryPr>
                  <m:sub>
                    <m:r>
                      <w:rPr>
                        <w:rFonts w:ascii="Cambria Math" w:eastAsia="Times New Roman" w:hAnsi="Cambria Math" w:cstheme="minorHAnsi"/>
                        <w:color w:val="0D0D0D" w:themeColor="text1" w:themeTint="F2"/>
                      </w:rPr>
                      <m:t>j=0</m:t>
                    </m:r>
                  </m:sub>
                  <m:sup>
                    <m:r>
                      <w:rPr>
                        <w:rFonts w:ascii="Cambria Math" w:eastAsia="Times New Roman" w:hAnsi="Cambria Math" w:cstheme="minorHAnsi"/>
                        <w:color w:val="0D0D0D" w:themeColor="text1" w:themeTint="F2"/>
                      </w:rPr>
                      <m:t>q-1</m:t>
                    </m:r>
                  </m:sup>
                  <m:e>
                    <m:sSubSup>
                      <m:sSubSupPr>
                        <m:ctrlPr>
                          <w:rPr>
                            <w:rFonts w:ascii="Cambria Math" w:eastAsia="Times New Roman" w:hAnsi="Cambria Math" w:cstheme="minorHAnsi"/>
                            <w:i/>
                            <w:color w:val="0D0D0D" w:themeColor="text1" w:themeTint="F2"/>
                          </w:rPr>
                        </m:ctrlPr>
                      </m:sSubSupPr>
                      <m:e>
                        <m:r>
                          <w:rPr>
                            <w:rFonts w:ascii="Cambria Math" w:eastAsia="Times New Roman" w:hAnsi="Cambria Math" w:cstheme="minorHAnsi"/>
                            <w:color w:val="0D0D0D" w:themeColor="text1" w:themeTint="F2"/>
                          </w:rPr>
                          <m:t>δ</m:t>
                        </m:r>
                      </m:e>
                      <m:sub>
                        <m:r>
                          <w:rPr>
                            <w:rFonts w:ascii="Cambria Math" w:eastAsia="Times New Roman" w:hAnsi="Cambria Math" w:cstheme="minorHAnsi"/>
                            <w:color w:val="0D0D0D" w:themeColor="text1" w:themeTint="F2"/>
                          </w:rPr>
                          <m:t>ij</m:t>
                        </m:r>
                      </m:sub>
                      <m:sup>
                        <m:r>
                          <w:rPr>
                            <w:rFonts w:ascii="Cambria Math" w:eastAsia="Times New Roman" w:hAnsi="Cambria Math" w:cstheme="minorHAnsi"/>
                            <w:color w:val="0D0D0D" w:themeColor="text1" w:themeTint="F2"/>
                          </w:rPr>
                          <m:t>'</m:t>
                        </m:r>
                      </m:sup>
                    </m:sSubSup>
                  </m:e>
                </m:nary>
                <m:r>
                  <w:rPr>
                    <w:rFonts w:ascii="Cambria Math" w:eastAsia="Times New Roman" w:hAnsi="Cambria Math" w:cstheme="minorHAnsi"/>
                    <w:color w:val="0D0D0D" w:themeColor="text1" w:themeTint="F2"/>
                  </w:rPr>
                  <m:t>∆</m:t>
                </m:r>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X</m:t>
                    </m:r>
                  </m:e>
                  <m:sub>
                    <m:r>
                      <w:rPr>
                        <w:rFonts w:ascii="Cambria Math" w:eastAsia="Times New Roman" w:hAnsi="Cambria Math" w:cstheme="minorHAnsi"/>
                        <w:color w:val="0D0D0D" w:themeColor="text1" w:themeTint="F2"/>
                      </w:rPr>
                      <m:t>it-j</m:t>
                    </m:r>
                  </m:sub>
                </m:sSub>
                <m:r>
                  <w:rPr>
                    <w:rFonts w:ascii="Cambria Math" w:eastAsia="Times New Roman" w:hAnsi="Cambria Math" w:cstheme="minorHAnsi"/>
                    <w:color w:val="0D0D0D" w:themeColor="text1" w:themeTint="F2"/>
                  </w:rPr>
                  <m:t>+</m:t>
                </m:r>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v</m:t>
                    </m:r>
                  </m:e>
                  <m:sub>
                    <m:r>
                      <w:rPr>
                        <w:rFonts w:ascii="Cambria Math" w:eastAsia="Times New Roman" w:hAnsi="Cambria Math" w:cstheme="minorHAnsi"/>
                        <w:color w:val="0D0D0D" w:themeColor="text1" w:themeTint="F2"/>
                      </w:rPr>
                      <m:t>i</m:t>
                    </m:r>
                  </m:sub>
                </m:sSub>
                <m:r>
                  <w:rPr>
                    <w:rFonts w:ascii="Cambria Math" w:eastAsia="Times New Roman" w:hAnsi="Cambria Math" w:cstheme="minorHAnsi"/>
                    <w:color w:val="0D0D0D" w:themeColor="text1" w:themeTint="F2"/>
                  </w:rPr>
                  <m:t>+</m:t>
                </m:r>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ε</m:t>
                    </m:r>
                  </m:e>
                  <m:sub>
                    <m:r>
                      <w:rPr>
                        <w:rFonts w:ascii="Cambria Math" w:eastAsia="Times New Roman" w:hAnsi="Cambria Math" w:cstheme="minorHAnsi"/>
                        <w:color w:val="0D0D0D" w:themeColor="text1" w:themeTint="F2"/>
                      </w:rPr>
                      <m:t>it</m:t>
                    </m:r>
                  </m:sub>
                </m:sSub>
              </m:oMath>
            </m:oMathPara>
          </w:p>
        </w:tc>
        <w:tc>
          <w:tcPr>
            <w:tcW w:w="573" w:type="dxa"/>
            <w:shd w:val="clear" w:color="auto" w:fill="auto"/>
            <w:vAlign w:val="center"/>
          </w:tcPr>
          <w:p w14:paraId="3C0E2E75" w14:textId="3676988B" w:rsidR="00AB0C14" w:rsidRPr="00870330" w:rsidRDefault="005D1099" w:rsidP="00432499">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(8</w:t>
            </w:r>
            <w:r w:rsidR="00AB0C14" w:rsidRPr="00870330">
              <w:rPr>
                <w:rFonts w:asciiTheme="minorHAnsi" w:hAnsiTheme="minorHAnsi" w:cstheme="minorHAnsi"/>
                <w:color w:val="0D0D0D" w:themeColor="text1" w:themeTint="F2"/>
              </w:rPr>
              <w:t>)</w:t>
            </w:r>
          </w:p>
        </w:tc>
      </w:tr>
    </w:tbl>
    <w:p w14:paraId="51B86439" w14:textId="77777777" w:rsidR="00AB3072" w:rsidRPr="00870330" w:rsidRDefault="00AB3072" w:rsidP="004C2EEB">
      <w:pPr>
        <w:spacing w:after="0"/>
        <w:jc w:val="both"/>
        <w:rPr>
          <w:rFonts w:asciiTheme="minorHAnsi" w:hAnsiTheme="minorHAnsi" w:cstheme="minorHAnsi"/>
          <w:color w:val="0D0D0D" w:themeColor="text1" w:themeTint="F2"/>
        </w:rPr>
      </w:pPr>
    </w:p>
    <w:p w14:paraId="6C63CF60" w14:textId="2BDC9FDF" w:rsidR="004C2EEB" w:rsidRPr="00870330" w:rsidRDefault="004571ED" w:rsidP="004C2EEB">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rPr>
        <w:t xml:space="preserve">Where </w:t>
      </w:r>
      <m:oMath>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λ</m:t>
            </m:r>
          </m:e>
          <m:sub>
            <m:r>
              <w:rPr>
                <w:rFonts w:ascii="Cambria Math" w:eastAsia="Times New Roman" w:hAnsi="Cambria Math" w:cstheme="minorHAnsi"/>
                <w:color w:val="0D0D0D" w:themeColor="text1" w:themeTint="F2"/>
              </w:rPr>
              <m:t>i</m:t>
            </m:r>
          </m:sub>
        </m:sSub>
      </m:oMath>
      <w:r w:rsidR="004C2EEB" w:rsidRPr="00870330">
        <w:rPr>
          <w:rFonts w:asciiTheme="minorHAnsi" w:hAnsiTheme="minorHAnsi" w:cstheme="minorHAnsi"/>
          <w:color w:val="0D0D0D" w:themeColor="text1" w:themeTint="F2"/>
          <w:vertAlign w:val="subscript"/>
        </w:rPr>
        <w:t xml:space="preserve"> </w:t>
      </w:r>
      <w:r w:rsidR="004C2EEB" w:rsidRPr="00870330">
        <w:rPr>
          <w:rFonts w:asciiTheme="minorHAnsi" w:hAnsiTheme="minorHAnsi" w:cstheme="minorHAnsi"/>
          <w:color w:val="0D0D0D" w:themeColor="text1" w:themeTint="F2"/>
        </w:rPr>
        <w:t xml:space="preserve">and </w:t>
      </w:r>
      <m:oMath>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δ</m:t>
            </m:r>
          </m:e>
          <m:sub>
            <m:r>
              <w:rPr>
                <w:rFonts w:ascii="Cambria Math" w:eastAsia="Times New Roman" w:hAnsi="Cambria Math" w:cstheme="minorHAnsi"/>
                <w:color w:val="0D0D0D" w:themeColor="text1" w:themeTint="F2"/>
              </w:rPr>
              <m:t>i</m:t>
            </m:r>
          </m:sub>
        </m:sSub>
      </m:oMath>
      <w:r w:rsidR="004C2EEB" w:rsidRPr="00870330">
        <w:rPr>
          <w:rFonts w:asciiTheme="minorHAnsi" w:hAnsiTheme="minorHAnsi" w:cstheme="minorHAnsi"/>
          <w:color w:val="0D0D0D" w:themeColor="text1" w:themeTint="F2"/>
        </w:rPr>
        <w:t xml:space="preserve"> </w:t>
      </w:r>
      <w:r w:rsidR="003F69CE" w:rsidRPr="00870330">
        <w:rPr>
          <w:rFonts w:asciiTheme="minorHAnsi" w:hAnsiTheme="minorHAnsi" w:cstheme="minorHAnsi"/>
          <w:color w:val="0D0D0D" w:themeColor="text1" w:themeTint="F2"/>
          <w:lang w:eastAsia="id-ID"/>
        </w:rPr>
        <w:t>represent</w:t>
      </w:r>
      <w:r w:rsidR="004C2EEB" w:rsidRPr="00870330">
        <w:rPr>
          <w:rFonts w:asciiTheme="minorHAnsi" w:hAnsiTheme="minorHAnsi" w:cstheme="minorHAnsi"/>
          <w:color w:val="0D0D0D" w:themeColor="text1" w:themeTint="F2"/>
          <w:lang w:eastAsia="id-ID"/>
        </w:rPr>
        <w:t xml:space="preserve"> the short-run coefficients of the lags of the independent and dependent variables, while </w:t>
      </w:r>
      <w:proofErr w:type="spellStart"/>
      <w:r w:rsidR="004C2EEB" w:rsidRPr="00870330">
        <w:rPr>
          <w:rFonts w:asciiTheme="minorHAnsi" w:hAnsiTheme="minorHAnsi" w:cstheme="minorHAnsi"/>
          <w:color w:val="0D0D0D" w:themeColor="text1" w:themeTint="F2"/>
          <w:lang w:eastAsia="id-ID"/>
        </w:rPr>
        <w:t>i</w:t>
      </w:r>
      <w:proofErr w:type="spellEnd"/>
      <w:r w:rsidR="004C2EEB" w:rsidRPr="00870330">
        <w:rPr>
          <w:rFonts w:asciiTheme="minorHAnsi" w:hAnsiTheme="minorHAnsi" w:cstheme="minorHAnsi"/>
          <w:color w:val="0D0D0D" w:themeColor="text1" w:themeTint="F2"/>
          <w:lang w:eastAsia="id-ID"/>
        </w:rPr>
        <w:t xml:space="preserve"> shows the long-run coefficients of the independent variables. </w:t>
      </w:r>
      <w:r w:rsidR="004C2EEB" w:rsidRPr="00870330">
        <w:rPr>
          <w:rFonts w:asciiTheme="minorHAnsi" w:hAnsiTheme="minorHAnsi" w:cstheme="minorHAnsi"/>
          <w:color w:val="0D0D0D" w:themeColor="text1" w:themeTint="F2"/>
        </w:rPr>
        <w:t>Ψ</w:t>
      </w:r>
      <w:r w:rsidR="004C2EEB" w:rsidRPr="00870330">
        <w:rPr>
          <w:rFonts w:asciiTheme="minorHAnsi" w:hAnsiTheme="minorHAnsi" w:cstheme="minorHAnsi"/>
          <w:color w:val="0D0D0D" w:themeColor="text1" w:themeTint="F2"/>
          <w:lang w:eastAsia="id-ID"/>
        </w:rPr>
        <w:t xml:space="preserve"> </w:t>
      </w:r>
      <w:r w:rsidR="00052449" w:rsidRPr="00870330">
        <w:rPr>
          <w:rFonts w:asciiTheme="minorHAnsi" w:hAnsiTheme="minorHAnsi" w:cstheme="minorHAnsi"/>
          <w:color w:val="0D0D0D" w:themeColor="text1" w:themeTint="F2"/>
          <w:lang w:eastAsia="id-ID"/>
        </w:rPr>
        <w:t>represents</w:t>
      </w:r>
      <w:r w:rsidR="004C2EEB" w:rsidRPr="00870330">
        <w:rPr>
          <w:rFonts w:asciiTheme="minorHAnsi" w:hAnsiTheme="minorHAnsi" w:cstheme="minorHAnsi"/>
          <w:color w:val="0D0D0D" w:themeColor="text1" w:themeTint="F2"/>
          <w:lang w:eastAsia="id-ID"/>
        </w:rPr>
        <w:t xml:space="preserve"> the coefficient of </w:t>
      </w:r>
      <w:r w:rsidR="00113308" w:rsidRPr="00870330">
        <w:rPr>
          <w:rFonts w:asciiTheme="minorHAnsi" w:hAnsiTheme="minorHAnsi" w:cstheme="minorHAnsi"/>
          <w:color w:val="0D0D0D" w:themeColor="text1" w:themeTint="F2"/>
          <w:lang w:eastAsia="id-ID"/>
        </w:rPr>
        <w:t>error correction term (</w:t>
      </w:r>
      <w:r w:rsidR="004C2EEB" w:rsidRPr="00870330">
        <w:rPr>
          <w:rFonts w:asciiTheme="minorHAnsi" w:hAnsiTheme="minorHAnsi" w:cstheme="minorHAnsi"/>
          <w:color w:val="0D0D0D" w:themeColor="text1" w:themeTint="F2"/>
          <w:lang w:eastAsia="id-ID"/>
        </w:rPr>
        <w:t>ECT</w:t>
      </w:r>
      <w:r w:rsidR="005C4802" w:rsidRPr="00870330">
        <w:rPr>
          <w:rFonts w:asciiTheme="minorHAnsi" w:hAnsiTheme="minorHAnsi" w:cstheme="minorHAnsi"/>
          <w:color w:val="0D0D0D" w:themeColor="text1" w:themeTint="F2"/>
          <w:lang w:eastAsia="id-ID"/>
        </w:rPr>
        <w:t>)</w:t>
      </w:r>
      <w:r w:rsidR="004C2EEB" w:rsidRPr="00870330">
        <w:rPr>
          <w:rFonts w:asciiTheme="minorHAnsi" w:hAnsiTheme="minorHAnsi" w:cstheme="minorHAnsi"/>
          <w:color w:val="0D0D0D" w:themeColor="text1" w:themeTint="F2"/>
          <w:lang w:eastAsia="id-ID"/>
        </w:rPr>
        <w:t>. For verification, the ECT coefficient must be negative</w:t>
      </w:r>
      <w:r w:rsidR="00052449" w:rsidRPr="00870330">
        <w:rPr>
          <w:rFonts w:asciiTheme="minorHAnsi" w:hAnsiTheme="minorHAnsi" w:cstheme="minorHAnsi"/>
          <w:color w:val="0D0D0D" w:themeColor="text1" w:themeTint="F2"/>
          <w:lang w:eastAsia="id-ID"/>
        </w:rPr>
        <w:t xml:space="preserve"> </w:t>
      </w:r>
      <w:r w:rsidR="004C2EEB" w:rsidRPr="00870330">
        <w:rPr>
          <w:rFonts w:asciiTheme="minorHAnsi" w:hAnsiTheme="minorHAnsi" w:cstheme="minorHAnsi"/>
          <w:color w:val="0D0D0D" w:themeColor="text1" w:themeTint="F2"/>
          <w:lang w:eastAsia="id-ID"/>
        </w:rPr>
        <w:t xml:space="preserve">and significant, at least at the 10% significance level. </w:t>
      </w:r>
      <w:r w:rsidR="004C2EEB" w:rsidRPr="00870330">
        <w:rPr>
          <w:rFonts w:asciiTheme="minorHAnsi" w:hAnsiTheme="minorHAnsi" w:cstheme="minorHAnsi"/>
          <w:color w:val="0D0D0D" w:themeColor="text1" w:themeTint="F2"/>
        </w:rPr>
        <w:t>Ψ</w:t>
      </w:r>
      <w:r w:rsidR="003F69CE" w:rsidRPr="00870330">
        <w:rPr>
          <w:rFonts w:asciiTheme="minorHAnsi" w:hAnsiTheme="minorHAnsi" w:cstheme="minorHAnsi"/>
          <w:color w:val="0D0D0D" w:themeColor="text1" w:themeTint="F2"/>
          <w:lang w:eastAsia="id-ID"/>
        </w:rPr>
        <w:t xml:space="preserve"> also denote</w:t>
      </w:r>
      <w:r w:rsidR="004C2EEB" w:rsidRPr="00870330">
        <w:rPr>
          <w:rFonts w:asciiTheme="minorHAnsi" w:hAnsiTheme="minorHAnsi" w:cstheme="minorHAnsi"/>
          <w:color w:val="0D0D0D" w:themeColor="text1" w:themeTint="F2"/>
          <w:lang w:eastAsia="id-ID"/>
        </w:rPr>
        <w:t>s the speed of adjustment towards long-term equilibrium.</w:t>
      </w:r>
    </w:p>
    <w:p w14:paraId="7781C2E7" w14:textId="77777777" w:rsidR="00126520" w:rsidRPr="00870330" w:rsidRDefault="00126520" w:rsidP="004C2EEB">
      <w:pPr>
        <w:spacing w:after="0"/>
        <w:jc w:val="both"/>
        <w:rPr>
          <w:rFonts w:asciiTheme="minorHAnsi" w:hAnsiTheme="minorHAnsi" w:cstheme="minorHAnsi"/>
          <w:color w:val="0D0D0D" w:themeColor="text1" w:themeTint="F2"/>
          <w:lang w:eastAsia="id-ID"/>
        </w:rPr>
      </w:pPr>
    </w:p>
    <w:p w14:paraId="4C178631" w14:textId="5301456A" w:rsidR="004C2EEB" w:rsidRPr="001E05FC" w:rsidRDefault="004C2EEB" w:rsidP="00B50639">
      <w:pPr>
        <w:spacing w:after="0"/>
        <w:jc w:val="both"/>
        <w:rPr>
          <w:rFonts w:asciiTheme="minorHAnsi" w:hAnsiTheme="minorHAnsi" w:cstheme="minorHAnsi"/>
          <w:noProof/>
          <w:color w:val="0D0D0D"/>
        </w:rPr>
      </w:pPr>
      <w:r w:rsidRPr="00870330">
        <w:rPr>
          <w:rFonts w:asciiTheme="minorHAnsi" w:hAnsiTheme="minorHAnsi" w:cstheme="minorHAnsi"/>
          <w:color w:val="0D0D0D" w:themeColor="text1" w:themeTint="F2"/>
          <w:lang w:eastAsia="id-ID"/>
        </w:rPr>
        <w:t xml:space="preserve">Finally, this study incorporates a causality test. It is important to investigate the direction of the causality when a number of variables are shown to be </w:t>
      </w:r>
      <w:proofErr w:type="spellStart"/>
      <w:r w:rsidRPr="00870330">
        <w:rPr>
          <w:rFonts w:asciiTheme="minorHAnsi" w:hAnsiTheme="minorHAnsi" w:cstheme="minorHAnsi"/>
          <w:color w:val="0D0D0D" w:themeColor="text1" w:themeTint="F2"/>
          <w:lang w:eastAsia="id-ID"/>
        </w:rPr>
        <w:t>cointegrated</w:t>
      </w:r>
      <w:proofErr w:type="spellEnd"/>
      <w:r w:rsidRPr="00870330">
        <w:rPr>
          <w:rFonts w:asciiTheme="minorHAnsi" w:hAnsiTheme="minorHAnsi" w:cstheme="minorHAnsi"/>
          <w:color w:val="0D0D0D" w:themeColor="text1" w:themeTint="F2"/>
          <w:lang w:eastAsia="id-ID"/>
        </w:rPr>
        <w:t xml:space="preserve">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{"citationItems":[{"id":"ITEM-1","itemData":{"DOI":"10.1002/pa.2037","ISSN":"14791854","abstract":"This study empirically explores the linkage between urbanization and deforestation while controlling for the role of energy consumption, trade openness, and economic growth within recent data from 1971 to 2015. To do this, we employed the vector error correction-Granger causality approach and Pesaran's autoregressive distributed lag cointegration technique. The Bayer–Hanck cointegration test establishes an equilibrium relationship among the variables. Results reveal that economic growth, energy consumption, and urbanization have a significant impact on deforestation in Nigeria, thereby reducing the quality of the environment. Short- and long-run unidirectional casualty flows from urbanization to deforestation. Therefore, policies for reducing deforestation and enhancing environmental sustainability for growth and development were suggested.","author":[{"dropping-particle":"","family":"Nathaniel","given":"Solomon Prince","non-dropping-particle":"","parse-names":false,"suffix":""},{"dropping-particle":"","family":"Bekun","given":"Festus Victor","non-dropping-particle":"","parse-names":false,"suffix":""}],"container-title":"Journal of Public Affairs","id":"ITEM-1","issue":"2","issued":{"date-parts":[["2020"]]},"title":"Environmental management amidst energy use, urbanization, trade openness, and deforestation: The Nigerian experience","type":"article-journal","volume":"20"},"uris":["http://www.mendeley.com/documents/?uuid=0f8f77e6-d4f4-4081-bed5-ff4dfbea7589"]}],"mendeley":{"formattedCitation":"(Nathaniel &amp; Bekun, 2020)","plainTextFormattedCitation":"(Nathaniel &amp; Bekun, 2020)","previouslyFormattedCitation":"(Nathaniel &amp; Bekun, 2020)"},"properties":{"noteIndex":0},"schema":"https://github.com/citation-style-language/schema/raw/master/csl-citation.json"}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(Nathaniel &amp; Bekun, 2020)</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 xml:space="preserve">This article uses the DH non-causality test proposed by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{"citationItems":[{"id":"ITEM-1","itemData":{"DOI":"10.1016/j.econmod.2012.02.014","ISSN":"02649993","abstract":"This paper proposes a very simple test of Granger (1969) non-causality for heterogeneous panel data models. Our test statistic is based on the individual Wald statistics of Granger non causality averaged across the cross-section units. First, this statistic is shown to converge sequentially to a standard normal distribution. Second, the semi-asymptotic distribution of the average statistic is characterized for a fixed T sample. A standardized statistic based on an approximation of the moments of Wald statistics is hence proposed. Third, Monte Carlo experiments show that our standardized panel statistics have very good small sample properties, even in the presence of cross-sectional dependence. © 2012 Elsevier B.V.","author":[{"dropping-particle":"","family":"Dumitrescu","given":"Elena Ivona","non-dropping-particle":"","parse-names":false,"suffix":""},{"dropping-particle":"","family":"Hurlin","given":"Christophe","non-dropping-particle":"","parse-names":false,"suffix":""}],"container-title":"Economic Modelling","id":"ITEM-1","issue":"4","issued":{"date-parts":[["2012"]]},"page":"1450-1460","publisher":"Elsevier B.V.","title":"Testing for Granger non-causality in heterogeneous panels","type":"article-journal","volume":"29"},"uris":["http://www.mendeley.com/documents/?uuid=9b327d6a-4544-4d9c-aa6c-fa30054dfc43"]}],"mendeley":{"formattedCitation":"(Dumitrescu &amp; Hurlin, 2012)","manualFormatting":"Dumitrescu &amp; Hurlin (2012)","plainTextFormattedCitation":"(Dumitrescu &amp; Hurlin, 2012)","previouslyFormattedCitation":"(Dumitrescu &amp; Hurlin, 2012)"},"properties":{"noteIndex":0},"schema":"https://github.com/citation-style-language/schema/raw/master/csl-citation.json"}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Dumitrescu &amp; Hurlin (2012)</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w:t>
      </w:r>
      <w:r w:rsidR="001E05FC">
        <w:rPr>
          <w:rFonts w:asciiTheme="minorHAnsi" w:hAnsiTheme="minorHAnsi" w:cstheme="minorHAnsi"/>
          <w:noProof/>
          <w:color w:val="0D0D0D"/>
        </w:rPr>
        <w:t xml:space="preserve"> </w:t>
      </w:r>
      <w:r w:rsidR="00FF648E" w:rsidRPr="00870330">
        <w:rPr>
          <w:rFonts w:asciiTheme="minorHAnsi" w:hAnsiTheme="minorHAnsi" w:cstheme="minorHAnsi"/>
          <w:color w:val="0D0D0D" w:themeColor="text1" w:themeTint="F2"/>
          <w:lang w:eastAsia="id-ID"/>
        </w:rPr>
        <w:t xml:space="preserve">The advantages of this method are that it allows cross-sectional dependency problems, heterogeneity of panel data and that it can be applied to panel structures with large N and T or small N and T </w:t>
      </w:r>
      <w:r w:rsidR="00FF648E" w:rsidRPr="00870330">
        <w:rPr>
          <w:rFonts w:asciiTheme="minorHAnsi" w:hAnsiTheme="minorHAnsi" w:cstheme="minorHAnsi"/>
          <w:noProof/>
          <w:color w:val="0D0D0D"/>
        </w:rPr>
        <w:fldChar w:fldCharType="begin" w:fldLock="1"/>
      </w:r>
      <w:r w:rsidR="00FF648E" w:rsidRPr="00870330">
        <w:rPr>
          <w:rFonts w:asciiTheme="minorHAnsi" w:hAnsiTheme="minorHAnsi" w:cstheme="minorHAnsi"/>
          <w:noProof/>
          <w:color w:val="0D0D0D"/>
        </w:rPr>
        <w:instrText>ADDIN CSL_CITATION {"citationItems":[{"id":"ITEM-1","itemData":{"DOI":"10.1177/1536867X1801700412","ISSN":"15368734","abstract":"With the development of large and long panel databases, the theory surrounding panel causality evolves quickly, and empirical researchers might find it difficult to run the most recent techniques developed in the literature. In this article, we present the community-contributed command xtgcause, which implements a procedure proposed by Dumitrescu and Hurlin (2012, Economic Modelling 29: 1450-1460) for detecting Granger causality in panel datasets. Thus, it constitutes an effort to help practitioners understand and apply the test. xtgcause offers the possibility of selecting the number of lags to include in the model by minimizing the Akaike information criterion, Bayesian information criterion, or Hannan-Quinn information criterion, and it offers the possibility to implement a bootstrap procedure to compute p-values and critical values.","author":[{"dropping-particle":"","family":"Lopez","given":"Luciano","non-dropping-particle":"","parse-names":false,"suffix":""},{"dropping-particle":"","family":"Weber","given":"Sylvain","non-dropping-particle":"","parse-names":false,"suffix":""}],"container-title":"Stata Journal","id":"ITEM-1","issue":"4","issued":{"date-parts":[["2017"]]},"page":"972-984","title":"Testing for Granger causality in panel data","type":"article-journal","volume":"17"},"uris":["http://www.mendeley.com/documents/?uuid=a8872bc5-076c-4d1b-a755-55aa43b78356"]}],"mendeley":{"formattedCitation":"(Lopez &amp; Weber, 2017)","plainTextFormattedCitation":"(Lopez &amp; Weber, 2017)","previouslyFormattedCitation":"(Lopez &amp; Weber, 2017)"},"properties":{"noteIndex":0},"schema":"https://github.com/citation-style-language/schema/raw/master/csl-citation.json"}</w:instrText>
      </w:r>
      <w:r w:rsidR="00FF648E" w:rsidRPr="00870330">
        <w:rPr>
          <w:rFonts w:asciiTheme="minorHAnsi" w:hAnsiTheme="minorHAnsi" w:cstheme="minorHAnsi"/>
          <w:noProof/>
          <w:color w:val="0D0D0D"/>
        </w:rPr>
        <w:fldChar w:fldCharType="separate"/>
      </w:r>
      <w:r w:rsidR="00FF648E" w:rsidRPr="00870330">
        <w:rPr>
          <w:rFonts w:asciiTheme="minorHAnsi" w:hAnsiTheme="minorHAnsi" w:cstheme="minorHAnsi"/>
          <w:noProof/>
          <w:color w:val="0D0D0D"/>
        </w:rPr>
        <w:t>(Lopez &amp; Weber, 2017)</w:t>
      </w:r>
      <w:r w:rsidR="00FF648E" w:rsidRPr="00870330">
        <w:rPr>
          <w:rFonts w:asciiTheme="minorHAnsi" w:hAnsiTheme="minorHAnsi" w:cstheme="minorHAnsi"/>
          <w:noProof/>
          <w:color w:val="0D0D0D"/>
        </w:rPr>
        <w:fldChar w:fldCharType="end"/>
      </w:r>
      <w:r w:rsidR="00FF648E" w:rsidRPr="00870330">
        <w:rPr>
          <w:rFonts w:asciiTheme="minorHAnsi" w:hAnsiTheme="minorHAnsi" w:cstheme="minorHAnsi"/>
          <w:noProof/>
          <w:color w:val="0D0D0D"/>
        </w:rPr>
        <w:t xml:space="preserve">. </w:t>
      </w:r>
      <w:r w:rsidR="00FF648E">
        <w:rPr>
          <w:rFonts w:asciiTheme="minorHAnsi" w:hAnsiTheme="minorHAnsi" w:cstheme="minorHAnsi"/>
          <w:color w:val="0D0D0D" w:themeColor="text1" w:themeTint="F2"/>
          <w:lang w:eastAsia="id-ID"/>
        </w:rPr>
        <w:t>The</w:t>
      </w:r>
      <w:r w:rsidR="00FF648E" w:rsidRPr="00870330">
        <w:rPr>
          <w:rFonts w:asciiTheme="minorHAnsi" w:hAnsiTheme="minorHAnsi" w:cstheme="minorHAnsi"/>
          <w:color w:val="0D0D0D" w:themeColor="text1" w:themeTint="F2"/>
          <w:lang w:eastAsia="id-ID"/>
        </w:rPr>
        <w:t xml:space="preserve"> </w:t>
      </w:r>
      <w:r w:rsidR="00FF648E">
        <w:rPr>
          <w:rFonts w:asciiTheme="minorHAnsi" w:hAnsiTheme="minorHAnsi" w:cstheme="minorHAnsi"/>
          <w:color w:val="0D0D0D" w:themeColor="text1" w:themeTint="F2"/>
          <w:lang w:eastAsia="id-ID"/>
        </w:rPr>
        <w:t xml:space="preserve">DH </w:t>
      </w:r>
      <w:r w:rsidR="00FF648E" w:rsidRPr="00870330">
        <w:rPr>
          <w:rFonts w:asciiTheme="minorHAnsi" w:hAnsiTheme="minorHAnsi" w:cstheme="minorHAnsi"/>
          <w:color w:val="0D0D0D" w:themeColor="text1" w:themeTint="F2"/>
          <w:lang w:eastAsia="id-ID"/>
        </w:rPr>
        <w:t xml:space="preserve">causality adopts the Wald's statistic. Referring to the article of </w:t>
      </w:r>
      <w:r w:rsidR="00FF648E" w:rsidRPr="00870330">
        <w:rPr>
          <w:rFonts w:asciiTheme="minorHAnsi" w:hAnsiTheme="minorHAnsi" w:cstheme="minorHAnsi"/>
          <w:noProof/>
          <w:color w:val="0D0D0D"/>
        </w:rPr>
        <w:fldChar w:fldCharType="begin" w:fldLock="1"/>
      </w:r>
      <w:r w:rsidR="00FF648E" w:rsidRPr="00870330">
        <w:rPr>
          <w:rFonts w:asciiTheme="minorHAnsi" w:hAnsiTheme="minorHAnsi" w:cstheme="minorHAnsi"/>
          <w:noProof/>
          <w:color w:val="0D0D0D"/>
        </w:rPr>
        <w:instrText>ADDIN CSL_CITATION {"citationItems":[{"id":"ITEM-1","itemData":{"DOI":"10.1016/j.econmod.2012.02.014","ISSN":"02649993","abstract":"This paper proposes a very simple test of Granger (1969) non-causality for heterogeneous panel data models. Our test statistic is based on the individual Wald statistics of Granger non causality averaged across the cross-section units. First, this statistic is shown to converge sequentially to a standard normal distribution. Second, the semi-asymptotic distribution of the average statistic is characterized for a fixed T sample. A standardized statistic based on an approximation of the moments of Wald statistics is hence proposed. Third, Monte Carlo experiments show that our standardized panel statistics have very good small sample properties, even in the presence of cross-sectional dependence. © 2012 Elsevier B.V.","author":[{"dropping-particle":"","family":"Dumitrescu","given":"Elena Ivona","non-dropping-particle":"","parse-names":false,"suffix":""},{"dropping-particle":"","family":"Hurlin","given":"Christophe","non-dropping-particle":"","parse-names":false,"suffix":""}],"container-title":"Economic Modelling","id":"ITEM-1","issue":"4","issued":{"date-parts":[["2012"]]},"page":"1450-1460","publisher":"Elsevier B.V.","title":"Testing for Granger non-causality in heterogeneous panels","type":"article-journal","volume":"29"},"uris":["http://www.mendeley.com/documents/?uuid=9b327d6a-4544-4d9c-aa6c-fa30054dfc43"]}],"mendeley":{"formattedCitation":"(Dumitrescu &amp; Hurlin, 2012)","manualFormatting":"Dumitrescu &amp; Hurlin (2012)","plainTextFormattedCitation":"(Dumitrescu &amp; Hurlin, 2012)","previouslyFormattedCitation":"(Dumitrescu &amp; Hurlin, 2012)"},"properties":{"noteIndex":0},"schema":"https://github.com/citation-style-language/schema/raw/master/csl-citation.json"}</w:instrText>
      </w:r>
      <w:r w:rsidR="00FF648E" w:rsidRPr="00870330">
        <w:rPr>
          <w:rFonts w:asciiTheme="minorHAnsi" w:hAnsiTheme="minorHAnsi" w:cstheme="minorHAnsi"/>
          <w:noProof/>
          <w:color w:val="0D0D0D"/>
        </w:rPr>
        <w:fldChar w:fldCharType="separate"/>
      </w:r>
      <w:r w:rsidR="00FF648E" w:rsidRPr="00870330">
        <w:rPr>
          <w:rFonts w:asciiTheme="minorHAnsi" w:hAnsiTheme="minorHAnsi" w:cstheme="minorHAnsi"/>
          <w:noProof/>
          <w:color w:val="0D0D0D"/>
        </w:rPr>
        <w:t>Dumitrescu &amp; Hurlin (2012)</w:t>
      </w:r>
      <w:r w:rsidR="00FF648E" w:rsidRPr="00870330">
        <w:rPr>
          <w:rFonts w:asciiTheme="minorHAnsi" w:hAnsiTheme="minorHAnsi" w:cstheme="minorHAnsi"/>
          <w:noProof/>
          <w:color w:val="0D0D0D"/>
        </w:rPr>
        <w:fldChar w:fldCharType="end"/>
      </w:r>
      <w:r w:rsidR="00FF648E" w:rsidRPr="00870330">
        <w:rPr>
          <w:rFonts w:asciiTheme="minorHAnsi" w:hAnsiTheme="minorHAnsi" w:cstheme="minorHAnsi"/>
          <w:noProof/>
          <w:color w:val="0D0D0D"/>
        </w:rPr>
        <w:t xml:space="preserve">, </w:t>
      </w:r>
      <w:r w:rsidR="00FF648E" w:rsidRPr="00870330">
        <w:rPr>
          <w:rFonts w:asciiTheme="minorHAnsi" w:hAnsiTheme="minorHAnsi" w:cstheme="minorHAnsi"/>
          <w:color w:val="0D0D0D" w:themeColor="text1" w:themeTint="F2"/>
          <w:lang w:eastAsia="id-ID"/>
        </w:rPr>
        <w:t>the equation is arranged as follows.</w:t>
      </w:r>
    </w:p>
    <w:p w14:paraId="607D1307" w14:textId="77777777" w:rsidR="003A4ED4" w:rsidRPr="00870330" w:rsidRDefault="003A4ED4" w:rsidP="00B50639">
      <w:pPr>
        <w:spacing w:after="0"/>
        <w:jc w:val="both"/>
        <w:rPr>
          <w:rFonts w:asciiTheme="minorHAnsi" w:hAnsiTheme="minorHAnsi" w:cstheme="minorHAnsi"/>
          <w:color w:val="0D0D0D" w:themeColor="text1" w:themeTint="F2"/>
          <w:lang w:eastAsia="id-ID"/>
        </w:rPr>
      </w:pPr>
    </w:p>
    <w:tbl>
      <w:tblPr>
        <w:tblW w:w="0" w:type="auto"/>
        <w:tblLook w:val="04A0" w:firstRow="1" w:lastRow="0" w:firstColumn="1" w:lastColumn="0" w:noHBand="0" w:noVBand="1"/>
      </w:tblPr>
      <w:tblGrid>
        <w:gridCol w:w="7905"/>
        <w:gridCol w:w="816"/>
      </w:tblGrid>
      <w:tr w:rsidR="00A05921" w:rsidRPr="00870330" w14:paraId="1572C8E6" w14:textId="77777777" w:rsidTr="00A05921">
        <w:tc>
          <w:tcPr>
            <w:tcW w:w="7905" w:type="dxa"/>
            <w:shd w:val="clear" w:color="auto" w:fill="auto"/>
            <w:vAlign w:val="center"/>
          </w:tcPr>
          <w:p w14:paraId="3D83EA6E" w14:textId="77777777" w:rsidR="004C2EEB" w:rsidRPr="00870330" w:rsidRDefault="003921E4" w:rsidP="00A05921">
            <w:pPr>
              <w:spacing w:after="0"/>
              <w:jc w:val="center"/>
              <w:rPr>
                <w:rFonts w:asciiTheme="minorHAnsi" w:hAnsiTheme="minorHAnsi" w:cstheme="minorHAnsi"/>
                <w:color w:val="0D0D0D" w:themeColor="text1" w:themeTint="F2"/>
              </w:rPr>
            </w:pPr>
            <m:oMathPara>
              <m:oMath>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y</m:t>
                    </m:r>
                  </m:e>
                  <m:sub>
                    <m:r>
                      <w:rPr>
                        <w:rFonts w:ascii="Cambria Math" w:hAnsi="Cambria Math" w:cstheme="minorHAnsi"/>
                        <w:color w:val="0D0D0D" w:themeColor="text1" w:themeTint="F2"/>
                      </w:rPr>
                      <m:t>it</m:t>
                    </m:r>
                  </m:sub>
                </m:sSub>
                <m:r>
                  <w:rPr>
                    <w:rFonts w:ascii="Cambria Math" w:hAnsi="Cambria Math" w:cstheme="minorHAnsi"/>
                    <w:color w:val="0D0D0D" w:themeColor="text1" w:themeTint="F2"/>
                  </w:rPr>
                  <m:t>=</m:t>
                </m:r>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α</m:t>
                    </m:r>
                  </m:e>
                  <m:sub>
                    <m:r>
                      <w:rPr>
                        <w:rFonts w:ascii="Cambria Math" w:hAnsi="Cambria Math" w:cstheme="minorHAnsi"/>
                        <w:color w:val="0D0D0D" w:themeColor="text1" w:themeTint="F2"/>
                      </w:rPr>
                      <m:t>i</m:t>
                    </m:r>
                  </m:sub>
                </m:sSub>
                <m:r>
                  <w:rPr>
                    <w:rFonts w:ascii="Cambria Math" w:hAnsi="Cambria Math" w:cstheme="minorHAnsi"/>
                    <w:color w:val="0D0D0D" w:themeColor="text1" w:themeTint="F2"/>
                  </w:rPr>
                  <m:t>+</m:t>
                </m:r>
                <m:nary>
                  <m:naryPr>
                    <m:chr m:val="∑"/>
                    <m:limLoc m:val="undOvr"/>
                    <m:ctrlPr>
                      <w:rPr>
                        <w:rFonts w:ascii="Cambria Math" w:hAnsi="Cambria Math" w:cstheme="minorHAnsi"/>
                        <w:i/>
                        <w:color w:val="0D0D0D" w:themeColor="text1" w:themeTint="F2"/>
                      </w:rPr>
                    </m:ctrlPr>
                  </m:naryPr>
                  <m:sub>
                    <m:r>
                      <w:rPr>
                        <w:rFonts w:ascii="Cambria Math" w:hAnsi="Cambria Math" w:cstheme="minorHAnsi"/>
                        <w:color w:val="0D0D0D" w:themeColor="text1" w:themeTint="F2"/>
                      </w:rPr>
                      <m:t>k=1</m:t>
                    </m:r>
                  </m:sub>
                  <m:sup>
                    <m:r>
                      <w:rPr>
                        <w:rFonts w:ascii="Cambria Math" w:hAnsi="Cambria Math" w:cstheme="minorHAnsi"/>
                        <w:color w:val="0D0D0D" w:themeColor="text1" w:themeTint="F2"/>
                      </w:rPr>
                      <m:t>k</m:t>
                    </m:r>
                  </m:sup>
                  <m:e>
                    <m:sSubSup>
                      <m:sSubSupPr>
                        <m:ctrlPr>
                          <w:rPr>
                            <w:rFonts w:ascii="Cambria Math" w:hAnsi="Cambria Math" w:cstheme="minorHAnsi"/>
                            <w:i/>
                            <w:color w:val="0D0D0D" w:themeColor="text1" w:themeTint="F2"/>
                          </w:rPr>
                        </m:ctrlPr>
                      </m:sSubSupPr>
                      <m:e>
                        <m:r>
                          <w:rPr>
                            <w:rFonts w:ascii="Cambria Math" w:hAnsi="Cambria Math" w:cstheme="minorHAnsi"/>
                            <w:color w:val="0D0D0D" w:themeColor="text1" w:themeTint="F2"/>
                          </w:rPr>
                          <m:t>γ</m:t>
                        </m:r>
                      </m:e>
                      <m:sub>
                        <m:r>
                          <w:rPr>
                            <w:rFonts w:ascii="Cambria Math" w:hAnsi="Cambria Math" w:cstheme="minorHAnsi"/>
                            <w:color w:val="0D0D0D" w:themeColor="text1" w:themeTint="F2"/>
                          </w:rPr>
                          <m:t>i</m:t>
                        </m:r>
                      </m:sub>
                      <m:sup>
                        <m:r>
                          <w:rPr>
                            <w:rFonts w:ascii="Cambria Math" w:hAnsi="Cambria Math" w:cstheme="minorHAnsi"/>
                            <w:color w:val="0D0D0D" w:themeColor="text1" w:themeTint="F2"/>
                          </w:rPr>
                          <m:t>(k)</m:t>
                        </m:r>
                      </m:sup>
                    </m:sSubSup>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y</m:t>
                        </m:r>
                      </m:e>
                      <m:sub>
                        <m:r>
                          <w:rPr>
                            <w:rFonts w:ascii="Cambria Math" w:hAnsi="Cambria Math" w:cstheme="minorHAnsi"/>
                            <w:color w:val="0D0D0D" w:themeColor="text1" w:themeTint="F2"/>
                          </w:rPr>
                          <m:t>it-k</m:t>
                        </m:r>
                      </m:sub>
                    </m:sSub>
                  </m:e>
                </m:nary>
                <m:nary>
                  <m:naryPr>
                    <m:chr m:val="∑"/>
                    <m:limLoc m:val="undOvr"/>
                    <m:ctrlPr>
                      <w:rPr>
                        <w:rFonts w:ascii="Cambria Math" w:hAnsi="Cambria Math" w:cstheme="minorHAnsi"/>
                        <w:i/>
                        <w:color w:val="0D0D0D" w:themeColor="text1" w:themeTint="F2"/>
                      </w:rPr>
                    </m:ctrlPr>
                  </m:naryPr>
                  <m:sub>
                    <m:r>
                      <w:rPr>
                        <w:rFonts w:ascii="Cambria Math" w:hAnsi="Cambria Math" w:cstheme="minorHAnsi"/>
                        <w:color w:val="0D0D0D" w:themeColor="text1" w:themeTint="F2"/>
                      </w:rPr>
                      <m:t>k=1</m:t>
                    </m:r>
                  </m:sub>
                  <m:sup>
                    <m:r>
                      <w:rPr>
                        <w:rFonts w:ascii="Cambria Math" w:hAnsi="Cambria Math" w:cstheme="minorHAnsi"/>
                        <w:color w:val="0D0D0D" w:themeColor="text1" w:themeTint="F2"/>
                      </w:rPr>
                      <m:t>k</m:t>
                    </m:r>
                  </m:sup>
                  <m:e>
                    <m:sSubSup>
                      <m:sSubSupPr>
                        <m:ctrlPr>
                          <w:rPr>
                            <w:rFonts w:ascii="Cambria Math" w:hAnsi="Cambria Math" w:cstheme="minorHAnsi"/>
                            <w:i/>
                            <w:color w:val="0D0D0D" w:themeColor="text1" w:themeTint="F2"/>
                          </w:rPr>
                        </m:ctrlPr>
                      </m:sSubSupPr>
                      <m:e>
                        <m:r>
                          <w:rPr>
                            <w:rFonts w:ascii="Cambria Math" w:hAnsi="Cambria Math" w:cstheme="minorHAnsi"/>
                            <w:color w:val="0D0D0D" w:themeColor="text1" w:themeTint="F2"/>
                          </w:rPr>
                          <m:t>β</m:t>
                        </m:r>
                      </m:e>
                      <m:sub>
                        <m:r>
                          <w:rPr>
                            <w:rFonts w:ascii="Cambria Math" w:hAnsi="Cambria Math" w:cstheme="minorHAnsi"/>
                            <w:color w:val="0D0D0D" w:themeColor="text1" w:themeTint="F2"/>
                          </w:rPr>
                          <m:t>i</m:t>
                        </m:r>
                      </m:sub>
                      <m:sup>
                        <m:r>
                          <w:rPr>
                            <w:rFonts w:ascii="Cambria Math" w:hAnsi="Cambria Math" w:cstheme="minorHAnsi"/>
                            <w:color w:val="0D0D0D" w:themeColor="text1" w:themeTint="F2"/>
                          </w:rPr>
                          <m:t>(k)</m:t>
                        </m:r>
                      </m:sup>
                    </m:sSubSup>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x</m:t>
                        </m:r>
                      </m:e>
                      <m:sub>
                        <m:r>
                          <w:rPr>
                            <w:rFonts w:ascii="Cambria Math" w:hAnsi="Cambria Math" w:cstheme="minorHAnsi"/>
                            <w:color w:val="0D0D0D" w:themeColor="text1" w:themeTint="F2"/>
                          </w:rPr>
                          <m:t>it-k</m:t>
                        </m:r>
                      </m:sub>
                    </m:sSub>
                  </m:e>
                </m:nary>
                <m:r>
                  <w:rPr>
                    <w:rFonts w:ascii="Cambria Math" w:hAnsi="Cambria Math" w:cstheme="minorHAnsi"/>
                    <w:color w:val="0D0D0D" w:themeColor="text1" w:themeTint="F2"/>
                  </w:rPr>
                  <m:t>+</m:t>
                </m:r>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ϵ</m:t>
                    </m:r>
                  </m:e>
                  <m:sub>
                    <m:r>
                      <w:rPr>
                        <w:rFonts w:ascii="Cambria Math" w:hAnsi="Cambria Math" w:cstheme="minorHAnsi"/>
                        <w:color w:val="0D0D0D" w:themeColor="text1" w:themeTint="F2"/>
                      </w:rPr>
                      <m:t>it</m:t>
                    </m:r>
                  </m:sub>
                </m:sSub>
              </m:oMath>
            </m:oMathPara>
          </w:p>
        </w:tc>
        <w:tc>
          <w:tcPr>
            <w:tcW w:w="816" w:type="dxa"/>
            <w:shd w:val="clear" w:color="auto" w:fill="auto"/>
            <w:vAlign w:val="center"/>
          </w:tcPr>
          <w:p w14:paraId="08C555A1"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(10)</w:t>
            </w:r>
          </w:p>
        </w:tc>
      </w:tr>
    </w:tbl>
    <w:p w14:paraId="29E9D2EC" w14:textId="77777777" w:rsidR="00AB3072" w:rsidRPr="00870330" w:rsidRDefault="00AB3072" w:rsidP="004C2EEB">
      <w:pPr>
        <w:spacing w:after="0"/>
        <w:jc w:val="both"/>
        <w:rPr>
          <w:rFonts w:asciiTheme="minorHAnsi" w:hAnsiTheme="minorHAnsi" w:cstheme="minorHAnsi"/>
          <w:color w:val="0D0D0D" w:themeColor="text1" w:themeTint="F2"/>
        </w:rPr>
      </w:pPr>
    </w:p>
    <w:p w14:paraId="3AB90D8B" w14:textId="074B2AB8" w:rsidR="006D524A" w:rsidRDefault="00260290" w:rsidP="004C2EEB">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rPr>
        <w:t xml:space="preserve">Where </w:t>
      </w:r>
      <m:oMath>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x</m:t>
            </m:r>
          </m:e>
          <m:sub>
            <m:r>
              <w:rPr>
                <w:rFonts w:ascii="Cambria Math" w:hAnsi="Cambria Math" w:cstheme="minorHAnsi"/>
                <w:color w:val="0D0D0D" w:themeColor="text1" w:themeTint="F2"/>
              </w:rPr>
              <m:t>it</m:t>
            </m:r>
          </m:sub>
        </m:sSub>
      </m:oMath>
      <w:r w:rsidR="00613B3D" w:rsidRPr="00870330">
        <w:rPr>
          <w:rFonts w:asciiTheme="minorHAnsi" w:hAnsiTheme="minorHAnsi" w:cstheme="minorHAnsi"/>
          <w:color w:val="0D0D0D" w:themeColor="text1" w:themeTint="F2"/>
        </w:rPr>
        <w:t xml:space="preserve"> and </w:t>
      </w:r>
      <m:oMath>
        <m:sSub>
          <m:sSubPr>
            <m:ctrlPr>
              <w:rPr>
                <w:rFonts w:ascii="Cambria Math" w:hAnsi="Cambria Math" w:cstheme="minorHAnsi"/>
                <w:i/>
                <w:color w:val="0D0D0D" w:themeColor="text1" w:themeTint="F2"/>
              </w:rPr>
            </m:ctrlPr>
          </m:sSubPr>
          <m:e>
            <m:r>
              <w:rPr>
                <w:rFonts w:ascii="Cambria Math" w:hAnsi="Cambria Math" w:cstheme="minorHAnsi"/>
                <w:color w:val="0D0D0D" w:themeColor="text1" w:themeTint="F2"/>
              </w:rPr>
              <m:t>y</m:t>
            </m:r>
          </m:e>
          <m:sub>
            <m:r>
              <w:rPr>
                <w:rFonts w:ascii="Cambria Math" w:hAnsi="Cambria Math" w:cstheme="minorHAnsi"/>
                <w:color w:val="0D0D0D" w:themeColor="text1" w:themeTint="F2"/>
              </w:rPr>
              <m:t>it</m:t>
            </m:r>
          </m:sub>
        </m:sSub>
      </m:oMath>
      <w:r w:rsidR="00613B3D" w:rsidRPr="00870330">
        <w:rPr>
          <w:rFonts w:asciiTheme="minorHAnsi" w:hAnsiTheme="minorHAnsi" w:cstheme="minorHAnsi"/>
          <w:color w:val="0D0D0D" w:themeColor="text1" w:themeTint="F2"/>
        </w:rPr>
        <w:t xml:space="preserve"> </w:t>
      </w:r>
      <w:r w:rsidR="00CD6891" w:rsidRPr="00870330">
        <w:rPr>
          <w:rFonts w:asciiTheme="minorHAnsi" w:hAnsiTheme="minorHAnsi" w:cstheme="minorHAnsi"/>
          <w:color w:val="0D0D0D" w:themeColor="text1" w:themeTint="F2"/>
          <w:lang w:eastAsia="id-ID"/>
        </w:rPr>
        <w:t>are assumed to be stationary variables and proven to be co</w:t>
      </w:r>
      <w:r w:rsidR="00DF00FA">
        <w:rPr>
          <w:rFonts w:asciiTheme="minorHAnsi" w:hAnsiTheme="minorHAnsi" w:cstheme="minorHAnsi"/>
          <w:color w:val="0D0D0D" w:themeColor="text1" w:themeTint="F2"/>
          <w:lang w:eastAsia="id-ID"/>
        </w:rPr>
        <w:t>-</w:t>
      </w:r>
      <w:r w:rsidR="00CD6891" w:rsidRPr="00870330">
        <w:rPr>
          <w:rFonts w:asciiTheme="minorHAnsi" w:hAnsiTheme="minorHAnsi" w:cstheme="minorHAnsi"/>
          <w:color w:val="0D0D0D" w:themeColor="text1" w:themeTint="F2"/>
          <w:lang w:eastAsia="id-ID"/>
        </w:rPr>
        <w:t xml:space="preserve">integrated. </w:t>
      </w:r>
      <w:proofErr w:type="gramStart"/>
      <w:r w:rsidR="00CD6891" w:rsidRPr="00870330">
        <w:rPr>
          <w:rFonts w:asciiTheme="minorHAnsi" w:hAnsiTheme="minorHAnsi" w:cstheme="minorHAnsi"/>
          <w:color w:val="0D0D0D" w:themeColor="text1" w:themeTint="F2"/>
          <w:lang w:eastAsia="id-ID"/>
        </w:rPr>
        <w:t>t</w:t>
      </w:r>
      <w:proofErr w:type="gramEnd"/>
      <w:r w:rsidR="00CD6891" w:rsidRPr="00870330">
        <w:rPr>
          <w:rFonts w:asciiTheme="minorHAnsi" w:hAnsiTheme="minorHAnsi" w:cstheme="minorHAnsi"/>
          <w:color w:val="0D0D0D" w:themeColor="text1" w:themeTint="F2"/>
          <w:lang w:eastAsia="id-ID"/>
        </w:rPr>
        <w:t xml:space="preserve">, </w:t>
      </w:r>
      <w:proofErr w:type="spellStart"/>
      <w:r w:rsidR="00CD6891" w:rsidRPr="00870330">
        <w:rPr>
          <w:rFonts w:asciiTheme="minorHAnsi" w:hAnsiTheme="minorHAnsi" w:cstheme="minorHAnsi"/>
          <w:color w:val="0D0D0D" w:themeColor="text1" w:themeTint="F2"/>
          <w:lang w:eastAsia="id-ID"/>
        </w:rPr>
        <w:t>i</w:t>
      </w:r>
      <w:proofErr w:type="spellEnd"/>
      <w:r w:rsidR="00CD6891" w:rsidRPr="00870330">
        <w:rPr>
          <w:rFonts w:asciiTheme="minorHAnsi" w:hAnsiTheme="minorHAnsi" w:cstheme="minorHAnsi"/>
          <w:color w:val="0D0D0D" w:themeColor="text1" w:themeTint="F2"/>
          <w:lang w:eastAsia="id-ID"/>
        </w:rPr>
        <w:t>, and k denote</w:t>
      </w:r>
      <w:r w:rsidR="00613B3D" w:rsidRPr="00870330">
        <w:rPr>
          <w:rFonts w:asciiTheme="minorHAnsi" w:hAnsiTheme="minorHAnsi" w:cstheme="minorHAnsi"/>
          <w:color w:val="0D0D0D" w:themeColor="text1" w:themeTint="F2"/>
          <w:lang w:eastAsia="id-ID"/>
        </w:rPr>
        <w:t xml:space="preserve"> period, country, and lag order, respectively. </w:t>
      </w:r>
      <w:r w:rsidR="00CD6891" w:rsidRPr="00870330">
        <w:rPr>
          <w:rFonts w:asciiTheme="minorHAnsi" w:hAnsiTheme="minorHAnsi" w:cstheme="minorHAnsi"/>
          <w:color w:val="0D0D0D" w:themeColor="text1" w:themeTint="F2"/>
          <w:lang w:eastAsia="id-ID"/>
        </w:rPr>
        <w:t xml:space="preserve">The null hypothesis is that </w:t>
      </w:r>
      <w:r w:rsidR="00613B3D" w:rsidRPr="00870330">
        <w:rPr>
          <w:rFonts w:asciiTheme="minorHAnsi" w:hAnsiTheme="minorHAnsi" w:cstheme="minorHAnsi"/>
          <w:color w:val="0D0D0D" w:themeColor="text1" w:themeTint="F2"/>
          <w:lang w:eastAsia="id-ID"/>
        </w:rPr>
        <w:t xml:space="preserve">there is no causal link </w:t>
      </w:r>
      <w:r w:rsidR="00CD6891" w:rsidRPr="00870330">
        <w:rPr>
          <w:rFonts w:asciiTheme="minorHAnsi" w:hAnsiTheme="minorHAnsi" w:cstheme="minorHAnsi"/>
          <w:color w:val="0D0D0D" w:themeColor="text1" w:themeTint="F2"/>
          <w:lang w:eastAsia="id-ID"/>
        </w:rPr>
        <w:t xml:space="preserve">in each subgroup. Reject </w:t>
      </w:r>
      <w:r w:rsidR="00613B3D" w:rsidRPr="00870330">
        <w:rPr>
          <w:rFonts w:asciiTheme="minorHAnsi" w:hAnsiTheme="minorHAnsi" w:cstheme="minorHAnsi"/>
          <w:color w:val="0D0D0D" w:themeColor="text1" w:themeTint="F2"/>
          <w:lang w:eastAsia="id-ID"/>
        </w:rPr>
        <w:t>the null hypothesis</w:t>
      </w:r>
      <w:r w:rsidR="00CD6891" w:rsidRPr="00870330">
        <w:rPr>
          <w:rFonts w:asciiTheme="minorHAnsi" w:hAnsiTheme="minorHAnsi" w:cstheme="minorHAnsi"/>
          <w:color w:val="0D0D0D" w:themeColor="text1" w:themeTint="F2"/>
          <w:lang w:eastAsia="id-ID"/>
        </w:rPr>
        <w:t xml:space="preserve"> if there is a causal</w:t>
      </w:r>
      <w:r w:rsidR="00613B3D" w:rsidRPr="00870330">
        <w:rPr>
          <w:rFonts w:asciiTheme="minorHAnsi" w:hAnsiTheme="minorHAnsi" w:cstheme="minorHAnsi"/>
          <w:color w:val="0D0D0D" w:themeColor="text1" w:themeTint="F2"/>
          <w:lang w:eastAsia="id-ID"/>
        </w:rPr>
        <w:t xml:space="preserve"> relationship</w:t>
      </w:r>
      <w:r w:rsidR="00CD6891" w:rsidRPr="00870330">
        <w:rPr>
          <w:rFonts w:asciiTheme="minorHAnsi" w:hAnsiTheme="minorHAnsi" w:cstheme="minorHAnsi"/>
          <w:color w:val="0D0D0D" w:themeColor="text1" w:themeTint="F2"/>
          <w:lang w:eastAsia="id-ID"/>
        </w:rPr>
        <w:t xml:space="preserve">, at least in one subgroup. </w:t>
      </w:r>
    </w:p>
    <w:p w14:paraId="3CB8E674" w14:textId="7AE942F0" w:rsidR="006D2154" w:rsidRDefault="006D524A" w:rsidP="004C2EEB">
      <w:pPr>
        <w:spacing w:after="0"/>
        <w:jc w:val="both"/>
        <w:rPr>
          <w:rFonts w:asciiTheme="minorHAnsi" w:hAnsiTheme="minorHAnsi" w:cstheme="minorHAnsi"/>
          <w:noProof/>
          <w:color w:val="0D0D0D"/>
        </w:rPr>
      </w:pPr>
      <w:r>
        <w:rPr>
          <w:rFonts w:asciiTheme="minorHAnsi" w:hAnsiTheme="minorHAnsi" w:cstheme="minorHAnsi"/>
          <w:color w:val="0D0D0D" w:themeColor="text1" w:themeTint="F2"/>
          <w:lang w:eastAsia="id-ID"/>
        </w:rPr>
        <w:t>The DH causa</w:t>
      </w:r>
      <w:r w:rsidR="00AD0518">
        <w:rPr>
          <w:rFonts w:asciiTheme="minorHAnsi" w:hAnsiTheme="minorHAnsi" w:cstheme="minorHAnsi"/>
          <w:color w:val="0D0D0D" w:themeColor="text1" w:themeTint="F2"/>
          <w:lang w:eastAsia="id-ID"/>
        </w:rPr>
        <w:t>lity test adopts the mean Wald</w:t>
      </w:r>
      <w:r>
        <w:rPr>
          <w:rFonts w:asciiTheme="minorHAnsi" w:hAnsiTheme="minorHAnsi" w:cstheme="minorHAnsi"/>
          <w:color w:val="0D0D0D" w:themeColor="text1" w:themeTint="F2"/>
          <w:lang w:eastAsia="id-ID"/>
        </w:rPr>
        <w:t xml:space="preserve"> </w:t>
      </w:r>
      <w:r w:rsidRPr="00870330">
        <w:rPr>
          <w:rFonts w:asciiTheme="minorHAnsi" w:hAnsiTheme="minorHAnsi" w:cstheme="minorHAnsi"/>
          <w:color w:val="0D0D0D" w:themeColor="text1" w:themeTint="F2"/>
          <w:lang w:eastAsia="id-ID"/>
        </w:rPr>
        <w:t xml:space="preserve">obtained through equation 11 </w:t>
      </w:r>
      <w:r w:rsidRPr="00870330">
        <w:rPr>
          <w:rFonts w:asciiTheme="minorHAnsi" w:hAnsiTheme="minorHAnsi" w:cstheme="minorHAnsi"/>
          <w:noProof/>
          <w:color w:val="0D0D0D"/>
        </w:rPr>
        <w:fldChar w:fldCharType="begin" w:fldLock="1"/>
      </w:r>
      <w:r w:rsidRPr="00870330">
        <w:rPr>
          <w:rFonts w:asciiTheme="minorHAnsi" w:hAnsiTheme="minorHAnsi" w:cstheme="minorHAnsi"/>
          <w:noProof/>
          <w:color w:val="0D0D0D"/>
        </w:rPr>
        <w:instrText>ADDIN CSL_CITATION {"citationItems":[{"id":"ITEM-1","itemData":{"DOI":"10.1177/1536867X1801700412","ISSN":"15368734","abstract":"With the development of large and long panel databases, the theory surrounding panel causality evolves quickly, and empirical researchers might find it difficult to run the most recent techniques developed in the literature. In this article, we present the community-contributed command xtgcause, which implements a procedure proposed by Dumitrescu and Hurlin (2012, Economic Modelling 29: 1450-1460) for detecting Granger causality in panel datasets. Thus, it constitutes an effort to help practitioners understand and apply the test. xtgcause offers the possibility of selecting the number of lags to include in the model by minimizing the Akaike information criterion, Bayesian information criterion, or Hannan-Quinn information criterion, and it offers the possibility to implement a bootstrap procedure to compute p-values and critical values.","author":[{"dropping-particle":"","family":"Lopez","given":"Luciano","non-dropping-particle":"","parse-names":false,"suffix":""},{"dropping-particle":"","family":"Weber","given":"Sylvain","non-dropping-particle":"","parse-names":false,"suffix":""}],"container-title":"Stata Journal","id":"ITEM-1","issue":"4","issued":{"date-parts":[["2017"]]},"page":"972-984","title":"Testing for Granger causality in panel data","type":"article-journal","volume":"17"},"uris":["http://www.mendeley.com/documents/?uuid=a8872bc5-076c-4d1b-a755-55aa43b78356"]}],"mendeley":{"formattedCitation":"(Lopez &amp; Weber, 2017)","plainTextFormattedCitation":"(Lopez &amp; Weber, 2017)","previouslyFormattedCitation":"(Lopez &amp; Weber, 2017)"},"properties":{"noteIndex":0},"schema":"https://github.com/citation-style-language/schema/raw/master/csl-citation.json"}</w:instrText>
      </w:r>
      <w:r w:rsidRPr="00870330">
        <w:rPr>
          <w:rFonts w:asciiTheme="minorHAnsi" w:hAnsiTheme="minorHAnsi" w:cstheme="minorHAnsi"/>
          <w:noProof/>
          <w:color w:val="0D0D0D"/>
        </w:rPr>
        <w:fldChar w:fldCharType="separate"/>
      </w:r>
      <w:r w:rsidRPr="00870330">
        <w:rPr>
          <w:rFonts w:asciiTheme="minorHAnsi" w:hAnsiTheme="minorHAnsi" w:cstheme="minorHAnsi"/>
          <w:noProof/>
          <w:color w:val="0D0D0D"/>
        </w:rPr>
        <w:t>(Lopez &amp; Weber, 2017)</w:t>
      </w:r>
      <w:r w:rsidRPr="00870330">
        <w:rPr>
          <w:rFonts w:asciiTheme="minorHAnsi" w:hAnsiTheme="minorHAnsi" w:cstheme="minorHAnsi"/>
          <w:noProof/>
          <w:color w:val="0D0D0D"/>
        </w:rPr>
        <w:fldChar w:fldCharType="end"/>
      </w:r>
      <w:r w:rsidRPr="00870330">
        <w:rPr>
          <w:rFonts w:asciiTheme="minorHAnsi" w:hAnsiTheme="minorHAnsi" w:cstheme="minorHAnsi"/>
          <w:noProof/>
          <w:color w:val="0D0D0D"/>
        </w:rPr>
        <w:t>.</w:t>
      </w:r>
      <w:r w:rsidR="009D5993">
        <w:rPr>
          <w:rFonts w:asciiTheme="minorHAnsi" w:hAnsiTheme="minorHAnsi" w:cstheme="minorHAnsi"/>
          <w:noProof/>
          <w:color w:val="0D0D0D"/>
        </w:rPr>
        <w:t xml:space="preserve"> </w:t>
      </w:r>
      <w:r w:rsidR="00AD0518">
        <w:rPr>
          <w:rFonts w:asciiTheme="minorHAnsi" w:hAnsiTheme="minorHAnsi" w:cstheme="minorHAnsi"/>
          <w:noProof/>
          <w:color w:val="0D0D0D"/>
        </w:rPr>
        <w:t>Finally, t</w:t>
      </w:r>
      <w:r>
        <w:rPr>
          <w:rFonts w:asciiTheme="minorHAnsi" w:hAnsiTheme="minorHAnsi" w:cstheme="minorHAnsi"/>
          <w:noProof/>
          <w:color w:val="0D0D0D"/>
        </w:rPr>
        <w:t xml:space="preserve">he </w:t>
      </w:r>
      <m:oMath>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z</m:t>
            </m:r>
          </m:e>
        </m:acc>
      </m:oMath>
      <w:r w:rsidR="00AD0518">
        <w:rPr>
          <w:rFonts w:eastAsiaTheme="minorEastAsia"/>
          <w:noProof/>
          <w:color w:val="000000" w:themeColor="text1"/>
        </w:rPr>
        <w:t>- and</w:t>
      </w:r>
      <w:r w:rsidR="00AD0518" w:rsidRPr="00B56AA3">
        <w:rPr>
          <w:rFonts w:eastAsiaTheme="minorEastAsia"/>
          <w:noProof/>
          <w:color w:val="000000" w:themeColor="text1"/>
        </w:rPr>
        <w:t xml:space="preserve"> </w:t>
      </w:r>
      <m:oMath>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z</m:t>
            </m:r>
          </m:e>
        </m:acc>
      </m:oMath>
      <w:r w:rsidR="00AD0518">
        <w:rPr>
          <w:rFonts w:eastAsiaTheme="minorEastAsia"/>
          <w:noProof/>
          <w:color w:val="000000" w:themeColor="text1"/>
        </w:rPr>
        <w:t>-</w:t>
      </w:r>
      <w:r w:rsidR="00AD0518">
        <w:rPr>
          <w:rFonts w:eastAsiaTheme="minorEastAsia"/>
          <w:noProof/>
          <w:color w:val="000000" w:themeColor="text1"/>
        </w:rPr>
        <w:t xml:space="preserve"> </w:t>
      </w:r>
      <w:r w:rsidR="00DF00FA">
        <w:rPr>
          <w:rFonts w:asciiTheme="minorHAnsi" w:hAnsiTheme="minorHAnsi" w:cstheme="minorHAnsi"/>
          <w:noProof/>
          <w:color w:val="0D0D0D"/>
        </w:rPr>
        <w:t>are</w:t>
      </w:r>
      <w:r>
        <w:rPr>
          <w:rFonts w:asciiTheme="minorHAnsi" w:hAnsiTheme="minorHAnsi" w:cstheme="minorHAnsi"/>
          <w:noProof/>
          <w:color w:val="0D0D0D"/>
        </w:rPr>
        <w:t xml:space="preserve"> calcu</w:t>
      </w:r>
      <w:r w:rsidR="00DF00FA">
        <w:rPr>
          <w:rFonts w:asciiTheme="minorHAnsi" w:hAnsiTheme="minorHAnsi" w:cstheme="minorHAnsi"/>
          <w:noProof/>
          <w:color w:val="0D0D0D"/>
        </w:rPr>
        <w:t>lated</w:t>
      </w:r>
      <w:r>
        <w:rPr>
          <w:rFonts w:asciiTheme="minorHAnsi" w:hAnsiTheme="minorHAnsi" w:cstheme="minorHAnsi"/>
          <w:noProof/>
          <w:color w:val="0D0D0D"/>
        </w:rPr>
        <w:t xml:space="preserve">. </w:t>
      </w:r>
      <w:r w:rsidR="00CD6891" w:rsidRPr="00870330">
        <w:rPr>
          <w:rFonts w:asciiTheme="minorHAnsi" w:hAnsiTheme="minorHAnsi" w:cstheme="minorHAnsi"/>
          <w:color w:val="0D0D0D" w:themeColor="text1" w:themeTint="F2"/>
          <w:lang w:eastAsia="id-ID"/>
        </w:rPr>
        <w:t>Reject t</w:t>
      </w:r>
      <w:r w:rsidR="00F34E55">
        <w:rPr>
          <w:rFonts w:asciiTheme="minorHAnsi" w:hAnsiTheme="minorHAnsi" w:cstheme="minorHAnsi"/>
          <w:color w:val="0D0D0D" w:themeColor="text1" w:themeTint="F2"/>
          <w:lang w:eastAsia="id-ID"/>
        </w:rPr>
        <w:t xml:space="preserve">he null hypothesis if the </w:t>
      </w:r>
      <m:oMath>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z</m:t>
            </m:r>
          </m:e>
        </m:acc>
      </m:oMath>
      <w:r w:rsidR="00F34E55">
        <w:rPr>
          <w:rFonts w:eastAsiaTheme="minorEastAsia"/>
          <w:noProof/>
          <w:color w:val="000000" w:themeColor="text1"/>
        </w:rPr>
        <w:t>-wald statistics is</w:t>
      </w:r>
      <w:r w:rsidR="00F34E55" w:rsidRPr="00B56AA3">
        <w:rPr>
          <w:rFonts w:eastAsiaTheme="minorEastAsia"/>
          <w:noProof/>
          <w:color w:val="000000" w:themeColor="text1"/>
        </w:rPr>
        <w:t xml:space="preserve"> greater than the critical value at the 10% level.</w:t>
      </w:r>
    </w:p>
    <w:p w14:paraId="628836B0" w14:textId="77777777" w:rsidR="00F34E55" w:rsidRPr="00F34E55" w:rsidRDefault="00F34E55" w:rsidP="00F34E55">
      <w:pPr>
        <w:spacing w:after="0" w:line="240" w:lineRule="auto"/>
        <w:jc w:val="both"/>
      </w:pPr>
      <w:bookmarkStart w:id="1" w:name="_GoBack"/>
      <w:bookmarkEnd w:id="1"/>
    </w:p>
    <w:tbl>
      <w:tblPr>
        <w:tblW w:w="8789" w:type="dxa"/>
        <w:tblLook w:val="04A0" w:firstRow="1" w:lastRow="0" w:firstColumn="1" w:lastColumn="0" w:noHBand="0" w:noVBand="1"/>
      </w:tblPr>
      <w:tblGrid>
        <w:gridCol w:w="7763"/>
        <w:gridCol w:w="1026"/>
      </w:tblGrid>
      <w:tr w:rsidR="00A05921" w:rsidRPr="00870330" w14:paraId="6F4C155F" w14:textId="77777777" w:rsidTr="00A05921">
        <w:tc>
          <w:tcPr>
            <w:tcW w:w="7763" w:type="dxa"/>
            <w:shd w:val="clear" w:color="auto" w:fill="auto"/>
            <w:vAlign w:val="center"/>
          </w:tcPr>
          <w:p w14:paraId="48F204B9" w14:textId="5A42DD08" w:rsidR="004C2EEB" w:rsidRPr="00870330" w:rsidRDefault="003921E4" w:rsidP="00613B3D">
            <w:pPr>
              <w:spacing w:after="0"/>
              <w:jc w:val="center"/>
              <w:rPr>
                <w:rFonts w:asciiTheme="minorHAnsi" w:eastAsia="Times New Roman" w:hAnsiTheme="minorHAnsi" w:cstheme="minorHAnsi"/>
                <w:color w:val="0D0D0D" w:themeColor="text1" w:themeTint="F2"/>
              </w:rPr>
            </w:pPr>
            <m:oMathPara>
              <m:oMath>
                <m:acc>
                  <m:accPr>
                    <m:chr m:val="̅"/>
                    <m:ctrlPr>
                      <w:rPr>
                        <w:rFonts w:ascii="Cambria Math" w:eastAsia="Times New Roman" w:hAnsi="Cambria Math" w:cstheme="minorHAnsi"/>
                        <w:i/>
                        <w:color w:val="0D0D0D" w:themeColor="text1" w:themeTint="F2"/>
                      </w:rPr>
                    </m:ctrlPr>
                  </m:accPr>
                  <m:e>
                    <m:r>
                      <w:rPr>
                        <w:rFonts w:ascii="Cambria Math" w:eastAsia="Times New Roman" w:hAnsi="Cambria Math" w:cstheme="minorHAnsi"/>
                        <w:color w:val="0D0D0D" w:themeColor="text1" w:themeTint="F2"/>
                      </w:rPr>
                      <m:t>W</m:t>
                    </m:r>
                  </m:e>
                </m:acc>
                <m:r>
                  <w:rPr>
                    <w:rFonts w:ascii="Cambria Math" w:eastAsia="Times New Roman" w:hAnsi="Cambria Math" w:cstheme="minorHAnsi"/>
                    <w:color w:val="0D0D0D" w:themeColor="text1" w:themeTint="F2"/>
                  </w:rPr>
                  <m:t>=</m:t>
                </m:r>
                <m:f>
                  <m:fPr>
                    <m:ctrlPr>
                      <w:rPr>
                        <w:rFonts w:ascii="Cambria Math" w:eastAsia="Times New Roman" w:hAnsi="Cambria Math" w:cstheme="minorHAnsi"/>
                        <w:i/>
                        <w:color w:val="0D0D0D" w:themeColor="text1" w:themeTint="F2"/>
                      </w:rPr>
                    </m:ctrlPr>
                  </m:fPr>
                  <m:num>
                    <m:r>
                      <w:rPr>
                        <w:rFonts w:ascii="Cambria Math" w:eastAsia="Times New Roman" w:hAnsi="Cambria Math" w:cstheme="minorHAnsi"/>
                        <w:color w:val="0D0D0D" w:themeColor="text1" w:themeTint="F2"/>
                      </w:rPr>
                      <m:t>1</m:t>
                    </m:r>
                  </m:num>
                  <m:den>
                    <m:r>
                      <w:rPr>
                        <w:rFonts w:ascii="Cambria Math" w:eastAsia="Times New Roman" w:hAnsi="Cambria Math" w:cstheme="minorHAnsi"/>
                        <w:color w:val="0D0D0D" w:themeColor="text1" w:themeTint="F2"/>
                      </w:rPr>
                      <m:t>N</m:t>
                    </m:r>
                  </m:den>
                </m:f>
                <m:nary>
                  <m:naryPr>
                    <m:chr m:val="∑"/>
                    <m:limLoc m:val="undOvr"/>
                    <m:ctrlPr>
                      <w:rPr>
                        <w:rFonts w:ascii="Cambria Math" w:eastAsia="Times New Roman" w:hAnsi="Cambria Math" w:cstheme="minorHAnsi"/>
                        <w:i/>
                        <w:color w:val="0D0D0D" w:themeColor="text1" w:themeTint="F2"/>
                      </w:rPr>
                    </m:ctrlPr>
                  </m:naryPr>
                  <m:sub>
                    <m:r>
                      <w:rPr>
                        <w:rFonts w:ascii="Cambria Math" w:eastAsia="Times New Roman" w:hAnsi="Cambria Math" w:cstheme="minorHAnsi"/>
                        <w:color w:val="0D0D0D" w:themeColor="text1" w:themeTint="F2"/>
                      </w:rPr>
                      <m:t>1</m:t>
                    </m:r>
                  </m:sub>
                  <m:sup>
                    <m:r>
                      <w:rPr>
                        <w:rFonts w:ascii="Cambria Math" w:eastAsia="Times New Roman" w:hAnsi="Cambria Math" w:cstheme="minorHAnsi"/>
                        <w:color w:val="0D0D0D" w:themeColor="text1" w:themeTint="F2"/>
                      </w:rPr>
                      <m:t>N</m:t>
                    </m:r>
                  </m:sup>
                  <m:e>
                    <m:sSub>
                      <m:sSubPr>
                        <m:ctrlPr>
                          <w:rPr>
                            <w:rFonts w:ascii="Cambria Math" w:eastAsia="Times New Roman" w:hAnsi="Cambria Math" w:cstheme="minorHAnsi"/>
                            <w:i/>
                            <w:color w:val="0D0D0D" w:themeColor="text1" w:themeTint="F2"/>
                          </w:rPr>
                        </m:ctrlPr>
                      </m:sSubPr>
                      <m:e>
                        <m:r>
                          <w:rPr>
                            <w:rFonts w:ascii="Cambria Math" w:eastAsia="Times New Roman" w:hAnsi="Cambria Math" w:cstheme="minorHAnsi"/>
                            <w:color w:val="0D0D0D" w:themeColor="text1" w:themeTint="F2"/>
                          </w:rPr>
                          <m:t>W</m:t>
                        </m:r>
                      </m:e>
                      <m:sub>
                        <m:r>
                          <w:rPr>
                            <w:rFonts w:ascii="Cambria Math" w:eastAsia="Times New Roman" w:hAnsi="Cambria Math" w:cstheme="minorHAnsi"/>
                            <w:color w:val="0D0D0D" w:themeColor="text1" w:themeTint="F2"/>
                          </w:rPr>
                          <m:t>i</m:t>
                        </m:r>
                      </m:sub>
                    </m:sSub>
                  </m:e>
                </m:nary>
              </m:oMath>
            </m:oMathPara>
          </w:p>
        </w:tc>
        <w:tc>
          <w:tcPr>
            <w:tcW w:w="1026" w:type="dxa"/>
            <w:shd w:val="clear" w:color="auto" w:fill="auto"/>
            <w:vAlign w:val="center"/>
          </w:tcPr>
          <w:p w14:paraId="07AC1270"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(11)</w:t>
            </w:r>
          </w:p>
        </w:tc>
      </w:tr>
    </w:tbl>
    <w:p w14:paraId="2A6ACB32" w14:textId="77777777" w:rsidR="004C2EEB" w:rsidRPr="00870330" w:rsidRDefault="004C2EEB">
      <w:pPr>
        <w:spacing w:after="0"/>
        <w:jc w:val="both"/>
        <w:rPr>
          <w:color w:val="0D0D0D" w:themeColor="text1" w:themeTint="F2"/>
        </w:rPr>
      </w:pPr>
    </w:p>
    <w:p w14:paraId="00000028" w14:textId="77777777" w:rsidR="00214FDC" w:rsidRPr="00870330" w:rsidRDefault="00F21149">
      <w:pPr>
        <w:spacing w:after="0"/>
        <w:jc w:val="both"/>
        <w:rPr>
          <w:b/>
          <w:color w:val="0D0D0D" w:themeColor="text1" w:themeTint="F2"/>
          <w:sz w:val="28"/>
          <w:szCs w:val="28"/>
        </w:rPr>
      </w:pPr>
      <w:r w:rsidRPr="00870330">
        <w:rPr>
          <w:b/>
          <w:color w:val="0D0D0D" w:themeColor="text1" w:themeTint="F2"/>
          <w:sz w:val="28"/>
          <w:szCs w:val="28"/>
        </w:rPr>
        <w:t>Result and Discussion</w:t>
      </w:r>
    </w:p>
    <w:p w14:paraId="48D5A265" w14:textId="77777777" w:rsidR="006B5F64" w:rsidRPr="00870330" w:rsidRDefault="006B5F64" w:rsidP="00603147">
      <w:pPr>
        <w:spacing w:after="0"/>
        <w:jc w:val="both"/>
        <w:rPr>
          <w:rFonts w:asciiTheme="minorHAnsi" w:hAnsiTheme="minorHAnsi" w:cstheme="minorHAnsi"/>
          <w:color w:val="0D0D0D" w:themeColor="text1" w:themeTint="F2"/>
          <w:lang w:eastAsia="id-ID"/>
        </w:rPr>
      </w:pPr>
    </w:p>
    <w:p w14:paraId="6085E289" w14:textId="77777777" w:rsidR="006B5F64" w:rsidRPr="00870330" w:rsidRDefault="006B5F64" w:rsidP="006B5F64">
      <w:pPr>
        <w:spacing w:after="0"/>
        <w:jc w:val="both"/>
        <w:rPr>
          <w:color w:val="0D0D0D" w:themeColor="text1" w:themeTint="F2"/>
        </w:rPr>
      </w:pPr>
      <w:r w:rsidRPr="00870330">
        <w:rPr>
          <w:rFonts w:asciiTheme="minorHAnsi" w:hAnsiTheme="minorHAnsi" w:cstheme="minorHAnsi"/>
          <w:b/>
          <w:color w:val="0D0D0D" w:themeColor="text1" w:themeTint="F2"/>
          <w:lang w:val="en-US"/>
        </w:rPr>
        <w:t>Descriptive Statistics of Variables</w:t>
      </w:r>
    </w:p>
    <w:p w14:paraId="46C3CC6A" w14:textId="3945BB5A" w:rsidR="006B5F64" w:rsidRPr="00870330" w:rsidRDefault="006B5F64" w:rsidP="00603147">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Table 2 displays the statistical description of the research variables. The standard deviation of DEF and COR is greater than the mean value, representing a high deviation rate. In contrast, the standard deviations of GDP, TO</w:t>
      </w:r>
      <w:r w:rsidR="00E3425C" w:rsidRPr="00870330">
        <w:rPr>
          <w:rFonts w:asciiTheme="minorHAnsi" w:hAnsiTheme="minorHAnsi" w:cstheme="minorHAnsi"/>
          <w:color w:val="0D0D0D" w:themeColor="text1" w:themeTint="F2"/>
          <w:lang w:eastAsia="id-ID"/>
        </w:rPr>
        <w:t>P</w:t>
      </w:r>
      <w:r w:rsidRPr="00870330">
        <w:rPr>
          <w:rFonts w:asciiTheme="minorHAnsi" w:hAnsiTheme="minorHAnsi" w:cstheme="minorHAnsi"/>
          <w:color w:val="0D0D0D" w:themeColor="text1" w:themeTint="F2"/>
          <w:lang w:eastAsia="id-ID"/>
        </w:rPr>
        <w:t xml:space="preserve">, ARABLE, and POPG are smaller than the mean value, indicating a low degree of variation. </w:t>
      </w:r>
      <w:r w:rsidR="00313568" w:rsidRPr="00870330">
        <w:rPr>
          <w:rFonts w:asciiTheme="minorHAnsi" w:hAnsiTheme="minorHAnsi" w:cstheme="minorHAnsi"/>
          <w:color w:val="0D0D0D" w:themeColor="text1" w:themeTint="F2"/>
          <w:lang w:eastAsia="id-ID"/>
        </w:rPr>
        <w:t>All the variables</w:t>
      </w:r>
      <w:r w:rsidR="00A10C50" w:rsidRPr="00870330">
        <w:rPr>
          <w:rFonts w:asciiTheme="minorHAnsi" w:hAnsiTheme="minorHAnsi" w:cstheme="minorHAnsi"/>
          <w:color w:val="0D0D0D" w:themeColor="text1" w:themeTint="F2"/>
          <w:lang w:eastAsia="id-ID"/>
        </w:rPr>
        <w:t>,</w:t>
      </w:r>
      <w:r w:rsidR="00313568" w:rsidRPr="00870330">
        <w:rPr>
          <w:rFonts w:asciiTheme="minorHAnsi" w:hAnsiTheme="minorHAnsi" w:cstheme="minorHAnsi"/>
          <w:color w:val="0D0D0D" w:themeColor="text1" w:themeTint="F2"/>
          <w:lang w:eastAsia="id-ID"/>
        </w:rPr>
        <w:t xml:space="preserve"> besides </w:t>
      </w:r>
      <w:r w:rsidR="00A10C50" w:rsidRPr="00870330">
        <w:rPr>
          <w:rFonts w:asciiTheme="minorHAnsi" w:hAnsiTheme="minorHAnsi" w:cstheme="minorHAnsi"/>
          <w:color w:val="0D0D0D" w:themeColor="text1" w:themeTint="F2"/>
          <w:lang w:eastAsia="id-ID"/>
        </w:rPr>
        <w:t xml:space="preserve">DEF, </w:t>
      </w:r>
      <w:r w:rsidR="00313568" w:rsidRPr="00870330">
        <w:rPr>
          <w:rFonts w:asciiTheme="minorHAnsi" w:hAnsiTheme="minorHAnsi" w:cstheme="minorHAnsi"/>
          <w:color w:val="0D0D0D" w:themeColor="text1" w:themeTint="F2"/>
          <w:lang w:eastAsia="id-ID"/>
        </w:rPr>
        <w:t>tend to be positive-skewed</w:t>
      </w:r>
      <w:r w:rsidR="00676E59" w:rsidRPr="00870330">
        <w:rPr>
          <w:rStyle w:val="fontstyle01"/>
          <w:rFonts w:asciiTheme="minorHAnsi" w:hAnsiTheme="minorHAnsi" w:cstheme="minorHAnsi"/>
          <w:sz w:val="22"/>
          <w:szCs w:val="22"/>
        </w:rPr>
        <w:t>.</w:t>
      </w:r>
      <w:r w:rsidR="00D674EC" w:rsidRPr="00870330">
        <w:rPr>
          <w:rFonts w:asciiTheme="minorHAnsi" w:hAnsiTheme="minorHAnsi" w:cstheme="minorHAnsi"/>
          <w:color w:val="0D0D0D" w:themeColor="text1" w:themeTint="F2"/>
          <w:lang w:eastAsia="id-ID"/>
        </w:rPr>
        <w:t xml:space="preserve"> </w:t>
      </w:r>
      <w:r w:rsidR="00563D32" w:rsidRPr="00870330">
        <w:rPr>
          <w:rFonts w:asciiTheme="minorHAnsi" w:hAnsiTheme="minorHAnsi" w:cstheme="minorHAnsi"/>
          <w:color w:val="0D0D0D" w:themeColor="text1" w:themeTint="F2"/>
          <w:lang w:eastAsia="id-ID"/>
        </w:rPr>
        <w:t>Furthermore</w:t>
      </w:r>
      <w:r w:rsidRPr="00870330">
        <w:rPr>
          <w:rFonts w:asciiTheme="minorHAnsi" w:hAnsiTheme="minorHAnsi" w:cstheme="minorHAnsi"/>
          <w:color w:val="0D0D0D" w:themeColor="text1" w:themeTint="F2"/>
          <w:lang w:eastAsia="id-ID"/>
        </w:rPr>
        <w:t xml:space="preserve">, all variables are not normally distributed and form a </w:t>
      </w:r>
      <w:proofErr w:type="spellStart"/>
      <w:r w:rsidRPr="00870330">
        <w:rPr>
          <w:rFonts w:asciiTheme="minorHAnsi" w:hAnsiTheme="minorHAnsi" w:cstheme="minorHAnsi"/>
          <w:color w:val="0D0D0D" w:themeColor="text1" w:themeTint="F2"/>
          <w:lang w:eastAsia="id-ID"/>
        </w:rPr>
        <w:t>platykurtic</w:t>
      </w:r>
      <w:proofErr w:type="spellEnd"/>
      <w:r w:rsidRPr="00870330">
        <w:rPr>
          <w:rFonts w:asciiTheme="minorHAnsi" w:hAnsiTheme="minorHAnsi" w:cstheme="minorHAnsi"/>
          <w:color w:val="0D0D0D" w:themeColor="text1" w:themeTint="F2"/>
          <w:lang w:eastAsia="id-ID"/>
        </w:rPr>
        <w:t xml:space="preserve"> curve, except for </w:t>
      </w:r>
      <w:r w:rsidR="00A10C50" w:rsidRPr="00870330">
        <w:rPr>
          <w:rFonts w:asciiTheme="minorHAnsi" w:hAnsiTheme="minorHAnsi" w:cstheme="minorHAnsi"/>
          <w:color w:val="0D0D0D" w:themeColor="text1" w:themeTint="F2"/>
          <w:lang w:eastAsia="id-ID"/>
        </w:rPr>
        <w:t>POPG</w:t>
      </w:r>
      <w:r w:rsidR="00E3425C" w:rsidRPr="00870330">
        <w:rPr>
          <w:rFonts w:asciiTheme="minorHAnsi" w:hAnsiTheme="minorHAnsi" w:cstheme="minorHAnsi"/>
          <w:color w:val="0D0D0D" w:themeColor="text1" w:themeTint="F2"/>
          <w:lang w:eastAsia="id-ID"/>
        </w:rPr>
        <w:t>. T</w:t>
      </w:r>
      <w:r w:rsidR="005039E7" w:rsidRPr="00870330">
        <w:rPr>
          <w:rFonts w:asciiTheme="minorHAnsi" w:hAnsiTheme="minorHAnsi" w:cstheme="minorHAnsi"/>
          <w:color w:val="0D0D0D" w:themeColor="text1" w:themeTint="F2"/>
          <w:lang w:eastAsia="id-ID"/>
        </w:rPr>
        <w:t>he t</w:t>
      </w:r>
      <w:r w:rsidRPr="00870330">
        <w:rPr>
          <w:rFonts w:asciiTheme="minorHAnsi" w:hAnsiTheme="minorHAnsi" w:cstheme="minorHAnsi"/>
          <w:color w:val="0D0D0D" w:themeColor="text1" w:themeTint="F2"/>
          <w:lang w:eastAsia="id-ID"/>
        </w:rPr>
        <w:t>otal observations of this study are 207 units from nine countries and 23 series.</w:t>
      </w:r>
    </w:p>
    <w:p w14:paraId="22853C89" w14:textId="77777777" w:rsidR="00113308" w:rsidRPr="00870330" w:rsidRDefault="00113308" w:rsidP="00113308">
      <w:pPr>
        <w:spacing w:after="0"/>
        <w:jc w:val="both"/>
        <w:rPr>
          <w:rFonts w:asciiTheme="minorHAnsi" w:hAnsiTheme="minorHAnsi" w:cstheme="minorHAnsi"/>
          <w:color w:val="0D0D0D" w:themeColor="text1" w:themeTint="F2"/>
          <w:lang w:eastAsia="id-ID"/>
        </w:rPr>
      </w:pPr>
    </w:p>
    <w:p w14:paraId="3A5F2BDC" w14:textId="77777777" w:rsidR="004C2EEB" w:rsidRPr="00870330" w:rsidRDefault="004C2EEB" w:rsidP="00BF239C">
      <w:pPr>
        <w:pStyle w:val="NormalafterHeading"/>
        <w:spacing w:line="259" w:lineRule="auto"/>
        <w:rPr>
          <w:rFonts w:asciiTheme="minorHAnsi" w:hAnsiTheme="minorHAnsi" w:cstheme="minorHAnsi"/>
          <w:color w:val="0D0D0D" w:themeColor="text1" w:themeTint="F2"/>
          <w:lang w:val="en-US"/>
        </w:rPr>
      </w:pPr>
      <w:r w:rsidRPr="00870330">
        <w:rPr>
          <w:rFonts w:asciiTheme="minorHAnsi" w:hAnsiTheme="minorHAnsi" w:cstheme="minorHAnsi"/>
          <w:color w:val="0D0D0D" w:themeColor="text1" w:themeTint="F2"/>
          <w:lang w:val="en-US"/>
        </w:rPr>
        <w:t xml:space="preserve">Table 2. </w:t>
      </w:r>
      <w:r w:rsidRPr="00870330">
        <w:rPr>
          <w:rFonts w:asciiTheme="minorHAnsi" w:hAnsiTheme="minorHAnsi" w:cstheme="minorHAnsi"/>
          <w:b/>
          <w:color w:val="0D0D0D" w:themeColor="text1" w:themeTint="F2"/>
          <w:lang w:val="en-US"/>
        </w:rPr>
        <w:t>D</w:t>
      </w:r>
      <w:r w:rsidRPr="00870330">
        <w:rPr>
          <w:rFonts w:asciiTheme="minorHAnsi" w:hAnsiTheme="minorHAnsi" w:cstheme="minorHAnsi"/>
          <w:bCs/>
          <w:color w:val="0D0D0D" w:themeColor="text1" w:themeTint="F2"/>
          <w:lang w:val="en-US"/>
        </w:rPr>
        <w:t>escriptive Statistics of Variables</w:t>
      </w:r>
    </w:p>
    <w:tbl>
      <w:tblPr>
        <w:tblW w:w="0" w:type="auto"/>
        <w:tblLook w:val="04A0" w:firstRow="1" w:lastRow="0" w:firstColumn="1" w:lastColumn="0" w:noHBand="0" w:noVBand="1"/>
      </w:tblPr>
      <w:tblGrid>
        <w:gridCol w:w="1354"/>
        <w:gridCol w:w="977"/>
        <w:gridCol w:w="1234"/>
        <w:gridCol w:w="1382"/>
        <w:gridCol w:w="1629"/>
        <w:gridCol w:w="1226"/>
        <w:gridCol w:w="1224"/>
      </w:tblGrid>
      <w:tr w:rsidR="00A05921" w:rsidRPr="00870330" w14:paraId="2C94C315" w14:textId="77777777" w:rsidTr="00E20874">
        <w:tc>
          <w:tcPr>
            <w:tcW w:w="1354" w:type="dxa"/>
            <w:tcBorders>
              <w:top w:val="single" w:sz="4" w:space="0" w:color="auto"/>
              <w:bottom w:val="single" w:sz="4" w:space="0" w:color="auto"/>
            </w:tcBorders>
            <w:shd w:val="clear" w:color="auto" w:fill="auto"/>
            <w:vAlign w:val="center"/>
          </w:tcPr>
          <w:p w14:paraId="7022793A" w14:textId="77777777" w:rsidR="004C2EEB" w:rsidRPr="00870330" w:rsidRDefault="004C2EEB" w:rsidP="00A05921">
            <w:pPr>
              <w:spacing w:after="0"/>
              <w:rPr>
                <w:rFonts w:asciiTheme="minorHAnsi" w:hAnsiTheme="minorHAnsi" w:cstheme="minorHAnsi"/>
                <w:b/>
                <w:color w:val="0D0D0D" w:themeColor="text1" w:themeTint="F2"/>
              </w:rPr>
            </w:pPr>
          </w:p>
        </w:tc>
        <w:tc>
          <w:tcPr>
            <w:tcW w:w="977" w:type="dxa"/>
            <w:tcBorders>
              <w:top w:val="single" w:sz="4" w:space="0" w:color="auto"/>
              <w:bottom w:val="single" w:sz="4" w:space="0" w:color="auto"/>
            </w:tcBorders>
            <w:shd w:val="clear" w:color="auto" w:fill="auto"/>
            <w:vAlign w:val="bottom"/>
          </w:tcPr>
          <w:p w14:paraId="75918BE5" w14:textId="77777777" w:rsidR="004C2EEB" w:rsidRPr="00870330" w:rsidRDefault="004C2EEB" w:rsidP="00A05921">
            <w:pPr>
              <w:spacing w:after="0"/>
              <w:jc w:val="right"/>
              <w:rPr>
                <w:rFonts w:asciiTheme="minorHAnsi" w:hAnsiTheme="minorHAnsi" w:cstheme="minorHAnsi"/>
                <w:b/>
                <w:color w:val="0D0D0D" w:themeColor="text1" w:themeTint="F2"/>
              </w:rPr>
            </w:pPr>
            <w:r w:rsidRPr="00870330">
              <w:rPr>
                <w:rFonts w:asciiTheme="minorHAnsi" w:hAnsiTheme="minorHAnsi" w:cstheme="minorHAnsi"/>
                <w:b/>
                <w:color w:val="0D0D0D" w:themeColor="text1" w:themeTint="F2"/>
              </w:rPr>
              <w:t>DEF</w:t>
            </w:r>
          </w:p>
        </w:tc>
        <w:tc>
          <w:tcPr>
            <w:tcW w:w="1234" w:type="dxa"/>
            <w:tcBorders>
              <w:top w:val="single" w:sz="4" w:space="0" w:color="auto"/>
              <w:bottom w:val="single" w:sz="4" w:space="0" w:color="auto"/>
            </w:tcBorders>
            <w:shd w:val="clear" w:color="auto" w:fill="auto"/>
            <w:vAlign w:val="bottom"/>
          </w:tcPr>
          <w:p w14:paraId="6BB0CAB2" w14:textId="77777777" w:rsidR="004C2EEB" w:rsidRPr="00870330" w:rsidRDefault="004C2EEB" w:rsidP="00A05921">
            <w:pPr>
              <w:spacing w:after="0"/>
              <w:jc w:val="right"/>
              <w:rPr>
                <w:rFonts w:asciiTheme="minorHAnsi" w:hAnsiTheme="minorHAnsi" w:cstheme="minorHAnsi"/>
                <w:b/>
                <w:color w:val="0D0D0D" w:themeColor="text1" w:themeTint="F2"/>
              </w:rPr>
            </w:pPr>
            <w:r w:rsidRPr="00870330">
              <w:rPr>
                <w:rFonts w:asciiTheme="minorHAnsi" w:hAnsiTheme="minorHAnsi" w:cstheme="minorHAnsi"/>
                <w:b/>
                <w:color w:val="0D0D0D" w:themeColor="text1" w:themeTint="F2"/>
              </w:rPr>
              <w:t>GDP</w:t>
            </w:r>
          </w:p>
        </w:tc>
        <w:tc>
          <w:tcPr>
            <w:tcW w:w="1382" w:type="dxa"/>
            <w:tcBorders>
              <w:top w:val="single" w:sz="4" w:space="0" w:color="auto"/>
              <w:bottom w:val="single" w:sz="4" w:space="0" w:color="auto"/>
            </w:tcBorders>
            <w:shd w:val="clear" w:color="auto" w:fill="auto"/>
            <w:vAlign w:val="bottom"/>
          </w:tcPr>
          <w:p w14:paraId="785D0E44" w14:textId="77777777" w:rsidR="004C2EEB" w:rsidRPr="00870330" w:rsidRDefault="004C2EEB" w:rsidP="00A05921">
            <w:pPr>
              <w:spacing w:after="0"/>
              <w:jc w:val="right"/>
              <w:rPr>
                <w:rFonts w:asciiTheme="minorHAnsi" w:hAnsiTheme="minorHAnsi" w:cstheme="minorHAnsi"/>
                <w:b/>
                <w:color w:val="0D0D0D" w:themeColor="text1" w:themeTint="F2"/>
              </w:rPr>
            </w:pPr>
            <w:r w:rsidRPr="00870330">
              <w:rPr>
                <w:rFonts w:asciiTheme="minorHAnsi" w:hAnsiTheme="minorHAnsi" w:cstheme="minorHAnsi"/>
                <w:b/>
                <w:color w:val="0D0D0D" w:themeColor="text1" w:themeTint="F2"/>
              </w:rPr>
              <w:t>TOP</w:t>
            </w:r>
          </w:p>
        </w:tc>
        <w:tc>
          <w:tcPr>
            <w:tcW w:w="1629" w:type="dxa"/>
            <w:tcBorders>
              <w:top w:val="single" w:sz="4" w:space="0" w:color="auto"/>
              <w:bottom w:val="single" w:sz="4" w:space="0" w:color="auto"/>
            </w:tcBorders>
            <w:shd w:val="clear" w:color="auto" w:fill="auto"/>
            <w:vAlign w:val="bottom"/>
          </w:tcPr>
          <w:p w14:paraId="24F92D6F" w14:textId="77777777" w:rsidR="004C2EEB" w:rsidRPr="00870330" w:rsidRDefault="004C2EEB" w:rsidP="00A05921">
            <w:pPr>
              <w:spacing w:after="0"/>
              <w:jc w:val="right"/>
              <w:rPr>
                <w:rFonts w:asciiTheme="minorHAnsi" w:hAnsiTheme="minorHAnsi" w:cstheme="minorHAnsi"/>
                <w:b/>
                <w:color w:val="0D0D0D" w:themeColor="text1" w:themeTint="F2"/>
              </w:rPr>
            </w:pPr>
            <w:r w:rsidRPr="00870330">
              <w:rPr>
                <w:rFonts w:asciiTheme="minorHAnsi" w:hAnsiTheme="minorHAnsi" w:cstheme="minorHAnsi"/>
                <w:b/>
                <w:color w:val="0D0D0D" w:themeColor="text1" w:themeTint="F2"/>
              </w:rPr>
              <w:t>ARABLE</w:t>
            </w:r>
          </w:p>
        </w:tc>
        <w:tc>
          <w:tcPr>
            <w:tcW w:w="1226" w:type="dxa"/>
            <w:tcBorders>
              <w:top w:val="single" w:sz="4" w:space="0" w:color="auto"/>
              <w:bottom w:val="single" w:sz="4" w:space="0" w:color="auto"/>
            </w:tcBorders>
            <w:shd w:val="clear" w:color="auto" w:fill="auto"/>
            <w:vAlign w:val="bottom"/>
          </w:tcPr>
          <w:p w14:paraId="0650B001" w14:textId="77777777" w:rsidR="004C2EEB" w:rsidRPr="00870330" w:rsidRDefault="004C2EEB" w:rsidP="00A05921">
            <w:pPr>
              <w:spacing w:after="0"/>
              <w:jc w:val="right"/>
              <w:rPr>
                <w:rFonts w:asciiTheme="minorHAnsi" w:hAnsiTheme="minorHAnsi" w:cstheme="minorHAnsi"/>
                <w:b/>
                <w:color w:val="0D0D0D" w:themeColor="text1" w:themeTint="F2"/>
              </w:rPr>
            </w:pPr>
            <w:r w:rsidRPr="00870330">
              <w:rPr>
                <w:rFonts w:asciiTheme="minorHAnsi" w:hAnsiTheme="minorHAnsi" w:cstheme="minorHAnsi"/>
                <w:b/>
                <w:color w:val="0D0D0D" w:themeColor="text1" w:themeTint="F2"/>
              </w:rPr>
              <w:t>POPG</w:t>
            </w:r>
          </w:p>
        </w:tc>
        <w:tc>
          <w:tcPr>
            <w:tcW w:w="1224" w:type="dxa"/>
            <w:tcBorders>
              <w:top w:val="single" w:sz="4" w:space="0" w:color="auto"/>
              <w:bottom w:val="single" w:sz="4" w:space="0" w:color="auto"/>
            </w:tcBorders>
            <w:shd w:val="clear" w:color="auto" w:fill="auto"/>
            <w:vAlign w:val="bottom"/>
          </w:tcPr>
          <w:p w14:paraId="607CBE13" w14:textId="77777777" w:rsidR="004C2EEB" w:rsidRPr="00870330" w:rsidRDefault="004C2EEB" w:rsidP="00A05921">
            <w:pPr>
              <w:spacing w:after="0"/>
              <w:jc w:val="right"/>
              <w:rPr>
                <w:rFonts w:asciiTheme="minorHAnsi" w:hAnsiTheme="minorHAnsi" w:cstheme="minorHAnsi"/>
                <w:b/>
                <w:color w:val="0D0D0D" w:themeColor="text1" w:themeTint="F2"/>
              </w:rPr>
            </w:pPr>
            <w:r w:rsidRPr="00870330">
              <w:rPr>
                <w:rFonts w:asciiTheme="minorHAnsi" w:hAnsiTheme="minorHAnsi" w:cstheme="minorHAnsi"/>
                <w:b/>
                <w:color w:val="0D0D0D" w:themeColor="text1" w:themeTint="F2"/>
              </w:rPr>
              <w:t>COR</w:t>
            </w:r>
          </w:p>
        </w:tc>
      </w:tr>
      <w:tr w:rsidR="00A05921" w:rsidRPr="00870330" w14:paraId="51952404" w14:textId="77777777" w:rsidTr="00E20874">
        <w:tc>
          <w:tcPr>
            <w:tcW w:w="1354" w:type="dxa"/>
            <w:tcBorders>
              <w:top w:val="single" w:sz="4" w:space="0" w:color="auto"/>
            </w:tcBorders>
            <w:shd w:val="clear" w:color="auto" w:fill="auto"/>
            <w:vAlign w:val="bottom"/>
          </w:tcPr>
          <w:p w14:paraId="620CD0D9"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Mean</w:t>
            </w:r>
          </w:p>
        </w:tc>
        <w:tc>
          <w:tcPr>
            <w:tcW w:w="977" w:type="dxa"/>
            <w:tcBorders>
              <w:top w:val="single" w:sz="4" w:space="0" w:color="auto"/>
            </w:tcBorders>
            <w:shd w:val="clear" w:color="auto" w:fill="auto"/>
            <w:vAlign w:val="bottom"/>
          </w:tcPr>
          <w:p w14:paraId="20B4F4F8"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0.248</w:t>
            </w:r>
          </w:p>
        </w:tc>
        <w:tc>
          <w:tcPr>
            <w:tcW w:w="1234" w:type="dxa"/>
            <w:tcBorders>
              <w:top w:val="single" w:sz="4" w:space="0" w:color="auto"/>
            </w:tcBorders>
            <w:shd w:val="clear" w:color="auto" w:fill="auto"/>
            <w:vAlign w:val="bottom"/>
          </w:tcPr>
          <w:p w14:paraId="5926834B"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7.874</w:t>
            </w:r>
          </w:p>
        </w:tc>
        <w:tc>
          <w:tcPr>
            <w:tcW w:w="1382" w:type="dxa"/>
            <w:tcBorders>
              <w:top w:val="single" w:sz="4" w:space="0" w:color="auto"/>
            </w:tcBorders>
            <w:shd w:val="clear" w:color="auto" w:fill="auto"/>
            <w:vAlign w:val="bottom"/>
          </w:tcPr>
          <w:p w14:paraId="3587ACBD"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1.009</w:t>
            </w:r>
          </w:p>
        </w:tc>
        <w:tc>
          <w:tcPr>
            <w:tcW w:w="1629" w:type="dxa"/>
            <w:tcBorders>
              <w:top w:val="single" w:sz="4" w:space="0" w:color="auto"/>
            </w:tcBorders>
            <w:shd w:val="clear" w:color="auto" w:fill="auto"/>
            <w:vAlign w:val="bottom"/>
          </w:tcPr>
          <w:p w14:paraId="30FA95FE"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14.175</w:t>
            </w:r>
          </w:p>
        </w:tc>
        <w:tc>
          <w:tcPr>
            <w:tcW w:w="1226" w:type="dxa"/>
            <w:tcBorders>
              <w:top w:val="single" w:sz="4" w:space="0" w:color="auto"/>
            </w:tcBorders>
            <w:shd w:val="clear" w:color="auto" w:fill="auto"/>
            <w:vAlign w:val="bottom"/>
          </w:tcPr>
          <w:p w14:paraId="1859081E"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1.414</w:t>
            </w:r>
          </w:p>
        </w:tc>
        <w:tc>
          <w:tcPr>
            <w:tcW w:w="1224" w:type="dxa"/>
            <w:tcBorders>
              <w:top w:val="single" w:sz="4" w:space="0" w:color="auto"/>
            </w:tcBorders>
            <w:shd w:val="clear" w:color="auto" w:fill="auto"/>
            <w:vAlign w:val="bottom"/>
          </w:tcPr>
          <w:p w14:paraId="2A992E62"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-0.541</w:t>
            </w:r>
          </w:p>
        </w:tc>
      </w:tr>
      <w:tr w:rsidR="00A05921" w:rsidRPr="00870330" w14:paraId="2029273A" w14:textId="77777777" w:rsidTr="00E20874">
        <w:tc>
          <w:tcPr>
            <w:tcW w:w="1354" w:type="dxa"/>
            <w:shd w:val="clear" w:color="auto" w:fill="auto"/>
            <w:vAlign w:val="bottom"/>
          </w:tcPr>
          <w:p w14:paraId="6193930E"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Median</w:t>
            </w:r>
          </w:p>
        </w:tc>
        <w:tc>
          <w:tcPr>
            <w:tcW w:w="977" w:type="dxa"/>
            <w:shd w:val="clear" w:color="auto" w:fill="auto"/>
            <w:vAlign w:val="bottom"/>
          </w:tcPr>
          <w:p w14:paraId="757D659C"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0.239</w:t>
            </w:r>
          </w:p>
        </w:tc>
        <w:tc>
          <w:tcPr>
            <w:tcW w:w="1234" w:type="dxa"/>
            <w:shd w:val="clear" w:color="auto" w:fill="auto"/>
            <w:vAlign w:val="bottom"/>
          </w:tcPr>
          <w:p w14:paraId="66B01698"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7.659</w:t>
            </w:r>
          </w:p>
        </w:tc>
        <w:tc>
          <w:tcPr>
            <w:tcW w:w="1382" w:type="dxa"/>
            <w:shd w:val="clear" w:color="auto" w:fill="auto"/>
            <w:vAlign w:val="bottom"/>
          </w:tcPr>
          <w:p w14:paraId="0C5FA80D"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0.969</w:t>
            </w:r>
          </w:p>
        </w:tc>
        <w:tc>
          <w:tcPr>
            <w:tcW w:w="1629" w:type="dxa"/>
            <w:shd w:val="clear" w:color="auto" w:fill="auto"/>
            <w:vAlign w:val="bottom"/>
          </w:tcPr>
          <w:p w14:paraId="4CBEC49A"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16.185</w:t>
            </w:r>
          </w:p>
        </w:tc>
        <w:tc>
          <w:tcPr>
            <w:tcW w:w="1226" w:type="dxa"/>
            <w:shd w:val="clear" w:color="auto" w:fill="auto"/>
            <w:vAlign w:val="bottom"/>
          </w:tcPr>
          <w:p w14:paraId="4D892588"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1.380</w:t>
            </w:r>
          </w:p>
        </w:tc>
        <w:tc>
          <w:tcPr>
            <w:tcW w:w="1224" w:type="dxa"/>
            <w:shd w:val="clear" w:color="auto" w:fill="auto"/>
            <w:vAlign w:val="bottom"/>
          </w:tcPr>
          <w:p w14:paraId="2171A73A"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-0.570</w:t>
            </w:r>
          </w:p>
        </w:tc>
      </w:tr>
      <w:tr w:rsidR="00A05921" w:rsidRPr="00870330" w14:paraId="2CE60DAE" w14:textId="77777777" w:rsidTr="00E20874">
        <w:tc>
          <w:tcPr>
            <w:tcW w:w="1354" w:type="dxa"/>
            <w:shd w:val="clear" w:color="auto" w:fill="auto"/>
            <w:vAlign w:val="bottom"/>
          </w:tcPr>
          <w:p w14:paraId="65D296AA"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Max.</w:t>
            </w:r>
          </w:p>
        </w:tc>
        <w:tc>
          <w:tcPr>
            <w:tcW w:w="977" w:type="dxa"/>
            <w:shd w:val="clear" w:color="auto" w:fill="auto"/>
            <w:vAlign w:val="bottom"/>
          </w:tcPr>
          <w:p w14:paraId="5AEAD33E"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3.790</w:t>
            </w:r>
          </w:p>
        </w:tc>
        <w:tc>
          <w:tcPr>
            <w:tcW w:w="1234" w:type="dxa"/>
            <w:shd w:val="clear" w:color="auto" w:fill="auto"/>
            <w:vAlign w:val="bottom"/>
          </w:tcPr>
          <w:p w14:paraId="7DB6E968"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10.488</w:t>
            </w:r>
          </w:p>
        </w:tc>
        <w:tc>
          <w:tcPr>
            <w:tcW w:w="1382" w:type="dxa"/>
            <w:shd w:val="clear" w:color="auto" w:fill="auto"/>
            <w:vAlign w:val="bottom"/>
          </w:tcPr>
          <w:p w14:paraId="6D252C98"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2.204</w:t>
            </w:r>
          </w:p>
        </w:tc>
        <w:tc>
          <w:tcPr>
            <w:tcW w:w="1629" w:type="dxa"/>
            <w:shd w:val="clear" w:color="auto" w:fill="auto"/>
            <w:vAlign w:val="bottom"/>
          </w:tcPr>
          <w:p w14:paraId="462CC020"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32.903</w:t>
            </w:r>
          </w:p>
        </w:tc>
        <w:tc>
          <w:tcPr>
            <w:tcW w:w="1226" w:type="dxa"/>
            <w:shd w:val="clear" w:color="auto" w:fill="auto"/>
            <w:vAlign w:val="bottom"/>
          </w:tcPr>
          <w:p w14:paraId="3DD35DAC"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3.020</w:t>
            </w:r>
          </w:p>
        </w:tc>
        <w:tc>
          <w:tcPr>
            <w:tcW w:w="1224" w:type="dxa"/>
            <w:shd w:val="clear" w:color="auto" w:fill="auto"/>
            <w:vAlign w:val="bottom"/>
          </w:tcPr>
          <w:p w14:paraId="70BD6559"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0.990</w:t>
            </w:r>
          </w:p>
        </w:tc>
      </w:tr>
      <w:tr w:rsidR="00A05921" w:rsidRPr="00870330" w14:paraId="0F8361EF" w14:textId="77777777" w:rsidTr="00E20874">
        <w:tc>
          <w:tcPr>
            <w:tcW w:w="1354" w:type="dxa"/>
            <w:shd w:val="clear" w:color="auto" w:fill="auto"/>
            <w:vAlign w:val="bottom"/>
          </w:tcPr>
          <w:p w14:paraId="10A799EA"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Min.</w:t>
            </w:r>
          </w:p>
        </w:tc>
        <w:tc>
          <w:tcPr>
            <w:tcW w:w="977" w:type="dxa"/>
            <w:shd w:val="clear" w:color="auto" w:fill="auto"/>
            <w:vAlign w:val="bottom"/>
          </w:tcPr>
          <w:p w14:paraId="08C86759"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-6.822</w:t>
            </w:r>
          </w:p>
        </w:tc>
        <w:tc>
          <w:tcPr>
            <w:tcW w:w="1234" w:type="dxa"/>
            <w:shd w:val="clear" w:color="auto" w:fill="auto"/>
            <w:vAlign w:val="bottom"/>
          </w:tcPr>
          <w:p w14:paraId="0B3183CC"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5.473</w:t>
            </w:r>
          </w:p>
        </w:tc>
        <w:tc>
          <w:tcPr>
            <w:tcW w:w="1382" w:type="dxa"/>
            <w:shd w:val="clear" w:color="auto" w:fill="auto"/>
            <w:vAlign w:val="bottom"/>
          </w:tcPr>
          <w:p w14:paraId="0599E103"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0.119</w:t>
            </w:r>
          </w:p>
        </w:tc>
        <w:tc>
          <w:tcPr>
            <w:tcW w:w="1629" w:type="dxa"/>
            <w:shd w:val="clear" w:color="auto" w:fill="auto"/>
            <w:vAlign w:val="bottom"/>
          </w:tcPr>
          <w:p w14:paraId="7B59D088"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0.380</w:t>
            </w:r>
          </w:p>
        </w:tc>
        <w:tc>
          <w:tcPr>
            <w:tcW w:w="1226" w:type="dxa"/>
            <w:shd w:val="clear" w:color="auto" w:fill="auto"/>
            <w:vAlign w:val="bottom"/>
          </w:tcPr>
          <w:p w14:paraId="3FA1E432"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0.315</w:t>
            </w:r>
          </w:p>
        </w:tc>
        <w:tc>
          <w:tcPr>
            <w:tcW w:w="1224" w:type="dxa"/>
            <w:shd w:val="clear" w:color="auto" w:fill="auto"/>
            <w:vAlign w:val="bottom"/>
          </w:tcPr>
          <w:p w14:paraId="40BC367E"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-1.670</w:t>
            </w:r>
          </w:p>
        </w:tc>
      </w:tr>
      <w:tr w:rsidR="00A05921" w:rsidRPr="00870330" w14:paraId="3E1F3BCC" w14:textId="77777777" w:rsidTr="00E20874">
        <w:tc>
          <w:tcPr>
            <w:tcW w:w="1354" w:type="dxa"/>
            <w:shd w:val="clear" w:color="auto" w:fill="auto"/>
            <w:vAlign w:val="bottom"/>
          </w:tcPr>
          <w:p w14:paraId="3E50BF5A"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Std. Dev.</w:t>
            </w:r>
          </w:p>
        </w:tc>
        <w:tc>
          <w:tcPr>
            <w:tcW w:w="977" w:type="dxa"/>
            <w:shd w:val="clear" w:color="auto" w:fill="auto"/>
            <w:vAlign w:val="bottom"/>
          </w:tcPr>
          <w:p w14:paraId="3AC9BC02"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1.057</w:t>
            </w:r>
          </w:p>
        </w:tc>
        <w:tc>
          <w:tcPr>
            <w:tcW w:w="1234" w:type="dxa"/>
            <w:shd w:val="clear" w:color="auto" w:fill="auto"/>
            <w:vAlign w:val="bottom"/>
          </w:tcPr>
          <w:p w14:paraId="683E6A2C"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1.225</w:t>
            </w:r>
          </w:p>
        </w:tc>
        <w:tc>
          <w:tcPr>
            <w:tcW w:w="1382" w:type="dxa"/>
            <w:shd w:val="clear" w:color="auto" w:fill="auto"/>
            <w:vAlign w:val="bottom"/>
          </w:tcPr>
          <w:p w14:paraId="3D7C04D5"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0.446</w:t>
            </w:r>
          </w:p>
        </w:tc>
        <w:tc>
          <w:tcPr>
            <w:tcW w:w="1629" w:type="dxa"/>
            <w:shd w:val="clear" w:color="auto" w:fill="auto"/>
            <w:vAlign w:val="bottom"/>
          </w:tcPr>
          <w:p w14:paraId="59D239F7"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9.472</w:t>
            </w:r>
          </w:p>
        </w:tc>
        <w:tc>
          <w:tcPr>
            <w:tcW w:w="1226" w:type="dxa"/>
            <w:shd w:val="clear" w:color="auto" w:fill="auto"/>
            <w:vAlign w:val="bottom"/>
          </w:tcPr>
          <w:p w14:paraId="7106A9B8"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0.526</w:t>
            </w:r>
          </w:p>
        </w:tc>
        <w:tc>
          <w:tcPr>
            <w:tcW w:w="1224" w:type="dxa"/>
            <w:shd w:val="clear" w:color="auto" w:fill="auto"/>
            <w:vAlign w:val="bottom"/>
          </w:tcPr>
          <w:p w14:paraId="27A9F4C0"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0.609</w:t>
            </w:r>
          </w:p>
        </w:tc>
      </w:tr>
      <w:tr w:rsidR="00A05921" w:rsidRPr="00870330" w14:paraId="46C9A39E" w14:textId="77777777" w:rsidTr="00E20874">
        <w:tc>
          <w:tcPr>
            <w:tcW w:w="1354" w:type="dxa"/>
            <w:shd w:val="clear" w:color="auto" w:fill="auto"/>
            <w:vAlign w:val="bottom"/>
          </w:tcPr>
          <w:p w14:paraId="4F45D6FA" w14:textId="77777777" w:rsidR="004C2EEB" w:rsidRPr="00870330" w:rsidRDefault="004C2EEB" w:rsidP="00A05921">
            <w:pPr>
              <w:spacing w:after="0"/>
              <w:rPr>
                <w:rFonts w:asciiTheme="minorHAnsi" w:hAnsiTheme="minorHAnsi" w:cstheme="minorHAnsi"/>
                <w:color w:val="0D0D0D" w:themeColor="text1" w:themeTint="F2"/>
              </w:rPr>
            </w:pPr>
            <w:proofErr w:type="spellStart"/>
            <w:r w:rsidRPr="00870330">
              <w:rPr>
                <w:rFonts w:asciiTheme="minorHAnsi" w:hAnsiTheme="minorHAnsi" w:cstheme="minorHAnsi"/>
                <w:color w:val="0D0D0D" w:themeColor="text1" w:themeTint="F2"/>
              </w:rPr>
              <w:t>Skewness</w:t>
            </w:r>
            <w:proofErr w:type="spellEnd"/>
          </w:p>
        </w:tc>
        <w:tc>
          <w:tcPr>
            <w:tcW w:w="977" w:type="dxa"/>
            <w:shd w:val="clear" w:color="auto" w:fill="auto"/>
            <w:vAlign w:val="bottom"/>
          </w:tcPr>
          <w:p w14:paraId="455514CE"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-0.994</w:t>
            </w:r>
          </w:p>
        </w:tc>
        <w:tc>
          <w:tcPr>
            <w:tcW w:w="1234" w:type="dxa"/>
            <w:shd w:val="clear" w:color="auto" w:fill="auto"/>
            <w:vAlign w:val="bottom"/>
          </w:tcPr>
          <w:p w14:paraId="6C0BF076"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0.604</w:t>
            </w:r>
          </w:p>
        </w:tc>
        <w:tc>
          <w:tcPr>
            <w:tcW w:w="1382" w:type="dxa"/>
            <w:shd w:val="clear" w:color="auto" w:fill="auto"/>
            <w:vAlign w:val="bottom"/>
          </w:tcPr>
          <w:p w14:paraId="2114BF9A"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0.603</w:t>
            </w:r>
          </w:p>
        </w:tc>
        <w:tc>
          <w:tcPr>
            <w:tcW w:w="1629" w:type="dxa"/>
            <w:shd w:val="clear" w:color="auto" w:fill="auto"/>
            <w:vAlign w:val="bottom"/>
          </w:tcPr>
          <w:p w14:paraId="34073D9B"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0.132</w:t>
            </w:r>
          </w:p>
        </w:tc>
        <w:tc>
          <w:tcPr>
            <w:tcW w:w="1226" w:type="dxa"/>
            <w:shd w:val="clear" w:color="auto" w:fill="auto"/>
            <w:vAlign w:val="bottom"/>
          </w:tcPr>
          <w:p w14:paraId="14D321CD"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0.265</w:t>
            </w:r>
          </w:p>
        </w:tc>
        <w:tc>
          <w:tcPr>
            <w:tcW w:w="1224" w:type="dxa"/>
            <w:shd w:val="clear" w:color="auto" w:fill="auto"/>
            <w:vAlign w:val="bottom"/>
          </w:tcPr>
          <w:p w14:paraId="02C47BAF"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0.360</w:t>
            </w:r>
          </w:p>
        </w:tc>
      </w:tr>
      <w:tr w:rsidR="00A05921" w:rsidRPr="00870330" w14:paraId="188EF99A" w14:textId="77777777" w:rsidTr="00E20874">
        <w:tc>
          <w:tcPr>
            <w:tcW w:w="1354" w:type="dxa"/>
            <w:shd w:val="clear" w:color="auto" w:fill="auto"/>
            <w:vAlign w:val="bottom"/>
          </w:tcPr>
          <w:p w14:paraId="4096C356"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Kurtosis</w:t>
            </w:r>
          </w:p>
        </w:tc>
        <w:tc>
          <w:tcPr>
            <w:tcW w:w="977" w:type="dxa"/>
            <w:shd w:val="clear" w:color="auto" w:fill="auto"/>
            <w:vAlign w:val="bottom"/>
          </w:tcPr>
          <w:p w14:paraId="72D08A0A"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13.639</w:t>
            </w:r>
          </w:p>
        </w:tc>
        <w:tc>
          <w:tcPr>
            <w:tcW w:w="1234" w:type="dxa"/>
            <w:shd w:val="clear" w:color="auto" w:fill="auto"/>
            <w:vAlign w:val="bottom"/>
          </w:tcPr>
          <w:p w14:paraId="454C8CA1"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2.901</w:t>
            </w:r>
          </w:p>
        </w:tc>
        <w:tc>
          <w:tcPr>
            <w:tcW w:w="1382" w:type="dxa"/>
            <w:shd w:val="clear" w:color="auto" w:fill="auto"/>
            <w:vAlign w:val="bottom"/>
          </w:tcPr>
          <w:p w14:paraId="24BBE504"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2.922</w:t>
            </w:r>
          </w:p>
        </w:tc>
        <w:tc>
          <w:tcPr>
            <w:tcW w:w="1629" w:type="dxa"/>
            <w:shd w:val="clear" w:color="auto" w:fill="auto"/>
            <w:vAlign w:val="bottom"/>
          </w:tcPr>
          <w:p w14:paraId="574D8CD7"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2.102</w:t>
            </w:r>
          </w:p>
        </w:tc>
        <w:tc>
          <w:tcPr>
            <w:tcW w:w="1226" w:type="dxa"/>
            <w:shd w:val="clear" w:color="auto" w:fill="auto"/>
            <w:vAlign w:val="bottom"/>
          </w:tcPr>
          <w:p w14:paraId="5520EB65"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2.972</w:t>
            </w:r>
          </w:p>
        </w:tc>
        <w:tc>
          <w:tcPr>
            <w:tcW w:w="1224" w:type="dxa"/>
            <w:shd w:val="clear" w:color="auto" w:fill="auto"/>
            <w:vAlign w:val="bottom"/>
          </w:tcPr>
          <w:p w14:paraId="6AF372FB"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2.419</w:t>
            </w:r>
          </w:p>
        </w:tc>
      </w:tr>
      <w:tr w:rsidR="00A05921" w:rsidRPr="00870330" w14:paraId="64EF73CF" w14:textId="77777777" w:rsidTr="00E20874">
        <w:tc>
          <w:tcPr>
            <w:tcW w:w="1354" w:type="dxa"/>
            <w:shd w:val="clear" w:color="auto" w:fill="auto"/>
            <w:vAlign w:val="bottom"/>
          </w:tcPr>
          <w:p w14:paraId="400A4A82"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P (J-B)</w:t>
            </w:r>
          </w:p>
        </w:tc>
        <w:tc>
          <w:tcPr>
            <w:tcW w:w="977" w:type="dxa"/>
            <w:shd w:val="clear" w:color="auto" w:fill="auto"/>
            <w:vAlign w:val="bottom"/>
          </w:tcPr>
          <w:p w14:paraId="65D93497"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c>
          <w:tcPr>
            <w:tcW w:w="1234" w:type="dxa"/>
            <w:shd w:val="clear" w:color="auto" w:fill="auto"/>
            <w:vAlign w:val="bottom"/>
          </w:tcPr>
          <w:p w14:paraId="58C37D1D"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0.002</w:t>
            </w:r>
          </w:p>
        </w:tc>
        <w:tc>
          <w:tcPr>
            <w:tcW w:w="1382" w:type="dxa"/>
            <w:shd w:val="clear" w:color="auto" w:fill="auto"/>
            <w:vAlign w:val="bottom"/>
          </w:tcPr>
          <w:p w14:paraId="5EA3AFD4"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0.002</w:t>
            </w:r>
          </w:p>
        </w:tc>
        <w:tc>
          <w:tcPr>
            <w:tcW w:w="1629" w:type="dxa"/>
            <w:shd w:val="clear" w:color="auto" w:fill="auto"/>
            <w:vAlign w:val="bottom"/>
          </w:tcPr>
          <w:p w14:paraId="489D403E"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0.023</w:t>
            </w:r>
          </w:p>
        </w:tc>
        <w:tc>
          <w:tcPr>
            <w:tcW w:w="1226" w:type="dxa"/>
            <w:shd w:val="clear" w:color="auto" w:fill="auto"/>
            <w:vAlign w:val="bottom"/>
          </w:tcPr>
          <w:p w14:paraId="53B65766"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0.298</w:t>
            </w:r>
          </w:p>
        </w:tc>
        <w:tc>
          <w:tcPr>
            <w:tcW w:w="1224" w:type="dxa"/>
            <w:shd w:val="clear" w:color="auto" w:fill="auto"/>
            <w:vAlign w:val="bottom"/>
          </w:tcPr>
          <w:p w14:paraId="1543CBD5"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0.025</w:t>
            </w:r>
          </w:p>
        </w:tc>
      </w:tr>
      <w:tr w:rsidR="00A05921" w:rsidRPr="00870330" w14:paraId="683B95EB" w14:textId="77777777" w:rsidTr="00E20874">
        <w:tc>
          <w:tcPr>
            <w:tcW w:w="1354" w:type="dxa"/>
            <w:tcBorders>
              <w:bottom w:val="single" w:sz="4" w:space="0" w:color="auto"/>
            </w:tcBorders>
            <w:shd w:val="clear" w:color="auto" w:fill="auto"/>
            <w:vAlign w:val="bottom"/>
          </w:tcPr>
          <w:p w14:paraId="513AA656"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N</w:t>
            </w:r>
          </w:p>
        </w:tc>
        <w:tc>
          <w:tcPr>
            <w:tcW w:w="977" w:type="dxa"/>
            <w:tcBorders>
              <w:bottom w:val="single" w:sz="4" w:space="0" w:color="auto"/>
            </w:tcBorders>
            <w:shd w:val="clear" w:color="auto" w:fill="auto"/>
            <w:vAlign w:val="bottom"/>
          </w:tcPr>
          <w:p w14:paraId="520C1EC9"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207</w:t>
            </w:r>
          </w:p>
        </w:tc>
        <w:tc>
          <w:tcPr>
            <w:tcW w:w="1234" w:type="dxa"/>
            <w:tcBorders>
              <w:bottom w:val="single" w:sz="4" w:space="0" w:color="auto"/>
            </w:tcBorders>
            <w:shd w:val="clear" w:color="auto" w:fill="auto"/>
            <w:vAlign w:val="bottom"/>
          </w:tcPr>
          <w:p w14:paraId="3605F44A"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207</w:t>
            </w:r>
          </w:p>
        </w:tc>
        <w:tc>
          <w:tcPr>
            <w:tcW w:w="1382" w:type="dxa"/>
            <w:tcBorders>
              <w:bottom w:val="single" w:sz="4" w:space="0" w:color="auto"/>
            </w:tcBorders>
            <w:shd w:val="clear" w:color="auto" w:fill="auto"/>
            <w:vAlign w:val="bottom"/>
          </w:tcPr>
          <w:p w14:paraId="1D798A9C"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207</w:t>
            </w:r>
          </w:p>
        </w:tc>
        <w:tc>
          <w:tcPr>
            <w:tcW w:w="1629" w:type="dxa"/>
            <w:tcBorders>
              <w:bottom w:val="single" w:sz="4" w:space="0" w:color="auto"/>
            </w:tcBorders>
            <w:shd w:val="clear" w:color="auto" w:fill="auto"/>
            <w:vAlign w:val="bottom"/>
          </w:tcPr>
          <w:p w14:paraId="5AC74056"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207</w:t>
            </w:r>
          </w:p>
        </w:tc>
        <w:tc>
          <w:tcPr>
            <w:tcW w:w="1226" w:type="dxa"/>
            <w:tcBorders>
              <w:bottom w:val="single" w:sz="4" w:space="0" w:color="auto"/>
            </w:tcBorders>
            <w:shd w:val="clear" w:color="auto" w:fill="auto"/>
            <w:vAlign w:val="bottom"/>
          </w:tcPr>
          <w:p w14:paraId="28FC0FE4"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207</w:t>
            </w:r>
          </w:p>
        </w:tc>
        <w:tc>
          <w:tcPr>
            <w:tcW w:w="1224" w:type="dxa"/>
            <w:tcBorders>
              <w:bottom w:val="single" w:sz="4" w:space="0" w:color="auto"/>
            </w:tcBorders>
            <w:shd w:val="clear" w:color="auto" w:fill="auto"/>
            <w:vAlign w:val="bottom"/>
          </w:tcPr>
          <w:p w14:paraId="68FA5FD6"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207</w:t>
            </w:r>
          </w:p>
        </w:tc>
      </w:tr>
    </w:tbl>
    <w:p w14:paraId="1DB48976" w14:textId="77777777" w:rsidR="004C2EEB" w:rsidRPr="00870330" w:rsidRDefault="004C2EEB" w:rsidP="004C2EEB">
      <w:pPr>
        <w:pStyle w:val="NormalafterHeading"/>
        <w:spacing w:line="259" w:lineRule="auto"/>
        <w:rPr>
          <w:rFonts w:asciiTheme="minorHAnsi" w:hAnsiTheme="minorHAnsi" w:cstheme="minorHAnsi"/>
          <w:b/>
          <w:color w:val="0D0D0D" w:themeColor="text1" w:themeTint="F2"/>
          <w:lang w:val="en-US"/>
        </w:rPr>
      </w:pPr>
    </w:p>
    <w:p w14:paraId="320A46F7" w14:textId="77777777" w:rsidR="004C2EEB" w:rsidRPr="00870330" w:rsidRDefault="004C2EEB" w:rsidP="004C2EEB">
      <w:pPr>
        <w:pStyle w:val="NormalafterHeading"/>
        <w:spacing w:line="259" w:lineRule="auto"/>
        <w:rPr>
          <w:rFonts w:asciiTheme="minorHAnsi" w:hAnsiTheme="minorHAnsi" w:cstheme="minorHAnsi"/>
          <w:b/>
          <w:color w:val="0D0D0D" w:themeColor="text1" w:themeTint="F2"/>
          <w:lang w:val="en-US"/>
        </w:rPr>
      </w:pPr>
      <w:r w:rsidRPr="00870330">
        <w:rPr>
          <w:rFonts w:asciiTheme="minorHAnsi" w:hAnsiTheme="minorHAnsi" w:cstheme="minorHAnsi"/>
          <w:b/>
          <w:color w:val="0D0D0D" w:themeColor="text1" w:themeTint="F2"/>
          <w:lang w:val="en-US"/>
        </w:rPr>
        <w:t>Unit Root Test Result</w:t>
      </w:r>
    </w:p>
    <w:p w14:paraId="4F513611" w14:textId="4116E7D7" w:rsidR="004C2EEB" w:rsidRPr="00870330" w:rsidRDefault="004A06B5" w:rsidP="00113308">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Table 3 reveal</w:t>
      </w:r>
      <w:r w:rsidR="00860891" w:rsidRPr="00870330">
        <w:rPr>
          <w:rFonts w:asciiTheme="minorHAnsi" w:hAnsiTheme="minorHAnsi" w:cstheme="minorHAnsi"/>
          <w:color w:val="0D0D0D" w:themeColor="text1" w:themeTint="F2"/>
          <w:lang w:eastAsia="id-ID"/>
        </w:rPr>
        <w:t xml:space="preserve">s the </w:t>
      </w:r>
      <w:r w:rsidR="00101EFE" w:rsidRPr="00870330">
        <w:rPr>
          <w:rFonts w:asciiTheme="minorHAnsi" w:hAnsiTheme="minorHAnsi" w:cstheme="minorHAnsi"/>
          <w:color w:val="0D0D0D" w:themeColor="text1" w:themeTint="F2"/>
          <w:lang w:eastAsia="id-ID"/>
        </w:rPr>
        <w:t>outcome</w:t>
      </w:r>
      <w:r w:rsidR="00860891" w:rsidRPr="00870330">
        <w:rPr>
          <w:rFonts w:asciiTheme="minorHAnsi" w:hAnsiTheme="minorHAnsi" w:cstheme="minorHAnsi"/>
          <w:color w:val="0D0D0D" w:themeColor="text1" w:themeTint="F2"/>
          <w:lang w:eastAsia="id-ID"/>
        </w:rPr>
        <w:t xml:space="preserve">s of the LLC and </w:t>
      </w:r>
      <w:r w:rsidR="004C2EEB" w:rsidRPr="00870330">
        <w:rPr>
          <w:rFonts w:asciiTheme="minorHAnsi" w:hAnsiTheme="minorHAnsi" w:cstheme="minorHAnsi"/>
          <w:color w:val="0D0D0D" w:themeColor="text1" w:themeTint="F2"/>
          <w:lang w:eastAsia="id-ID"/>
        </w:rPr>
        <w:t>IPS unit root tests. A number of variables were found to be non-stationary at the level</w:t>
      </w:r>
      <w:r w:rsidR="006B21EB">
        <w:rPr>
          <w:rFonts w:asciiTheme="minorHAnsi" w:hAnsiTheme="minorHAnsi" w:cstheme="minorHAnsi"/>
          <w:color w:val="0D0D0D" w:themeColor="text1" w:themeTint="F2"/>
          <w:lang w:eastAsia="id-ID"/>
        </w:rPr>
        <w:t>;</w:t>
      </w:r>
      <w:r w:rsidR="004C2EEB" w:rsidRPr="00870330">
        <w:rPr>
          <w:rFonts w:asciiTheme="minorHAnsi" w:hAnsiTheme="minorHAnsi" w:cstheme="minorHAnsi"/>
          <w:color w:val="0D0D0D" w:themeColor="text1" w:themeTint="F2"/>
          <w:lang w:eastAsia="id-ID"/>
        </w:rPr>
        <w:t xml:space="preserve"> GDP, DEF, TO</w:t>
      </w:r>
      <w:r w:rsidR="005039E7" w:rsidRPr="00870330">
        <w:rPr>
          <w:rFonts w:asciiTheme="minorHAnsi" w:hAnsiTheme="minorHAnsi" w:cstheme="minorHAnsi"/>
          <w:color w:val="0D0D0D" w:themeColor="text1" w:themeTint="F2"/>
          <w:lang w:eastAsia="id-ID"/>
        </w:rPr>
        <w:t>P</w:t>
      </w:r>
      <w:r w:rsidR="004C2EEB" w:rsidRPr="00870330">
        <w:rPr>
          <w:rFonts w:asciiTheme="minorHAnsi" w:hAnsiTheme="minorHAnsi" w:cstheme="minorHAnsi"/>
          <w:color w:val="0D0D0D" w:themeColor="text1" w:themeTint="F2"/>
          <w:lang w:eastAsia="id-ID"/>
        </w:rPr>
        <w:t xml:space="preserve">, ARABLE, and COR. However, </w:t>
      </w:r>
      <w:r w:rsidR="00260290" w:rsidRPr="00870330">
        <w:rPr>
          <w:rFonts w:asciiTheme="minorHAnsi" w:hAnsiTheme="minorHAnsi" w:cstheme="minorHAnsi"/>
          <w:color w:val="0D0D0D" w:themeColor="text1" w:themeTint="F2"/>
          <w:lang w:eastAsia="id-ID"/>
        </w:rPr>
        <w:t>they</w:t>
      </w:r>
      <w:r w:rsidR="004C2EEB" w:rsidRPr="00870330">
        <w:rPr>
          <w:rFonts w:asciiTheme="minorHAnsi" w:hAnsiTheme="minorHAnsi" w:cstheme="minorHAnsi"/>
          <w:color w:val="0D0D0D" w:themeColor="text1" w:themeTint="F2"/>
          <w:lang w:eastAsia="id-ID"/>
        </w:rPr>
        <w:t xml:space="preserve"> were stationary in the first differ</w:t>
      </w:r>
      <w:r w:rsidR="00CC723E" w:rsidRPr="00870330">
        <w:rPr>
          <w:rFonts w:asciiTheme="minorHAnsi" w:hAnsiTheme="minorHAnsi" w:cstheme="minorHAnsi"/>
          <w:color w:val="0D0D0D" w:themeColor="text1" w:themeTint="F2"/>
          <w:lang w:eastAsia="id-ID"/>
        </w:rPr>
        <w:t xml:space="preserve">entiation, both in the LLC and </w:t>
      </w:r>
      <w:r w:rsidR="004C2EEB" w:rsidRPr="00870330">
        <w:rPr>
          <w:rFonts w:asciiTheme="minorHAnsi" w:hAnsiTheme="minorHAnsi" w:cstheme="minorHAnsi"/>
          <w:color w:val="0D0D0D" w:themeColor="text1" w:themeTint="F2"/>
          <w:lang w:eastAsia="id-ID"/>
        </w:rPr>
        <w:t xml:space="preserve">IPS unit root tests. It can be </w:t>
      </w:r>
      <w:r w:rsidR="00260290" w:rsidRPr="00870330">
        <w:rPr>
          <w:rFonts w:asciiTheme="minorHAnsi" w:hAnsiTheme="minorHAnsi" w:cstheme="minorHAnsi"/>
          <w:color w:val="0D0D0D" w:themeColor="text1" w:themeTint="F2"/>
          <w:lang w:eastAsia="id-ID"/>
        </w:rPr>
        <w:t>concluded</w:t>
      </w:r>
      <w:r w:rsidR="004C2EEB" w:rsidRPr="00870330">
        <w:rPr>
          <w:rFonts w:asciiTheme="minorHAnsi" w:hAnsiTheme="minorHAnsi" w:cstheme="minorHAnsi"/>
          <w:color w:val="0D0D0D" w:themeColor="text1" w:themeTint="F2"/>
          <w:lang w:eastAsia="id-ID"/>
        </w:rPr>
        <w:t xml:space="preserve"> that the variables in this </w:t>
      </w:r>
      <w:r w:rsidRPr="00870330">
        <w:rPr>
          <w:rFonts w:asciiTheme="minorHAnsi" w:hAnsiTheme="minorHAnsi" w:cstheme="minorHAnsi"/>
          <w:color w:val="0D0D0D" w:themeColor="text1" w:themeTint="F2"/>
          <w:lang w:eastAsia="id-ID"/>
        </w:rPr>
        <w:t xml:space="preserve">research </w:t>
      </w:r>
      <w:r w:rsidR="004C2EEB" w:rsidRPr="00870330">
        <w:rPr>
          <w:rFonts w:asciiTheme="minorHAnsi" w:hAnsiTheme="minorHAnsi" w:cstheme="minorHAnsi"/>
          <w:color w:val="0D0D0D" w:themeColor="text1" w:themeTint="F2"/>
          <w:lang w:eastAsia="id-ID"/>
        </w:rPr>
        <w:t xml:space="preserve">are integrated in the first order, </w:t>
      </w:r>
      <w:proofErr w:type="gramStart"/>
      <w:r w:rsidR="004C2EEB" w:rsidRPr="00870330">
        <w:rPr>
          <w:rFonts w:asciiTheme="minorHAnsi" w:hAnsiTheme="minorHAnsi" w:cstheme="minorHAnsi"/>
          <w:color w:val="0D0D0D" w:themeColor="text1" w:themeTint="F2"/>
        </w:rPr>
        <w:t>I(</w:t>
      </w:r>
      <w:proofErr w:type="gramEnd"/>
      <w:r w:rsidR="004C2EEB" w:rsidRPr="00870330">
        <w:rPr>
          <w:rFonts w:asciiTheme="minorHAnsi" w:hAnsiTheme="minorHAnsi" w:cstheme="minorHAnsi"/>
          <w:color w:val="0D0D0D" w:themeColor="text1" w:themeTint="F2"/>
        </w:rPr>
        <w:t xml:space="preserve">I). </w:t>
      </w:r>
      <w:r w:rsidR="00073ECF" w:rsidRPr="00870330">
        <w:rPr>
          <w:rFonts w:asciiTheme="minorHAnsi" w:hAnsiTheme="minorHAnsi" w:cstheme="minorHAnsi"/>
          <w:color w:val="0D0D0D" w:themeColor="text1" w:themeTint="F2"/>
          <w:lang w:eastAsia="id-ID"/>
        </w:rPr>
        <w:t>Because</w:t>
      </w:r>
      <w:r w:rsidR="004C2EEB" w:rsidRPr="00870330">
        <w:rPr>
          <w:rFonts w:asciiTheme="minorHAnsi" w:hAnsiTheme="minorHAnsi" w:cstheme="minorHAnsi"/>
          <w:color w:val="0D0D0D" w:themeColor="text1" w:themeTint="F2"/>
          <w:lang w:eastAsia="id-ID"/>
        </w:rPr>
        <w:t xml:space="preserve"> a number of variables are not stationary at the level, the </w:t>
      </w:r>
      <w:proofErr w:type="spellStart"/>
      <w:r w:rsidR="004C2EEB" w:rsidRPr="00870330">
        <w:rPr>
          <w:rFonts w:asciiTheme="minorHAnsi" w:hAnsiTheme="minorHAnsi" w:cstheme="minorHAnsi"/>
          <w:color w:val="0D0D0D" w:themeColor="text1" w:themeTint="F2"/>
          <w:lang w:eastAsia="id-ID"/>
        </w:rPr>
        <w:t>cointegration</w:t>
      </w:r>
      <w:proofErr w:type="spellEnd"/>
      <w:r w:rsidR="004C2EEB" w:rsidRPr="00870330">
        <w:rPr>
          <w:rFonts w:asciiTheme="minorHAnsi" w:hAnsiTheme="minorHAnsi" w:cstheme="minorHAnsi"/>
          <w:color w:val="0D0D0D" w:themeColor="text1" w:themeTint="F2"/>
          <w:lang w:eastAsia="id-ID"/>
        </w:rPr>
        <w:t xml:space="preserve"> test is </w:t>
      </w:r>
      <w:r w:rsidRPr="00870330">
        <w:rPr>
          <w:rFonts w:asciiTheme="minorHAnsi" w:hAnsiTheme="minorHAnsi" w:cstheme="minorHAnsi"/>
          <w:color w:val="0D0D0D" w:themeColor="text1" w:themeTint="F2"/>
          <w:lang w:eastAsia="id-ID"/>
        </w:rPr>
        <w:t>necessary</w:t>
      </w:r>
      <w:r w:rsidR="004C2EEB" w:rsidRPr="00870330">
        <w:rPr>
          <w:rFonts w:asciiTheme="minorHAnsi" w:hAnsiTheme="minorHAnsi" w:cstheme="minorHAnsi"/>
          <w:color w:val="0D0D0D" w:themeColor="text1" w:themeTint="F2"/>
          <w:lang w:eastAsia="id-ID"/>
        </w:rPr>
        <w:t xml:space="preserve"> to </w:t>
      </w:r>
      <w:r w:rsidR="00AB73E6" w:rsidRPr="00870330">
        <w:rPr>
          <w:rFonts w:asciiTheme="minorHAnsi" w:hAnsiTheme="minorHAnsi" w:cstheme="minorHAnsi"/>
          <w:color w:val="0D0D0D" w:themeColor="text1" w:themeTint="F2"/>
          <w:lang w:eastAsia="id-ID"/>
        </w:rPr>
        <w:t>examine</w:t>
      </w:r>
      <w:r w:rsidR="004C2EEB" w:rsidRPr="00870330">
        <w:rPr>
          <w:rFonts w:asciiTheme="minorHAnsi" w:hAnsiTheme="minorHAnsi" w:cstheme="minorHAnsi"/>
          <w:color w:val="0D0D0D" w:themeColor="text1" w:themeTint="F2"/>
          <w:lang w:eastAsia="id-ID"/>
        </w:rPr>
        <w:t xml:space="preserve"> the existence of a long-term relationship.</w:t>
      </w:r>
    </w:p>
    <w:p w14:paraId="7DFB9390" w14:textId="77777777" w:rsidR="00113308" w:rsidRPr="00870330" w:rsidRDefault="00113308" w:rsidP="00113308">
      <w:pPr>
        <w:spacing w:after="0"/>
        <w:jc w:val="both"/>
        <w:rPr>
          <w:rFonts w:asciiTheme="minorHAnsi" w:hAnsiTheme="minorHAnsi" w:cstheme="minorHAnsi"/>
          <w:color w:val="0D0D0D" w:themeColor="text1" w:themeTint="F2"/>
          <w:lang w:eastAsia="id-ID"/>
        </w:rPr>
      </w:pPr>
    </w:p>
    <w:p w14:paraId="7993F6D3" w14:textId="17A74AE6" w:rsidR="004C2EEB" w:rsidRPr="00870330" w:rsidRDefault="004C2EEB" w:rsidP="00BF239C">
      <w:pPr>
        <w:pStyle w:val="NormalafterHeading"/>
        <w:spacing w:line="259" w:lineRule="auto"/>
        <w:rPr>
          <w:rFonts w:asciiTheme="minorHAnsi" w:hAnsiTheme="minorHAnsi" w:cstheme="minorHAnsi"/>
          <w:color w:val="0D0D0D" w:themeColor="text1" w:themeTint="F2"/>
          <w:lang w:val="en-US"/>
        </w:rPr>
      </w:pPr>
      <w:r w:rsidRPr="00870330">
        <w:rPr>
          <w:rFonts w:asciiTheme="minorHAnsi" w:hAnsiTheme="minorHAnsi" w:cstheme="minorHAnsi"/>
          <w:color w:val="0D0D0D" w:themeColor="text1" w:themeTint="F2"/>
          <w:lang w:val="en-US"/>
        </w:rPr>
        <w:t xml:space="preserve">Table 3. Unit </w:t>
      </w:r>
      <w:r w:rsidR="00BF239C" w:rsidRPr="00870330">
        <w:rPr>
          <w:rFonts w:asciiTheme="minorHAnsi" w:hAnsiTheme="minorHAnsi" w:cstheme="minorHAnsi"/>
          <w:color w:val="0D0D0D" w:themeColor="text1" w:themeTint="F2"/>
          <w:lang w:val="en-US"/>
        </w:rPr>
        <w:t>Root Test Result</w:t>
      </w:r>
    </w:p>
    <w:tbl>
      <w:tblPr>
        <w:tblW w:w="0" w:type="auto"/>
        <w:tblLook w:val="04A0" w:firstRow="1" w:lastRow="0" w:firstColumn="1" w:lastColumn="0" w:noHBand="0" w:noVBand="1"/>
      </w:tblPr>
      <w:tblGrid>
        <w:gridCol w:w="1671"/>
        <w:gridCol w:w="1686"/>
        <w:gridCol w:w="2243"/>
        <w:gridCol w:w="1648"/>
        <w:gridCol w:w="1778"/>
      </w:tblGrid>
      <w:tr w:rsidR="00A05921" w:rsidRPr="00870330" w14:paraId="2041F4CE" w14:textId="77777777" w:rsidTr="00CC723E">
        <w:tc>
          <w:tcPr>
            <w:tcW w:w="1671" w:type="dxa"/>
            <w:tcBorders>
              <w:top w:val="single" w:sz="4" w:space="0" w:color="auto"/>
            </w:tcBorders>
            <w:shd w:val="clear" w:color="auto" w:fill="auto"/>
          </w:tcPr>
          <w:p w14:paraId="3C70F5E3" w14:textId="77777777" w:rsidR="004C2EEB" w:rsidRPr="00870330" w:rsidRDefault="004C2EEB" w:rsidP="00A05921">
            <w:pPr>
              <w:spacing w:after="0"/>
              <w:jc w:val="both"/>
              <w:rPr>
                <w:rFonts w:asciiTheme="minorHAnsi" w:eastAsia="Times New Roman" w:hAnsiTheme="minorHAnsi" w:cstheme="minorHAnsi"/>
                <w:color w:val="0D0D0D" w:themeColor="text1" w:themeTint="F2"/>
              </w:rPr>
            </w:pPr>
          </w:p>
        </w:tc>
        <w:tc>
          <w:tcPr>
            <w:tcW w:w="3929" w:type="dxa"/>
            <w:gridSpan w:val="2"/>
            <w:tcBorders>
              <w:top w:val="single" w:sz="4" w:space="0" w:color="auto"/>
              <w:bottom w:val="single" w:sz="4" w:space="0" w:color="auto"/>
            </w:tcBorders>
            <w:shd w:val="clear" w:color="auto" w:fill="auto"/>
            <w:vAlign w:val="center"/>
          </w:tcPr>
          <w:p w14:paraId="5495DB68" w14:textId="77777777" w:rsidR="004C2EEB" w:rsidRPr="00870330" w:rsidRDefault="004C2EEB" w:rsidP="00A05921">
            <w:pPr>
              <w:spacing w:after="0"/>
              <w:jc w:val="right"/>
              <w:rPr>
                <w:rFonts w:asciiTheme="minorHAnsi" w:hAnsiTheme="minorHAnsi" w:cstheme="minorHAnsi"/>
                <w:b/>
                <w:color w:val="0D0D0D" w:themeColor="text1" w:themeTint="F2"/>
              </w:rPr>
            </w:pPr>
            <w:r w:rsidRPr="00870330">
              <w:rPr>
                <w:rFonts w:asciiTheme="minorHAnsi" w:hAnsiTheme="minorHAnsi" w:cstheme="minorHAnsi"/>
                <w:b/>
                <w:color w:val="0D0D0D" w:themeColor="text1" w:themeTint="F2"/>
              </w:rPr>
              <w:t>LLC</w:t>
            </w:r>
          </w:p>
        </w:tc>
        <w:tc>
          <w:tcPr>
            <w:tcW w:w="3426" w:type="dxa"/>
            <w:gridSpan w:val="2"/>
            <w:tcBorders>
              <w:top w:val="single" w:sz="4" w:space="0" w:color="auto"/>
              <w:bottom w:val="single" w:sz="4" w:space="0" w:color="auto"/>
            </w:tcBorders>
            <w:shd w:val="clear" w:color="auto" w:fill="auto"/>
          </w:tcPr>
          <w:p w14:paraId="140F0BBC" w14:textId="4B1E7B11" w:rsidR="004C2EEB" w:rsidRPr="00870330" w:rsidRDefault="004C2EEB" w:rsidP="00A05921">
            <w:pPr>
              <w:spacing w:after="0"/>
              <w:jc w:val="right"/>
              <w:rPr>
                <w:rFonts w:asciiTheme="minorHAnsi" w:eastAsia="Times New Roman" w:hAnsiTheme="minorHAnsi" w:cstheme="minorHAnsi"/>
                <w:color w:val="0D0D0D" w:themeColor="text1" w:themeTint="F2"/>
              </w:rPr>
            </w:pPr>
            <w:r w:rsidRPr="00870330">
              <w:rPr>
                <w:rFonts w:asciiTheme="minorHAnsi" w:hAnsiTheme="minorHAnsi" w:cstheme="minorHAnsi"/>
                <w:b/>
                <w:color w:val="0D0D0D" w:themeColor="text1" w:themeTint="F2"/>
              </w:rPr>
              <w:t>IPS</w:t>
            </w:r>
          </w:p>
        </w:tc>
      </w:tr>
      <w:tr w:rsidR="00A05921" w:rsidRPr="00870330" w14:paraId="35F556FE" w14:textId="77777777" w:rsidTr="00CC723E">
        <w:tc>
          <w:tcPr>
            <w:tcW w:w="1671" w:type="dxa"/>
            <w:tcBorders>
              <w:bottom w:val="single" w:sz="4" w:space="0" w:color="auto"/>
            </w:tcBorders>
            <w:shd w:val="clear" w:color="auto" w:fill="auto"/>
          </w:tcPr>
          <w:p w14:paraId="1D593D95" w14:textId="77777777" w:rsidR="004C2EEB" w:rsidRPr="00870330" w:rsidRDefault="004C2EEB" w:rsidP="00A05921">
            <w:pPr>
              <w:spacing w:after="0"/>
              <w:jc w:val="both"/>
              <w:rPr>
                <w:rFonts w:asciiTheme="minorHAnsi" w:eastAsia="Times New Roman" w:hAnsiTheme="minorHAnsi" w:cstheme="minorHAnsi"/>
                <w:color w:val="0D0D0D" w:themeColor="text1" w:themeTint="F2"/>
              </w:rPr>
            </w:pPr>
          </w:p>
        </w:tc>
        <w:tc>
          <w:tcPr>
            <w:tcW w:w="1686" w:type="dxa"/>
            <w:tcBorders>
              <w:top w:val="single" w:sz="4" w:space="0" w:color="auto"/>
              <w:bottom w:val="single" w:sz="4" w:space="0" w:color="auto"/>
            </w:tcBorders>
            <w:shd w:val="clear" w:color="auto" w:fill="auto"/>
            <w:vAlign w:val="center"/>
          </w:tcPr>
          <w:p w14:paraId="039C4032"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I(0)</w:t>
            </w:r>
          </w:p>
        </w:tc>
        <w:tc>
          <w:tcPr>
            <w:tcW w:w="2243" w:type="dxa"/>
            <w:tcBorders>
              <w:top w:val="single" w:sz="4" w:space="0" w:color="auto"/>
              <w:bottom w:val="single" w:sz="4" w:space="0" w:color="auto"/>
            </w:tcBorders>
            <w:shd w:val="clear" w:color="auto" w:fill="auto"/>
            <w:vAlign w:val="center"/>
          </w:tcPr>
          <w:p w14:paraId="1C576115"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I(1)</w:t>
            </w:r>
          </w:p>
        </w:tc>
        <w:tc>
          <w:tcPr>
            <w:tcW w:w="1648" w:type="dxa"/>
            <w:tcBorders>
              <w:top w:val="single" w:sz="4" w:space="0" w:color="auto"/>
              <w:bottom w:val="single" w:sz="4" w:space="0" w:color="auto"/>
            </w:tcBorders>
            <w:shd w:val="clear" w:color="auto" w:fill="auto"/>
            <w:vAlign w:val="center"/>
          </w:tcPr>
          <w:p w14:paraId="5F342ED4"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I(0)</w:t>
            </w:r>
          </w:p>
        </w:tc>
        <w:tc>
          <w:tcPr>
            <w:tcW w:w="1778" w:type="dxa"/>
            <w:tcBorders>
              <w:top w:val="single" w:sz="4" w:space="0" w:color="auto"/>
              <w:bottom w:val="single" w:sz="4" w:space="0" w:color="auto"/>
            </w:tcBorders>
            <w:shd w:val="clear" w:color="auto" w:fill="auto"/>
            <w:vAlign w:val="center"/>
          </w:tcPr>
          <w:p w14:paraId="6FF570CD"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I(1)</w:t>
            </w:r>
          </w:p>
        </w:tc>
      </w:tr>
      <w:tr w:rsidR="00CC723E" w:rsidRPr="00870330" w14:paraId="64FCEFAB" w14:textId="77777777" w:rsidTr="00CC723E">
        <w:tc>
          <w:tcPr>
            <w:tcW w:w="1671" w:type="dxa"/>
            <w:tcBorders>
              <w:top w:val="single" w:sz="4" w:space="0" w:color="auto"/>
            </w:tcBorders>
            <w:shd w:val="clear" w:color="auto" w:fill="auto"/>
            <w:vAlign w:val="center"/>
          </w:tcPr>
          <w:p w14:paraId="2017251E" w14:textId="77777777" w:rsidR="00CC723E" w:rsidRPr="00870330" w:rsidRDefault="00CC723E" w:rsidP="00CC723E">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DEF</w:t>
            </w:r>
          </w:p>
        </w:tc>
        <w:tc>
          <w:tcPr>
            <w:tcW w:w="1686" w:type="dxa"/>
            <w:tcBorders>
              <w:top w:val="single" w:sz="4" w:space="0" w:color="auto"/>
            </w:tcBorders>
            <w:shd w:val="clear" w:color="auto" w:fill="auto"/>
            <w:vAlign w:val="center"/>
          </w:tcPr>
          <w:p w14:paraId="32F7B762" w14:textId="77777777" w:rsidR="00CC723E" w:rsidRPr="00870330" w:rsidRDefault="00CC723E" w:rsidP="00CC723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-3.971</w:t>
            </w:r>
          </w:p>
        </w:tc>
        <w:tc>
          <w:tcPr>
            <w:tcW w:w="2243" w:type="dxa"/>
            <w:tcBorders>
              <w:top w:val="single" w:sz="4" w:space="0" w:color="auto"/>
            </w:tcBorders>
            <w:shd w:val="clear" w:color="auto" w:fill="auto"/>
            <w:vAlign w:val="center"/>
          </w:tcPr>
          <w:p w14:paraId="6442E904" w14:textId="77777777" w:rsidR="00CC723E" w:rsidRPr="00870330" w:rsidRDefault="00CC723E" w:rsidP="00CC723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-10.754***</w:t>
            </w:r>
          </w:p>
        </w:tc>
        <w:tc>
          <w:tcPr>
            <w:tcW w:w="1648" w:type="dxa"/>
            <w:tcBorders>
              <w:top w:val="single" w:sz="4" w:space="0" w:color="auto"/>
            </w:tcBorders>
            <w:shd w:val="clear" w:color="auto" w:fill="auto"/>
            <w:vAlign w:val="bottom"/>
          </w:tcPr>
          <w:p w14:paraId="75F2240E" w14:textId="0B8B51B0" w:rsidR="00CC723E" w:rsidRPr="00870330" w:rsidRDefault="00CC723E" w:rsidP="00CC723E">
            <w:pPr>
              <w:spacing w:after="0"/>
              <w:jc w:val="right"/>
              <w:rPr>
                <w:rFonts w:asciiTheme="minorHAnsi" w:hAnsiTheme="minorHAnsi" w:cstheme="minorHAnsi"/>
                <w:color w:val="0D0D0D" w:themeColor="text1" w:themeTint="F2"/>
              </w:rPr>
            </w:pPr>
            <w:r w:rsidRPr="00870330">
              <w:rPr>
                <w:rFonts w:eastAsia="Times New Roman"/>
                <w:color w:val="000000"/>
                <w:lang w:val="en-US"/>
              </w:rPr>
              <w:t>-0.899</w:t>
            </w:r>
          </w:p>
        </w:tc>
        <w:tc>
          <w:tcPr>
            <w:tcW w:w="1778" w:type="dxa"/>
            <w:tcBorders>
              <w:top w:val="single" w:sz="4" w:space="0" w:color="auto"/>
            </w:tcBorders>
            <w:shd w:val="clear" w:color="auto" w:fill="auto"/>
            <w:vAlign w:val="bottom"/>
          </w:tcPr>
          <w:p w14:paraId="655E129D" w14:textId="6BB7353E" w:rsidR="00CC723E" w:rsidRPr="00870330" w:rsidRDefault="00CC723E" w:rsidP="00CC723E">
            <w:pPr>
              <w:spacing w:after="0"/>
              <w:jc w:val="right"/>
              <w:rPr>
                <w:rFonts w:asciiTheme="minorHAnsi" w:hAnsiTheme="minorHAnsi" w:cstheme="minorHAnsi"/>
                <w:color w:val="0D0D0D" w:themeColor="text1" w:themeTint="F2"/>
              </w:rPr>
            </w:pPr>
            <w:r w:rsidRPr="00870330">
              <w:rPr>
                <w:rFonts w:eastAsia="Times New Roman"/>
                <w:color w:val="000000"/>
                <w:lang w:val="en-US"/>
              </w:rPr>
              <w:t>-10.823***</w:t>
            </w:r>
          </w:p>
        </w:tc>
      </w:tr>
      <w:tr w:rsidR="00CC723E" w:rsidRPr="00870330" w14:paraId="52EC0201" w14:textId="77777777" w:rsidTr="00CC723E">
        <w:tc>
          <w:tcPr>
            <w:tcW w:w="1671" w:type="dxa"/>
            <w:shd w:val="clear" w:color="auto" w:fill="auto"/>
            <w:vAlign w:val="center"/>
          </w:tcPr>
          <w:p w14:paraId="56835CC5" w14:textId="77777777" w:rsidR="00CC723E" w:rsidRPr="00870330" w:rsidRDefault="00CC723E" w:rsidP="00CC723E">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lastRenderedPageBreak/>
              <w:t>GDP</w:t>
            </w:r>
          </w:p>
        </w:tc>
        <w:tc>
          <w:tcPr>
            <w:tcW w:w="1686" w:type="dxa"/>
            <w:shd w:val="clear" w:color="auto" w:fill="auto"/>
            <w:vAlign w:val="center"/>
          </w:tcPr>
          <w:p w14:paraId="088ACFC1" w14:textId="77777777" w:rsidR="00CC723E" w:rsidRPr="00870330" w:rsidRDefault="00CC723E" w:rsidP="00CC723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0.398</w:t>
            </w:r>
          </w:p>
        </w:tc>
        <w:tc>
          <w:tcPr>
            <w:tcW w:w="2243" w:type="dxa"/>
            <w:shd w:val="clear" w:color="auto" w:fill="auto"/>
            <w:vAlign w:val="center"/>
          </w:tcPr>
          <w:p w14:paraId="5050DEF4" w14:textId="77777777" w:rsidR="00CC723E" w:rsidRPr="00870330" w:rsidRDefault="00CC723E" w:rsidP="00CC723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-21.316***</w:t>
            </w:r>
          </w:p>
        </w:tc>
        <w:tc>
          <w:tcPr>
            <w:tcW w:w="1648" w:type="dxa"/>
            <w:shd w:val="clear" w:color="auto" w:fill="auto"/>
            <w:vAlign w:val="bottom"/>
          </w:tcPr>
          <w:p w14:paraId="49860730" w14:textId="5A997AD5" w:rsidR="00CC723E" w:rsidRPr="00870330" w:rsidRDefault="00CC723E" w:rsidP="00CC723E">
            <w:pPr>
              <w:spacing w:after="0"/>
              <w:jc w:val="right"/>
              <w:rPr>
                <w:rFonts w:asciiTheme="minorHAnsi" w:hAnsiTheme="minorHAnsi" w:cstheme="minorHAnsi"/>
                <w:color w:val="0D0D0D" w:themeColor="text1" w:themeTint="F2"/>
              </w:rPr>
            </w:pPr>
            <w:r w:rsidRPr="00870330">
              <w:rPr>
                <w:rFonts w:eastAsia="Times New Roman"/>
                <w:color w:val="000000"/>
                <w:lang w:val="en-US"/>
              </w:rPr>
              <w:t>5.252</w:t>
            </w:r>
          </w:p>
        </w:tc>
        <w:tc>
          <w:tcPr>
            <w:tcW w:w="1778" w:type="dxa"/>
            <w:shd w:val="clear" w:color="auto" w:fill="auto"/>
            <w:vAlign w:val="bottom"/>
          </w:tcPr>
          <w:p w14:paraId="35CEA065" w14:textId="6E82873A" w:rsidR="00CC723E" w:rsidRPr="00870330" w:rsidRDefault="00CC723E" w:rsidP="00CC723E">
            <w:pPr>
              <w:spacing w:after="0"/>
              <w:jc w:val="right"/>
              <w:rPr>
                <w:rFonts w:asciiTheme="minorHAnsi" w:hAnsiTheme="minorHAnsi" w:cstheme="minorHAnsi"/>
                <w:color w:val="0D0D0D" w:themeColor="text1" w:themeTint="F2"/>
              </w:rPr>
            </w:pPr>
            <w:r w:rsidRPr="00870330">
              <w:rPr>
                <w:rFonts w:eastAsia="Times New Roman"/>
                <w:color w:val="000000"/>
                <w:lang w:val="en-US"/>
              </w:rPr>
              <w:t>-8.680***</w:t>
            </w:r>
          </w:p>
        </w:tc>
      </w:tr>
      <w:tr w:rsidR="00CC723E" w:rsidRPr="00870330" w14:paraId="1C069ADA" w14:textId="77777777" w:rsidTr="00CC723E">
        <w:tc>
          <w:tcPr>
            <w:tcW w:w="1671" w:type="dxa"/>
            <w:shd w:val="clear" w:color="auto" w:fill="auto"/>
            <w:vAlign w:val="center"/>
          </w:tcPr>
          <w:p w14:paraId="4315CCDC" w14:textId="7FEB3EEA" w:rsidR="00CC723E" w:rsidRPr="00870330" w:rsidRDefault="00CC723E" w:rsidP="00CC723E">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TOP</w:t>
            </w:r>
          </w:p>
        </w:tc>
        <w:tc>
          <w:tcPr>
            <w:tcW w:w="1686" w:type="dxa"/>
            <w:shd w:val="clear" w:color="auto" w:fill="auto"/>
            <w:vAlign w:val="center"/>
          </w:tcPr>
          <w:p w14:paraId="3660EE5C" w14:textId="77777777" w:rsidR="00CC723E" w:rsidRPr="00870330" w:rsidRDefault="00CC723E" w:rsidP="00CC723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-3.717</w:t>
            </w:r>
          </w:p>
        </w:tc>
        <w:tc>
          <w:tcPr>
            <w:tcW w:w="2243" w:type="dxa"/>
            <w:shd w:val="clear" w:color="auto" w:fill="auto"/>
            <w:vAlign w:val="center"/>
          </w:tcPr>
          <w:p w14:paraId="3FA5227A" w14:textId="77777777" w:rsidR="00CC723E" w:rsidRPr="00870330" w:rsidRDefault="00CC723E" w:rsidP="00CC723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-13.603***</w:t>
            </w:r>
          </w:p>
        </w:tc>
        <w:tc>
          <w:tcPr>
            <w:tcW w:w="1648" w:type="dxa"/>
            <w:shd w:val="clear" w:color="auto" w:fill="auto"/>
            <w:vAlign w:val="bottom"/>
          </w:tcPr>
          <w:p w14:paraId="3D28811B" w14:textId="089C40B1" w:rsidR="00CC723E" w:rsidRPr="00870330" w:rsidRDefault="00CC723E" w:rsidP="00CC723E">
            <w:pPr>
              <w:spacing w:after="0"/>
              <w:jc w:val="right"/>
              <w:rPr>
                <w:rFonts w:asciiTheme="minorHAnsi" w:hAnsiTheme="minorHAnsi" w:cstheme="minorHAnsi"/>
                <w:color w:val="0D0D0D" w:themeColor="text1" w:themeTint="F2"/>
              </w:rPr>
            </w:pPr>
            <w:r w:rsidRPr="00870330">
              <w:rPr>
                <w:rFonts w:eastAsia="Times New Roman"/>
                <w:color w:val="000000"/>
                <w:lang w:val="en-US"/>
              </w:rPr>
              <w:t>-3.717</w:t>
            </w:r>
          </w:p>
        </w:tc>
        <w:tc>
          <w:tcPr>
            <w:tcW w:w="1778" w:type="dxa"/>
            <w:shd w:val="clear" w:color="auto" w:fill="auto"/>
            <w:vAlign w:val="bottom"/>
          </w:tcPr>
          <w:p w14:paraId="55EDBA08" w14:textId="0697C3D5" w:rsidR="00CC723E" w:rsidRPr="00870330" w:rsidRDefault="00CC723E" w:rsidP="00CC723E">
            <w:pPr>
              <w:spacing w:after="0"/>
              <w:jc w:val="right"/>
              <w:rPr>
                <w:rFonts w:asciiTheme="minorHAnsi" w:hAnsiTheme="minorHAnsi" w:cstheme="minorHAnsi"/>
                <w:color w:val="0D0D0D" w:themeColor="text1" w:themeTint="F2"/>
              </w:rPr>
            </w:pPr>
            <w:r w:rsidRPr="00870330">
              <w:rPr>
                <w:rFonts w:eastAsia="Times New Roman"/>
                <w:color w:val="000000"/>
                <w:lang w:val="en-US"/>
              </w:rPr>
              <w:t>-13.603***</w:t>
            </w:r>
          </w:p>
        </w:tc>
      </w:tr>
      <w:tr w:rsidR="00CC723E" w:rsidRPr="00870330" w14:paraId="7677B103" w14:textId="77777777" w:rsidTr="00CC723E">
        <w:tc>
          <w:tcPr>
            <w:tcW w:w="1671" w:type="dxa"/>
            <w:shd w:val="clear" w:color="auto" w:fill="auto"/>
            <w:vAlign w:val="center"/>
          </w:tcPr>
          <w:p w14:paraId="446F5DC9" w14:textId="77777777" w:rsidR="00CC723E" w:rsidRPr="00870330" w:rsidRDefault="00CC723E" w:rsidP="00CC723E">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ARABLE</w:t>
            </w:r>
          </w:p>
        </w:tc>
        <w:tc>
          <w:tcPr>
            <w:tcW w:w="1686" w:type="dxa"/>
            <w:shd w:val="clear" w:color="auto" w:fill="auto"/>
            <w:vAlign w:val="center"/>
          </w:tcPr>
          <w:p w14:paraId="7F6DB185" w14:textId="77777777" w:rsidR="00CC723E" w:rsidRPr="00870330" w:rsidRDefault="00CC723E" w:rsidP="00CC723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-2.994*</w:t>
            </w:r>
          </w:p>
        </w:tc>
        <w:tc>
          <w:tcPr>
            <w:tcW w:w="2243" w:type="dxa"/>
            <w:shd w:val="clear" w:color="auto" w:fill="auto"/>
            <w:vAlign w:val="center"/>
          </w:tcPr>
          <w:p w14:paraId="2E4042CA" w14:textId="77777777" w:rsidR="00CC723E" w:rsidRPr="00870330" w:rsidRDefault="00CC723E" w:rsidP="00CC723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-10.774***</w:t>
            </w:r>
          </w:p>
        </w:tc>
        <w:tc>
          <w:tcPr>
            <w:tcW w:w="1648" w:type="dxa"/>
            <w:shd w:val="clear" w:color="auto" w:fill="auto"/>
            <w:vAlign w:val="bottom"/>
          </w:tcPr>
          <w:p w14:paraId="724F0271" w14:textId="2A6660B1" w:rsidR="00CC723E" w:rsidRPr="00870330" w:rsidRDefault="00CC723E" w:rsidP="00CC723E">
            <w:pPr>
              <w:spacing w:after="0"/>
              <w:jc w:val="right"/>
              <w:rPr>
                <w:rFonts w:asciiTheme="minorHAnsi" w:hAnsiTheme="minorHAnsi" w:cstheme="minorHAnsi"/>
                <w:color w:val="0D0D0D" w:themeColor="text1" w:themeTint="F2"/>
              </w:rPr>
            </w:pPr>
            <w:r w:rsidRPr="00870330">
              <w:rPr>
                <w:rFonts w:eastAsia="Times New Roman"/>
                <w:color w:val="000000"/>
                <w:lang w:val="en-US"/>
              </w:rPr>
              <w:t>-4.567</w:t>
            </w:r>
          </w:p>
        </w:tc>
        <w:tc>
          <w:tcPr>
            <w:tcW w:w="1778" w:type="dxa"/>
            <w:shd w:val="clear" w:color="auto" w:fill="auto"/>
            <w:vAlign w:val="bottom"/>
          </w:tcPr>
          <w:p w14:paraId="5C1D98B1" w14:textId="07407782" w:rsidR="00CC723E" w:rsidRPr="00870330" w:rsidRDefault="00CC723E" w:rsidP="00CC723E">
            <w:pPr>
              <w:spacing w:after="0"/>
              <w:jc w:val="right"/>
              <w:rPr>
                <w:rFonts w:asciiTheme="minorHAnsi" w:hAnsiTheme="minorHAnsi" w:cstheme="minorHAnsi"/>
                <w:color w:val="0D0D0D" w:themeColor="text1" w:themeTint="F2"/>
              </w:rPr>
            </w:pPr>
            <w:r w:rsidRPr="00870330">
              <w:rPr>
                <w:rFonts w:eastAsia="Times New Roman"/>
                <w:color w:val="000000"/>
                <w:lang w:val="en-US"/>
              </w:rPr>
              <w:t>-10.561***</w:t>
            </w:r>
          </w:p>
        </w:tc>
      </w:tr>
      <w:tr w:rsidR="00CC723E" w:rsidRPr="00870330" w14:paraId="4FFFE5A6" w14:textId="77777777" w:rsidTr="00CC723E">
        <w:tc>
          <w:tcPr>
            <w:tcW w:w="1671" w:type="dxa"/>
            <w:shd w:val="clear" w:color="auto" w:fill="auto"/>
            <w:vAlign w:val="center"/>
          </w:tcPr>
          <w:p w14:paraId="68CEC3D0" w14:textId="77777777" w:rsidR="00CC723E" w:rsidRPr="00870330" w:rsidRDefault="00CC723E" w:rsidP="00CC723E">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PG</w:t>
            </w:r>
          </w:p>
        </w:tc>
        <w:tc>
          <w:tcPr>
            <w:tcW w:w="1686" w:type="dxa"/>
            <w:shd w:val="clear" w:color="auto" w:fill="auto"/>
            <w:vAlign w:val="center"/>
          </w:tcPr>
          <w:p w14:paraId="5F3AE8FD" w14:textId="77777777" w:rsidR="00CC723E" w:rsidRPr="00870330" w:rsidRDefault="00CC723E" w:rsidP="00CC723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-8.780***</w:t>
            </w:r>
          </w:p>
        </w:tc>
        <w:tc>
          <w:tcPr>
            <w:tcW w:w="2243" w:type="dxa"/>
            <w:shd w:val="clear" w:color="auto" w:fill="auto"/>
            <w:vAlign w:val="center"/>
          </w:tcPr>
          <w:p w14:paraId="7209175C" w14:textId="77777777" w:rsidR="00CC723E" w:rsidRPr="00870330" w:rsidRDefault="00CC723E" w:rsidP="00CC723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-13.226***</w:t>
            </w:r>
          </w:p>
        </w:tc>
        <w:tc>
          <w:tcPr>
            <w:tcW w:w="1648" w:type="dxa"/>
            <w:shd w:val="clear" w:color="auto" w:fill="auto"/>
            <w:vAlign w:val="bottom"/>
          </w:tcPr>
          <w:p w14:paraId="61D22260" w14:textId="0D616047" w:rsidR="00CC723E" w:rsidRPr="00870330" w:rsidRDefault="00CC723E" w:rsidP="00CC723E">
            <w:pPr>
              <w:spacing w:after="0"/>
              <w:jc w:val="right"/>
              <w:rPr>
                <w:rFonts w:asciiTheme="minorHAnsi" w:hAnsiTheme="minorHAnsi" w:cstheme="minorHAnsi"/>
                <w:color w:val="0D0D0D" w:themeColor="text1" w:themeTint="F2"/>
              </w:rPr>
            </w:pPr>
            <w:r w:rsidRPr="00870330">
              <w:rPr>
                <w:rFonts w:eastAsia="Times New Roman"/>
                <w:color w:val="000000"/>
                <w:lang w:val="en-US"/>
              </w:rPr>
              <w:t>-2.994*</w:t>
            </w:r>
          </w:p>
        </w:tc>
        <w:tc>
          <w:tcPr>
            <w:tcW w:w="1778" w:type="dxa"/>
            <w:shd w:val="clear" w:color="auto" w:fill="auto"/>
            <w:vAlign w:val="bottom"/>
          </w:tcPr>
          <w:p w14:paraId="557DA3C0" w14:textId="4F356162" w:rsidR="00CC723E" w:rsidRPr="00870330" w:rsidRDefault="00CC723E" w:rsidP="00CC723E">
            <w:pPr>
              <w:spacing w:after="0"/>
              <w:jc w:val="right"/>
              <w:rPr>
                <w:rFonts w:asciiTheme="minorHAnsi" w:hAnsiTheme="minorHAnsi" w:cstheme="minorHAnsi"/>
                <w:color w:val="0D0D0D" w:themeColor="text1" w:themeTint="F2"/>
              </w:rPr>
            </w:pPr>
            <w:r w:rsidRPr="00870330">
              <w:rPr>
                <w:rFonts w:eastAsia="Times New Roman"/>
                <w:color w:val="000000"/>
                <w:lang w:val="en-US"/>
              </w:rPr>
              <w:t>-10.774***</w:t>
            </w:r>
          </w:p>
        </w:tc>
      </w:tr>
      <w:tr w:rsidR="00CC723E" w:rsidRPr="00870330" w14:paraId="4DE78C09" w14:textId="77777777" w:rsidTr="00CC723E">
        <w:tc>
          <w:tcPr>
            <w:tcW w:w="1671" w:type="dxa"/>
            <w:tcBorders>
              <w:bottom w:val="single" w:sz="4" w:space="0" w:color="auto"/>
            </w:tcBorders>
            <w:shd w:val="clear" w:color="auto" w:fill="auto"/>
            <w:vAlign w:val="bottom"/>
          </w:tcPr>
          <w:p w14:paraId="2719F689" w14:textId="77777777" w:rsidR="00CC723E" w:rsidRPr="00870330" w:rsidRDefault="00CC723E" w:rsidP="00CC723E">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COR</w:t>
            </w:r>
          </w:p>
        </w:tc>
        <w:tc>
          <w:tcPr>
            <w:tcW w:w="1686" w:type="dxa"/>
            <w:tcBorders>
              <w:bottom w:val="single" w:sz="4" w:space="0" w:color="auto"/>
            </w:tcBorders>
            <w:shd w:val="clear" w:color="auto" w:fill="auto"/>
            <w:vAlign w:val="bottom"/>
          </w:tcPr>
          <w:p w14:paraId="2A13A875" w14:textId="77777777" w:rsidR="00CC723E" w:rsidRPr="00870330" w:rsidRDefault="00CC723E" w:rsidP="00CC723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-4.5666</w:t>
            </w:r>
          </w:p>
        </w:tc>
        <w:tc>
          <w:tcPr>
            <w:tcW w:w="2243" w:type="dxa"/>
            <w:tcBorders>
              <w:bottom w:val="single" w:sz="4" w:space="0" w:color="auto"/>
            </w:tcBorders>
            <w:shd w:val="clear" w:color="auto" w:fill="auto"/>
            <w:vAlign w:val="bottom"/>
          </w:tcPr>
          <w:p w14:paraId="4F325D4E" w14:textId="77777777" w:rsidR="00CC723E" w:rsidRPr="00870330" w:rsidRDefault="00CC723E" w:rsidP="00CC723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-10.5612***</w:t>
            </w:r>
          </w:p>
        </w:tc>
        <w:tc>
          <w:tcPr>
            <w:tcW w:w="1648" w:type="dxa"/>
            <w:tcBorders>
              <w:bottom w:val="single" w:sz="4" w:space="0" w:color="auto"/>
            </w:tcBorders>
            <w:shd w:val="clear" w:color="auto" w:fill="auto"/>
            <w:vAlign w:val="bottom"/>
          </w:tcPr>
          <w:p w14:paraId="5A325A24" w14:textId="58E26E81" w:rsidR="00CC723E" w:rsidRPr="00870330" w:rsidRDefault="00CC723E" w:rsidP="00CC723E">
            <w:pPr>
              <w:spacing w:after="0"/>
              <w:jc w:val="right"/>
              <w:rPr>
                <w:rFonts w:asciiTheme="minorHAnsi" w:hAnsiTheme="minorHAnsi" w:cstheme="minorHAnsi"/>
                <w:color w:val="0D0D0D" w:themeColor="text1" w:themeTint="F2"/>
              </w:rPr>
            </w:pPr>
            <w:r w:rsidRPr="00870330">
              <w:rPr>
                <w:rFonts w:eastAsia="Times New Roman"/>
                <w:color w:val="000000"/>
                <w:lang w:val="en-US"/>
              </w:rPr>
              <w:t>1.787</w:t>
            </w:r>
          </w:p>
        </w:tc>
        <w:tc>
          <w:tcPr>
            <w:tcW w:w="1778" w:type="dxa"/>
            <w:tcBorders>
              <w:bottom w:val="single" w:sz="4" w:space="0" w:color="auto"/>
            </w:tcBorders>
            <w:shd w:val="clear" w:color="auto" w:fill="auto"/>
            <w:vAlign w:val="bottom"/>
          </w:tcPr>
          <w:p w14:paraId="58B90AFE" w14:textId="4DE5DE6B" w:rsidR="00CC723E" w:rsidRPr="00870330" w:rsidRDefault="00CC723E" w:rsidP="00CC723E">
            <w:pPr>
              <w:spacing w:after="0"/>
              <w:jc w:val="right"/>
              <w:rPr>
                <w:rFonts w:asciiTheme="minorHAnsi" w:hAnsiTheme="minorHAnsi" w:cstheme="minorHAnsi"/>
                <w:color w:val="0D0D0D" w:themeColor="text1" w:themeTint="F2"/>
              </w:rPr>
            </w:pPr>
            <w:r w:rsidRPr="00870330">
              <w:rPr>
                <w:rFonts w:eastAsia="Times New Roman"/>
                <w:color w:val="000000"/>
                <w:lang w:val="en-US"/>
              </w:rPr>
              <w:t>-11.791***</w:t>
            </w:r>
          </w:p>
        </w:tc>
      </w:tr>
    </w:tbl>
    <w:p w14:paraId="46F42656" w14:textId="67338567" w:rsidR="004C2EEB" w:rsidRPr="00870330" w:rsidRDefault="004C2EEB" w:rsidP="004C2EEB">
      <w:pPr>
        <w:pStyle w:val="NormalafterHeading"/>
        <w:spacing w:line="259" w:lineRule="auto"/>
        <w:rPr>
          <w:rFonts w:asciiTheme="minorHAnsi" w:hAnsiTheme="minorHAnsi" w:cstheme="minorHAnsi"/>
          <w:color w:val="0D0D0D" w:themeColor="text1" w:themeTint="F2"/>
          <w:lang w:val="en-US"/>
        </w:rPr>
      </w:pPr>
      <w:r w:rsidRPr="00870330">
        <w:rPr>
          <w:rFonts w:asciiTheme="minorHAnsi" w:hAnsiTheme="minorHAnsi" w:cstheme="minorHAnsi"/>
          <w:color w:val="0D0D0D" w:themeColor="text1" w:themeTint="F2"/>
          <w:lang w:val="en-US"/>
        </w:rPr>
        <w:t>Note</w:t>
      </w:r>
      <w:r w:rsidR="003769B1" w:rsidRPr="00870330">
        <w:rPr>
          <w:rFonts w:asciiTheme="minorHAnsi" w:hAnsiTheme="minorHAnsi" w:cstheme="minorHAnsi"/>
          <w:color w:val="0D0D0D" w:themeColor="text1" w:themeTint="F2"/>
          <w:lang w:val="en-US"/>
        </w:rPr>
        <w:t>s</w:t>
      </w:r>
      <w:r w:rsidRPr="00870330">
        <w:rPr>
          <w:rFonts w:asciiTheme="minorHAnsi" w:hAnsiTheme="minorHAnsi" w:cstheme="minorHAnsi"/>
          <w:color w:val="0D0D0D" w:themeColor="text1" w:themeTint="F2"/>
          <w:lang w:val="en-US"/>
        </w:rPr>
        <w:t xml:space="preserve">: 1(0) and </w:t>
      </w:r>
      <w:proofErr w:type="gramStart"/>
      <w:r w:rsidRPr="00870330">
        <w:rPr>
          <w:rFonts w:asciiTheme="minorHAnsi" w:hAnsiTheme="minorHAnsi" w:cstheme="minorHAnsi"/>
          <w:color w:val="0D0D0D" w:themeColor="text1" w:themeTint="F2"/>
          <w:lang w:val="en-US"/>
        </w:rPr>
        <w:t>I(</w:t>
      </w:r>
      <w:proofErr w:type="gramEnd"/>
      <w:r w:rsidRPr="00870330">
        <w:rPr>
          <w:rFonts w:asciiTheme="minorHAnsi" w:hAnsiTheme="minorHAnsi" w:cstheme="minorHAnsi"/>
          <w:color w:val="0D0D0D" w:themeColor="text1" w:themeTint="F2"/>
          <w:lang w:val="en-US"/>
        </w:rPr>
        <w:t xml:space="preserve">1) </w:t>
      </w:r>
      <w:r w:rsidR="00F752A9" w:rsidRPr="00870330">
        <w:rPr>
          <w:rFonts w:asciiTheme="minorHAnsi" w:hAnsiTheme="minorHAnsi" w:cstheme="minorHAnsi"/>
          <w:color w:val="0D0D0D" w:themeColor="text1" w:themeTint="F2"/>
          <w:lang w:val="en-US"/>
        </w:rPr>
        <w:t>represent level and</w:t>
      </w:r>
      <w:r w:rsidRPr="00870330">
        <w:rPr>
          <w:rFonts w:asciiTheme="minorHAnsi" w:hAnsiTheme="minorHAnsi" w:cstheme="minorHAnsi"/>
          <w:color w:val="0D0D0D" w:themeColor="text1" w:themeTint="F2"/>
          <w:lang w:val="en-US"/>
        </w:rPr>
        <w:t xml:space="preserve"> </w:t>
      </w:r>
      <w:r w:rsidR="00F752A9" w:rsidRPr="00870330">
        <w:rPr>
          <w:rFonts w:asciiTheme="minorHAnsi" w:hAnsiTheme="minorHAnsi" w:cstheme="minorHAnsi"/>
          <w:color w:val="0D0D0D" w:themeColor="text1" w:themeTint="F2"/>
          <w:lang w:val="en-US"/>
        </w:rPr>
        <w:t>first difference.</w:t>
      </w:r>
    </w:p>
    <w:p w14:paraId="5EA5C942" w14:textId="51314130" w:rsidR="00827788" w:rsidRPr="00870330" w:rsidRDefault="004C2EEB" w:rsidP="002255F9">
      <w:pPr>
        <w:pStyle w:val="NormalafterHeading"/>
        <w:spacing w:line="259" w:lineRule="auto"/>
        <w:rPr>
          <w:rFonts w:asciiTheme="minorHAnsi" w:hAnsiTheme="minorHAnsi" w:cstheme="minorHAnsi"/>
          <w:color w:val="0D0D0D" w:themeColor="text1" w:themeTint="F2"/>
          <w:lang w:val="en-US"/>
        </w:rPr>
      </w:pPr>
      <w:r w:rsidRPr="00870330">
        <w:rPr>
          <w:rFonts w:asciiTheme="minorHAnsi" w:hAnsiTheme="minorHAnsi" w:cstheme="minorHAnsi"/>
          <w:color w:val="0D0D0D" w:themeColor="text1" w:themeTint="F2"/>
          <w:lang w:val="en-US"/>
        </w:rPr>
        <w:t>*</w:t>
      </w:r>
      <w:proofErr w:type="gramStart"/>
      <w:r w:rsidRPr="00870330">
        <w:rPr>
          <w:rFonts w:asciiTheme="minorHAnsi" w:hAnsiTheme="minorHAnsi" w:cstheme="minorHAnsi"/>
          <w:color w:val="0D0D0D" w:themeColor="text1" w:themeTint="F2"/>
          <w:lang w:val="en-US"/>
        </w:rPr>
        <w:t>,*</w:t>
      </w:r>
      <w:proofErr w:type="gramEnd"/>
      <w:r w:rsidRPr="00870330">
        <w:rPr>
          <w:rFonts w:asciiTheme="minorHAnsi" w:hAnsiTheme="minorHAnsi" w:cstheme="minorHAnsi"/>
          <w:color w:val="0D0D0D" w:themeColor="text1" w:themeTint="F2"/>
          <w:lang w:val="en-US"/>
        </w:rPr>
        <w:t>*, and ***</w:t>
      </w:r>
      <w:r w:rsidR="00032305" w:rsidRPr="00870330">
        <w:rPr>
          <w:rFonts w:asciiTheme="minorHAnsi" w:hAnsiTheme="minorHAnsi" w:cstheme="minorHAnsi"/>
          <w:color w:val="0D0D0D" w:themeColor="text1" w:themeTint="F2"/>
          <w:lang w:val="en-US"/>
        </w:rPr>
        <w:t xml:space="preserve"> indicate significant at 10, 5</w:t>
      </w:r>
      <w:r w:rsidR="002255F9" w:rsidRPr="00870330">
        <w:rPr>
          <w:rFonts w:asciiTheme="minorHAnsi" w:hAnsiTheme="minorHAnsi" w:cstheme="minorHAnsi"/>
          <w:color w:val="0D0D0D" w:themeColor="text1" w:themeTint="F2"/>
          <w:lang w:val="en-US"/>
        </w:rPr>
        <w:t>, and 1%</w:t>
      </w:r>
      <w:r w:rsidR="003769B1" w:rsidRPr="00870330">
        <w:rPr>
          <w:rFonts w:asciiTheme="minorHAnsi" w:hAnsiTheme="minorHAnsi" w:cstheme="minorHAnsi"/>
          <w:color w:val="0D0D0D" w:themeColor="text1" w:themeTint="F2"/>
          <w:lang w:val="en-US"/>
        </w:rPr>
        <w:t xml:space="preserve"> level.</w:t>
      </w:r>
    </w:p>
    <w:p w14:paraId="7465D787" w14:textId="77777777" w:rsidR="00CC723E" w:rsidRPr="00870330" w:rsidRDefault="00CC723E" w:rsidP="00113308">
      <w:pPr>
        <w:spacing w:after="0"/>
        <w:rPr>
          <w:lang w:val="en-US" w:eastAsia="id-ID"/>
        </w:rPr>
      </w:pPr>
    </w:p>
    <w:p w14:paraId="67CB115C" w14:textId="77777777" w:rsidR="00CC723E" w:rsidRPr="00870330" w:rsidRDefault="00CC723E" w:rsidP="00113308">
      <w:pPr>
        <w:spacing w:after="0"/>
        <w:rPr>
          <w:lang w:val="en-US" w:eastAsia="id-ID"/>
        </w:rPr>
      </w:pPr>
    </w:p>
    <w:p w14:paraId="1068BEE2" w14:textId="77777777" w:rsidR="00B43240" w:rsidRPr="00870330" w:rsidRDefault="00B43240" w:rsidP="00B43240">
      <w:pPr>
        <w:pStyle w:val="NormalafterHeading"/>
        <w:spacing w:line="259" w:lineRule="auto"/>
        <w:rPr>
          <w:rFonts w:asciiTheme="minorHAnsi" w:hAnsiTheme="minorHAnsi" w:cstheme="minorHAnsi"/>
          <w:b/>
          <w:color w:val="0D0D0D" w:themeColor="text1" w:themeTint="F2"/>
          <w:lang w:val="en-US"/>
        </w:rPr>
      </w:pPr>
      <w:proofErr w:type="spellStart"/>
      <w:r w:rsidRPr="00870330">
        <w:rPr>
          <w:rFonts w:asciiTheme="minorHAnsi" w:hAnsiTheme="minorHAnsi" w:cstheme="minorHAnsi"/>
          <w:b/>
          <w:color w:val="0D0D0D" w:themeColor="text1" w:themeTint="F2"/>
          <w:lang w:val="en-US"/>
        </w:rPr>
        <w:t>Cointegration</w:t>
      </w:r>
      <w:proofErr w:type="spellEnd"/>
      <w:r w:rsidRPr="00870330">
        <w:rPr>
          <w:rFonts w:asciiTheme="minorHAnsi" w:hAnsiTheme="minorHAnsi" w:cstheme="minorHAnsi"/>
          <w:b/>
          <w:color w:val="0D0D0D" w:themeColor="text1" w:themeTint="F2"/>
          <w:lang w:val="en-US"/>
        </w:rPr>
        <w:t xml:space="preserve"> Test Result</w:t>
      </w:r>
    </w:p>
    <w:p w14:paraId="1D6FA870" w14:textId="2B3A4FF1" w:rsidR="00B43240" w:rsidRPr="00870330" w:rsidRDefault="00B43240" w:rsidP="00B43240">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 xml:space="preserve">Table 4 </w:t>
      </w:r>
      <w:r w:rsidR="003F79A7" w:rsidRPr="00870330">
        <w:rPr>
          <w:rFonts w:asciiTheme="minorHAnsi" w:hAnsiTheme="minorHAnsi" w:cstheme="minorHAnsi"/>
          <w:color w:val="0D0D0D" w:themeColor="text1" w:themeTint="F2"/>
          <w:lang w:eastAsia="id-ID"/>
        </w:rPr>
        <w:t>show</w:t>
      </w:r>
      <w:r w:rsidRPr="00870330">
        <w:rPr>
          <w:rFonts w:asciiTheme="minorHAnsi" w:hAnsiTheme="minorHAnsi" w:cstheme="minorHAnsi"/>
          <w:color w:val="0D0D0D" w:themeColor="text1" w:themeTint="F2"/>
          <w:lang w:eastAsia="id-ID"/>
        </w:rPr>
        <w:t xml:space="preserve">s the results of the </w:t>
      </w:r>
      <w:r w:rsidR="00306F05" w:rsidRPr="00870330">
        <w:rPr>
          <w:rFonts w:asciiTheme="minorHAnsi" w:hAnsiTheme="minorHAnsi" w:cstheme="minorHAnsi"/>
          <w:color w:val="0D0D0D" w:themeColor="text1" w:themeTint="F2"/>
          <w:lang w:eastAsia="id-ID"/>
        </w:rPr>
        <w:t xml:space="preserve">panel </w:t>
      </w:r>
      <w:proofErr w:type="spellStart"/>
      <w:r w:rsidRPr="00870330">
        <w:rPr>
          <w:rFonts w:asciiTheme="minorHAnsi" w:hAnsiTheme="minorHAnsi" w:cstheme="minorHAnsi"/>
          <w:color w:val="0D0D0D" w:themeColor="text1" w:themeTint="F2"/>
          <w:lang w:eastAsia="id-ID"/>
        </w:rPr>
        <w:t>cointegration</w:t>
      </w:r>
      <w:proofErr w:type="spellEnd"/>
      <w:r w:rsidRPr="00870330">
        <w:rPr>
          <w:rFonts w:asciiTheme="minorHAnsi" w:hAnsiTheme="minorHAnsi" w:cstheme="minorHAnsi"/>
          <w:color w:val="0D0D0D" w:themeColor="text1" w:themeTint="F2"/>
          <w:lang w:eastAsia="id-ID"/>
        </w:rPr>
        <w:t xml:space="preserve"> test. The statistical values of the Kao (MDF-t, DF-t, ADF-t, Unadjusted MDF-t, and Unadjusted DF-t), </w:t>
      </w:r>
      <w:proofErr w:type="spellStart"/>
      <w:r w:rsidRPr="00870330">
        <w:rPr>
          <w:rFonts w:asciiTheme="minorHAnsi" w:hAnsiTheme="minorHAnsi" w:cstheme="minorHAnsi"/>
          <w:color w:val="0D0D0D" w:themeColor="text1" w:themeTint="F2"/>
          <w:lang w:eastAsia="id-ID"/>
        </w:rPr>
        <w:t>Pedroni</w:t>
      </w:r>
      <w:proofErr w:type="spellEnd"/>
      <w:r w:rsidRPr="00870330">
        <w:rPr>
          <w:rFonts w:asciiTheme="minorHAnsi" w:hAnsiTheme="minorHAnsi" w:cstheme="minorHAnsi"/>
          <w:color w:val="0D0D0D" w:themeColor="text1" w:themeTint="F2"/>
          <w:lang w:eastAsia="id-ID"/>
        </w:rPr>
        <w:t xml:space="preserve"> (Group rho-stat, Group PP-stat, Group ADF-stat, Panel PP-stat, Panel ADF-stat), and </w:t>
      </w:r>
      <w:proofErr w:type="spellStart"/>
      <w:r w:rsidRPr="00870330">
        <w:rPr>
          <w:rFonts w:asciiTheme="minorHAnsi" w:hAnsiTheme="minorHAnsi" w:cstheme="minorHAnsi"/>
          <w:color w:val="0D0D0D" w:themeColor="text1" w:themeTint="F2"/>
          <w:lang w:eastAsia="id-ID"/>
        </w:rPr>
        <w:t>Westerlund</w:t>
      </w:r>
      <w:proofErr w:type="spellEnd"/>
      <w:r w:rsidRPr="00870330">
        <w:rPr>
          <w:rFonts w:asciiTheme="minorHAnsi" w:hAnsiTheme="minorHAnsi" w:cstheme="minorHAnsi"/>
          <w:color w:val="0D0D0D" w:themeColor="text1" w:themeTint="F2"/>
          <w:lang w:eastAsia="id-ID"/>
        </w:rPr>
        <w:t xml:space="preserve"> (Variance Ratio) represent the rejection for the null hypothesis, i.e. no </w:t>
      </w:r>
      <w:proofErr w:type="spellStart"/>
      <w:r w:rsidRPr="00870330">
        <w:rPr>
          <w:rFonts w:asciiTheme="minorHAnsi" w:hAnsiTheme="minorHAnsi" w:cstheme="minorHAnsi"/>
          <w:color w:val="0D0D0D" w:themeColor="text1" w:themeTint="F2"/>
          <w:lang w:eastAsia="id-ID"/>
        </w:rPr>
        <w:t>cointegration</w:t>
      </w:r>
      <w:proofErr w:type="spellEnd"/>
      <w:r w:rsidRPr="00870330">
        <w:rPr>
          <w:rFonts w:asciiTheme="minorHAnsi" w:hAnsiTheme="minorHAnsi" w:cstheme="minorHAnsi"/>
          <w:color w:val="0D0D0D" w:themeColor="text1" w:themeTint="F2"/>
          <w:lang w:eastAsia="id-ID"/>
        </w:rPr>
        <w:t xml:space="preserve">. Each is significant at the 5% or 1% significance level. A proven long-term relationship is evident. A number of variables (DEF, GDP, </w:t>
      </w:r>
      <w:r w:rsidR="00924275" w:rsidRPr="00870330">
        <w:rPr>
          <w:rFonts w:asciiTheme="minorHAnsi" w:hAnsiTheme="minorHAnsi" w:cstheme="minorHAnsi"/>
          <w:color w:val="0D0D0D" w:themeColor="text1" w:themeTint="F2"/>
          <w:lang w:eastAsia="id-ID"/>
        </w:rPr>
        <w:t xml:space="preserve">GDP2, </w:t>
      </w:r>
      <w:r w:rsidRPr="00870330">
        <w:rPr>
          <w:rFonts w:asciiTheme="minorHAnsi" w:hAnsiTheme="minorHAnsi" w:cstheme="minorHAnsi"/>
          <w:color w:val="0D0D0D" w:themeColor="text1" w:themeTint="F2"/>
          <w:lang w:eastAsia="id-ID"/>
        </w:rPr>
        <w:t xml:space="preserve">TOP, ARABLE, POPG, and COR) are </w:t>
      </w:r>
      <w:proofErr w:type="spellStart"/>
      <w:r w:rsidRPr="00870330">
        <w:rPr>
          <w:rFonts w:asciiTheme="minorHAnsi" w:hAnsiTheme="minorHAnsi" w:cstheme="minorHAnsi"/>
          <w:color w:val="0D0D0D" w:themeColor="text1" w:themeTint="F2"/>
          <w:lang w:eastAsia="id-ID"/>
        </w:rPr>
        <w:t>cointegrated</w:t>
      </w:r>
      <w:proofErr w:type="spellEnd"/>
      <w:r w:rsidRPr="00870330">
        <w:rPr>
          <w:rFonts w:asciiTheme="minorHAnsi" w:hAnsiTheme="minorHAnsi" w:cstheme="minorHAnsi"/>
          <w:color w:val="0D0D0D" w:themeColor="text1" w:themeTint="F2"/>
          <w:lang w:eastAsia="id-ID"/>
        </w:rPr>
        <w:t>, i.e. moving together tow</w:t>
      </w:r>
      <w:r w:rsidR="00CB1312" w:rsidRPr="00870330">
        <w:rPr>
          <w:rFonts w:asciiTheme="minorHAnsi" w:hAnsiTheme="minorHAnsi" w:cstheme="minorHAnsi"/>
          <w:color w:val="0D0D0D" w:themeColor="text1" w:themeTint="F2"/>
          <w:lang w:eastAsia="id-ID"/>
        </w:rPr>
        <w:t>ards long-run equilibrium. T</w:t>
      </w:r>
      <w:r w:rsidRPr="00870330">
        <w:rPr>
          <w:rFonts w:asciiTheme="minorHAnsi" w:hAnsiTheme="minorHAnsi" w:cstheme="minorHAnsi"/>
          <w:color w:val="0D0D0D" w:themeColor="text1" w:themeTint="F2"/>
          <w:lang w:eastAsia="id-ID"/>
        </w:rPr>
        <w:t xml:space="preserve">he existence of </w:t>
      </w:r>
      <w:proofErr w:type="spellStart"/>
      <w:r w:rsidRPr="00870330">
        <w:rPr>
          <w:rFonts w:asciiTheme="minorHAnsi" w:hAnsiTheme="minorHAnsi" w:cstheme="minorHAnsi"/>
          <w:color w:val="0D0D0D" w:themeColor="text1" w:themeTint="F2"/>
          <w:lang w:eastAsia="id-ID"/>
        </w:rPr>
        <w:t>cointegration</w:t>
      </w:r>
      <w:proofErr w:type="spellEnd"/>
      <w:r w:rsidRPr="00870330">
        <w:rPr>
          <w:rFonts w:asciiTheme="minorHAnsi" w:hAnsiTheme="minorHAnsi" w:cstheme="minorHAnsi"/>
          <w:color w:val="0D0D0D" w:themeColor="text1" w:themeTint="F2"/>
          <w:lang w:eastAsia="id-ID"/>
        </w:rPr>
        <w:t xml:space="preserve"> confirms that adopting the PMG estimation method is appropriate.</w:t>
      </w:r>
    </w:p>
    <w:p w14:paraId="5F9D9D56" w14:textId="77777777" w:rsidR="00B43240" w:rsidRPr="00870330" w:rsidRDefault="00B43240" w:rsidP="00B43240">
      <w:pPr>
        <w:pStyle w:val="NormalafterHeading"/>
        <w:spacing w:line="259" w:lineRule="auto"/>
        <w:rPr>
          <w:rFonts w:asciiTheme="minorHAnsi" w:hAnsiTheme="minorHAnsi" w:cstheme="minorHAnsi"/>
          <w:color w:val="0D0D0D" w:themeColor="text1" w:themeTint="F2"/>
          <w:lang w:val="en-US"/>
        </w:rPr>
      </w:pPr>
    </w:p>
    <w:p w14:paraId="3CA9E57A" w14:textId="77777777" w:rsidR="00B43240" w:rsidRPr="00870330" w:rsidRDefault="00B43240" w:rsidP="00B43240">
      <w:pPr>
        <w:pStyle w:val="NormalafterHeading"/>
        <w:spacing w:line="259" w:lineRule="auto"/>
        <w:jc w:val="center"/>
        <w:rPr>
          <w:rFonts w:asciiTheme="minorHAnsi" w:hAnsiTheme="minorHAnsi" w:cstheme="minorHAnsi"/>
          <w:color w:val="0D0D0D" w:themeColor="text1" w:themeTint="F2"/>
          <w:lang w:val="en-US"/>
        </w:rPr>
      </w:pPr>
      <w:r w:rsidRPr="00870330">
        <w:rPr>
          <w:rFonts w:asciiTheme="minorHAnsi" w:hAnsiTheme="minorHAnsi" w:cstheme="minorHAnsi"/>
          <w:color w:val="0D0D0D" w:themeColor="text1" w:themeTint="F2"/>
          <w:lang w:val="en-US"/>
        </w:rPr>
        <w:t xml:space="preserve">Table 4. </w:t>
      </w:r>
      <w:proofErr w:type="spellStart"/>
      <w:r w:rsidRPr="00870330">
        <w:rPr>
          <w:rFonts w:asciiTheme="minorHAnsi" w:hAnsiTheme="minorHAnsi" w:cstheme="minorHAnsi"/>
          <w:color w:val="0D0D0D" w:themeColor="text1" w:themeTint="F2"/>
          <w:lang w:val="en-US"/>
        </w:rPr>
        <w:t>Cointegration</w:t>
      </w:r>
      <w:proofErr w:type="spellEnd"/>
      <w:r w:rsidRPr="00870330">
        <w:rPr>
          <w:rFonts w:asciiTheme="minorHAnsi" w:hAnsiTheme="minorHAnsi" w:cstheme="minorHAnsi"/>
          <w:color w:val="0D0D0D" w:themeColor="text1" w:themeTint="F2"/>
          <w:lang w:val="en-US"/>
        </w:rPr>
        <w:t xml:space="preserve"> Test Result</w:t>
      </w:r>
    </w:p>
    <w:tbl>
      <w:tblPr>
        <w:tblW w:w="0" w:type="auto"/>
        <w:tblInd w:w="108" w:type="dxa"/>
        <w:tblLook w:val="04A0" w:firstRow="1" w:lastRow="0" w:firstColumn="1" w:lastColumn="0" w:noHBand="0" w:noVBand="1"/>
      </w:tblPr>
      <w:tblGrid>
        <w:gridCol w:w="2160"/>
        <w:gridCol w:w="2736"/>
        <w:gridCol w:w="1992"/>
        <w:gridCol w:w="2030"/>
      </w:tblGrid>
      <w:tr w:rsidR="00B43240" w:rsidRPr="00870330" w14:paraId="2AA8241E" w14:textId="77777777" w:rsidTr="00266117">
        <w:tc>
          <w:tcPr>
            <w:tcW w:w="2160" w:type="dxa"/>
            <w:tcBorders>
              <w:top w:val="single" w:sz="4" w:space="0" w:color="auto"/>
              <w:bottom w:val="single" w:sz="4" w:space="0" w:color="auto"/>
            </w:tcBorders>
            <w:shd w:val="clear" w:color="auto" w:fill="auto"/>
          </w:tcPr>
          <w:p w14:paraId="5CD54F1D" w14:textId="77777777" w:rsidR="00B43240" w:rsidRPr="00870330" w:rsidRDefault="00B43240" w:rsidP="00266117">
            <w:pPr>
              <w:spacing w:after="0"/>
              <w:jc w:val="both"/>
              <w:rPr>
                <w:rFonts w:asciiTheme="minorHAnsi" w:eastAsia="Times New Roman" w:hAnsiTheme="minorHAnsi" w:cstheme="minorHAnsi"/>
                <w:b/>
                <w:color w:val="0D0D0D" w:themeColor="text1" w:themeTint="F2"/>
              </w:rPr>
            </w:pPr>
          </w:p>
        </w:tc>
        <w:tc>
          <w:tcPr>
            <w:tcW w:w="2736" w:type="dxa"/>
            <w:tcBorders>
              <w:top w:val="single" w:sz="4" w:space="0" w:color="auto"/>
              <w:bottom w:val="single" w:sz="4" w:space="0" w:color="auto"/>
            </w:tcBorders>
            <w:shd w:val="clear" w:color="auto" w:fill="auto"/>
          </w:tcPr>
          <w:p w14:paraId="7E48E48C" w14:textId="77777777" w:rsidR="00B43240" w:rsidRPr="00870330" w:rsidRDefault="00B43240" w:rsidP="00266117">
            <w:pPr>
              <w:spacing w:after="0"/>
              <w:jc w:val="both"/>
              <w:rPr>
                <w:rFonts w:asciiTheme="minorHAnsi" w:eastAsia="Times New Roman" w:hAnsiTheme="minorHAnsi" w:cstheme="minorHAnsi"/>
                <w:b/>
                <w:color w:val="0D0D0D" w:themeColor="text1" w:themeTint="F2"/>
              </w:rPr>
            </w:pPr>
          </w:p>
        </w:tc>
        <w:tc>
          <w:tcPr>
            <w:tcW w:w="1992" w:type="dxa"/>
            <w:tcBorders>
              <w:top w:val="single" w:sz="4" w:space="0" w:color="auto"/>
              <w:bottom w:val="single" w:sz="4" w:space="0" w:color="auto"/>
            </w:tcBorders>
            <w:shd w:val="clear" w:color="auto" w:fill="auto"/>
          </w:tcPr>
          <w:p w14:paraId="4D74C6F8" w14:textId="77777777" w:rsidR="00B43240" w:rsidRPr="00870330" w:rsidRDefault="00B43240" w:rsidP="00266117">
            <w:pPr>
              <w:spacing w:after="0"/>
              <w:jc w:val="right"/>
              <w:rPr>
                <w:rFonts w:asciiTheme="minorHAnsi" w:eastAsia="Times New Roman" w:hAnsiTheme="minorHAnsi" w:cstheme="minorHAnsi"/>
                <w:b/>
                <w:color w:val="0D0D0D" w:themeColor="text1" w:themeTint="F2"/>
              </w:rPr>
            </w:pPr>
            <w:r w:rsidRPr="00870330">
              <w:rPr>
                <w:rFonts w:asciiTheme="minorHAnsi" w:eastAsia="Times New Roman" w:hAnsiTheme="minorHAnsi" w:cstheme="minorHAnsi"/>
                <w:b/>
                <w:color w:val="0D0D0D" w:themeColor="text1" w:themeTint="F2"/>
              </w:rPr>
              <w:t>t-statistic</w:t>
            </w:r>
          </w:p>
        </w:tc>
        <w:tc>
          <w:tcPr>
            <w:tcW w:w="2030" w:type="dxa"/>
            <w:tcBorders>
              <w:top w:val="single" w:sz="4" w:space="0" w:color="auto"/>
              <w:bottom w:val="single" w:sz="4" w:space="0" w:color="auto"/>
            </w:tcBorders>
            <w:shd w:val="clear" w:color="auto" w:fill="auto"/>
          </w:tcPr>
          <w:p w14:paraId="1401F888" w14:textId="77777777" w:rsidR="00B43240" w:rsidRPr="00870330" w:rsidRDefault="00B43240" w:rsidP="00266117">
            <w:pPr>
              <w:spacing w:after="0"/>
              <w:jc w:val="right"/>
              <w:rPr>
                <w:rFonts w:asciiTheme="minorHAnsi" w:eastAsia="Times New Roman" w:hAnsiTheme="minorHAnsi" w:cstheme="minorHAnsi"/>
                <w:b/>
                <w:color w:val="0D0D0D" w:themeColor="text1" w:themeTint="F2"/>
              </w:rPr>
            </w:pPr>
            <w:r w:rsidRPr="00870330">
              <w:rPr>
                <w:rFonts w:asciiTheme="minorHAnsi" w:eastAsia="Times New Roman" w:hAnsiTheme="minorHAnsi" w:cstheme="minorHAnsi"/>
                <w:b/>
                <w:color w:val="0D0D0D" w:themeColor="text1" w:themeTint="F2"/>
              </w:rPr>
              <w:t>p-value</w:t>
            </w:r>
          </w:p>
        </w:tc>
      </w:tr>
      <w:tr w:rsidR="00B43240" w:rsidRPr="00870330" w14:paraId="28E5C60D" w14:textId="77777777" w:rsidTr="00266117">
        <w:tc>
          <w:tcPr>
            <w:tcW w:w="2160" w:type="dxa"/>
            <w:tcBorders>
              <w:top w:val="single" w:sz="4" w:space="0" w:color="auto"/>
            </w:tcBorders>
            <w:shd w:val="clear" w:color="auto" w:fill="auto"/>
            <w:vAlign w:val="center"/>
          </w:tcPr>
          <w:p w14:paraId="0F7E5AE8" w14:textId="77777777" w:rsidR="00B43240" w:rsidRPr="00870330" w:rsidRDefault="00B43240"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Kao</w:t>
            </w:r>
          </w:p>
        </w:tc>
        <w:tc>
          <w:tcPr>
            <w:tcW w:w="2736" w:type="dxa"/>
            <w:tcBorders>
              <w:top w:val="single" w:sz="4" w:space="0" w:color="auto"/>
            </w:tcBorders>
            <w:shd w:val="clear" w:color="auto" w:fill="auto"/>
            <w:vAlign w:val="center"/>
          </w:tcPr>
          <w:p w14:paraId="7D723F1C" w14:textId="4F954321" w:rsidR="00B43240" w:rsidRPr="00870330" w:rsidRDefault="00CB1312"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MDF-Stat</w:t>
            </w:r>
          </w:p>
        </w:tc>
        <w:tc>
          <w:tcPr>
            <w:tcW w:w="1992" w:type="dxa"/>
            <w:tcBorders>
              <w:top w:val="single" w:sz="4" w:space="0" w:color="auto"/>
            </w:tcBorders>
            <w:shd w:val="clear" w:color="auto" w:fill="auto"/>
            <w:vAlign w:val="bottom"/>
          </w:tcPr>
          <w:p w14:paraId="22EC044B"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-5.0896***</w:t>
            </w:r>
          </w:p>
        </w:tc>
        <w:tc>
          <w:tcPr>
            <w:tcW w:w="2030" w:type="dxa"/>
            <w:tcBorders>
              <w:top w:val="single" w:sz="4" w:space="0" w:color="auto"/>
            </w:tcBorders>
            <w:shd w:val="clear" w:color="auto" w:fill="auto"/>
            <w:vAlign w:val="bottom"/>
          </w:tcPr>
          <w:p w14:paraId="536D731B"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r>
      <w:tr w:rsidR="00B43240" w:rsidRPr="00870330" w14:paraId="43054BF8" w14:textId="77777777" w:rsidTr="00266117">
        <w:tc>
          <w:tcPr>
            <w:tcW w:w="2160" w:type="dxa"/>
            <w:shd w:val="clear" w:color="auto" w:fill="auto"/>
            <w:vAlign w:val="bottom"/>
          </w:tcPr>
          <w:p w14:paraId="11EBA223" w14:textId="77777777" w:rsidR="00B43240" w:rsidRPr="00870330" w:rsidRDefault="00B43240" w:rsidP="00266117">
            <w:pPr>
              <w:spacing w:after="0"/>
              <w:jc w:val="right"/>
              <w:rPr>
                <w:rFonts w:asciiTheme="minorHAnsi" w:hAnsiTheme="minorHAnsi" w:cstheme="minorHAnsi"/>
                <w:color w:val="0D0D0D" w:themeColor="text1" w:themeTint="F2"/>
              </w:rPr>
            </w:pPr>
          </w:p>
        </w:tc>
        <w:tc>
          <w:tcPr>
            <w:tcW w:w="2736" w:type="dxa"/>
            <w:shd w:val="clear" w:color="auto" w:fill="auto"/>
            <w:vAlign w:val="center"/>
          </w:tcPr>
          <w:p w14:paraId="17B7E226" w14:textId="4153E657" w:rsidR="00B43240" w:rsidRPr="00870330" w:rsidRDefault="00CB1312"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DF-Stat</w:t>
            </w:r>
          </w:p>
        </w:tc>
        <w:tc>
          <w:tcPr>
            <w:tcW w:w="1992" w:type="dxa"/>
            <w:shd w:val="clear" w:color="auto" w:fill="auto"/>
            <w:vAlign w:val="bottom"/>
          </w:tcPr>
          <w:p w14:paraId="046B7F96"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-3.9119***</w:t>
            </w:r>
          </w:p>
        </w:tc>
        <w:tc>
          <w:tcPr>
            <w:tcW w:w="2030" w:type="dxa"/>
            <w:shd w:val="clear" w:color="auto" w:fill="auto"/>
            <w:vAlign w:val="bottom"/>
          </w:tcPr>
          <w:p w14:paraId="2B0A3E50"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r>
      <w:tr w:rsidR="00B43240" w:rsidRPr="00870330" w14:paraId="3B478A01" w14:textId="77777777" w:rsidTr="00266117">
        <w:trPr>
          <w:trHeight w:val="150"/>
        </w:trPr>
        <w:tc>
          <w:tcPr>
            <w:tcW w:w="2160" w:type="dxa"/>
            <w:shd w:val="clear" w:color="auto" w:fill="auto"/>
            <w:vAlign w:val="bottom"/>
          </w:tcPr>
          <w:p w14:paraId="3D4038D1" w14:textId="77777777" w:rsidR="00B43240" w:rsidRPr="00870330" w:rsidRDefault="00B43240" w:rsidP="00266117">
            <w:pPr>
              <w:spacing w:after="0"/>
              <w:jc w:val="right"/>
              <w:rPr>
                <w:rFonts w:asciiTheme="minorHAnsi" w:hAnsiTheme="minorHAnsi" w:cstheme="minorHAnsi"/>
                <w:color w:val="0D0D0D" w:themeColor="text1" w:themeTint="F2"/>
              </w:rPr>
            </w:pPr>
          </w:p>
        </w:tc>
        <w:tc>
          <w:tcPr>
            <w:tcW w:w="2736" w:type="dxa"/>
            <w:shd w:val="clear" w:color="auto" w:fill="auto"/>
            <w:vAlign w:val="center"/>
          </w:tcPr>
          <w:p w14:paraId="63D08DF4" w14:textId="5795CBC9" w:rsidR="00B43240" w:rsidRPr="00870330" w:rsidRDefault="00CB1312"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ADF-Stat</w:t>
            </w:r>
          </w:p>
        </w:tc>
        <w:tc>
          <w:tcPr>
            <w:tcW w:w="1992" w:type="dxa"/>
            <w:shd w:val="clear" w:color="auto" w:fill="auto"/>
            <w:vAlign w:val="bottom"/>
          </w:tcPr>
          <w:p w14:paraId="52E2B649"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-2.2840**</w:t>
            </w:r>
          </w:p>
        </w:tc>
        <w:tc>
          <w:tcPr>
            <w:tcW w:w="2030" w:type="dxa"/>
            <w:shd w:val="clear" w:color="auto" w:fill="auto"/>
            <w:vAlign w:val="bottom"/>
          </w:tcPr>
          <w:p w14:paraId="5E77F6E5"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0.011</w:t>
            </w:r>
          </w:p>
        </w:tc>
      </w:tr>
      <w:tr w:rsidR="00B43240" w:rsidRPr="00870330" w14:paraId="1FD91732" w14:textId="77777777" w:rsidTr="00266117">
        <w:trPr>
          <w:trHeight w:val="126"/>
        </w:trPr>
        <w:tc>
          <w:tcPr>
            <w:tcW w:w="2160" w:type="dxa"/>
            <w:shd w:val="clear" w:color="auto" w:fill="auto"/>
            <w:vAlign w:val="bottom"/>
          </w:tcPr>
          <w:p w14:paraId="428627E6" w14:textId="77777777" w:rsidR="00B43240" w:rsidRPr="00870330" w:rsidRDefault="00B43240" w:rsidP="00266117">
            <w:pPr>
              <w:spacing w:after="0"/>
              <w:jc w:val="right"/>
              <w:rPr>
                <w:rFonts w:asciiTheme="minorHAnsi" w:hAnsiTheme="minorHAnsi" w:cstheme="minorHAnsi"/>
                <w:color w:val="0D0D0D" w:themeColor="text1" w:themeTint="F2"/>
              </w:rPr>
            </w:pPr>
          </w:p>
        </w:tc>
        <w:tc>
          <w:tcPr>
            <w:tcW w:w="2736" w:type="dxa"/>
            <w:shd w:val="clear" w:color="auto" w:fill="auto"/>
            <w:vAlign w:val="center"/>
          </w:tcPr>
          <w:p w14:paraId="2FB56CBC" w14:textId="2B997EA5" w:rsidR="00B43240" w:rsidRPr="00870330" w:rsidRDefault="00CB1312"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Unadjusted MDF-Stat</w:t>
            </w:r>
          </w:p>
        </w:tc>
        <w:tc>
          <w:tcPr>
            <w:tcW w:w="1992" w:type="dxa"/>
            <w:shd w:val="clear" w:color="auto" w:fill="auto"/>
            <w:vAlign w:val="bottom"/>
          </w:tcPr>
          <w:p w14:paraId="5E193B64"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-5.6490***</w:t>
            </w:r>
          </w:p>
        </w:tc>
        <w:tc>
          <w:tcPr>
            <w:tcW w:w="2030" w:type="dxa"/>
            <w:shd w:val="clear" w:color="auto" w:fill="auto"/>
            <w:vAlign w:val="bottom"/>
          </w:tcPr>
          <w:p w14:paraId="09085608"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r>
      <w:tr w:rsidR="00B43240" w:rsidRPr="00870330" w14:paraId="26689C33" w14:textId="77777777" w:rsidTr="00266117">
        <w:trPr>
          <w:trHeight w:val="135"/>
        </w:trPr>
        <w:tc>
          <w:tcPr>
            <w:tcW w:w="2160" w:type="dxa"/>
            <w:tcBorders>
              <w:bottom w:val="single" w:sz="4" w:space="0" w:color="auto"/>
            </w:tcBorders>
            <w:shd w:val="clear" w:color="auto" w:fill="auto"/>
            <w:vAlign w:val="bottom"/>
          </w:tcPr>
          <w:p w14:paraId="665BAC08" w14:textId="77777777" w:rsidR="00B43240" w:rsidRPr="00870330" w:rsidRDefault="00B43240" w:rsidP="00266117">
            <w:pPr>
              <w:spacing w:after="0"/>
              <w:jc w:val="right"/>
              <w:rPr>
                <w:rFonts w:asciiTheme="minorHAnsi" w:hAnsiTheme="minorHAnsi" w:cstheme="minorHAnsi"/>
                <w:color w:val="0D0D0D" w:themeColor="text1" w:themeTint="F2"/>
              </w:rPr>
            </w:pPr>
          </w:p>
        </w:tc>
        <w:tc>
          <w:tcPr>
            <w:tcW w:w="2736" w:type="dxa"/>
            <w:tcBorders>
              <w:bottom w:val="single" w:sz="4" w:space="0" w:color="auto"/>
            </w:tcBorders>
            <w:shd w:val="clear" w:color="auto" w:fill="auto"/>
            <w:vAlign w:val="center"/>
          </w:tcPr>
          <w:p w14:paraId="65E3AB0F" w14:textId="1B721C3A" w:rsidR="00B43240" w:rsidRPr="00870330" w:rsidRDefault="00CB1312"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Unadjusted DF-Stat</w:t>
            </w:r>
          </w:p>
        </w:tc>
        <w:tc>
          <w:tcPr>
            <w:tcW w:w="1992" w:type="dxa"/>
            <w:tcBorders>
              <w:bottom w:val="single" w:sz="4" w:space="0" w:color="auto"/>
            </w:tcBorders>
            <w:shd w:val="clear" w:color="auto" w:fill="auto"/>
            <w:vAlign w:val="bottom"/>
          </w:tcPr>
          <w:p w14:paraId="6A265DD3"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-4.0522***</w:t>
            </w:r>
          </w:p>
        </w:tc>
        <w:tc>
          <w:tcPr>
            <w:tcW w:w="2030" w:type="dxa"/>
            <w:tcBorders>
              <w:bottom w:val="single" w:sz="4" w:space="0" w:color="auto"/>
            </w:tcBorders>
            <w:shd w:val="clear" w:color="auto" w:fill="auto"/>
            <w:vAlign w:val="bottom"/>
          </w:tcPr>
          <w:p w14:paraId="5CEA5FC3"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r>
      <w:tr w:rsidR="00B43240" w:rsidRPr="00870330" w14:paraId="3F1F0C1A" w14:textId="77777777" w:rsidTr="00266117">
        <w:tc>
          <w:tcPr>
            <w:tcW w:w="2160" w:type="dxa"/>
            <w:tcBorders>
              <w:top w:val="single" w:sz="4" w:space="0" w:color="auto"/>
            </w:tcBorders>
            <w:shd w:val="clear" w:color="auto" w:fill="auto"/>
            <w:vAlign w:val="center"/>
          </w:tcPr>
          <w:p w14:paraId="163D1AA2" w14:textId="77777777" w:rsidR="00B43240" w:rsidRPr="00870330" w:rsidRDefault="00B43240" w:rsidP="00266117">
            <w:pPr>
              <w:spacing w:after="0"/>
              <w:rPr>
                <w:rFonts w:asciiTheme="minorHAnsi" w:hAnsiTheme="minorHAnsi" w:cstheme="minorHAnsi"/>
                <w:color w:val="0D0D0D" w:themeColor="text1" w:themeTint="F2"/>
              </w:rPr>
            </w:pPr>
            <w:proofErr w:type="spellStart"/>
            <w:r w:rsidRPr="00870330">
              <w:rPr>
                <w:rFonts w:asciiTheme="minorHAnsi" w:hAnsiTheme="minorHAnsi" w:cstheme="minorHAnsi"/>
                <w:color w:val="0D0D0D" w:themeColor="text1" w:themeTint="F2"/>
              </w:rPr>
              <w:t>Pedroni</w:t>
            </w:r>
            <w:proofErr w:type="spellEnd"/>
          </w:p>
        </w:tc>
        <w:tc>
          <w:tcPr>
            <w:tcW w:w="2736" w:type="dxa"/>
            <w:tcBorders>
              <w:top w:val="single" w:sz="4" w:space="0" w:color="auto"/>
            </w:tcBorders>
            <w:shd w:val="clear" w:color="auto" w:fill="auto"/>
            <w:vAlign w:val="center"/>
          </w:tcPr>
          <w:p w14:paraId="413384FB" w14:textId="505EC15F" w:rsidR="00B43240" w:rsidRPr="00870330" w:rsidRDefault="00B43240"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Group rho-</w:t>
            </w:r>
            <w:r w:rsidR="00CB1312" w:rsidRPr="00870330">
              <w:rPr>
                <w:rFonts w:asciiTheme="minorHAnsi" w:hAnsiTheme="minorHAnsi" w:cstheme="minorHAnsi"/>
                <w:color w:val="0D0D0D" w:themeColor="text1" w:themeTint="F2"/>
              </w:rPr>
              <w:t>Stat</w:t>
            </w:r>
          </w:p>
        </w:tc>
        <w:tc>
          <w:tcPr>
            <w:tcW w:w="1992" w:type="dxa"/>
            <w:tcBorders>
              <w:top w:val="single" w:sz="4" w:space="0" w:color="auto"/>
            </w:tcBorders>
            <w:shd w:val="clear" w:color="auto" w:fill="auto"/>
            <w:vAlign w:val="bottom"/>
          </w:tcPr>
          <w:p w14:paraId="708159A3"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2.0242**</w:t>
            </w:r>
          </w:p>
        </w:tc>
        <w:tc>
          <w:tcPr>
            <w:tcW w:w="2030" w:type="dxa"/>
            <w:tcBorders>
              <w:top w:val="single" w:sz="4" w:space="0" w:color="auto"/>
            </w:tcBorders>
            <w:shd w:val="clear" w:color="auto" w:fill="auto"/>
            <w:vAlign w:val="bottom"/>
          </w:tcPr>
          <w:p w14:paraId="2D58B4DB"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0.022</w:t>
            </w:r>
          </w:p>
        </w:tc>
      </w:tr>
      <w:tr w:rsidR="00B43240" w:rsidRPr="00870330" w14:paraId="082C9E8E" w14:textId="77777777" w:rsidTr="00266117">
        <w:tc>
          <w:tcPr>
            <w:tcW w:w="2160" w:type="dxa"/>
            <w:shd w:val="clear" w:color="auto" w:fill="auto"/>
            <w:vAlign w:val="center"/>
          </w:tcPr>
          <w:p w14:paraId="2520136B" w14:textId="77777777" w:rsidR="00B43240" w:rsidRPr="00870330" w:rsidRDefault="00B43240"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Individual AR</w:t>
            </w:r>
          </w:p>
        </w:tc>
        <w:tc>
          <w:tcPr>
            <w:tcW w:w="2736" w:type="dxa"/>
            <w:shd w:val="clear" w:color="auto" w:fill="auto"/>
            <w:vAlign w:val="center"/>
          </w:tcPr>
          <w:p w14:paraId="5A95BEC5" w14:textId="099038EB" w:rsidR="00B43240" w:rsidRPr="00870330" w:rsidRDefault="00B43240"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xml:space="preserve">Group </w:t>
            </w:r>
            <w:r w:rsidR="00CB1312" w:rsidRPr="00870330">
              <w:rPr>
                <w:rFonts w:asciiTheme="minorHAnsi" w:hAnsiTheme="minorHAnsi" w:cstheme="minorHAnsi"/>
                <w:color w:val="0D0D0D" w:themeColor="text1" w:themeTint="F2"/>
              </w:rPr>
              <w:t>PP-Stat</w:t>
            </w:r>
          </w:p>
        </w:tc>
        <w:tc>
          <w:tcPr>
            <w:tcW w:w="1992" w:type="dxa"/>
            <w:shd w:val="clear" w:color="auto" w:fill="auto"/>
            <w:vAlign w:val="bottom"/>
          </w:tcPr>
          <w:p w14:paraId="3DC46FAC"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-7.7297***</w:t>
            </w:r>
          </w:p>
        </w:tc>
        <w:tc>
          <w:tcPr>
            <w:tcW w:w="2030" w:type="dxa"/>
            <w:shd w:val="clear" w:color="auto" w:fill="auto"/>
            <w:vAlign w:val="bottom"/>
          </w:tcPr>
          <w:p w14:paraId="33FCE6BD"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r>
      <w:tr w:rsidR="00B43240" w:rsidRPr="00870330" w14:paraId="0DBB2168" w14:textId="77777777" w:rsidTr="00266117">
        <w:tc>
          <w:tcPr>
            <w:tcW w:w="2160" w:type="dxa"/>
            <w:tcBorders>
              <w:bottom w:val="single" w:sz="4" w:space="0" w:color="auto"/>
            </w:tcBorders>
            <w:shd w:val="clear" w:color="auto" w:fill="auto"/>
            <w:vAlign w:val="bottom"/>
          </w:tcPr>
          <w:p w14:paraId="32CB6269" w14:textId="77777777" w:rsidR="00B43240" w:rsidRPr="00870330" w:rsidRDefault="00B43240"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w:t>
            </w:r>
          </w:p>
        </w:tc>
        <w:tc>
          <w:tcPr>
            <w:tcW w:w="2736" w:type="dxa"/>
            <w:tcBorders>
              <w:bottom w:val="single" w:sz="4" w:space="0" w:color="auto"/>
            </w:tcBorders>
            <w:shd w:val="clear" w:color="auto" w:fill="auto"/>
            <w:vAlign w:val="center"/>
          </w:tcPr>
          <w:p w14:paraId="3F8B3228" w14:textId="7CE4507B" w:rsidR="00B43240" w:rsidRPr="00870330" w:rsidRDefault="00B43240"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xml:space="preserve">Group ADF-Stat </w:t>
            </w:r>
          </w:p>
        </w:tc>
        <w:tc>
          <w:tcPr>
            <w:tcW w:w="1992" w:type="dxa"/>
            <w:tcBorders>
              <w:bottom w:val="single" w:sz="4" w:space="0" w:color="auto"/>
            </w:tcBorders>
            <w:shd w:val="clear" w:color="auto" w:fill="auto"/>
            <w:vAlign w:val="bottom"/>
          </w:tcPr>
          <w:p w14:paraId="5A100478"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-7.3665***</w:t>
            </w:r>
          </w:p>
        </w:tc>
        <w:tc>
          <w:tcPr>
            <w:tcW w:w="2030" w:type="dxa"/>
            <w:tcBorders>
              <w:bottom w:val="single" w:sz="4" w:space="0" w:color="auto"/>
            </w:tcBorders>
            <w:shd w:val="clear" w:color="auto" w:fill="auto"/>
            <w:vAlign w:val="bottom"/>
          </w:tcPr>
          <w:p w14:paraId="33884490"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r>
      <w:tr w:rsidR="00B43240" w:rsidRPr="00870330" w14:paraId="4A329A0C" w14:textId="77777777" w:rsidTr="00266117">
        <w:tc>
          <w:tcPr>
            <w:tcW w:w="2160" w:type="dxa"/>
            <w:tcBorders>
              <w:top w:val="single" w:sz="4" w:space="0" w:color="auto"/>
            </w:tcBorders>
            <w:shd w:val="clear" w:color="auto" w:fill="auto"/>
            <w:vAlign w:val="center"/>
          </w:tcPr>
          <w:p w14:paraId="5EFD4522" w14:textId="77777777" w:rsidR="00B43240" w:rsidRPr="00870330" w:rsidRDefault="00B43240" w:rsidP="00266117">
            <w:pPr>
              <w:spacing w:after="0"/>
              <w:rPr>
                <w:rFonts w:asciiTheme="minorHAnsi" w:hAnsiTheme="minorHAnsi" w:cstheme="minorHAnsi"/>
                <w:color w:val="0D0D0D" w:themeColor="text1" w:themeTint="F2"/>
              </w:rPr>
            </w:pPr>
            <w:proofErr w:type="spellStart"/>
            <w:r w:rsidRPr="00870330">
              <w:rPr>
                <w:rFonts w:asciiTheme="minorHAnsi" w:hAnsiTheme="minorHAnsi" w:cstheme="minorHAnsi"/>
                <w:color w:val="0D0D0D" w:themeColor="text1" w:themeTint="F2"/>
              </w:rPr>
              <w:t>Pedroni</w:t>
            </w:r>
            <w:proofErr w:type="spellEnd"/>
          </w:p>
        </w:tc>
        <w:tc>
          <w:tcPr>
            <w:tcW w:w="2736" w:type="dxa"/>
            <w:tcBorders>
              <w:top w:val="single" w:sz="4" w:space="0" w:color="auto"/>
            </w:tcBorders>
            <w:shd w:val="clear" w:color="auto" w:fill="auto"/>
            <w:vAlign w:val="center"/>
          </w:tcPr>
          <w:p w14:paraId="35520597" w14:textId="6D5D865A" w:rsidR="00B43240" w:rsidRPr="00870330" w:rsidRDefault="00CB1312"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Panel v-Stat</w:t>
            </w:r>
          </w:p>
        </w:tc>
        <w:tc>
          <w:tcPr>
            <w:tcW w:w="1992" w:type="dxa"/>
            <w:tcBorders>
              <w:top w:val="single" w:sz="4" w:space="0" w:color="auto"/>
            </w:tcBorders>
            <w:shd w:val="clear" w:color="auto" w:fill="auto"/>
            <w:vAlign w:val="bottom"/>
          </w:tcPr>
          <w:p w14:paraId="26AD3C56"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1.0734</w:t>
            </w:r>
          </w:p>
        </w:tc>
        <w:tc>
          <w:tcPr>
            <w:tcW w:w="2030" w:type="dxa"/>
            <w:tcBorders>
              <w:top w:val="single" w:sz="4" w:space="0" w:color="auto"/>
            </w:tcBorders>
            <w:shd w:val="clear" w:color="auto" w:fill="auto"/>
            <w:vAlign w:val="bottom"/>
          </w:tcPr>
          <w:p w14:paraId="5EF077D9"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0.142</w:t>
            </w:r>
          </w:p>
        </w:tc>
      </w:tr>
      <w:tr w:rsidR="00B43240" w:rsidRPr="00870330" w14:paraId="3FF5D7C6" w14:textId="77777777" w:rsidTr="00266117">
        <w:tc>
          <w:tcPr>
            <w:tcW w:w="2160" w:type="dxa"/>
            <w:shd w:val="clear" w:color="auto" w:fill="auto"/>
            <w:vAlign w:val="center"/>
          </w:tcPr>
          <w:p w14:paraId="124C8C83" w14:textId="77777777" w:rsidR="00B43240" w:rsidRPr="00870330" w:rsidRDefault="00B43240"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Common AR</w:t>
            </w:r>
          </w:p>
        </w:tc>
        <w:tc>
          <w:tcPr>
            <w:tcW w:w="2736" w:type="dxa"/>
            <w:shd w:val="clear" w:color="auto" w:fill="auto"/>
            <w:vAlign w:val="center"/>
          </w:tcPr>
          <w:p w14:paraId="1DB74260" w14:textId="37F816BE" w:rsidR="00B43240" w:rsidRPr="00870330" w:rsidRDefault="00B43240"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Panel rho-Stat</w:t>
            </w:r>
          </w:p>
        </w:tc>
        <w:tc>
          <w:tcPr>
            <w:tcW w:w="1992" w:type="dxa"/>
            <w:shd w:val="clear" w:color="auto" w:fill="auto"/>
            <w:vAlign w:val="bottom"/>
          </w:tcPr>
          <w:p w14:paraId="1A7A2CFA"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1.2227</w:t>
            </w:r>
          </w:p>
        </w:tc>
        <w:tc>
          <w:tcPr>
            <w:tcW w:w="2030" w:type="dxa"/>
            <w:shd w:val="clear" w:color="auto" w:fill="auto"/>
            <w:vAlign w:val="bottom"/>
          </w:tcPr>
          <w:p w14:paraId="5C1C2CF7"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0.111</w:t>
            </w:r>
          </w:p>
        </w:tc>
      </w:tr>
      <w:tr w:rsidR="00B43240" w:rsidRPr="00870330" w14:paraId="4963536A" w14:textId="77777777" w:rsidTr="00266117">
        <w:tc>
          <w:tcPr>
            <w:tcW w:w="2160" w:type="dxa"/>
            <w:shd w:val="clear" w:color="auto" w:fill="auto"/>
            <w:vAlign w:val="bottom"/>
          </w:tcPr>
          <w:p w14:paraId="55638AD0" w14:textId="77777777" w:rsidR="00B43240" w:rsidRPr="00870330" w:rsidRDefault="00B43240" w:rsidP="00266117">
            <w:pPr>
              <w:spacing w:after="0"/>
              <w:jc w:val="right"/>
              <w:rPr>
                <w:rFonts w:asciiTheme="minorHAnsi" w:hAnsiTheme="minorHAnsi" w:cstheme="minorHAnsi"/>
                <w:color w:val="0D0D0D" w:themeColor="text1" w:themeTint="F2"/>
              </w:rPr>
            </w:pPr>
          </w:p>
        </w:tc>
        <w:tc>
          <w:tcPr>
            <w:tcW w:w="2736" w:type="dxa"/>
            <w:shd w:val="clear" w:color="auto" w:fill="auto"/>
            <w:vAlign w:val="center"/>
          </w:tcPr>
          <w:p w14:paraId="66D13D21" w14:textId="5C473027" w:rsidR="00B43240" w:rsidRPr="00870330" w:rsidRDefault="00B43240"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Panel PP-Stat</w:t>
            </w:r>
          </w:p>
        </w:tc>
        <w:tc>
          <w:tcPr>
            <w:tcW w:w="1992" w:type="dxa"/>
            <w:shd w:val="clear" w:color="auto" w:fill="auto"/>
            <w:vAlign w:val="bottom"/>
          </w:tcPr>
          <w:p w14:paraId="04230697"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-6.3422***</w:t>
            </w:r>
          </w:p>
        </w:tc>
        <w:tc>
          <w:tcPr>
            <w:tcW w:w="2030" w:type="dxa"/>
            <w:shd w:val="clear" w:color="auto" w:fill="auto"/>
            <w:vAlign w:val="bottom"/>
          </w:tcPr>
          <w:p w14:paraId="4EC07C09"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r>
      <w:tr w:rsidR="00B43240" w:rsidRPr="00870330" w14:paraId="59513DDE" w14:textId="77777777" w:rsidTr="00266117">
        <w:tc>
          <w:tcPr>
            <w:tcW w:w="2160" w:type="dxa"/>
            <w:tcBorders>
              <w:bottom w:val="single" w:sz="4" w:space="0" w:color="auto"/>
            </w:tcBorders>
            <w:shd w:val="clear" w:color="auto" w:fill="auto"/>
            <w:vAlign w:val="bottom"/>
          </w:tcPr>
          <w:p w14:paraId="0283E3CD" w14:textId="77777777" w:rsidR="00B43240" w:rsidRPr="00870330" w:rsidRDefault="00B43240"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w:t>
            </w:r>
          </w:p>
        </w:tc>
        <w:tc>
          <w:tcPr>
            <w:tcW w:w="2736" w:type="dxa"/>
            <w:tcBorders>
              <w:bottom w:val="single" w:sz="4" w:space="0" w:color="auto"/>
            </w:tcBorders>
            <w:shd w:val="clear" w:color="auto" w:fill="auto"/>
            <w:vAlign w:val="center"/>
          </w:tcPr>
          <w:p w14:paraId="18C6DE3B" w14:textId="58784F54" w:rsidR="00B43240" w:rsidRPr="00870330" w:rsidRDefault="00B43240"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Panel ADF-Stat</w:t>
            </w:r>
          </w:p>
        </w:tc>
        <w:tc>
          <w:tcPr>
            <w:tcW w:w="1992" w:type="dxa"/>
            <w:tcBorders>
              <w:bottom w:val="single" w:sz="4" w:space="0" w:color="auto"/>
            </w:tcBorders>
            <w:shd w:val="clear" w:color="auto" w:fill="auto"/>
            <w:vAlign w:val="bottom"/>
          </w:tcPr>
          <w:p w14:paraId="20483E1A"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-6.1979***</w:t>
            </w:r>
          </w:p>
        </w:tc>
        <w:tc>
          <w:tcPr>
            <w:tcW w:w="2030" w:type="dxa"/>
            <w:tcBorders>
              <w:bottom w:val="single" w:sz="4" w:space="0" w:color="auto"/>
            </w:tcBorders>
            <w:shd w:val="clear" w:color="auto" w:fill="auto"/>
            <w:vAlign w:val="bottom"/>
          </w:tcPr>
          <w:p w14:paraId="0E832C90"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r>
      <w:tr w:rsidR="00B43240" w:rsidRPr="00870330" w14:paraId="41204946" w14:textId="77777777" w:rsidTr="00266117">
        <w:tc>
          <w:tcPr>
            <w:tcW w:w="2160" w:type="dxa"/>
            <w:tcBorders>
              <w:top w:val="single" w:sz="4" w:space="0" w:color="auto"/>
            </w:tcBorders>
            <w:shd w:val="clear" w:color="auto" w:fill="auto"/>
            <w:vAlign w:val="center"/>
          </w:tcPr>
          <w:p w14:paraId="1CBF5846" w14:textId="77777777" w:rsidR="00B43240" w:rsidRPr="00870330" w:rsidRDefault="00B43240" w:rsidP="00266117">
            <w:pPr>
              <w:spacing w:after="0"/>
              <w:rPr>
                <w:rFonts w:asciiTheme="minorHAnsi" w:hAnsiTheme="minorHAnsi" w:cstheme="minorHAnsi"/>
                <w:color w:val="0D0D0D" w:themeColor="text1" w:themeTint="F2"/>
              </w:rPr>
            </w:pPr>
            <w:proofErr w:type="spellStart"/>
            <w:r w:rsidRPr="00870330">
              <w:rPr>
                <w:rFonts w:asciiTheme="minorHAnsi" w:hAnsiTheme="minorHAnsi" w:cstheme="minorHAnsi"/>
                <w:color w:val="0D0D0D" w:themeColor="text1" w:themeTint="F2"/>
              </w:rPr>
              <w:t>Westerlund</w:t>
            </w:r>
            <w:proofErr w:type="spellEnd"/>
          </w:p>
        </w:tc>
        <w:tc>
          <w:tcPr>
            <w:tcW w:w="2736" w:type="dxa"/>
            <w:tcBorders>
              <w:top w:val="single" w:sz="4" w:space="0" w:color="auto"/>
            </w:tcBorders>
            <w:shd w:val="clear" w:color="auto" w:fill="auto"/>
            <w:vAlign w:val="center"/>
          </w:tcPr>
          <w:p w14:paraId="73AA3B1C" w14:textId="77777777" w:rsidR="00B43240" w:rsidRPr="00870330" w:rsidRDefault="00B43240"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Variance ratio</w:t>
            </w:r>
          </w:p>
        </w:tc>
        <w:tc>
          <w:tcPr>
            <w:tcW w:w="1992" w:type="dxa"/>
            <w:tcBorders>
              <w:top w:val="single" w:sz="4" w:space="0" w:color="auto"/>
            </w:tcBorders>
            <w:shd w:val="clear" w:color="auto" w:fill="auto"/>
            <w:vAlign w:val="bottom"/>
          </w:tcPr>
          <w:p w14:paraId="64AA9E86"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-2.2337**</w:t>
            </w:r>
          </w:p>
        </w:tc>
        <w:tc>
          <w:tcPr>
            <w:tcW w:w="2030" w:type="dxa"/>
            <w:tcBorders>
              <w:top w:val="single" w:sz="4" w:space="0" w:color="auto"/>
            </w:tcBorders>
            <w:shd w:val="clear" w:color="auto" w:fill="auto"/>
            <w:vAlign w:val="bottom"/>
          </w:tcPr>
          <w:p w14:paraId="0090768A"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0.013</w:t>
            </w:r>
          </w:p>
        </w:tc>
      </w:tr>
      <w:tr w:rsidR="00B43240" w:rsidRPr="00870330" w14:paraId="23190E62" w14:textId="77777777" w:rsidTr="00266117">
        <w:tc>
          <w:tcPr>
            <w:tcW w:w="2160" w:type="dxa"/>
            <w:tcBorders>
              <w:bottom w:val="single" w:sz="4" w:space="0" w:color="auto"/>
            </w:tcBorders>
            <w:shd w:val="clear" w:color="auto" w:fill="auto"/>
            <w:vAlign w:val="bottom"/>
          </w:tcPr>
          <w:p w14:paraId="0EA7E4AA" w14:textId="77777777" w:rsidR="00B43240" w:rsidRPr="00870330" w:rsidRDefault="00B43240" w:rsidP="00266117">
            <w:pPr>
              <w:spacing w:after="0"/>
              <w:jc w:val="right"/>
              <w:rPr>
                <w:rFonts w:asciiTheme="minorHAnsi" w:hAnsiTheme="minorHAnsi" w:cstheme="minorHAnsi"/>
                <w:color w:val="0D0D0D" w:themeColor="text1" w:themeTint="F2"/>
              </w:rPr>
            </w:pPr>
          </w:p>
        </w:tc>
        <w:tc>
          <w:tcPr>
            <w:tcW w:w="2736" w:type="dxa"/>
            <w:tcBorders>
              <w:bottom w:val="single" w:sz="4" w:space="0" w:color="auto"/>
            </w:tcBorders>
            <w:shd w:val="clear" w:color="auto" w:fill="auto"/>
            <w:vAlign w:val="center"/>
          </w:tcPr>
          <w:p w14:paraId="59FC11B7" w14:textId="77777777" w:rsidR="00B43240" w:rsidRPr="00870330" w:rsidRDefault="00B43240" w:rsidP="00266117">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Variance ratio (all panels)</w:t>
            </w:r>
          </w:p>
        </w:tc>
        <w:tc>
          <w:tcPr>
            <w:tcW w:w="1992" w:type="dxa"/>
            <w:tcBorders>
              <w:bottom w:val="single" w:sz="4" w:space="0" w:color="auto"/>
            </w:tcBorders>
            <w:shd w:val="clear" w:color="auto" w:fill="auto"/>
            <w:vAlign w:val="bottom"/>
          </w:tcPr>
          <w:p w14:paraId="36409005"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-2.01770**</w:t>
            </w:r>
          </w:p>
        </w:tc>
        <w:tc>
          <w:tcPr>
            <w:tcW w:w="2030" w:type="dxa"/>
            <w:tcBorders>
              <w:bottom w:val="single" w:sz="4" w:space="0" w:color="auto"/>
            </w:tcBorders>
            <w:shd w:val="clear" w:color="auto" w:fill="auto"/>
            <w:vAlign w:val="bottom"/>
          </w:tcPr>
          <w:p w14:paraId="65E1D0ED" w14:textId="77777777" w:rsidR="00B43240" w:rsidRPr="00870330" w:rsidRDefault="00B43240" w:rsidP="00266117">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0.022</w:t>
            </w:r>
          </w:p>
        </w:tc>
      </w:tr>
    </w:tbl>
    <w:p w14:paraId="134989DD" w14:textId="3DEF9B1B" w:rsidR="00B43240" w:rsidRPr="00870330" w:rsidRDefault="00B43240" w:rsidP="00B43240">
      <w:pPr>
        <w:pStyle w:val="NormalafterHeading"/>
        <w:spacing w:line="259" w:lineRule="auto"/>
        <w:rPr>
          <w:rFonts w:asciiTheme="minorHAnsi" w:hAnsiTheme="minorHAnsi" w:cstheme="minorHAnsi"/>
          <w:color w:val="0D0D0D" w:themeColor="text1" w:themeTint="F2"/>
          <w:lang w:val="en-US"/>
        </w:rPr>
      </w:pPr>
      <w:r w:rsidRPr="00870330">
        <w:rPr>
          <w:rFonts w:asciiTheme="minorHAnsi" w:hAnsiTheme="minorHAnsi" w:cstheme="minorHAnsi"/>
          <w:color w:val="0D0D0D" w:themeColor="text1" w:themeTint="F2"/>
          <w:lang w:val="en-US"/>
        </w:rPr>
        <w:t xml:space="preserve">Note: </w:t>
      </w:r>
      <w:r w:rsidR="00032305" w:rsidRPr="00870330">
        <w:rPr>
          <w:rFonts w:asciiTheme="minorHAnsi" w:hAnsiTheme="minorHAnsi" w:cstheme="minorHAnsi"/>
          <w:color w:val="0D0D0D" w:themeColor="text1" w:themeTint="F2"/>
          <w:lang w:val="en-US"/>
        </w:rPr>
        <w:t>*</w:t>
      </w:r>
      <w:proofErr w:type="gramStart"/>
      <w:r w:rsidR="00032305" w:rsidRPr="00870330">
        <w:rPr>
          <w:rFonts w:asciiTheme="minorHAnsi" w:hAnsiTheme="minorHAnsi" w:cstheme="minorHAnsi"/>
          <w:color w:val="0D0D0D" w:themeColor="text1" w:themeTint="F2"/>
          <w:lang w:val="en-US"/>
        </w:rPr>
        <w:t>,*</w:t>
      </w:r>
      <w:proofErr w:type="gramEnd"/>
      <w:r w:rsidR="00032305" w:rsidRPr="00870330">
        <w:rPr>
          <w:rFonts w:asciiTheme="minorHAnsi" w:hAnsiTheme="minorHAnsi" w:cstheme="minorHAnsi"/>
          <w:color w:val="0D0D0D" w:themeColor="text1" w:themeTint="F2"/>
          <w:lang w:val="en-US"/>
        </w:rPr>
        <w:t>*, and *** indicate significant at 10, 5</w:t>
      </w:r>
      <w:r w:rsidRPr="00870330">
        <w:rPr>
          <w:rFonts w:asciiTheme="minorHAnsi" w:hAnsiTheme="minorHAnsi" w:cstheme="minorHAnsi"/>
          <w:color w:val="0D0D0D" w:themeColor="text1" w:themeTint="F2"/>
          <w:lang w:val="en-US"/>
        </w:rPr>
        <w:t>, and 1%</w:t>
      </w:r>
      <w:r w:rsidR="003769B1" w:rsidRPr="00870330">
        <w:rPr>
          <w:rFonts w:asciiTheme="minorHAnsi" w:hAnsiTheme="minorHAnsi" w:cstheme="minorHAnsi"/>
          <w:color w:val="0D0D0D" w:themeColor="text1" w:themeTint="F2"/>
          <w:lang w:val="en-US"/>
        </w:rPr>
        <w:t xml:space="preserve"> level.</w:t>
      </w:r>
    </w:p>
    <w:p w14:paraId="0E559586" w14:textId="77777777" w:rsidR="007A55C3" w:rsidRPr="00870330" w:rsidRDefault="007A55C3" w:rsidP="004C2EEB">
      <w:pPr>
        <w:spacing w:after="0"/>
        <w:jc w:val="both"/>
        <w:rPr>
          <w:rFonts w:asciiTheme="minorHAnsi" w:hAnsiTheme="minorHAnsi" w:cstheme="minorHAnsi"/>
          <w:color w:val="0D0D0D" w:themeColor="text1" w:themeTint="F2"/>
          <w:lang w:eastAsia="id-ID"/>
        </w:rPr>
      </w:pPr>
    </w:p>
    <w:p w14:paraId="6E4D1F06" w14:textId="77777777" w:rsidR="004C2EEB" w:rsidRPr="00870330" w:rsidRDefault="004C2EEB" w:rsidP="004C2EEB">
      <w:pPr>
        <w:pStyle w:val="NormalafterHeading"/>
        <w:spacing w:line="259" w:lineRule="auto"/>
        <w:rPr>
          <w:rFonts w:asciiTheme="minorHAnsi" w:hAnsiTheme="minorHAnsi" w:cstheme="minorHAnsi"/>
          <w:color w:val="0D0D0D" w:themeColor="text1" w:themeTint="F2"/>
          <w:lang w:val="en-US"/>
        </w:rPr>
      </w:pPr>
      <w:r w:rsidRPr="00870330">
        <w:rPr>
          <w:rFonts w:asciiTheme="minorHAnsi" w:hAnsiTheme="minorHAnsi" w:cstheme="minorHAnsi"/>
          <w:b/>
          <w:color w:val="0D0D0D" w:themeColor="text1" w:themeTint="F2"/>
          <w:lang w:val="en-US"/>
        </w:rPr>
        <w:t>PMG Estimation Result</w:t>
      </w:r>
    </w:p>
    <w:p w14:paraId="1FAC15AE" w14:textId="7ADD6C29" w:rsidR="004C2EEB" w:rsidRPr="00870330" w:rsidRDefault="003F79A7" w:rsidP="004C2EEB">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Table 5 presents</w:t>
      </w:r>
      <w:r w:rsidR="004C2EEB" w:rsidRPr="00870330">
        <w:rPr>
          <w:rFonts w:asciiTheme="minorHAnsi" w:hAnsiTheme="minorHAnsi" w:cstheme="minorHAnsi"/>
          <w:color w:val="0D0D0D" w:themeColor="text1" w:themeTint="F2"/>
          <w:lang w:eastAsia="id-ID"/>
        </w:rPr>
        <w:t xml:space="preserve"> the result of short- and long-term PMG estimation. </w:t>
      </w:r>
      <w:r w:rsidR="00AE4FBE" w:rsidRPr="00870330">
        <w:rPr>
          <w:rFonts w:asciiTheme="minorHAnsi" w:hAnsiTheme="minorHAnsi" w:cstheme="minorHAnsi"/>
          <w:color w:val="0D0D0D" w:themeColor="text1" w:themeTint="F2"/>
          <w:lang w:eastAsia="id-ID"/>
        </w:rPr>
        <w:t xml:space="preserve">PMG (2, </w:t>
      </w:r>
      <w:r w:rsidR="004C2EEB" w:rsidRPr="00870330">
        <w:rPr>
          <w:rFonts w:asciiTheme="minorHAnsi" w:hAnsiTheme="minorHAnsi" w:cstheme="minorHAnsi"/>
          <w:color w:val="0D0D0D" w:themeColor="text1" w:themeTint="F2"/>
          <w:lang w:eastAsia="id-ID"/>
        </w:rPr>
        <w:t>2,</w:t>
      </w:r>
      <w:r w:rsidR="00AE4FBE" w:rsidRPr="00870330">
        <w:rPr>
          <w:rFonts w:asciiTheme="minorHAnsi" w:hAnsiTheme="minorHAnsi" w:cstheme="minorHAnsi"/>
          <w:color w:val="0D0D0D" w:themeColor="text1" w:themeTint="F2"/>
          <w:lang w:eastAsia="id-ID"/>
        </w:rPr>
        <w:t xml:space="preserve"> </w:t>
      </w:r>
      <w:r w:rsidR="004C2EEB" w:rsidRPr="00870330">
        <w:rPr>
          <w:rFonts w:asciiTheme="minorHAnsi" w:hAnsiTheme="minorHAnsi" w:cstheme="minorHAnsi"/>
          <w:color w:val="0D0D0D" w:themeColor="text1" w:themeTint="F2"/>
          <w:lang w:eastAsia="id-ID"/>
        </w:rPr>
        <w:t>2,</w:t>
      </w:r>
      <w:r w:rsidR="00AE4FBE" w:rsidRPr="00870330">
        <w:rPr>
          <w:rFonts w:asciiTheme="minorHAnsi" w:hAnsiTheme="minorHAnsi" w:cstheme="minorHAnsi"/>
          <w:color w:val="0D0D0D" w:themeColor="text1" w:themeTint="F2"/>
          <w:lang w:eastAsia="id-ID"/>
        </w:rPr>
        <w:t xml:space="preserve"> </w:t>
      </w:r>
      <w:r w:rsidR="004C2EEB" w:rsidRPr="00870330">
        <w:rPr>
          <w:rFonts w:asciiTheme="minorHAnsi" w:hAnsiTheme="minorHAnsi" w:cstheme="minorHAnsi"/>
          <w:color w:val="0D0D0D" w:themeColor="text1" w:themeTint="F2"/>
          <w:lang w:eastAsia="id-ID"/>
        </w:rPr>
        <w:t>2,</w:t>
      </w:r>
      <w:r w:rsidR="00AE4FBE" w:rsidRPr="00870330">
        <w:rPr>
          <w:rFonts w:asciiTheme="minorHAnsi" w:hAnsiTheme="minorHAnsi" w:cstheme="minorHAnsi"/>
          <w:color w:val="0D0D0D" w:themeColor="text1" w:themeTint="F2"/>
          <w:lang w:eastAsia="id-ID"/>
        </w:rPr>
        <w:t xml:space="preserve"> </w:t>
      </w:r>
      <w:r w:rsidR="004C2EEB" w:rsidRPr="00870330">
        <w:rPr>
          <w:rFonts w:asciiTheme="minorHAnsi" w:hAnsiTheme="minorHAnsi" w:cstheme="minorHAnsi"/>
          <w:color w:val="0D0D0D" w:themeColor="text1" w:themeTint="F2"/>
          <w:lang w:eastAsia="id-ID"/>
        </w:rPr>
        <w:t>2,</w:t>
      </w:r>
      <w:r w:rsidR="00AE4FBE" w:rsidRPr="00870330">
        <w:rPr>
          <w:rFonts w:asciiTheme="minorHAnsi" w:hAnsiTheme="minorHAnsi" w:cstheme="minorHAnsi"/>
          <w:color w:val="0D0D0D" w:themeColor="text1" w:themeTint="F2"/>
          <w:lang w:eastAsia="id-ID"/>
        </w:rPr>
        <w:t xml:space="preserve"> </w:t>
      </w:r>
      <w:r w:rsidR="004C2EEB" w:rsidRPr="00870330">
        <w:rPr>
          <w:rFonts w:asciiTheme="minorHAnsi" w:hAnsiTheme="minorHAnsi" w:cstheme="minorHAnsi"/>
          <w:color w:val="0D0D0D" w:themeColor="text1" w:themeTint="F2"/>
          <w:lang w:eastAsia="id-ID"/>
        </w:rPr>
        <w:t>2) is the best model, according to AIC</w:t>
      </w:r>
      <w:r w:rsidR="008E329C" w:rsidRPr="00870330">
        <w:rPr>
          <w:rFonts w:asciiTheme="minorHAnsi" w:hAnsiTheme="minorHAnsi" w:cstheme="minorHAnsi"/>
          <w:color w:val="0D0D0D" w:themeColor="text1" w:themeTint="F2"/>
          <w:lang w:eastAsia="id-ID"/>
        </w:rPr>
        <w:t>’s</w:t>
      </w:r>
      <w:r w:rsidR="004C2EEB" w:rsidRPr="00870330">
        <w:rPr>
          <w:rFonts w:asciiTheme="minorHAnsi" w:hAnsiTheme="minorHAnsi" w:cstheme="minorHAnsi"/>
          <w:color w:val="0D0D0D" w:themeColor="text1" w:themeTint="F2"/>
          <w:lang w:eastAsia="id-ID"/>
        </w:rPr>
        <w:t xml:space="preserve"> suggestion. The long-term estimation results find that the coefficient of GDP is positive, while the coefficient of GDP2 is negative; each of which is significant at the 1% level. These results support the EKC hypothesis. The increase in per capita income initially encourages deforestation, then, after reaching a certain threshold, </w:t>
      </w:r>
      <w:r w:rsidR="008E329C" w:rsidRPr="00870330">
        <w:rPr>
          <w:rFonts w:asciiTheme="minorHAnsi" w:hAnsiTheme="minorHAnsi" w:cstheme="minorHAnsi"/>
          <w:color w:val="0D0D0D" w:themeColor="text1" w:themeTint="F2"/>
          <w:lang w:eastAsia="id-ID"/>
        </w:rPr>
        <w:t>promotes an upgrade in forest cover area</w:t>
      </w:r>
      <w:r w:rsidR="004C2EEB" w:rsidRPr="00870330">
        <w:rPr>
          <w:rFonts w:asciiTheme="minorHAnsi" w:hAnsiTheme="minorHAnsi" w:cstheme="minorHAnsi"/>
          <w:color w:val="0D0D0D" w:themeColor="text1" w:themeTint="F2"/>
          <w:lang w:eastAsia="id-ID"/>
        </w:rPr>
        <w:t xml:space="preserve">. This finding is similar to that of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{"citationItems":[{"id":"ITEM-1","itemData":{"DOI":"10.1016/j.forpol.2021.102488","ISSN":"13899341","abstract":"Deforestation is a significant environmental problem, contributing to biodiversity loss, land degradation, soil erosion, and climate change. During the past half-century, the continent of Africa has suffered massive losses of forested areas due to the changing structure of economies, increasing population, and expanding globalization. This research examines statistical evidence for the Environmental Kuznets Curve (EKC) hypothesis as applied to deforestation occurring within Africa from 1990 to 2016. Changes in forest cover data are explained with Generalized Method of Moments (GMM) estimators to overcome the endogeneity problems arising from reverse causality. The empirical results of Panel GMM confirm the EKC hypothesis is valid for deforestation in Africa with a turning point estimated to be US $3000. Heterogenous panel non-causality findings suggest that Africa could deter and reverse deforestation through appropriate land-use and forest products trade policies, and the consequences of these policies would not impact their economic growth.","author":[{"dropping-particle":"","family":"Ajanaku","given":"B. A.","non-dropping-particle":"","parse-names":false,"suffix":""},{"dropping-particle":"","family":"Collins","given":"A. R.","non-dropping-particle":"","parse-names":false,"suffix":""}],"container-title":"Forest Policy and Economics","id":"ITEM-1","issue":"May","issued":{"date-parts":[["2021"]]},"page":"102488","publisher":"Elsevier B.V.","title":"Economic growth and deforestation in African countries: Is the environmental Kuznets curve hypothesis applicable?","type":"article-journal","volume":"129"},"uris":["http://www.mendeley.com/documents/?uuid=24f622ed-0f79-4f00-9fba-56f4aa51ea86"]}],"mendeley":{"formattedCitation":"(Ajanaku &amp; Collins, 2021)","manualFormatting":"Ajanaku &amp; Collin (2021)","plainTextFormattedCitation":"(Ajanaku &amp; Collins, 2021)","previouslyFormattedCitation":"(Ajanaku &amp; Collins, 2021)"},"properties":{"noteIndex":0},"schema":"https://github.com/citation-style-language/schema/raw/master/csl-citation.json"}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Ajanaku &amp; Collin (2021)</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004C2EEB" w:rsidRPr="00870330">
        <w:rPr>
          <w:rFonts w:asciiTheme="minorHAnsi" w:hAnsiTheme="minorHAnsi" w:cstheme="minorHAnsi"/>
          <w:color w:val="0D0D0D" w:themeColor="text1" w:themeTint="F2"/>
          <w:lang w:eastAsia="id-ID"/>
        </w:rPr>
        <w:t xml:space="preserve">for the context of Sub-Saharan Africa,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{"citationItems":[{"id":"ITEM-1","itemData":{"DOI":"10.1016/j.forpol.2020.102282","ISSN":"13899341","abstract":"This paper investigates an unresolved question in environmental economics: An Environmental Kuznets Curve for deforestation (EKCd). It relies on a 55 year panel of forest cover data reconstructed from the periodic national forest inventories of 114 countries clustered in low, middle, and high income groups—as defined by the World Bank—and examines these clusters within both static and dynamic frameworks. The results are supportive of the inverse U-shaped EKC for deforestation. For low income countries strong effort will be required to avoid further increases in forest loss as these countries develop. Middle income countries, the largest cluster under investigation, display the classic bell-shaped EKCd with the turning point for a decreasing rate of deforestation at US$ 3,790. Deforestation continues thereafter, only at a lower rate until, eventually, for high income countries these rates become negative and these economies begin to show absolute gains in total forest cover. While the combined results from the three clusters confirm the existence of an EKCd, its relatively elevated turning point and the even higher level of development at which forests begin to increase and recover, raise important concern, but also opportunity, for the modern policies and management addressing global forest cover—doubts and opportunities on which the conclusion to this paper reflects further.","author":[{"dropping-particle":"","family":"Caravaggio","given":"Nicola","non-dropping-particle":"","parse-names":false,"suffix":""}],"container-title":"Forest Policy and Economics","id":"ITEM-1","issue":"September","issued":{"date-parts":[["2020"]]},"page":"102282","publisher":"Elsevier","title":"A global empirical re-assessment of the Environmental Kuznets curve for deforestation","type":"article-journal","volume":"119"},"uris":["http://www.mendeley.com/documents/?uuid=3d5671aa-174b-4b6d-82ae-04c659ffae5f"]}],"mendeley":{"formattedCitation":"(Caravaggio, 2020)","manualFormatting":"Caravaggio (2020)","plainTextFormattedCitation":"(Caravaggio, 2020)","previouslyFormattedCitation":"(Caravaggio, 2020)"},"properties":{"noteIndex":0},"schema":"https://github.com/citation-style-language/schema/raw/master/csl-citation.json"}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Caravaggio (2020)</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004C2EEB" w:rsidRPr="00870330">
        <w:rPr>
          <w:rFonts w:asciiTheme="minorHAnsi" w:hAnsiTheme="minorHAnsi" w:cstheme="minorHAnsi"/>
          <w:color w:val="0D0D0D" w:themeColor="text1" w:themeTint="F2"/>
          <w:lang w:eastAsia="id-ID"/>
        </w:rPr>
        <w:t xml:space="preserve">for the sample of middle-income countries, and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{"citationItems":[{"id":"ITEM-1","itemData":{"DOI":"10.14710/pwk.v15i1.21267","ISSN":"1858-3903","abstract":"This study aims to analyze the process of changing forest area or deforestation that is multidimensional and complex, encompassing economic aspects, aspects of governance, social and demographic aspects and physical and environmental aspects represented by 15 independent variables in 10 countries in Southeast Asia in the year period 2008-2015. The analysis and study besides relying on the theoretical foundation and previous research also included several variables that describe the complexity and multidimensional changes in forest area. However, these efforts are often constrained by incomplete data and data reliability. In contrast to some previous studies which focused more on economic aspects or aspects of population increase that affected changes in forest area. This research also includes aspects of governance and social and demographic aspects as well as environmental aspect which are expected to complement the spectrum and study of the problems of deforestation and forest degradation. The method used in this study uses pooled least squares and a series of tests to produce the best model specifications and estimators. In research that uses a 95% confidence level on p-value at a value of α = 0.05, it was found that from 15 variables there were only 6 (six) variables that significantly affected the increase in the human development index.","author":[{"dropping-particle":"","family":"Handalani","given":"Radite Teguh","non-dropping-particle":"","parse-names":false,"suffix":""}],"container-title":"Jurnal Pembangunan Wilayah &amp; Kota","id":"ITEM-1","issue":"1","issued":{"date-parts":[["2019"]]},"page":"1-19","title":"Determinan Deforestasi Negara-Negara Di Kawasan Asia Tenggara Periode 2008-2015","type":"article-journal","volume":"15"},"uris":["http://www.mendeley.com/documents/?uuid=338b3d6a-d111-44f3-8ad5-7c7c079edd97"]}],"mendeley":{"formattedCitation":"(Handalani, 2019)","manualFormatting":"Handalani (2019)","plainTextFormattedCitation":"(Handalani, 2019)","previouslyFormattedCitation":"(Handalani, 2019)"},"properties":{"noteIndex":0},"schema":"https://github.com/citation-style-language/schema/raw/master/csl-citation.json"}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Handalani (2019)</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004C2EEB" w:rsidRPr="00870330">
        <w:rPr>
          <w:rFonts w:asciiTheme="minorHAnsi" w:hAnsiTheme="minorHAnsi" w:cstheme="minorHAnsi"/>
          <w:color w:val="0D0D0D" w:themeColor="text1" w:themeTint="F2"/>
          <w:lang w:eastAsia="id-ID"/>
        </w:rPr>
        <w:t xml:space="preserve">for the context of Southeast Asia. The estimation results are also in line with the results of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{"citationItems":[{"id":"ITEM-1","itemData":{"DOI":"10.1038/srep40678","ISSN":"20452322","PMID":"28091593","abstract":"Ongoing deforestation is a pressing, global environmental issue with direct impacts on climate change, carbon emissions, and biodiversity. There is an intuitive link between economic development and overexploitation of natural resources including forests, but this relationship has proven difficult to establish empirically due to both inadequate data and convoluting geo-climactic factors. In this analysis, we use satellite data on forest cover along national borders in order to study the determinants of deforestation differences across countries. Controlling for trans-border geo-climactic differences, we find that income per capita is the most robust determinant of differences in cross-border forest cover. We show that the marginal effect of per capita income growth on forest cover is strongest at the earliest stages of economic development, and weakens in more advanced economies, presenting some of the strongest evidence to date for the existence of at least half of an environmental Kuznets curve for deforestation.","author":[{"dropping-particle":"","family":"Crespo Cuaresma","given":"Jesús","non-dropping-particle":"","parse-names":false,"suffix":""},{"dropping-particle":"","family":"Danylo","given":"Olha","non-dropping-particle":"","parse-names":false,"suffix":""},{"dropping-particle":"","family":"Fritz","given":"Steffen","non-dropping-particle":"","parse-names":false,"suffix":""},{"dropping-particle":"","family":"McCallum","given":"Ian","non-dropping-particle":"","parse-names":false,"suffix":""},{"dropping-particle":"","family":"Obersteiner","given":"Michael","non-dropping-particle":"","parse-names":false,"suffix":""},{"dropping-particle":"","family":"See","given":"Linda","non-dropping-particle":"","parse-names":false,"suffix":""},{"dropping-particle":"","family":"Walsh","given":"Brian","non-dropping-particle":"","parse-names":false,"suffix":""}],"container-title":"Scientific Reports","id":"ITEM-1","issue":"January","issued":{"date-parts":[["2017"]]},"page":"1-8","publisher":"Nature Publishing Group","title":"Economic development and forest cover: Evidence from satellite data","type":"article-journal","volume":"7"},"uris":["http://www.mendeley.com/documents/?uuid=6ec55d74-6bfe-462f-92a2-7fecc9c7d7aa"]}],"mendeley":{"formattedCitation":"(Crespo Cuaresma et al., 2017)","manualFormatting":"Crespo Cuaresma et al. (2017)","plainTextFormattedCitation":"(Crespo Cuaresma et al., 2017)","previouslyFormattedCitation":"(Crespo Cuaresma et al., 2017)"},"properties":{"noteIndex":0},"schema":"https://github.com/citation-style-language/schema/raw/master/csl-citation.json"}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Crespo Cuaresma et al. (2017)</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004C2EEB" w:rsidRPr="00870330">
        <w:rPr>
          <w:rFonts w:asciiTheme="minorHAnsi" w:hAnsiTheme="minorHAnsi" w:cstheme="minorHAnsi"/>
          <w:color w:val="0D0D0D" w:themeColor="text1" w:themeTint="F2"/>
          <w:lang w:eastAsia="id-ID"/>
        </w:rPr>
        <w:t>that the marginal effect of income growth is the strongest at the beginning of development, but then it weakens at the more advanced stages of the economy.</w:t>
      </w:r>
    </w:p>
    <w:p w14:paraId="0A4D7703" w14:textId="77777777" w:rsidR="00AB3072" w:rsidRPr="00870330" w:rsidRDefault="00AB3072" w:rsidP="009A5203">
      <w:pPr>
        <w:spacing w:after="0"/>
        <w:jc w:val="both"/>
        <w:rPr>
          <w:rFonts w:asciiTheme="minorHAnsi" w:hAnsiTheme="minorHAnsi" w:cstheme="minorHAnsi"/>
          <w:color w:val="0D0D0D" w:themeColor="text1" w:themeTint="F2"/>
          <w:lang w:eastAsia="id-ID"/>
        </w:rPr>
      </w:pPr>
    </w:p>
    <w:p w14:paraId="27C8684A" w14:textId="391737C9" w:rsidR="004C2EEB" w:rsidRPr="00870330" w:rsidRDefault="004C2EEB" w:rsidP="00113308">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 xml:space="preserve">Based on the coefficient values ​​of </w:t>
      </w:r>
      <w:r w:rsidRPr="00870330">
        <w:rPr>
          <w:rFonts w:asciiTheme="minorHAnsi" w:hAnsiTheme="minorHAnsi" w:cstheme="minorHAnsi"/>
          <w:color w:val="0D0D0D" w:themeColor="text1" w:themeTint="F2"/>
        </w:rPr>
        <w:t>β</w:t>
      </w:r>
      <w:r w:rsidRPr="00870330">
        <w:rPr>
          <w:rFonts w:asciiTheme="minorHAnsi" w:hAnsiTheme="minorHAnsi" w:cstheme="minorHAnsi"/>
          <w:color w:val="0D0D0D" w:themeColor="text1" w:themeTint="F2"/>
          <w:vertAlign w:val="subscript"/>
        </w:rPr>
        <w:t>1</w:t>
      </w:r>
      <w:r w:rsidRPr="00870330">
        <w:rPr>
          <w:rFonts w:asciiTheme="minorHAnsi" w:hAnsiTheme="minorHAnsi" w:cstheme="minorHAnsi"/>
          <w:color w:val="0D0D0D" w:themeColor="text1" w:themeTint="F2"/>
        </w:rPr>
        <w:t xml:space="preserve"> and β</w:t>
      </w:r>
      <w:r w:rsidRPr="00870330">
        <w:rPr>
          <w:rFonts w:asciiTheme="minorHAnsi" w:hAnsiTheme="minorHAnsi" w:cstheme="minorHAnsi"/>
          <w:color w:val="0D0D0D" w:themeColor="text1" w:themeTint="F2"/>
          <w:vertAlign w:val="subscript"/>
        </w:rPr>
        <w:t>2</w:t>
      </w:r>
      <w:r w:rsidRPr="00870330">
        <w:rPr>
          <w:rFonts w:asciiTheme="minorHAnsi" w:hAnsiTheme="minorHAnsi" w:cstheme="minorHAnsi"/>
          <w:color w:val="0D0D0D" w:themeColor="text1" w:themeTint="F2"/>
          <w:lang w:eastAsia="id-ID"/>
        </w:rPr>
        <w:t xml:space="preserve">, the turning point is reached at the per capita of USD 26875. This figure is much higher than previous empirical results. However, this figure is relevant because the deforestation rate in Southeast Asia is still positive. Forest cover tends to decrease every year. Referring to the turning point figure (USD 26875), Brunei Darussalam is the only developing country in Southeast Asia that has passed the turning point. In contrast, the per capita income of Indonesia, Malaysia, Thailand, Laos, Myanmar, Vietnam, the Philippines, and Cambodia is still far from the turning point. Deforestation will continue in Southeast Asia, in line with economic growth and per capita income increase. </w:t>
      </w:r>
      <w:r w:rsidR="00095B17" w:rsidRPr="00870330">
        <w:rPr>
          <w:rFonts w:asciiTheme="minorHAnsi" w:hAnsiTheme="minorHAnsi" w:cstheme="minorHAnsi"/>
          <w:color w:val="0D0D0D" w:themeColor="text1" w:themeTint="F2"/>
          <w:lang w:eastAsia="id-ID"/>
        </w:rPr>
        <w:t>This finding also suggests that the integration between development policies and forest governance should be strengthened. Improved forest governance and environmental policies can accelerate the threshold of the relationship between GDP and deforestation.</w:t>
      </w:r>
    </w:p>
    <w:p w14:paraId="4CB58CC0" w14:textId="77777777" w:rsidR="00113308" w:rsidRPr="00870330" w:rsidRDefault="00113308" w:rsidP="00113308">
      <w:pPr>
        <w:spacing w:after="0"/>
        <w:jc w:val="both"/>
        <w:rPr>
          <w:rFonts w:asciiTheme="minorHAnsi" w:hAnsiTheme="minorHAnsi" w:cstheme="minorHAnsi"/>
          <w:color w:val="0D0D0D" w:themeColor="text1" w:themeTint="F2"/>
          <w:lang w:eastAsia="id-ID"/>
        </w:rPr>
      </w:pPr>
    </w:p>
    <w:p w14:paraId="4E559B93" w14:textId="64E73834" w:rsidR="004C2EEB" w:rsidRPr="00870330" w:rsidRDefault="004C2EEB" w:rsidP="004C2EEB">
      <w:pPr>
        <w:pStyle w:val="NormalafterHeading"/>
        <w:spacing w:line="259" w:lineRule="auto"/>
        <w:jc w:val="center"/>
        <w:rPr>
          <w:rFonts w:asciiTheme="minorHAnsi" w:hAnsiTheme="minorHAnsi" w:cstheme="minorHAnsi"/>
          <w:color w:val="0D0D0D" w:themeColor="text1" w:themeTint="F2"/>
          <w:lang w:val="en-US"/>
        </w:rPr>
      </w:pPr>
      <w:r w:rsidRPr="00870330">
        <w:rPr>
          <w:rFonts w:asciiTheme="minorHAnsi" w:hAnsiTheme="minorHAnsi" w:cstheme="minorHAnsi"/>
          <w:color w:val="0D0D0D" w:themeColor="text1" w:themeTint="F2"/>
          <w:lang w:val="en-US"/>
        </w:rPr>
        <w:t xml:space="preserve">Table 5. </w:t>
      </w:r>
      <w:r w:rsidR="00922F91" w:rsidRPr="00870330">
        <w:rPr>
          <w:rFonts w:asciiTheme="minorHAnsi" w:hAnsiTheme="minorHAnsi" w:cstheme="minorHAnsi"/>
          <w:color w:val="0D0D0D" w:themeColor="text1" w:themeTint="F2"/>
          <w:lang w:val="en-US"/>
        </w:rPr>
        <w:t xml:space="preserve">The </w:t>
      </w:r>
      <w:r w:rsidRPr="00870330">
        <w:rPr>
          <w:rFonts w:asciiTheme="minorHAnsi" w:hAnsiTheme="minorHAnsi" w:cstheme="minorHAnsi"/>
          <w:color w:val="0D0D0D" w:themeColor="text1" w:themeTint="F2"/>
          <w:lang w:val="en-US"/>
        </w:rPr>
        <w:t>PMG Estimation Result</w:t>
      </w:r>
    </w:p>
    <w:tbl>
      <w:tblPr>
        <w:tblW w:w="0" w:type="auto"/>
        <w:tblInd w:w="709" w:type="dxa"/>
        <w:tblLook w:val="04A0" w:firstRow="1" w:lastRow="0" w:firstColumn="1" w:lastColumn="0" w:noHBand="0" w:noVBand="1"/>
      </w:tblPr>
      <w:tblGrid>
        <w:gridCol w:w="1786"/>
        <w:gridCol w:w="3317"/>
        <w:gridCol w:w="2410"/>
      </w:tblGrid>
      <w:tr w:rsidR="00A05921" w:rsidRPr="00870330" w14:paraId="4ADB4A45" w14:textId="77777777" w:rsidTr="00A05921">
        <w:trPr>
          <w:trHeight w:val="135"/>
        </w:trPr>
        <w:tc>
          <w:tcPr>
            <w:tcW w:w="1786" w:type="dxa"/>
            <w:tcBorders>
              <w:top w:val="single" w:sz="4" w:space="0" w:color="auto"/>
              <w:bottom w:val="single" w:sz="4" w:space="0" w:color="auto"/>
            </w:tcBorders>
            <w:shd w:val="clear" w:color="auto" w:fill="auto"/>
          </w:tcPr>
          <w:p w14:paraId="453E3530" w14:textId="77777777" w:rsidR="004C2EEB" w:rsidRPr="00870330" w:rsidRDefault="004C2EEB" w:rsidP="00A05921">
            <w:pPr>
              <w:spacing w:after="0"/>
              <w:jc w:val="center"/>
              <w:rPr>
                <w:rFonts w:asciiTheme="minorHAnsi" w:eastAsia="Times New Roman" w:hAnsiTheme="minorHAnsi" w:cstheme="minorHAnsi"/>
                <w:b/>
                <w:color w:val="0D0D0D" w:themeColor="text1" w:themeTint="F2"/>
              </w:rPr>
            </w:pPr>
          </w:p>
        </w:tc>
        <w:tc>
          <w:tcPr>
            <w:tcW w:w="3317" w:type="dxa"/>
            <w:tcBorders>
              <w:top w:val="single" w:sz="4" w:space="0" w:color="auto"/>
              <w:bottom w:val="single" w:sz="4" w:space="0" w:color="auto"/>
            </w:tcBorders>
            <w:shd w:val="clear" w:color="auto" w:fill="auto"/>
            <w:vAlign w:val="bottom"/>
          </w:tcPr>
          <w:p w14:paraId="7E8B43A8" w14:textId="77777777" w:rsidR="004C2EEB" w:rsidRPr="00870330" w:rsidRDefault="004C2EEB" w:rsidP="00A05921">
            <w:pPr>
              <w:spacing w:after="0"/>
              <w:ind w:firstLineChars="100" w:firstLine="221"/>
              <w:jc w:val="right"/>
              <w:rPr>
                <w:rFonts w:asciiTheme="minorHAnsi" w:hAnsiTheme="minorHAnsi" w:cstheme="minorHAnsi"/>
                <w:b/>
                <w:color w:val="0D0D0D" w:themeColor="text1" w:themeTint="F2"/>
              </w:rPr>
            </w:pPr>
            <w:r w:rsidRPr="00870330">
              <w:rPr>
                <w:rFonts w:asciiTheme="minorHAnsi" w:hAnsiTheme="minorHAnsi" w:cstheme="minorHAnsi"/>
                <w:b/>
                <w:color w:val="0D0D0D" w:themeColor="text1" w:themeTint="F2"/>
              </w:rPr>
              <w:t>Coefficient</w:t>
            </w:r>
          </w:p>
        </w:tc>
        <w:tc>
          <w:tcPr>
            <w:tcW w:w="2410" w:type="dxa"/>
            <w:tcBorders>
              <w:top w:val="single" w:sz="4" w:space="0" w:color="auto"/>
              <w:bottom w:val="single" w:sz="4" w:space="0" w:color="auto"/>
            </w:tcBorders>
            <w:shd w:val="clear" w:color="auto" w:fill="auto"/>
            <w:vAlign w:val="bottom"/>
          </w:tcPr>
          <w:p w14:paraId="3FAF8056" w14:textId="29A2539D" w:rsidR="004C2EEB" w:rsidRPr="00870330" w:rsidRDefault="002255F9" w:rsidP="00A05921">
            <w:pPr>
              <w:spacing w:after="0"/>
              <w:ind w:firstLineChars="100" w:firstLine="221"/>
              <w:jc w:val="right"/>
              <w:rPr>
                <w:rFonts w:asciiTheme="minorHAnsi" w:hAnsiTheme="minorHAnsi" w:cstheme="minorHAnsi"/>
                <w:b/>
                <w:color w:val="0D0D0D" w:themeColor="text1" w:themeTint="F2"/>
              </w:rPr>
            </w:pPr>
            <w:r w:rsidRPr="00870330">
              <w:rPr>
                <w:rFonts w:asciiTheme="minorHAnsi" w:hAnsiTheme="minorHAnsi" w:cstheme="minorHAnsi"/>
                <w:b/>
                <w:color w:val="0D0D0D" w:themeColor="text1" w:themeTint="F2"/>
              </w:rPr>
              <w:t>Standard Error</w:t>
            </w:r>
          </w:p>
        </w:tc>
      </w:tr>
      <w:tr w:rsidR="00A05921" w:rsidRPr="00870330" w14:paraId="2CF3F8B3" w14:textId="77777777" w:rsidTr="00A05921">
        <w:trPr>
          <w:trHeight w:val="135"/>
        </w:trPr>
        <w:tc>
          <w:tcPr>
            <w:tcW w:w="5103" w:type="dxa"/>
            <w:gridSpan w:val="2"/>
            <w:tcBorders>
              <w:top w:val="single" w:sz="4" w:space="0" w:color="auto"/>
              <w:bottom w:val="single" w:sz="4" w:space="0" w:color="auto"/>
            </w:tcBorders>
            <w:shd w:val="clear" w:color="auto" w:fill="auto"/>
          </w:tcPr>
          <w:p w14:paraId="59BD098A" w14:textId="77777777" w:rsidR="004C2EEB" w:rsidRPr="00870330" w:rsidRDefault="004C2EEB" w:rsidP="00A05921">
            <w:pPr>
              <w:spacing w:after="0"/>
              <w:rPr>
                <w:rFonts w:asciiTheme="minorHAnsi" w:eastAsia="Times New Roman" w:hAnsiTheme="minorHAnsi" w:cstheme="minorHAnsi"/>
                <w:b/>
                <w:i/>
                <w:color w:val="0D0D0D" w:themeColor="text1" w:themeTint="F2"/>
              </w:rPr>
            </w:pPr>
            <w:r w:rsidRPr="00870330">
              <w:rPr>
                <w:rFonts w:asciiTheme="minorHAnsi" w:hAnsiTheme="minorHAnsi" w:cstheme="minorHAnsi"/>
                <w:i/>
                <w:color w:val="0D0D0D" w:themeColor="text1" w:themeTint="F2"/>
              </w:rPr>
              <w:t>Long-Run Equation</w:t>
            </w:r>
          </w:p>
        </w:tc>
        <w:tc>
          <w:tcPr>
            <w:tcW w:w="2410" w:type="dxa"/>
            <w:tcBorders>
              <w:top w:val="single" w:sz="4" w:space="0" w:color="auto"/>
              <w:bottom w:val="single" w:sz="4" w:space="0" w:color="auto"/>
            </w:tcBorders>
            <w:shd w:val="clear" w:color="auto" w:fill="auto"/>
          </w:tcPr>
          <w:p w14:paraId="4423D01E" w14:textId="77777777" w:rsidR="004C2EEB" w:rsidRPr="00870330" w:rsidRDefault="004C2EEB" w:rsidP="00A05921">
            <w:pPr>
              <w:spacing w:after="0"/>
              <w:jc w:val="center"/>
              <w:rPr>
                <w:rFonts w:asciiTheme="minorHAnsi" w:eastAsia="Times New Roman" w:hAnsiTheme="minorHAnsi" w:cstheme="minorHAnsi"/>
                <w:b/>
                <w:color w:val="0D0D0D" w:themeColor="text1" w:themeTint="F2"/>
              </w:rPr>
            </w:pPr>
          </w:p>
        </w:tc>
      </w:tr>
      <w:tr w:rsidR="00A05921" w:rsidRPr="00870330" w14:paraId="280C8D99" w14:textId="77777777" w:rsidTr="00A05921">
        <w:tc>
          <w:tcPr>
            <w:tcW w:w="1786" w:type="dxa"/>
            <w:tcBorders>
              <w:top w:val="single" w:sz="4" w:space="0" w:color="auto"/>
            </w:tcBorders>
            <w:shd w:val="clear" w:color="auto" w:fill="auto"/>
            <w:vAlign w:val="bottom"/>
          </w:tcPr>
          <w:p w14:paraId="2698B0CA"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GDP</w:t>
            </w:r>
          </w:p>
        </w:tc>
        <w:tc>
          <w:tcPr>
            <w:tcW w:w="3317" w:type="dxa"/>
            <w:tcBorders>
              <w:top w:val="single" w:sz="4" w:space="0" w:color="auto"/>
            </w:tcBorders>
            <w:shd w:val="clear" w:color="auto" w:fill="auto"/>
            <w:vAlign w:val="bottom"/>
          </w:tcPr>
          <w:p w14:paraId="4AC2ECFB" w14:textId="0AAB4E9B"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6.43270</w:t>
            </w:r>
            <w:r w:rsidR="002255F9" w:rsidRPr="00870330">
              <w:rPr>
                <w:rFonts w:asciiTheme="minorHAnsi" w:hAnsiTheme="minorHAnsi" w:cstheme="minorHAnsi"/>
                <w:color w:val="0D0D0D" w:themeColor="text1" w:themeTint="F2"/>
              </w:rPr>
              <w:t>***</w:t>
            </w:r>
          </w:p>
        </w:tc>
        <w:tc>
          <w:tcPr>
            <w:tcW w:w="2410" w:type="dxa"/>
            <w:tcBorders>
              <w:top w:val="single" w:sz="4" w:space="0" w:color="auto"/>
            </w:tcBorders>
            <w:shd w:val="clear" w:color="auto" w:fill="auto"/>
            <w:vAlign w:val="bottom"/>
          </w:tcPr>
          <w:p w14:paraId="330A2A7B"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2.37494</w:t>
            </w:r>
          </w:p>
        </w:tc>
      </w:tr>
      <w:tr w:rsidR="00A05921" w:rsidRPr="00870330" w14:paraId="11CFCE3A" w14:textId="77777777" w:rsidTr="00A05921">
        <w:tc>
          <w:tcPr>
            <w:tcW w:w="1786" w:type="dxa"/>
            <w:shd w:val="clear" w:color="auto" w:fill="auto"/>
            <w:vAlign w:val="bottom"/>
          </w:tcPr>
          <w:p w14:paraId="04A0E30E"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GDP2</w:t>
            </w:r>
          </w:p>
        </w:tc>
        <w:tc>
          <w:tcPr>
            <w:tcW w:w="3317" w:type="dxa"/>
            <w:shd w:val="clear" w:color="auto" w:fill="auto"/>
            <w:vAlign w:val="bottom"/>
          </w:tcPr>
          <w:p w14:paraId="2B33339B" w14:textId="5884BBCB"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-0.31536</w:t>
            </w:r>
            <w:r w:rsidR="002255F9" w:rsidRPr="00870330">
              <w:rPr>
                <w:rFonts w:asciiTheme="minorHAnsi" w:hAnsiTheme="minorHAnsi" w:cstheme="minorHAnsi"/>
                <w:color w:val="0D0D0D" w:themeColor="text1" w:themeTint="F2"/>
              </w:rPr>
              <w:t>**</w:t>
            </w:r>
          </w:p>
        </w:tc>
        <w:tc>
          <w:tcPr>
            <w:tcW w:w="2410" w:type="dxa"/>
            <w:shd w:val="clear" w:color="auto" w:fill="auto"/>
            <w:vAlign w:val="bottom"/>
          </w:tcPr>
          <w:p w14:paraId="664F7887"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0.14159</w:t>
            </w:r>
          </w:p>
        </w:tc>
      </w:tr>
      <w:tr w:rsidR="00A05921" w:rsidRPr="00870330" w14:paraId="7C4B8026" w14:textId="77777777" w:rsidTr="00922F91">
        <w:tc>
          <w:tcPr>
            <w:tcW w:w="1786" w:type="dxa"/>
            <w:shd w:val="clear" w:color="auto" w:fill="auto"/>
            <w:vAlign w:val="bottom"/>
          </w:tcPr>
          <w:p w14:paraId="6C275239"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TOP</w:t>
            </w:r>
          </w:p>
        </w:tc>
        <w:tc>
          <w:tcPr>
            <w:tcW w:w="3317" w:type="dxa"/>
            <w:shd w:val="clear" w:color="auto" w:fill="auto"/>
            <w:vAlign w:val="bottom"/>
          </w:tcPr>
          <w:p w14:paraId="3B8A35AA" w14:textId="46A1EABE"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1.37076</w:t>
            </w:r>
            <w:r w:rsidR="002255F9" w:rsidRPr="00870330">
              <w:rPr>
                <w:rFonts w:asciiTheme="minorHAnsi" w:hAnsiTheme="minorHAnsi" w:cstheme="minorHAnsi"/>
                <w:color w:val="0D0D0D" w:themeColor="text1" w:themeTint="F2"/>
              </w:rPr>
              <w:t>***</w:t>
            </w:r>
          </w:p>
        </w:tc>
        <w:tc>
          <w:tcPr>
            <w:tcW w:w="2410" w:type="dxa"/>
            <w:shd w:val="clear" w:color="auto" w:fill="auto"/>
            <w:vAlign w:val="bottom"/>
          </w:tcPr>
          <w:p w14:paraId="40399665"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0.15356</w:t>
            </w:r>
          </w:p>
        </w:tc>
      </w:tr>
      <w:tr w:rsidR="00922F91" w:rsidRPr="00870330" w14:paraId="2DBC7918" w14:textId="77777777" w:rsidTr="00922F91">
        <w:tc>
          <w:tcPr>
            <w:tcW w:w="1786" w:type="dxa"/>
            <w:shd w:val="clear" w:color="auto" w:fill="auto"/>
            <w:vAlign w:val="bottom"/>
          </w:tcPr>
          <w:p w14:paraId="0A96E4F0" w14:textId="77777777" w:rsidR="00922F91" w:rsidRPr="00870330" w:rsidRDefault="00922F91" w:rsidP="007868BE">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COR</w:t>
            </w:r>
          </w:p>
        </w:tc>
        <w:tc>
          <w:tcPr>
            <w:tcW w:w="3317" w:type="dxa"/>
            <w:shd w:val="clear" w:color="auto" w:fill="auto"/>
            <w:vAlign w:val="bottom"/>
          </w:tcPr>
          <w:p w14:paraId="59D96F14" w14:textId="77777777" w:rsidR="00922F91" w:rsidRPr="00870330" w:rsidRDefault="00922F91" w:rsidP="007868B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-0.71906***</w:t>
            </w:r>
          </w:p>
        </w:tc>
        <w:tc>
          <w:tcPr>
            <w:tcW w:w="2410" w:type="dxa"/>
            <w:shd w:val="clear" w:color="auto" w:fill="auto"/>
            <w:vAlign w:val="bottom"/>
          </w:tcPr>
          <w:p w14:paraId="05872C55" w14:textId="77777777" w:rsidR="00922F91" w:rsidRPr="00870330" w:rsidRDefault="00922F91" w:rsidP="007868B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0.12752</w:t>
            </w:r>
          </w:p>
        </w:tc>
      </w:tr>
      <w:tr w:rsidR="00922F91" w:rsidRPr="00870330" w14:paraId="22D7E1B3" w14:textId="77777777" w:rsidTr="007868BE">
        <w:tc>
          <w:tcPr>
            <w:tcW w:w="1786" w:type="dxa"/>
            <w:shd w:val="clear" w:color="auto" w:fill="auto"/>
            <w:vAlign w:val="bottom"/>
          </w:tcPr>
          <w:p w14:paraId="1EB6B46D" w14:textId="77777777" w:rsidR="00922F91" w:rsidRPr="00870330" w:rsidRDefault="00922F91" w:rsidP="007868BE">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ARABLE</w:t>
            </w:r>
          </w:p>
        </w:tc>
        <w:tc>
          <w:tcPr>
            <w:tcW w:w="3317" w:type="dxa"/>
            <w:shd w:val="clear" w:color="auto" w:fill="auto"/>
            <w:vAlign w:val="bottom"/>
          </w:tcPr>
          <w:p w14:paraId="62346907" w14:textId="77777777" w:rsidR="00922F91" w:rsidRPr="00870330" w:rsidRDefault="00922F91" w:rsidP="007868B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0.17693***</w:t>
            </w:r>
          </w:p>
        </w:tc>
        <w:tc>
          <w:tcPr>
            <w:tcW w:w="2410" w:type="dxa"/>
            <w:shd w:val="clear" w:color="auto" w:fill="auto"/>
            <w:vAlign w:val="bottom"/>
          </w:tcPr>
          <w:p w14:paraId="0FAE0A90" w14:textId="77777777" w:rsidR="00922F91" w:rsidRPr="00870330" w:rsidRDefault="00922F91" w:rsidP="007868B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0.01530</w:t>
            </w:r>
          </w:p>
        </w:tc>
      </w:tr>
      <w:tr w:rsidR="00922F91" w:rsidRPr="00870330" w14:paraId="340F96C3" w14:textId="77777777" w:rsidTr="007868BE">
        <w:tc>
          <w:tcPr>
            <w:tcW w:w="1786" w:type="dxa"/>
            <w:shd w:val="clear" w:color="auto" w:fill="auto"/>
            <w:vAlign w:val="bottom"/>
          </w:tcPr>
          <w:p w14:paraId="4EFA4A05" w14:textId="24FA94ED" w:rsidR="00922F91" w:rsidRPr="00870330" w:rsidRDefault="000071D7" w:rsidP="007868BE">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POPG</w:t>
            </w:r>
          </w:p>
        </w:tc>
        <w:tc>
          <w:tcPr>
            <w:tcW w:w="3317" w:type="dxa"/>
            <w:shd w:val="clear" w:color="auto" w:fill="auto"/>
            <w:vAlign w:val="bottom"/>
          </w:tcPr>
          <w:p w14:paraId="72F69248" w14:textId="77777777" w:rsidR="00922F91" w:rsidRPr="00870330" w:rsidRDefault="00922F91" w:rsidP="007868B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0.50326***</w:t>
            </w:r>
          </w:p>
        </w:tc>
        <w:tc>
          <w:tcPr>
            <w:tcW w:w="2410" w:type="dxa"/>
            <w:shd w:val="clear" w:color="auto" w:fill="auto"/>
            <w:vAlign w:val="bottom"/>
          </w:tcPr>
          <w:p w14:paraId="7856C6A5" w14:textId="77777777" w:rsidR="00922F91" w:rsidRPr="00870330" w:rsidRDefault="00922F91" w:rsidP="007868B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0.18775</w:t>
            </w:r>
          </w:p>
        </w:tc>
      </w:tr>
      <w:tr w:rsidR="00A05921" w:rsidRPr="00870330" w14:paraId="71B49BE6" w14:textId="77777777" w:rsidTr="00A05921">
        <w:tc>
          <w:tcPr>
            <w:tcW w:w="5103" w:type="dxa"/>
            <w:gridSpan w:val="2"/>
            <w:tcBorders>
              <w:top w:val="single" w:sz="4" w:space="0" w:color="auto"/>
              <w:bottom w:val="single" w:sz="4" w:space="0" w:color="auto"/>
            </w:tcBorders>
            <w:shd w:val="clear" w:color="auto" w:fill="auto"/>
            <w:vAlign w:val="bottom"/>
          </w:tcPr>
          <w:p w14:paraId="50E95876" w14:textId="77777777" w:rsidR="004C2EEB" w:rsidRPr="00870330" w:rsidRDefault="004C2EEB" w:rsidP="00A05921">
            <w:pPr>
              <w:spacing w:after="0"/>
              <w:rPr>
                <w:rFonts w:asciiTheme="minorHAnsi" w:hAnsiTheme="minorHAnsi" w:cstheme="minorHAnsi"/>
                <w:i/>
                <w:color w:val="0D0D0D" w:themeColor="text1" w:themeTint="F2"/>
              </w:rPr>
            </w:pPr>
            <w:r w:rsidRPr="00870330">
              <w:rPr>
                <w:rFonts w:asciiTheme="minorHAnsi" w:hAnsiTheme="minorHAnsi" w:cstheme="minorHAnsi"/>
                <w:i/>
                <w:color w:val="0D0D0D" w:themeColor="text1" w:themeTint="F2"/>
              </w:rPr>
              <w:t>Short-Run Equation</w:t>
            </w:r>
          </w:p>
        </w:tc>
        <w:tc>
          <w:tcPr>
            <w:tcW w:w="2410" w:type="dxa"/>
            <w:tcBorders>
              <w:top w:val="single" w:sz="4" w:space="0" w:color="auto"/>
              <w:bottom w:val="single" w:sz="4" w:space="0" w:color="auto"/>
            </w:tcBorders>
            <w:shd w:val="clear" w:color="auto" w:fill="auto"/>
            <w:vAlign w:val="bottom"/>
          </w:tcPr>
          <w:p w14:paraId="22F37AA4" w14:textId="77777777" w:rsidR="004C2EEB" w:rsidRPr="00870330" w:rsidRDefault="004C2EEB" w:rsidP="00A05921">
            <w:pPr>
              <w:spacing w:after="0"/>
              <w:rPr>
                <w:rFonts w:asciiTheme="minorHAnsi" w:hAnsiTheme="minorHAnsi" w:cstheme="minorHAnsi"/>
                <w:color w:val="0D0D0D" w:themeColor="text1" w:themeTint="F2"/>
              </w:rPr>
            </w:pPr>
          </w:p>
        </w:tc>
      </w:tr>
      <w:tr w:rsidR="00A05921" w:rsidRPr="00870330" w14:paraId="12F9DD27" w14:textId="77777777" w:rsidTr="00A05921">
        <w:tc>
          <w:tcPr>
            <w:tcW w:w="1786" w:type="dxa"/>
            <w:tcBorders>
              <w:top w:val="single" w:sz="4" w:space="0" w:color="auto"/>
            </w:tcBorders>
            <w:shd w:val="clear" w:color="auto" w:fill="auto"/>
            <w:vAlign w:val="bottom"/>
          </w:tcPr>
          <w:p w14:paraId="38CDBAD8"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ECT</w:t>
            </w:r>
          </w:p>
        </w:tc>
        <w:tc>
          <w:tcPr>
            <w:tcW w:w="3317" w:type="dxa"/>
            <w:tcBorders>
              <w:top w:val="single" w:sz="4" w:space="0" w:color="auto"/>
            </w:tcBorders>
            <w:shd w:val="clear" w:color="auto" w:fill="auto"/>
            <w:vAlign w:val="bottom"/>
          </w:tcPr>
          <w:p w14:paraId="4785C6B6" w14:textId="0970C80B"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-0.88848</w:t>
            </w:r>
            <w:r w:rsidR="002255F9" w:rsidRPr="00870330">
              <w:rPr>
                <w:rFonts w:asciiTheme="minorHAnsi" w:hAnsiTheme="minorHAnsi" w:cstheme="minorHAnsi"/>
                <w:color w:val="0D0D0D" w:themeColor="text1" w:themeTint="F2"/>
              </w:rPr>
              <w:t>***</w:t>
            </w:r>
          </w:p>
        </w:tc>
        <w:tc>
          <w:tcPr>
            <w:tcW w:w="2410" w:type="dxa"/>
            <w:tcBorders>
              <w:top w:val="single" w:sz="4" w:space="0" w:color="auto"/>
            </w:tcBorders>
            <w:shd w:val="clear" w:color="auto" w:fill="auto"/>
            <w:vAlign w:val="bottom"/>
          </w:tcPr>
          <w:p w14:paraId="72251093"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0.25876</w:t>
            </w:r>
          </w:p>
        </w:tc>
      </w:tr>
      <w:tr w:rsidR="00A05921" w:rsidRPr="00870330" w14:paraId="5AB742D3" w14:textId="77777777" w:rsidTr="00A05921">
        <w:tc>
          <w:tcPr>
            <w:tcW w:w="1786" w:type="dxa"/>
            <w:shd w:val="clear" w:color="auto" w:fill="auto"/>
            <w:vAlign w:val="bottom"/>
          </w:tcPr>
          <w:p w14:paraId="16A5DD7D"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D(DEF(-1))</w:t>
            </w:r>
          </w:p>
        </w:tc>
        <w:tc>
          <w:tcPr>
            <w:tcW w:w="3317" w:type="dxa"/>
            <w:shd w:val="clear" w:color="auto" w:fill="auto"/>
            <w:vAlign w:val="bottom"/>
          </w:tcPr>
          <w:p w14:paraId="742EC05A"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-0.16117</w:t>
            </w:r>
          </w:p>
        </w:tc>
        <w:tc>
          <w:tcPr>
            <w:tcW w:w="2410" w:type="dxa"/>
            <w:shd w:val="clear" w:color="auto" w:fill="auto"/>
            <w:vAlign w:val="bottom"/>
          </w:tcPr>
          <w:p w14:paraId="40962286"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0.22396</w:t>
            </w:r>
          </w:p>
        </w:tc>
      </w:tr>
      <w:tr w:rsidR="00A05921" w:rsidRPr="00870330" w14:paraId="4184163D" w14:textId="77777777" w:rsidTr="00A05921">
        <w:tc>
          <w:tcPr>
            <w:tcW w:w="1786" w:type="dxa"/>
            <w:shd w:val="clear" w:color="auto" w:fill="auto"/>
            <w:vAlign w:val="bottom"/>
          </w:tcPr>
          <w:p w14:paraId="438B71D1"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D(GDP)</w:t>
            </w:r>
          </w:p>
        </w:tc>
        <w:tc>
          <w:tcPr>
            <w:tcW w:w="3317" w:type="dxa"/>
            <w:shd w:val="clear" w:color="auto" w:fill="auto"/>
            <w:vAlign w:val="bottom"/>
          </w:tcPr>
          <w:p w14:paraId="579A3E9C"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-408.47750</w:t>
            </w:r>
          </w:p>
        </w:tc>
        <w:tc>
          <w:tcPr>
            <w:tcW w:w="2410" w:type="dxa"/>
            <w:shd w:val="clear" w:color="auto" w:fill="auto"/>
            <w:vAlign w:val="bottom"/>
          </w:tcPr>
          <w:p w14:paraId="5360BEC9"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327.92710</w:t>
            </w:r>
          </w:p>
        </w:tc>
      </w:tr>
      <w:tr w:rsidR="00A05921" w:rsidRPr="00870330" w14:paraId="36285F6F" w14:textId="77777777" w:rsidTr="00A05921">
        <w:tc>
          <w:tcPr>
            <w:tcW w:w="1786" w:type="dxa"/>
            <w:shd w:val="clear" w:color="auto" w:fill="auto"/>
            <w:vAlign w:val="bottom"/>
          </w:tcPr>
          <w:p w14:paraId="0355E740"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D(GDP(-1))</w:t>
            </w:r>
          </w:p>
        </w:tc>
        <w:tc>
          <w:tcPr>
            <w:tcW w:w="3317" w:type="dxa"/>
            <w:shd w:val="clear" w:color="auto" w:fill="auto"/>
            <w:vAlign w:val="bottom"/>
          </w:tcPr>
          <w:p w14:paraId="11952180"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417.60540</w:t>
            </w:r>
          </w:p>
        </w:tc>
        <w:tc>
          <w:tcPr>
            <w:tcW w:w="2410" w:type="dxa"/>
            <w:shd w:val="clear" w:color="auto" w:fill="auto"/>
            <w:vAlign w:val="bottom"/>
          </w:tcPr>
          <w:p w14:paraId="2132D52A"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341.07720</w:t>
            </w:r>
          </w:p>
        </w:tc>
      </w:tr>
      <w:tr w:rsidR="00A05921" w:rsidRPr="00870330" w14:paraId="70CBBDB4" w14:textId="77777777" w:rsidTr="00A05921">
        <w:tc>
          <w:tcPr>
            <w:tcW w:w="1786" w:type="dxa"/>
            <w:shd w:val="clear" w:color="auto" w:fill="auto"/>
            <w:vAlign w:val="bottom"/>
          </w:tcPr>
          <w:p w14:paraId="45E2017C"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D(GDP2)</w:t>
            </w:r>
          </w:p>
        </w:tc>
        <w:tc>
          <w:tcPr>
            <w:tcW w:w="3317" w:type="dxa"/>
            <w:shd w:val="clear" w:color="auto" w:fill="auto"/>
            <w:vAlign w:val="bottom"/>
          </w:tcPr>
          <w:p w14:paraId="0A5FDBED"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26.66266</w:t>
            </w:r>
          </w:p>
        </w:tc>
        <w:tc>
          <w:tcPr>
            <w:tcW w:w="2410" w:type="dxa"/>
            <w:shd w:val="clear" w:color="auto" w:fill="auto"/>
            <w:vAlign w:val="bottom"/>
          </w:tcPr>
          <w:p w14:paraId="1A84B977"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22.30920</w:t>
            </w:r>
          </w:p>
        </w:tc>
      </w:tr>
      <w:tr w:rsidR="00A05921" w:rsidRPr="00870330" w14:paraId="15AAD640" w14:textId="77777777" w:rsidTr="00A05921">
        <w:tc>
          <w:tcPr>
            <w:tcW w:w="1786" w:type="dxa"/>
            <w:shd w:val="clear" w:color="auto" w:fill="auto"/>
            <w:vAlign w:val="bottom"/>
          </w:tcPr>
          <w:p w14:paraId="53399A6D"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D(GDP2(-1))</w:t>
            </w:r>
          </w:p>
        </w:tc>
        <w:tc>
          <w:tcPr>
            <w:tcW w:w="3317" w:type="dxa"/>
            <w:shd w:val="clear" w:color="auto" w:fill="auto"/>
            <w:vAlign w:val="bottom"/>
          </w:tcPr>
          <w:p w14:paraId="63E62123"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-29.19596</w:t>
            </w:r>
          </w:p>
        </w:tc>
        <w:tc>
          <w:tcPr>
            <w:tcW w:w="2410" w:type="dxa"/>
            <w:shd w:val="clear" w:color="auto" w:fill="auto"/>
            <w:vAlign w:val="bottom"/>
          </w:tcPr>
          <w:p w14:paraId="0E9217E1"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23.79855</w:t>
            </w:r>
          </w:p>
        </w:tc>
      </w:tr>
      <w:tr w:rsidR="00A05921" w:rsidRPr="00870330" w14:paraId="1B544B91" w14:textId="77777777" w:rsidTr="00A05921">
        <w:tc>
          <w:tcPr>
            <w:tcW w:w="1786" w:type="dxa"/>
            <w:shd w:val="clear" w:color="auto" w:fill="auto"/>
            <w:vAlign w:val="bottom"/>
          </w:tcPr>
          <w:p w14:paraId="55EA21FA"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D(TOP)</w:t>
            </w:r>
          </w:p>
        </w:tc>
        <w:tc>
          <w:tcPr>
            <w:tcW w:w="3317" w:type="dxa"/>
            <w:shd w:val="clear" w:color="auto" w:fill="auto"/>
            <w:vAlign w:val="bottom"/>
          </w:tcPr>
          <w:p w14:paraId="12264DAA"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0.31645</w:t>
            </w:r>
          </w:p>
        </w:tc>
        <w:tc>
          <w:tcPr>
            <w:tcW w:w="2410" w:type="dxa"/>
            <w:shd w:val="clear" w:color="auto" w:fill="auto"/>
            <w:vAlign w:val="bottom"/>
          </w:tcPr>
          <w:p w14:paraId="627E1E11"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1.62792</w:t>
            </w:r>
          </w:p>
        </w:tc>
      </w:tr>
      <w:tr w:rsidR="00A05921" w:rsidRPr="00870330" w14:paraId="1576EDC1" w14:textId="77777777" w:rsidTr="00A05921">
        <w:tc>
          <w:tcPr>
            <w:tcW w:w="1786" w:type="dxa"/>
            <w:shd w:val="clear" w:color="auto" w:fill="auto"/>
            <w:vAlign w:val="bottom"/>
          </w:tcPr>
          <w:p w14:paraId="0BE3C7E8"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D(TOP(-1))</w:t>
            </w:r>
          </w:p>
        </w:tc>
        <w:tc>
          <w:tcPr>
            <w:tcW w:w="3317" w:type="dxa"/>
            <w:shd w:val="clear" w:color="auto" w:fill="auto"/>
            <w:vAlign w:val="bottom"/>
          </w:tcPr>
          <w:p w14:paraId="3C78B4AC"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1.13132</w:t>
            </w:r>
          </w:p>
        </w:tc>
        <w:tc>
          <w:tcPr>
            <w:tcW w:w="2410" w:type="dxa"/>
            <w:shd w:val="clear" w:color="auto" w:fill="auto"/>
            <w:vAlign w:val="bottom"/>
          </w:tcPr>
          <w:p w14:paraId="7DB7F675"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1.92194</w:t>
            </w:r>
          </w:p>
        </w:tc>
      </w:tr>
      <w:tr w:rsidR="00922F91" w:rsidRPr="00870330" w14:paraId="613EBF54" w14:textId="77777777" w:rsidTr="007868BE">
        <w:tc>
          <w:tcPr>
            <w:tcW w:w="1786" w:type="dxa"/>
            <w:shd w:val="clear" w:color="auto" w:fill="auto"/>
            <w:vAlign w:val="bottom"/>
          </w:tcPr>
          <w:p w14:paraId="24933A0A" w14:textId="77777777" w:rsidR="00922F91" w:rsidRPr="00870330" w:rsidRDefault="00922F91" w:rsidP="007868BE">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D(COR)</w:t>
            </w:r>
          </w:p>
        </w:tc>
        <w:tc>
          <w:tcPr>
            <w:tcW w:w="3317" w:type="dxa"/>
            <w:shd w:val="clear" w:color="auto" w:fill="auto"/>
            <w:vAlign w:val="bottom"/>
          </w:tcPr>
          <w:p w14:paraId="3F264AF4" w14:textId="77777777" w:rsidR="00922F91" w:rsidRPr="00870330" w:rsidRDefault="00922F91" w:rsidP="007868B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1.30910*</w:t>
            </w:r>
          </w:p>
        </w:tc>
        <w:tc>
          <w:tcPr>
            <w:tcW w:w="2410" w:type="dxa"/>
            <w:shd w:val="clear" w:color="auto" w:fill="auto"/>
            <w:vAlign w:val="bottom"/>
          </w:tcPr>
          <w:p w14:paraId="3B164AC2" w14:textId="77777777" w:rsidR="00922F91" w:rsidRPr="00870330" w:rsidRDefault="00922F91" w:rsidP="007868B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0.75498</w:t>
            </w:r>
          </w:p>
        </w:tc>
      </w:tr>
      <w:tr w:rsidR="00922F91" w:rsidRPr="00870330" w14:paraId="26951408" w14:textId="77777777" w:rsidTr="007868BE">
        <w:tc>
          <w:tcPr>
            <w:tcW w:w="1786" w:type="dxa"/>
            <w:shd w:val="clear" w:color="auto" w:fill="auto"/>
            <w:vAlign w:val="bottom"/>
          </w:tcPr>
          <w:p w14:paraId="3F3EE4F7" w14:textId="77777777" w:rsidR="00922F91" w:rsidRPr="00870330" w:rsidRDefault="00922F91" w:rsidP="007868BE">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D(COR(-1))</w:t>
            </w:r>
          </w:p>
        </w:tc>
        <w:tc>
          <w:tcPr>
            <w:tcW w:w="3317" w:type="dxa"/>
            <w:shd w:val="clear" w:color="auto" w:fill="auto"/>
            <w:vAlign w:val="bottom"/>
          </w:tcPr>
          <w:p w14:paraId="6AE29D56" w14:textId="77777777" w:rsidR="00922F91" w:rsidRPr="00870330" w:rsidRDefault="00922F91" w:rsidP="007868B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1.35803*</w:t>
            </w:r>
          </w:p>
        </w:tc>
        <w:tc>
          <w:tcPr>
            <w:tcW w:w="2410" w:type="dxa"/>
            <w:shd w:val="clear" w:color="auto" w:fill="auto"/>
            <w:vAlign w:val="bottom"/>
          </w:tcPr>
          <w:p w14:paraId="12BAE2A2" w14:textId="77777777" w:rsidR="00922F91" w:rsidRPr="00870330" w:rsidRDefault="00922F91" w:rsidP="007868BE">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0.78587</w:t>
            </w:r>
          </w:p>
        </w:tc>
      </w:tr>
      <w:tr w:rsidR="00A05921" w:rsidRPr="00870330" w14:paraId="18B4E05C" w14:textId="77777777" w:rsidTr="00A05921">
        <w:tc>
          <w:tcPr>
            <w:tcW w:w="1786" w:type="dxa"/>
            <w:shd w:val="clear" w:color="auto" w:fill="auto"/>
            <w:vAlign w:val="bottom"/>
          </w:tcPr>
          <w:p w14:paraId="0E8BB359"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D(ARABLE)</w:t>
            </w:r>
          </w:p>
        </w:tc>
        <w:tc>
          <w:tcPr>
            <w:tcW w:w="3317" w:type="dxa"/>
            <w:shd w:val="clear" w:color="auto" w:fill="auto"/>
            <w:vAlign w:val="bottom"/>
          </w:tcPr>
          <w:p w14:paraId="206C1395"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0.44326</w:t>
            </w:r>
          </w:p>
        </w:tc>
        <w:tc>
          <w:tcPr>
            <w:tcW w:w="2410" w:type="dxa"/>
            <w:shd w:val="clear" w:color="auto" w:fill="auto"/>
            <w:vAlign w:val="bottom"/>
          </w:tcPr>
          <w:p w14:paraId="6D380215"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0.33045</w:t>
            </w:r>
          </w:p>
        </w:tc>
      </w:tr>
      <w:tr w:rsidR="00A05921" w:rsidRPr="00870330" w14:paraId="24320266" w14:textId="77777777" w:rsidTr="00A05921">
        <w:tc>
          <w:tcPr>
            <w:tcW w:w="1786" w:type="dxa"/>
            <w:shd w:val="clear" w:color="auto" w:fill="auto"/>
            <w:vAlign w:val="bottom"/>
          </w:tcPr>
          <w:p w14:paraId="6E0FDF4B"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D(ARABLE(-1))</w:t>
            </w:r>
          </w:p>
        </w:tc>
        <w:tc>
          <w:tcPr>
            <w:tcW w:w="3317" w:type="dxa"/>
            <w:shd w:val="clear" w:color="auto" w:fill="auto"/>
            <w:vAlign w:val="bottom"/>
          </w:tcPr>
          <w:p w14:paraId="71F63116"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0.09890</w:t>
            </w:r>
          </w:p>
        </w:tc>
        <w:tc>
          <w:tcPr>
            <w:tcW w:w="2410" w:type="dxa"/>
            <w:shd w:val="clear" w:color="auto" w:fill="auto"/>
            <w:vAlign w:val="bottom"/>
          </w:tcPr>
          <w:p w14:paraId="0CC6081D"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0.15955</w:t>
            </w:r>
          </w:p>
        </w:tc>
      </w:tr>
      <w:tr w:rsidR="00A05921" w:rsidRPr="00870330" w14:paraId="08CB40FF" w14:textId="77777777" w:rsidTr="00A05921">
        <w:tc>
          <w:tcPr>
            <w:tcW w:w="1786" w:type="dxa"/>
            <w:shd w:val="clear" w:color="auto" w:fill="auto"/>
            <w:vAlign w:val="bottom"/>
          </w:tcPr>
          <w:p w14:paraId="2D92CFEF" w14:textId="1D1CEB2A"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D(</w:t>
            </w:r>
            <w:r w:rsidR="000071D7" w:rsidRPr="00870330">
              <w:rPr>
                <w:rFonts w:asciiTheme="minorHAnsi" w:hAnsiTheme="minorHAnsi" w:cstheme="minorHAnsi"/>
                <w:color w:val="0D0D0D" w:themeColor="text1" w:themeTint="F2"/>
              </w:rPr>
              <w:t>POPG</w:t>
            </w:r>
            <w:r w:rsidRPr="00870330">
              <w:rPr>
                <w:rFonts w:asciiTheme="minorHAnsi" w:hAnsiTheme="minorHAnsi" w:cstheme="minorHAnsi"/>
                <w:color w:val="0D0D0D" w:themeColor="text1" w:themeTint="F2"/>
              </w:rPr>
              <w:t>)</w:t>
            </w:r>
          </w:p>
        </w:tc>
        <w:tc>
          <w:tcPr>
            <w:tcW w:w="3317" w:type="dxa"/>
            <w:shd w:val="clear" w:color="auto" w:fill="auto"/>
            <w:vAlign w:val="bottom"/>
          </w:tcPr>
          <w:p w14:paraId="743FC53C"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11.66357</w:t>
            </w:r>
          </w:p>
        </w:tc>
        <w:tc>
          <w:tcPr>
            <w:tcW w:w="2410" w:type="dxa"/>
            <w:shd w:val="clear" w:color="auto" w:fill="auto"/>
            <w:vAlign w:val="bottom"/>
          </w:tcPr>
          <w:p w14:paraId="4D7E7E97"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15.60363</w:t>
            </w:r>
          </w:p>
        </w:tc>
      </w:tr>
      <w:tr w:rsidR="00A05921" w:rsidRPr="00870330" w14:paraId="4F11FB5D" w14:textId="77777777" w:rsidTr="00A05921">
        <w:tc>
          <w:tcPr>
            <w:tcW w:w="1786" w:type="dxa"/>
            <w:shd w:val="clear" w:color="auto" w:fill="auto"/>
            <w:vAlign w:val="bottom"/>
          </w:tcPr>
          <w:p w14:paraId="78893DD1" w14:textId="4F388CF9"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D(</w:t>
            </w:r>
            <w:r w:rsidR="000071D7" w:rsidRPr="00870330">
              <w:rPr>
                <w:rFonts w:asciiTheme="minorHAnsi" w:hAnsiTheme="minorHAnsi" w:cstheme="minorHAnsi"/>
                <w:color w:val="0D0D0D" w:themeColor="text1" w:themeTint="F2"/>
              </w:rPr>
              <w:t>POPG</w:t>
            </w:r>
            <w:r w:rsidRPr="00870330">
              <w:rPr>
                <w:rFonts w:asciiTheme="minorHAnsi" w:hAnsiTheme="minorHAnsi" w:cstheme="minorHAnsi"/>
                <w:color w:val="0D0D0D" w:themeColor="text1" w:themeTint="F2"/>
              </w:rPr>
              <w:t>(-1))</w:t>
            </w:r>
          </w:p>
        </w:tc>
        <w:tc>
          <w:tcPr>
            <w:tcW w:w="3317" w:type="dxa"/>
            <w:shd w:val="clear" w:color="auto" w:fill="auto"/>
            <w:vAlign w:val="bottom"/>
          </w:tcPr>
          <w:p w14:paraId="44156A32"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-8.87007</w:t>
            </w:r>
          </w:p>
        </w:tc>
        <w:tc>
          <w:tcPr>
            <w:tcW w:w="2410" w:type="dxa"/>
            <w:shd w:val="clear" w:color="auto" w:fill="auto"/>
            <w:vAlign w:val="bottom"/>
          </w:tcPr>
          <w:p w14:paraId="0497CFF7"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12.72662</w:t>
            </w:r>
          </w:p>
        </w:tc>
      </w:tr>
      <w:tr w:rsidR="00A05921" w:rsidRPr="00870330" w14:paraId="0E4808A3" w14:textId="77777777" w:rsidTr="00A05921">
        <w:tc>
          <w:tcPr>
            <w:tcW w:w="1786" w:type="dxa"/>
            <w:tcBorders>
              <w:bottom w:val="single" w:sz="4" w:space="0" w:color="auto"/>
            </w:tcBorders>
            <w:shd w:val="clear" w:color="auto" w:fill="auto"/>
            <w:vAlign w:val="bottom"/>
          </w:tcPr>
          <w:p w14:paraId="7BBE719A"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C</w:t>
            </w:r>
          </w:p>
        </w:tc>
        <w:tc>
          <w:tcPr>
            <w:tcW w:w="3317" w:type="dxa"/>
            <w:tcBorders>
              <w:bottom w:val="single" w:sz="4" w:space="0" w:color="auto"/>
            </w:tcBorders>
            <w:shd w:val="clear" w:color="auto" w:fill="auto"/>
            <w:vAlign w:val="bottom"/>
          </w:tcPr>
          <w:p w14:paraId="54190BDE" w14:textId="78F246F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-32.14371</w:t>
            </w:r>
            <w:r w:rsidR="002255F9" w:rsidRPr="00870330">
              <w:rPr>
                <w:rFonts w:asciiTheme="minorHAnsi" w:hAnsiTheme="minorHAnsi" w:cstheme="minorHAnsi"/>
                <w:color w:val="0D0D0D" w:themeColor="text1" w:themeTint="F2"/>
              </w:rPr>
              <w:t>***</w:t>
            </w:r>
          </w:p>
        </w:tc>
        <w:tc>
          <w:tcPr>
            <w:tcW w:w="2410" w:type="dxa"/>
            <w:tcBorders>
              <w:bottom w:val="single" w:sz="4" w:space="0" w:color="auto"/>
            </w:tcBorders>
            <w:shd w:val="clear" w:color="auto" w:fill="auto"/>
            <w:vAlign w:val="bottom"/>
          </w:tcPr>
          <w:p w14:paraId="5FE92547" w14:textId="77777777" w:rsidR="004C2EEB" w:rsidRPr="00870330" w:rsidRDefault="004C2EEB" w:rsidP="00A05921">
            <w:pPr>
              <w:spacing w:after="0"/>
              <w:jc w:val="right"/>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9.43864</w:t>
            </w:r>
          </w:p>
        </w:tc>
      </w:tr>
    </w:tbl>
    <w:p w14:paraId="7ED983F3" w14:textId="26A0630B" w:rsidR="000071D7" w:rsidRPr="00870330" w:rsidRDefault="002255F9" w:rsidP="004C2EEB">
      <w:pPr>
        <w:pStyle w:val="NormalafterHeading"/>
        <w:spacing w:line="259" w:lineRule="auto"/>
        <w:ind w:left="720"/>
        <w:rPr>
          <w:rFonts w:asciiTheme="minorHAnsi" w:hAnsiTheme="minorHAnsi" w:cstheme="minorHAnsi"/>
          <w:color w:val="0D0D0D" w:themeColor="text1" w:themeTint="F2"/>
          <w:lang w:val="en-US"/>
        </w:rPr>
      </w:pPr>
      <w:r w:rsidRPr="00870330">
        <w:rPr>
          <w:rFonts w:asciiTheme="minorHAnsi" w:hAnsiTheme="minorHAnsi" w:cstheme="minorHAnsi"/>
          <w:color w:val="0D0D0D" w:themeColor="text1" w:themeTint="F2"/>
          <w:lang w:val="en-US"/>
        </w:rPr>
        <w:t xml:space="preserve">Note: </w:t>
      </w:r>
      <w:r w:rsidR="000071D7" w:rsidRPr="00870330">
        <w:rPr>
          <w:rFonts w:asciiTheme="minorHAnsi" w:hAnsiTheme="minorHAnsi" w:cstheme="minorHAnsi"/>
          <w:color w:val="0D0D0D" w:themeColor="text1" w:themeTint="F2"/>
          <w:lang w:val="en-US"/>
        </w:rPr>
        <w:t>D represent difference</w:t>
      </w:r>
    </w:p>
    <w:p w14:paraId="7C8001A5" w14:textId="79A805AC" w:rsidR="004C2EEB" w:rsidRPr="00870330" w:rsidRDefault="002255F9" w:rsidP="004C2EEB">
      <w:pPr>
        <w:pStyle w:val="NormalafterHeading"/>
        <w:spacing w:line="259" w:lineRule="auto"/>
        <w:ind w:left="720"/>
        <w:rPr>
          <w:rFonts w:asciiTheme="minorHAnsi" w:hAnsiTheme="minorHAnsi" w:cstheme="minorHAnsi"/>
          <w:color w:val="0D0D0D" w:themeColor="text1" w:themeTint="F2"/>
          <w:lang w:val="en-US"/>
        </w:rPr>
      </w:pPr>
      <w:r w:rsidRPr="00870330">
        <w:rPr>
          <w:rFonts w:asciiTheme="minorHAnsi" w:hAnsiTheme="minorHAnsi" w:cstheme="minorHAnsi"/>
          <w:color w:val="0D0D0D" w:themeColor="text1" w:themeTint="F2"/>
          <w:lang w:val="en-US"/>
        </w:rPr>
        <w:t>*</w:t>
      </w:r>
      <w:proofErr w:type="gramStart"/>
      <w:r w:rsidRPr="00870330">
        <w:rPr>
          <w:rFonts w:asciiTheme="minorHAnsi" w:hAnsiTheme="minorHAnsi" w:cstheme="minorHAnsi"/>
          <w:color w:val="0D0D0D" w:themeColor="text1" w:themeTint="F2"/>
          <w:lang w:val="en-US"/>
        </w:rPr>
        <w:t>,</w:t>
      </w:r>
      <w:r w:rsidR="00032305" w:rsidRPr="00870330">
        <w:rPr>
          <w:rFonts w:asciiTheme="minorHAnsi" w:hAnsiTheme="minorHAnsi" w:cstheme="minorHAnsi"/>
          <w:color w:val="0D0D0D" w:themeColor="text1" w:themeTint="F2"/>
          <w:lang w:val="en-US"/>
        </w:rPr>
        <w:t>*</w:t>
      </w:r>
      <w:proofErr w:type="gramEnd"/>
      <w:r w:rsidR="00032305" w:rsidRPr="00870330">
        <w:rPr>
          <w:rFonts w:asciiTheme="minorHAnsi" w:hAnsiTheme="minorHAnsi" w:cstheme="minorHAnsi"/>
          <w:color w:val="0D0D0D" w:themeColor="text1" w:themeTint="F2"/>
          <w:lang w:val="en-US"/>
        </w:rPr>
        <w:t>*, and *** indicate significant at 10, 5</w:t>
      </w:r>
      <w:r w:rsidRPr="00870330">
        <w:rPr>
          <w:rFonts w:asciiTheme="minorHAnsi" w:hAnsiTheme="minorHAnsi" w:cstheme="minorHAnsi"/>
          <w:color w:val="0D0D0D" w:themeColor="text1" w:themeTint="F2"/>
          <w:lang w:val="en-US"/>
        </w:rPr>
        <w:t>, and 1%</w:t>
      </w:r>
      <w:r w:rsidR="003769B1" w:rsidRPr="00870330">
        <w:rPr>
          <w:rFonts w:asciiTheme="minorHAnsi" w:hAnsiTheme="minorHAnsi" w:cstheme="minorHAnsi"/>
          <w:color w:val="0D0D0D" w:themeColor="text1" w:themeTint="F2"/>
          <w:lang w:val="en-US"/>
        </w:rPr>
        <w:t xml:space="preserve"> level.</w:t>
      </w:r>
    </w:p>
    <w:p w14:paraId="55CC0C21" w14:textId="77777777" w:rsidR="004C2EEB" w:rsidRPr="00870330" w:rsidRDefault="004C2EEB" w:rsidP="004C2EEB">
      <w:pPr>
        <w:spacing w:after="0"/>
        <w:rPr>
          <w:rFonts w:asciiTheme="minorHAnsi" w:hAnsiTheme="minorHAnsi" w:cstheme="minorHAnsi"/>
          <w:color w:val="0D0D0D" w:themeColor="text1" w:themeTint="F2"/>
          <w:lang w:eastAsia="id-ID"/>
        </w:rPr>
      </w:pPr>
    </w:p>
    <w:p w14:paraId="0FFA2B21" w14:textId="1F40AB9A" w:rsidR="004C2EEB" w:rsidRPr="00870330" w:rsidRDefault="00D06D2C" w:rsidP="004C2EEB">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 xml:space="preserve">Another </w:t>
      </w:r>
      <w:r w:rsidR="00D37B02" w:rsidRPr="00870330">
        <w:rPr>
          <w:rFonts w:asciiTheme="minorHAnsi" w:hAnsiTheme="minorHAnsi" w:cstheme="minorHAnsi"/>
          <w:color w:val="0D0D0D" w:themeColor="text1" w:themeTint="F2"/>
          <w:lang w:eastAsia="id-ID"/>
        </w:rPr>
        <w:t>result</w:t>
      </w:r>
      <w:r w:rsidRPr="00870330">
        <w:rPr>
          <w:rFonts w:asciiTheme="minorHAnsi" w:hAnsiTheme="minorHAnsi" w:cstheme="minorHAnsi"/>
          <w:color w:val="0D0D0D" w:themeColor="text1" w:themeTint="F2"/>
          <w:lang w:eastAsia="id-ID"/>
        </w:rPr>
        <w:t>, the coefficient of trade openness</w:t>
      </w:r>
      <w:r w:rsidR="004C2EEB" w:rsidRPr="00870330">
        <w:rPr>
          <w:rFonts w:asciiTheme="minorHAnsi" w:hAnsiTheme="minorHAnsi" w:cstheme="minorHAnsi"/>
          <w:color w:val="0D0D0D" w:themeColor="text1" w:themeTint="F2"/>
          <w:lang w:eastAsia="id-ID"/>
        </w:rPr>
        <w:t xml:space="preserve"> is positive and significant at the 1% level. This </w:t>
      </w:r>
      <w:r w:rsidR="00D37B02" w:rsidRPr="00870330">
        <w:rPr>
          <w:rFonts w:asciiTheme="minorHAnsi" w:hAnsiTheme="minorHAnsi" w:cstheme="minorHAnsi"/>
          <w:color w:val="0D0D0D" w:themeColor="text1" w:themeTint="F2"/>
          <w:lang w:eastAsia="id-ID"/>
        </w:rPr>
        <w:t>finding confirm</w:t>
      </w:r>
      <w:r w:rsidR="004C2EEB" w:rsidRPr="00870330">
        <w:rPr>
          <w:rFonts w:asciiTheme="minorHAnsi" w:hAnsiTheme="minorHAnsi" w:cstheme="minorHAnsi"/>
          <w:color w:val="0D0D0D" w:themeColor="text1" w:themeTint="F2"/>
          <w:lang w:eastAsia="id-ID"/>
        </w:rPr>
        <w:t xml:space="preserve">s that trade openness is a driver of deforestation in Southeast Asia. It is in line with the results of previous studies </w:t>
      </w:r>
      <w:r w:rsidR="00B50639" w:rsidRPr="00870330">
        <w:rPr>
          <w:rFonts w:asciiTheme="minorHAnsi" w:hAnsiTheme="minorHAnsi" w:cstheme="minorHAnsi"/>
          <w:noProof/>
          <w:color w:val="0D0D0D"/>
        </w:rPr>
        <w:t>(</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{"citationItems":[{"id":"ITEM-1","itemData":{"DOI":"10.1038/ngeo756","ISSN":"17520894","abstract":"Reducing atmospheric carbon emissions from tropical deforestation is at present considered a cost-effective option for mitigating climate change. However, the forces associated with tropical forest loss are uncertain. Here we use satellite-based estimates of forest loss for 2000 to 2005 (ref.2) to assess economic, agricultural and demographic correlates across 41 countries in the humid tropics. Two methods of analysis-linear regression and regression tree-show that forest loss is positively correlated with urban population growth and exports of agricultural products for this time period. Rural population growth is not associated with forest loss, indicating the importance of urban-based and international demands for agricultural products as drivers of deforestation. The strong trend in movement of people to cities in the tropics is, counter-intuitively, likely to be associated with greater pressures for clearing tropical forests. We therefore suggest that policies to reduce deforestation among local, rural populations will not address the main cause of deforestation in the future. Rather, efforts need to focus on reducing deforestation for industrial-scale, export-oriented agricultural production, concomitant with efforts to increase yields in non-forested lands to satisfy demands for agricultural products. © 2010 Macmillan Publishers Limited. All rights reserved.","author":[{"dropping-particle":"","family":"Defries","given":"Ruth S.","non-dropping-particle":"","parse-names":false,"suffix":""},{"dropping-particle":"","family":"Rudel","given":"Thomas","non-dropping-particle":"","parse-names":false,"suffix":""},{"dropping-particle":"","family":"Uriarte","given":"Maria","non-dropping-particle":"","parse-names":false,"suffix":""},{"dropping-particle":"","family":"Hansen","given":"Matthew","non-dropping-particle":"","parse-names":false,"suffix":""}],"container-title":"Nature Geoscience","id":"ITEM-1","issue":"3","issued":{"date-parts":[["2010"]]},"page":"178-181","publisher":"Nature Publishing Group","title":"Deforestation driven by urban population growth and agricultural trade in the twenty-first century","type":"article-journal","volume":"3"},"uris":["http://www.mendeley.com/documents/?uuid=b7ba5072-9548-4880-9906-46633f90b522"]}],"mendeley":{"formattedCitation":"(Defries et al., 2010)","manualFormatting":"Defries et al., 2010","plainTextFormattedCitation":"(Defries et al., 2010)","previouslyFormattedCitation":"(Defries et al., 2010)"},"properties":{"noteIndex":0},"schema":"https://github.com/citation-style-language/schema/raw/master/csl-citation.json"}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Defries et al., 2010</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{"citationItems":[{"id":"ITEM-1","itemData":{"DOI":"10.1016/j.ecolecon.2015.11.014","ISSN":"09218009","abstract":"One of the objectives of this paper is to investigate how international trade has affected the dynamics of deforestation in the Brazilian Amazon at the level of the municipality. This analysis focuses on the expansion of crop and cattle activities, and other determinants of deforestation such as GDP per capita, conservation areas and property rights. We combine standard econometrics with spatial econometrics to capture the socioeconomic interactions among the agents in their interrelated economic system. The data used in this study correspond to a balanced panel of 732 municipalities from 2000 to 2010. The main findings suggest that as openness to trade in the Amazon increases, deforestation also increases. We also find that it is the production of soybeans and beef cattle that drives deforestation in the region. The property rights indicator also has a significant impact in deforestation. Moreover, as the GDP per capita goes up, deforestation increases. The conservation areas have a negative impact on deforestation.","author":[{"dropping-particle":"","family":"Faria","given":"Weslem Rodrigues","non-dropping-particle":"","parse-names":false,"suffix":""},{"dropping-particle":"","family":"Almeida","given":"Alexandre Nunes","non-dropping-particle":"","parse-names":false,"suffix":""}],"container-title":"Ecological Economics","id":"ITEM-1","issued":{"date-parts":[["2016"]]},"page":"85-97","publisher":"Elsevier B.V.","title":"Relationship between openness to trade and deforestation: Empirical evidence from the Brazilian Amazon","type":"article-journal","volume":"121"},"uris":["http://www.mendeley.com/documents/?uuid=f058c9b5-5fe2-41de-a4fd-d08f0676433c"]}],"mendeley":{"formattedCitation":"(Faria &amp; Almeida, 2016)","manualFormatting":"Faria &amp; Almeida, 2016)","plainTextFormattedCitation":"(Faria &amp; Almeida, 2016)","previouslyFormattedCitation":"(Faria &amp; Almeida, 2016)"},"properties":{"noteIndex":0},"schema":"https://github.com/citation-style-language/schema/raw/master/csl-citation.json"}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Faria &amp; Almeida, 2016)</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004C2EEB" w:rsidRPr="00870330">
        <w:rPr>
          <w:rFonts w:asciiTheme="minorHAnsi" w:hAnsiTheme="minorHAnsi" w:cstheme="minorHAnsi"/>
          <w:color w:val="0D0D0D" w:themeColor="text1" w:themeTint="F2"/>
          <w:lang w:eastAsia="id-ID"/>
        </w:rPr>
        <w:t xml:space="preserve">Trade openness causes deforestation through the expansion of export-oriented agricultural commodities and processed forest products </w:t>
      </w:r>
      <w:r w:rsidR="00B50639" w:rsidRPr="00870330">
        <w:rPr>
          <w:rFonts w:asciiTheme="minorHAnsi" w:hAnsiTheme="minorHAnsi" w:cstheme="minorHAnsi"/>
          <w:noProof/>
          <w:color w:val="0D0D0D"/>
        </w:rPr>
        <w:t>(</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{"citationItems":[{"id":"ITEM-1","itemData":{"DOI":"10.1038/ngeo756","ISSN":"17520894","abstract":"Reducing atmospheric carbon emissions from tropical deforestation is at present considered a cost-effective option for mitigating climate change. However, the forces associated with tropical forest loss are uncertain. Here we use satellite-based estimates of forest loss for 2000 to 2005 (ref.2) to assess economic, agricultural and demographic correlates across 41 countries in the humid tropics. Two methods of analysis-linear regression and regression tree-show that forest loss is positively correlated with urban population growth and exports of agricultural products for this time period. Rural population growth is not associated with forest loss, indicating the importance of urban-based and international demands for agricultural products as drivers of deforestation. The strong trend in movement of people to cities in the tropics is, counter-intuitively, likely to be associated with greater pressures for clearing tropical forests. We therefore suggest that policies to reduce deforestation among local, rural populations will not address the main cause of deforestation in the future. Rather, efforts need to focus on reducing deforestation for industrial-scale, export-oriented agricultural production, concomitant with efforts to increase yields in non-forested lands to satisfy demands for agricultural products. © 2010 Macmillan Publishers Limited. All rights reserved.","author":[{"dropping-particle":"","family":"Defries","given":"Ruth S.","non-dropping-particle":"","parse-names":false,"suffix":""},{"dropping-particle":"","family":"Rudel","given":"Thomas","non-dropping-particle":"","parse-names":false,"suffix":""},{"dropping-particle":"","family":"Uriarte","given":"Maria","non-dropping-particle":"","parse-names":false,"suffix":""},{"dropping-particle":"","family":"Hansen","given":"Matthew","non-dropping-particle":"","parse-names":false,"suffix":""}],"container-title":"Nature Geoscience","id":"ITEM-1","issue":"3","issued":{"date-parts":[["2010"]]},"page":"178-181","publisher":"Nature Publishing Group","title":"Deforestation driven by urban population growth and agricultural trade in the twenty-first century","type":"article-journal","volume":"3"},"uris":["http://www.mendeley.com/documents/?uuid=b7ba5072-9548-4880-9906-46633f90b522"]}],"mendeley":{"formattedCitation":"(Defries et al., 2010)","manualFormatting":"Defries et al., 2010","plainTextFormattedCitation":"(Defries et al., 2010)","previouslyFormattedCitation":"(Defries et al., 2010)"},"properties":{"noteIndex":0},"schema":"https://github.com/citation-style-language/schema/raw/master/csl-citation.json"}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Defries et al., 2010</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{"citationItems":[{"id":"ITEM-1","itemData":{"DOI":"10.1016/j.forpol.2021.102488","ISSN":"13899341","abstract":"Deforestation is a significant environmental problem, contributing to biodiversity loss, land degradation, soil erosion, and climate change. During the past half-century, the continent of Africa has suffered massive losses of forested areas due to the changing structure of economies, increasing population, and expanding globalization. This research examines statistical evidence for the Environmental Kuznets Curve (EKC) hypothesis as applied to deforestation occurring within Africa from 1990 to 2016. Changes in forest cover data are explained with Generalized Method of Moments (GMM) estimators to overcome the endogeneity problems arising from reverse causality. The empirical results of Panel GMM confirm the EKC hypothesis is valid for deforestation in Africa with a turning point estimated to be US $3000. Heterogenous panel non-causality findings suggest that Africa could deter and reverse deforestation through appropriate land-use and forest products trade policies, and the consequences of these policies would not impact their economic growth.","author":[{"dropping-particle":"","family":"Ajanaku","given":"B. A.","non-dropping-particle":"","parse-names":false,"suffix":""},{"dropping-particle":"","family":"Collins","given":"A. R.","non-dropping-particle":"","parse-names":false,"suffix":""}],"container-title":"Forest Policy and Economics","id":"ITEM-1","issue":"May","issued":{"date-parts":[["2021"]]},"page":"102488","publisher":"Elsevier B.V.","title":"Economic growth and deforestation in African countries: Is the environmental Kuznets curve hypothesis applicable?","type":"article-journal","volume":"129"},"uris":["http://www.mendeley.com/documents/?uuid=24f622ed-0f79-4f00-9fba-56f4aa51ea86"]}],"mendeley":{"formattedCitation":"(Ajanaku &amp; Collins, 2021)","manualFormatting":"Ajanaku &amp; Collins, 2021)","plainTextFormattedCitation":"(Ajanaku &amp; Collins, 2021)","previouslyFormattedCitation":"(Ajanaku &amp; Collins, 2021)"},"properties":{"noteIndex":0},"schema":"https://github.com/citation-style-language/schema/raw/master/csl-citation.json"}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Ajanaku &amp; Collins, 2021)</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004C2EEB" w:rsidRPr="00870330">
        <w:rPr>
          <w:rFonts w:asciiTheme="minorHAnsi" w:hAnsiTheme="minorHAnsi" w:cstheme="minorHAnsi"/>
          <w:color w:val="0D0D0D" w:themeColor="text1" w:themeTint="F2"/>
          <w:lang w:eastAsia="id-ID"/>
        </w:rPr>
        <w:t>Openness is an incentive for deforestation. The increase in demand for agricultural commodities and processed forestry products will encourage tropical countries to expand agriculture through forest conversion and t</w:t>
      </w:r>
      <w:r w:rsidR="002E25F9" w:rsidRPr="00870330">
        <w:rPr>
          <w:rFonts w:asciiTheme="minorHAnsi" w:hAnsiTheme="minorHAnsi" w:cstheme="minorHAnsi"/>
          <w:color w:val="0D0D0D" w:themeColor="text1" w:themeTint="F2"/>
          <w:lang w:eastAsia="id-ID"/>
        </w:rPr>
        <w:t>imber</w:t>
      </w:r>
      <w:r w:rsidR="004C2EEB" w:rsidRPr="00870330">
        <w:rPr>
          <w:rFonts w:asciiTheme="minorHAnsi" w:hAnsiTheme="minorHAnsi" w:cstheme="minorHAnsi"/>
          <w:color w:val="0D0D0D" w:themeColor="text1" w:themeTint="F2"/>
          <w:lang w:eastAsia="id-ID"/>
        </w:rPr>
        <w:t xml:space="preserve"> extraction. Palm oil is an example of an export-oriented commodity that causes deforestation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{"citationItems":[{"id":"ITEM-1","itemData":{"DOI":"10.1088/1748-9326/aaf6db","ISSN":"17489326","abstract":"We investigate the causes of deforestation in Indonesia, a country with one of the highest rates of primary natural forest loss in the tropics, annually between 2001 and 2016. We use high spatial resolution imagery made available on Google Earth to characterize the land cover types following a random selection of deforestation events, drawn from the Global Forest Change dataset. Notorious in the region, large-scale oil palm and timber plantations together contributed more than two-fifths of nationwide deforestation over our study period, with a peak in late aughts followed by a notable decline up to 2016. Conversion of forests to grasslands, which comprised an average of one-fifth of national deforestation, rose sharply in dominance in years following periods of considerable fire activity, particularly in 2016. Small-scale agriculture and small-scale plantations also contributed one-fifth of nationwide forest loss and were the dominant drivers of loss outside the major islands of Indonesia. Although relatively small contributors to total deforestation, logging roads were responsible for a declining share of deforestation, and mining activities were responsible for an increasing share, over the study period. Direct drivers of deforestation in Indonesia are thus spatially and temporally dynamic, suggesting the need for forest conservation policy responses tailored at the subnational level, and new methods for monitoring the causes of deforestation over time.","author":[{"dropping-particle":"","family":"Austin","given":"Kemen G.","non-dropping-particle":"","parse-names":false,"suffix":""},{"dropping-particle":"","family":"Schwantes","given":"Amanda","non-dropping-particle":"","parse-names":false,"suffix":""},{"dropping-particle":"","family":"Gu","given":"Yaofeng","non-dropping-particle":"","parse-names":false,"suffix":""},{"dropping-particle":"","family":"Kasibhatla","given":"Prasad S.","non-dropping-particle":"","parse-names":false,"suffix":""}],"container-title":"Environmental Research Letters","id":"ITEM-1","issue":"2","issued":{"date-parts":[["2019","2","1"]]},"page":"1-10","publisher":"Institute of Physics Publishing","title":"What causes deforestation in Indonesia?","type":"article-journal","volume":"14"},"uris":["http://www.mendeley.com/documents/?uuid=7a1469d5-bc40-3689-846c-0ab0e3140594"]}],"mendeley":{"formattedCitation":"(Austin et al., 2019)","plainTextFormattedCitation":"(Austin et al., 2019)","previouslyFormattedCitation":"(Austin et al., 2019)"},"properties":{"noteIndex":0},"schema":"https://github.com/citation-style-language/schema/raw/master/csl-citation.json"}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(Austin et al., 2019)</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w:t>
      </w:r>
    </w:p>
    <w:p w14:paraId="58DB684F" w14:textId="77777777" w:rsidR="00AB3072" w:rsidRPr="00870330" w:rsidRDefault="00AB3072" w:rsidP="00B50639">
      <w:pPr>
        <w:spacing w:after="0"/>
        <w:jc w:val="both"/>
        <w:rPr>
          <w:rFonts w:asciiTheme="minorHAnsi" w:hAnsiTheme="minorHAnsi" w:cstheme="minorHAnsi"/>
          <w:color w:val="0D0D0D" w:themeColor="text1" w:themeTint="F2"/>
          <w:lang w:eastAsia="id-ID"/>
        </w:rPr>
      </w:pPr>
    </w:p>
    <w:p w14:paraId="0B553C00" w14:textId="51634453" w:rsidR="004C2EEB" w:rsidRPr="00870330" w:rsidRDefault="00DA35B1" w:rsidP="00B50639">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Furthermore, corruption negatively affects deforestation at a 1% level of significance. T</w:t>
      </w:r>
      <w:r w:rsidR="004C2EEB" w:rsidRPr="00870330">
        <w:rPr>
          <w:rFonts w:asciiTheme="minorHAnsi" w:hAnsiTheme="minorHAnsi" w:cstheme="minorHAnsi"/>
          <w:color w:val="0D0D0D" w:themeColor="text1" w:themeTint="F2"/>
          <w:lang w:eastAsia="id-ID"/>
        </w:rPr>
        <w:t xml:space="preserve">he negative impact of corruption control index </w:t>
      </w:r>
      <w:r w:rsidR="00075938" w:rsidRPr="00870330">
        <w:rPr>
          <w:rFonts w:asciiTheme="minorHAnsi" w:hAnsiTheme="minorHAnsi" w:cstheme="minorHAnsi"/>
          <w:color w:val="0D0D0D" w:themeColor="text1" w:themeTint="F2"/>
          <w:lang w:eastAsia="id-ID"/>
        </w:rPr>
        <w:t>on deforestation rate indicate</w:t>
      </w:r>
      <w:r w:rsidR="004C2EEB" w:rsidRPr="00870330">
        <w:rPr>
          <w:rFonts w:asciiTheme="minorHAnsi" w:hAnsiTheme="minorHAnsi" w:cstheme="minorHAnsi"/>
          <w:color w:val="0D0D0D" w:themeColor="text1" w:themeTint="F2"/>
          <w:lang w:eastAsia="id-ID"/>
        </w:rPr>
        <w:t xml:space="preserve">s that </w:t>
      </w:r>
      <w:r w:rsidR="00D37B02" w:rsidRPr="00870330">
        <w:rPr>
          <w:rFonts w:asciiTheme="minorHAnsi" w:hAnsiTheme="minorHAnsi" w:cstheme="minorHAnsi"/>
          <w:color w:val="0D0D0D" w:themeColor="text1" w:themeTint="F2"/>
          <w:lang w:eastAsia="id-ID"/>
        </w:rPr>
        <w:t>region</w:t>
      </w:r>
      <w:r w:rsidR="004C2EEB" w:rsidRPr="00870330">
        <w:rPr>
          <w:rFonts w:asciiTheme="minorHAnsi" w:hAnsiTheme="minorHAnsi" w:cstheme="minorHAnsi"/>
          <w:color w:val="0D0D0D" w:themeColor="text1" w:themeTint="F2"/>
          <w:lang w:eastAsia="id-ID"/>
        </w:rPr>
        <w:t xml:space="preserve">s with high levels of corruption tend to have high deforestation rates. This result is in line with the finding of </w:t>
      </w:r>
      <w:r w:rsidR="00B50639" w:rsidRPr="00870330">
        <w:rPr>
          <w:rFonts w:asciiTheme="minorHAnsi" w:hAnsiTheme="minorHAnsi" w:cstheme="minorHAnsi"/>
          <w:color w:val="0D0D0D"/>
        </w:rPr>
        <w:fldChar w:fldCharType="begin" w:fldLock="1"/>
      </w:r>
      <w:r w:rsidR="00B50639" w:rsidRPr="00870330">
        <w:rPr>
          <w:rFonts w:asciiTheme="minorHAnsi" w:hAnsiTheme="minorHAnsi" w:cstheme="minorHAnsi"/>
          <w:color w:val="0D0D0D"/>
        </w:rPr>
        <w:instrText>ADDIN CSL_CITATION {"citationItems":[{"id":"ITEM-1","itemData":{"DOI":"10.4018/978-1-4666-7419-6.ch013","ISBN":"9781466674202","abstract":"There is a consensus that corruption may result in high societal costs. A growing body of research reveals the negative effects of corruption on a variety of economic indicators. This chapter presents a literature review on the impact of corruption on entrepreneurship. It allows us to suggest that one of the transition channels through which corruption has impacted growth is entrepreneurship. The main channels in which corruption impacts entrepreneurship is through reduced incentives for entrepreneurial activity and reduced trust within the system. The authors present evidence that the negative impact of an incremental increase in the level of corruption on entrepreneurship is more harmful in developed countries than in developing countries. Thus, they stress the need for more research in this area with the aim of establishing appropriate frameworks for the fight of corruption in both developing and developed countries and suggest significant gains from anti-corruption efforts, especially in developed countries.","author":[{"dropping-particle":"","family":"Avnimelech","given":"Gil","non-dropping-particle":"","parse-names":false,"suffix":""},{"dropping-particle":"","family":"Zelekha","given":"Yaron","non-dropping-particle":"","parse-names":false,"suffix":""}],"container-title":"International Business Ethics and Growth Opportunities","id":"ITEM-1","issue":"2","issued":{"date-parts":[["2014"]]},"page":"282-294","title":"The impact of corruption on entrepreneurship","type":"article-journal","volume":"42"},"uris":["http://www.mendeley.com/documents/?uuid=76d061d4-9fe1-4de4-9519-abfce5f9af1a"]}],"mendeley":{"formattedCitation":"(Avnimelech &amp; Zelekha, 2014)","manualFormatting":"Avnimelech &amp; Zelekha (2014)","plainTextFormattedCitation":"(Avnimelech &amp; Zelekha, 2014)","previouslyFormattedCitation":"(Avnimelech &amp; Zelekha, 2014)"},"properties":{"noteIndex":0},"schema":"https://github.com/citation-style-language/schema/raw/master/csl-citation.json"}</w:instrText>
      </w:r>
      <w:r w:rsidR="00B50639" w:rsidRPr="00870330">
        <w:rPr>
          <w:rFonts w:asciiTheme="minorHAnsi" w:hAnsiTheme="minorHAnsi" w:cstheme="minorHAnsi"/>
          <w:color w:val="0D0D0D"/>
        </w:rPr>
        <w:fldChar w:fldCharType="separate"/>
      </w:r>
      <w:r w:rsidR="00B50639" w:rsidRPr="00870330">
        <w:rPr>
          <w:rFonts w:asciiTheme="minorHAnsi" w:hAnsiTheme="minorHAnsi" w:cstheme="minorHAnsi"/>
          <w:noProof/>
          <w:color w:val="0D0D0D"/>
        </w:rPr>
        <w:t>Avnimelech &amp; Zelekha (2014)</w:t>
      </w:r>
      <w:r w:rsidR="00B50639" w:rsidRPr="00870330">
        <w:rPr>
          <w:rFonts w:asciiTheme="minorHAnsi" w:hAnsiTheme="minorHAnsi" w:cstheme="minorHAnsi"/>
          <w:color w:val="0D0D0D"/>
        </w:rPr>
        <w:fldChar w:fldCharType="end"/>
      </w:r>
      <w:r w:rsidR="00B50639" w:rsidRPr="00870330">
        <w:rPr>
          <w:rFonts w:asciiTheme="minorHAnsi" w:hAnsiTheme="minorHAnsi" w:cstheme="minorHAnsi"/>
          <w:color w:val="0D0D0D"/>
        </w:rPr>
        <w:t>,</w:t>
      </w:r>
      <w:r w:rsidR="00B50639" w:rsidRPr="00870330">
        <w:rPr>
          <w:rFonts w:asciiTheme="minorHAnsi" w:hAnsiTheme="minorHAnsi" w:cstheme="minorHAnsi"/>
          <w:noProof/>
          <w:color w:val="0D0D0D"/>
        </w:rPr>
        <w:t xml:space="preserve"> </w:t>
      </w:r>
      <w:r w:rsidR="004C2EEB" w:rsidRPr="00870330">
        <w:rPr>
          <w:rFonts w:asciiTheme="minorHAnsi" w:hAnsiTheme="minorHAnsi" w:cstheme="minorHAnsi"/>
          <w:color w:val="0D0D0D" w:themeColor="text1" w:themeTint="F2"/>
          <w:lang w:eastAsia="id-ID"/>
        </w:rPr>
        <w:t>who used three measures of corruption; International Co</w:t>
      </w:r>
      <w:r w:rsidR="00AA2F7C" w:rsidRPr="00870330">
        <w:rPr>
          <w:rFonts w:asciiTheme="minorHAnsi" w:hAnsiTheme="minorHAnsi" w:cstheme="minorHAnsi"/>
          <w:color w:val="0D0D0D" w:themeColor="text1" w:themeTint="F2"/>
          <w:lang w:eastAsia="id-ID"/>
        </w:rPr>
        <w:t>untry Risk Guide (ICRG) index, Corruption Perception I</w:t>
      </w:r>
      <w:r w:rsidR="004C2EEB" w:rsidRPr="00870330">
        <w:rPr>
          <w:rFonts w:asciiTheme="minorHAnsi" w:hAnsiTheme="minorHAnsi" w:cstheme="minorHAnsi"/>
          <w:color w:val="0D0D0D" w:themeColor="text1" w:themeTint="F2"/>
          <w:lang w:eastAsia="id-ID"/>
        </w:rPr>
        <w:t xml:space="preserve">ndex (CPI), and Business Intelligence (BI) index. They negatively affect forest product smuggling and illegal logging. Corrupt conducts support forest resource management practices that are neglect sustainability principles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{"citationItems":[{"id":"ITEM-1","itemData":{"DOI":"10.15181/rfds.v25i2.1745","author":[{"dropping-particle":"","family":"Pachmann","given":"Ales","non-dropping-particle":"","parse-names":false,"suffix":""}],"container-title":"Regional Formation and Development Studies","id":"ITEM-1","issue":"2","issued":{"date-parts":[["2018"]]},"page":"55-62","title":"Corruption and Deforestation in Indonesia","type":"article-journal","volume":"25"},"uris":["http://www.mendeley.com/documents/?uuid=99d7192a-5ef4-4fab-be07-1ae45041db8f"]}],"mendeley":{"formattedCitation":"(Pachmann, 2018)","plainTextFormattedCitation":"(Pachmann, 2018)","previouslyFormattedCitation":"(Pachmann, 2018)"},"properties":{"noteIndex":0},"schema":"https://github.com/citation-style-language/schema/raw/master/csl-citation.json"}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(Pachmann, 2018)</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004C2EEB" w:rsidRPr="00870330">
        <w:rPr>
          <w:rFonts w:asciiTheme="minorHAnsi" w:hAnsiTheme="minorHAnsi" w:cstheme="minorHAnsi"/>
          <w:color w:val="0D0D0D" w:themeColor="text1" w:themeTint="F2"/>
          <w:lang w:eastAsia="id-ID"/>
        </w:rPr>
        <w:t xml:space="preserve">This finding shows that control over corruptive practices is </w:t>
      </w:r>
      <w:r w:rsidR="00B74779" w:rsidRPr="00870330">
        <w:rPr>
          <w:rFonts w:asciiTheme="minorHAnsi" w:hAnsiTheme="minorHAnsi" w:cstheme="minorHAnsi"/>
          <w:color w:val="0D0D0D" w:themeColor="text1" w:themeTint="F2"/>
          <w:lang w:eastAsia="id-ID"/>
        </w:rPr>
        <w:t>indispensable</w:t>
      </w:r>
      <w:r w:rsidR="004C2EEB" w:rsidRPr="00870330">
        <w:rPr>
          <w:rFonts w:asciiTheme="minorHAnsi" w:hAnsiTheme="minorHAnsi" w:cstheme="minorHAnsi"/>
          <w:color w:val="0D0D0D" w:themeColor="text1" w:themeTint="F2"/>
          <w:lang w:eastAsia="id-ID"/>
        </w:rPr>
        <w:t xml:space="preserve"> in fighting deforestation and supporting sustainable forest governance</w:t>
      </w:r>
      <w:r w:rsidR="00B50639" w:rsidRPr="00870330">
        <w:rPr>
          <w:rFonts w:asciiTheme="minorHAnsi" w:hAnsiTheme="minorHAnsi" w:cstheme="minorHAnsi"/>
          <w:color w:val="0D0D0D" w:themeColor="text1" w:themeTint="F2"/>
          <w:lang w:eastAsia="id-ID"/>
        </w:rPr>
        <w:t>.</w:t>
      </w:r>
    </w:p>
    <w:p w14:paraId="743D7DB5" w14:textId="77777777" w:rsidR="00AB3072" w:rsidRPr="00870330" w:rsidRDefault="00AB3072" w:rsidP="00B50639">
      <w:pPr>
        <w:spacing w:after="0"/>
        <w:jc w:val="both"/>
        <w:rPr>
          <w:rFonts w:asciiTheme="minorHAnsi" w:hAnsiTheme="minorHAnsi" w:cstheme="minorHAnsi"/>
          <w:color w:val="0D0D0D" w:themeColor="text1" w:themeTint="F2"/>
          <w:lang w:eastAsia="id-ID"/>
        </w:rPr>
      </w:pPr>
    </w:p>
    <w:p w14:paraId="5FEB8984" w14:textId="1AE68598" w:rsidR="004C2EEB" w:rsidRPr="00870330" w:rsidRDefault="0027533F" w:rsidP="00B50639">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Concerning the control variables, this research reveals that the coefficients for arable land and population growth are positive and significant, so both are the</w:t>
      </w:r>
      <w:r w:rsidR="0089574E" w:rsidRPr="00870330">
        <w:rPr>
          <w:rFonts w:asciiTheme="minorHAnsi" w:hAnsiTheme="minorHAnsi" w:cstheme="minorHAnsi"/>
          <w:color w:val="0D0D0D" w:themeColor="text1" w:themeTint="F2"/>
          <w:lang w:eastAsia="id-ID"/>
        </w:rPr>
        <w:t xml:space="preserve"> </w:t>
      </w:r>
      <w:r w:rsidRPr="00870330">
        <w:rPr>
          <w:rFonts w:asciiTheme="minorHAnsi" w:hAnsiTheme="minorHAnsi" w:cstheme="minorHAnsi"/>
          <w:color w:val="0D0D0D" w:themeColor="text1" w:themeTint="F2"/>
          <w:lang w:eastAsia="id-ID"/>
        </w:rPr>
        <w:t xml:space="preserve">drivers of deforestation. The increase in arable land causes the forest cover to decrease. The result is in line with a previous study in Burkina Faso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{"citationItems":[{"id":"ITEM-1","itemData":{"DOI":"10.1007/s11356-020-12071-6","ISSN":"16147499","PMID":"33411273","abstract":"This study examines the effect of globalization and urbanization on deforestation in Burkina Faso, over the period 1980 to 2017. The study employed the autoregressive distributive lag (ARDL) model and the Toda-Yamamoto Granger causality approach. Empirical findings affirmed that globalization, urbanization, and agricultural land have a positive and significant effect on deforestation in the long run, while population density reduces the deforestation rate, thus indicating an improvement in environmental quality. On the other hand, urbanization, economic growth, and population density have a positive and significant impact on deforestation in the short run. Furthermore, the Granger causality approach confirmed a bidirectional association between deforestation and urbanization and between globalization and agricultural land, as well as between urbanization and population density. The result further affirmed a unidirectional causal link running from urbanization to agricultural land. Based on the empirical findings, the study recommends that the government should ensure more regulation on the removal of barriers to international trade. The study further recommends that the government should implement relevant agricultural policies to guard against deforestation since the results of the study suggest that agriculture contributes negatively to deforestation in Burkina Faso.","author":[{"dropping-particle":"","family":"Yameogo","given":"Claire Emilienne Wati","non-dropping-particle":"","parse-names":false,"suffix":""}],"container-title":"Environmental Science and Pollution Research","id":"ITEM-1","issue":"17","issued":{"date-parts":[["2021"]]},"page":"22011-22021","publisher":"Environmental Science and Pollution Research","title":"Globalization, urbanization, and deforestation linkage in Burkina Faso","type":"article-journal","volume":"28"},"uris":["http://www.mendeley.com/documents/?uuid=35896b0e-62a1-4b05-a2d7-ae508cf486b9"]}],"mendeley":{"formattedCitation":"(Yameogo, 2021)","plainTextFormattedCitation":"(Yameogo, 2021)","previouslyFormattedCitation":"(Yameogo, 2021)"},"properties":{"noteIndex":0},"schema":"https://github.com/citation-style-language/schema/raw/master/csl-citation.json"}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(Yameogo, 2021)</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T</w:t>
      </w:r>
      <w:r w:rsidR="004C2EEB" w:rsidRPr="00870330">
        <w:rPr>
          <w:rFonts w:asciiTheme="minorHAnsi" w:hAnsiTheme="minorHAnsi" w:cstheme="minorHAnsi"/>
          <w:color w:val="0D0D0D" w:themeColor="text1" w:themeTint="F2"/>
          <w:lang w:eastAsia="id-ID"/>
        </w:rPr>
        <w:t>he positive impact of population growth on deforestation is in line with the Neo-Malthusian hypothesis that population is the cause</w:t>
      </w:r>
      <w:r w:rsidR="00250519" w:rsidRPr="00870330">
        <w:rPr>
          <w:rFonts w:asciiTheme="minorHAnsi" w:hAnsiTheme="minorHAnsi" w:cstheme="minorHAnsi"/>
          <w:color w:val="0D0D0D" w:themeColor="text1" w:themeTint="F2"/>
          <w:lang w:eastAsia="id-ID"/>
        </w:rPr>
        <w:t xml:space="preserve"> of environmental degradation.</w:t>
      </w:r>
    </w:p>
    <w:p w14:paraId="6020EB09" w14:textId="77777777" w:rsidR="004871B8" w:rsidRPr="00870330" w:rsidRDefault="004871B8" w:rsidP="00B50639">
      <w:pPr>
        <w:spacing w:after="0"/>
        <w:jc w:val="both"/>
        <w:rPr>
          <w:rFonts w:asciiTheme="minorHAnsi" w:hAnsiTheme="minorHAnsi" w:cstheme="minorHAnsi"/>
          <w:color w:val="0D0D0D" w:themeColor="text1" w:themeTint="F2"/>
          <w:lang w:eastAsia="id-ID"/>
        </w:rPr>
      </w:pPr>
    </w:p>
    <w:p w14:paraId="6A076BA9" w14:textId="77BBE2E2" w:rsidR="004C2EEB" w:rsidRPr="00870330" w:rsidRDefault="004C2EEB" w:rsidP="00B50639">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 xml:space="preserve">Finally, the estimation results of the long-run PMG must be confirmed using the short-run ECT model. The estimation result of the short-run PMG shows that the ECT is negative (-0.888) and significant at the 1% level. There is a proven long-term balance. The existence of shocks in the short term will be adjusted by explanatory variables </w:t>
      </w:r>
      <w:r w:rsidR="00B50639" w:rsidRPr="00870330">
        <w:rPr>
          <w:rFonts w:asciiTheme="minorHAnsi" w:hAnsiTheme="minorHAnsi" w:cstheme="minorHAnsi"/>
          <w:color w:val="0D0D0D" w:themeColor="text1" w:themeTint="F2"/>
          <w:lang w:eastAsia="id-ID"/>
        </w:rPr>
        <w:t>with 0.</w:t>
      </w:r>
      <w:r w:rsidRPr="00870330">
        <w:rPr>
          <w:rFonts w:asciiTheme="minorHAnsi" w:hAnsiTheme="minorHAnsi" w:cstheme="minorHAnsi"/>
          <w:color w:val="0D0D0D" w:themeColor="text1" w:themeTint="F2"/>
          <w:lang w:eastAsia="id-ID"/>
        </w:rPr>
        <w:t>88 units of speed toward long-term equilibrium.</w:t>
      </w:r>
    </w:p>
    <w:p w14:paraId="0455F97E" w14:textId="77777777" w:rsidR="007A55C3" w:rsidRPr="00870330" w:rsidRDefault="007A55C3" w:rsidP="00113308">
      <w:pPr>
        <w:spacing w:after="0"/>
        <w:jc w:val="both"/>
        <w:rPr>
          <w:rFonts w:asciiTheme="minorHAnsi" w:hAnsiTheme="minorHAnsi" w:cstheme="minorHAnsi"/>
          <w:color w:val="0D0D0D" w:themeColor="text1" w:themeTint="F2"/>
          <w:lang w:eastAsia="id-ID"/>
        </w:rPr>
      </w:pPr>
    </w:p>
    <w:p w14:paraId="2071966A" w14:textId="77777777" w:rsidR="004C2EEB" w:rsidRPr="00870330" w:rsidRDefault="004C2EEB" w:rsidP="004C2EEB">
      <w:pPr>
        <w:pStyle w:val="NormalafterHeading"/>
        <w:spacing w:line="259" w:lineRule="auto"/>
        <w:jc w:val="center"/>
        <w:rPr>
          <w:rFonts w:asciiTheme="minorHAnsi" w:hAnsiTheme="minorHAnsi" w:cstheme="minorHAnsi"/>
          <w:color w:val="0D0D0D" w:themeColor="text1" w:themeTint="F2"/>
          <w:lang w:val="en-US"/>
        </w:rPr>
      </w:pPr>
      <w:r w:rsidRPr="00870330">
        <w:rPr>
          <w:rFonts w:asciiTheme="minorHAnsi" w:hAnsiTheme="minorHAnsi" w:cstheme="minorHAnsi"/>
          <w:color w:val="0D0D0D" w:themeColor="text1" w:themeTint="F2"/>
          <w:lang w:val="en-US"/>
        </w:rPr>
        <w:t xml:space="preserve">Table 6. Panel Data Causality Test Result </w:t>
      </w:r>
    </w:p>
    <w:tbl>
      <w:tblPr>
        <w:tblW w:w="9039" w:type="dxa"/>
        <w:tblInd w:w="-108" w:type="dxa"/>
        <w:tblLayout w:type="fixed"/>
        <w:tblLook w:val="0000" w:firstRow="0" w:lastRow="0" w:firstColumn="0" w:lastColumn="0" w:noHBand="0" w:noVBand="0"/>
      </w:tblPr>
      <w:tblGrid>
        <w:gridCol w:w="2376"/>
        <w:gridCol w:w="993"/>
        <w:gridCol w:w="1275"/>
        <w:gridCol w:w="851"/>
        <w:gridCol w:w="283"/>
        <w:gridCol w:w="3261"/>
      </w:tblGrid>
      <w:tr w:rsidR="00A05921" w:rsidRPr="00870330" w14:paraId="5B754584" w14:textId="77777777" w:rsidTr="00B95CC6">
        <w:tc>
          <w:tcPr>
            <w:tcW w:w="2376" w:type="dxa"/>
            <w:tcBorders>
              <w:top w:val="single" w:sz="4" w:space="0" w:color="000000"/>
              <w:bottom w:val="single" w:sz="4" w:space="0" w:color="000000"/>
            </w:tcBorders>
            <w:vAlign w:val="center"/>
          </w:tcPr>
          <w:p w14:paraId="40A42FDB"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b/>
                <w:color w:val="0D0D0D" w:themeColor="text1" w:themeTint="F2"/>
              </w:rPr>
              <w:t>HO: x does not cause y</w:t>
            </w:r>
          </w:p>
        </w:tc>
        <w:tc>
          <w:tcPr>
            <w:tcW w:w="993" w:type="dxa"/>
            <w:tcBorders>
              <w:top w:val="single" w:sz="4" w:space="0" w:color="000000"/>
              <w:bottom w:val="single" w:sz="4" w:space="0" w:color="000000"/>
            </w:tcBorders>
            <w:vAlign w:val="center"/>
          </w:tcPr>
          <w:p w14:paraId="75CCCC1B" w14:textId="77777777" w:rsidR="004C2EEB" w:rsidRPr="00870330" w:rsidRDefault="004C2EEB" w:rsidP="00A05921">
            <w:pPr>
              <w:spacing w:after="0"/>
              <w:jc w:val="center"/>
              <w:rPr>
                <w:rFonts w:asciiTheme="minorHAnsi" w:hAnsiTheme="minorHAnsi" w:cstheme="minorHAnsi"/>
                <w:b/>
                <w:color w:val="0D0D0D" w:themeColor="text1" w:themeTint="F2"/>
              </w:rPr>
            </w:pPr>
            <w:r w:rsidRPr="00870330">
              <w:rPr>
                <w:rFonts w:asciiTheme="minorHAnsi" w:hAnsiTheme="minorHAnsi" w:cstheme="minorHAnsi"/>
                <w:b/>
                <w:color w:val="0D0D0D" w:themeColor="text1" w:themeTint="F2"/>
              </w:rPr>
              <w:t>W-Stats</w:t>
            </w:r>
          </w:p>
        </w:tc>
        <w:tc>
          <w:tcPr>
            <w:tcW w:w="1275" w:type="dxa"/>
            <w:tcBorders>
              <w:top w:val="single" w:sz="4" w:space="0" w:color="000000"/>
              <w:bottom w:val="single" w:sz="4" w:space="0" w:color="000000"/>
            </w:tcBorders>
            <w:vAlign w:val="center"/>
          </w:tcPr>
          <w:p w14:paraId="4CBF290F" w14:textId="77777777" w:rsidR="004C2EEB" w:rsidRPr="00870330" w:rsidRDefault="004C2EEB" w:rsidP="00A05921">
            <w:pPr>
              <w:spacing w:after="0"/>
              <w:jc w:val="center"/>
              <w:rPr>
                <w:rFonts w:asciiTheme="minorHAnsi" w:hAnsiTheme="minorHAnsi" w:cstheme="minorHAnsi"/>
                <w:b/>
                <w:color w:val="0D0D0D" w:themeColor="text1" w:themeTint="F2"/>
              </w:rPr>
            </w:pPr>
            <w:proofErr w:type="spellStart"/>
            <w:r w:rsidRPr="00870330">
              <w:rPr>
                <w:rFonts w:asciiTheme="minorHAnsi" w:hAnsiTheme="minorHAnsi" w:cstheme="minorHAnsi"/>
                <w:b/>
                <w:color w:val="0D0D0D" w:themeColor="text1" w:themeTint="F2"/>
              </w:rPr>
              <w:t>Zbar</w:t>
            </w:r>
            <w:proofErr w:type="spellEnd"/>
            <w:r w:rsidRPr="00870330">
              <w:rPr>
                <w:rFonts w:asciiTheme="minorHAnsi" w:hAnsiTheme="minorHAnsi" w:cstheme="minorHAnsi"/>
                <w:b/>
                <w:color w:val="0D0D0D" w:themeColor="text1" w:themeTint="F2"/>
              </w:rPr>
              <w:t>-Stats</w:t>
            </w:r>
          </w:p>
        </w:tc>
        <w:tc>
          <w:tcPr>
            <w:tcW w:w="851" w:type="dxa"/>
            <w:tcBorders>
              <w:top w:val="single" w:sz="4" w:space="0" w:color="000000"/>
              <w:bottom w:val="single" w:sz="4" w:space="0" w:color="000000"/>
            </w:tcBorders>
            <w:vAlign w:val="center"/>
          </w:tcPr>
          <w:p w14:paraId="5C970B06" w14:textId="0385A3C4" w:rsidR="004C2EEB" w:rsidRPr="00870330" w:rsidRDefault="00F21149" w:rsidP="00F21149">
            <w:pPr>
              <w:spacing w:after="0"/>
              <w:jc w:val="center"/>
              <w:rPr>
                <w:rFonts w:asciiTheme="minorHAnsi" w:hAnsiTheme="minorHAnsi" w:cstheme="minorHAnsi"/>
                <w:b/>
                <w:color w:val="0D0D0D" w:themeColor="text1" w:themeTint="F2"/>
              </w:rPr>
            </w:pPr>
            <w:r w:rsidRPr="00870330">
              <w:rPr>
                <w:rFonts w:asciiTheme="minorHAnsi" w:hAnsiTheme="minorHAnsi" w:cstheme="minorHAnsi"/>
                <w:b/>
                <w:color w:val="0D0D0D" w:themeColor="text1" w:themeTint="F2"/>
              </w:rPr>
              <w:t>p</w:t>
            </w:r>
          </w:p>
        </w:tc>
        <w:tc>
          <w:tcPr>
            <w:tcW w:w="283" w:type="dxa"/>
            <w:tcBorders>
              <w:top w:val="single" w:sz="4" w:space="0" w:color="000000"/>
              <w:bottom w:val="single" w:sz="4" w:space="0" w:color="000000"/>
            </w:tcBorders>
          </w:tcPr>
          <w:p w14:paraId="298ED892" w14:textId="77777777" w:rsidR="004C2EEB" w:rsidRPr="00870330" w:rsidRDefault="004C2EEB" w:rsidP="00A05921">
            <w:pPr>
              <w:snapToGrid w:val="0"/>
              <w:spacing w:after="0"/>
              <w:jc w:val="center"/>
              <w:rPr>
                <w:rFonts w:asciiTheme="minorHAnsi" w:hAnsiTheme="minorHAnsi" w:cstheme="minorHAnsi"/>
                <w:b/>
                <w:color w:val="0D0D0D" w:themeColor="text1" w:themeTint="F2"/>
              </w:rPr>
            </w:pPr>
          </w:p>
        </w:tc>
        <w:tc>
          <w:tcPr>
            <w:tcW w:w="3261" w:type="dxa"/>
            <w:tcBorders>
              <w:top w:val="single" w:sz="4" w:space="0" w:color="000000"/>
              <w:bottom w:val="single" w:sz="4" w:space="0" w:color="000000"/>
            </w:tcBorders>
            <w:vAlign w:val="center"/>
          </w:tcPr>
          <w:p w14:paraId="68172863" w14:textId="77777777" w:rsidR="004C2EEB" w:rsidRPr="00870330" w:rsidRDefault="004C2EEB" w:rsidP="00A05921">
            <w:pPr>
              <w:spacing w:after="0"/>
              <w:jc w:val="center"/>
              <w:rPr>
                <w:rFonts w:asciiTheme="minorHAnsi" w:hAnsiTheme="minorHAnsi" w:cstheme="minorHAnsi"/>
                <w:b/>
                <w:color w:val="0D0D0D" w:themeColor="text1" w:themeTint="F2"/>
              </w:rPr>
            </w:pPr>
            <w:r w:rsidRPr="00870330">
              <w:rPr>
                <w:rFonts w:asciiTheme="minorHAnsi" w:hAnsiTheme="minorHAnsi" w:cstheme="minorHAnsi"/>
                <w:b/>
                <w:color w:val="0D0D0D" w:themeColor="text1" w:themeTint="F2"/>
              </w:rPr>
              <w:t>Conclusion</w:t>
            </w:r>
          </w:p>
        </w:tc>
      </w:tr>
      <w:tr w:rsidR="00A05921" w:rsidRPr="00870330" w14:paraId="13FAF03C" w14:textId="77777777" w:rsidTr="00B95CC6">
        <w:tc>
          <w:tcPr>
            <w:tcW w:w="2376" w:type="dxa"/>
            <w:tcBorders>
              <w:top w:val="single" w:sz="4" w:space="0" w:color="000000"/>
            </w:tcBorders>
            <w:vAlign w:val="bottom"/>
          </w:tcPr>
          <w:p w14:paraId="3CF8B3D7"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GDP →DEF</w:t>
            </w:r>
          </w:p>
        </w:tc>
        <w:tc>
          <w:tcPr>
            <w:tcW w:w="993" w:type="dxa"/>
            <w:tcBorders>
              <w:top w:val="single" w:sz="4" w:space="0" w:color="000000"/>
            </w:tcBorders>
            <w:vAlign w:val="bottom"/>
          </w:tcPr>
          <w:p w14:paraId="2C18259C"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10.185</w:t>
            </w:r>
          </w:p>
        </w:tc>
        <w:tc>
          <w:tcPr>
            <w:tcW w:w="1275" w:type="dxa"/>
            <w:tcBorders>
              <w:top w:val="single" w:sz="4" w:space="0" w:color="000000"/>
            </w:tcBorders>
            <w:vAlign w:val="bottom"/>
          </w:tcPr>
          <w:p w14:paraId="356797BB"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5.517</w:t>
            </w:r>
          </w:p>
        </w:tc>
        <w:tc>
          <w:tcPr>
            <w:tcW w:w="851" w:type="dxa"/>
            <w:tcBorders>
              <w:top w:val="single" w:sz="4" w:space="0" w:color="000000"/>
            </w:tcBorders>
            <w:vAlign w:val="bottom"/>
          </w:tcPr>
          <w:p w14:paraId="6234B467"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c>
          <w:tcPr>
            <w:tcW w:w="283" w:type="dxa"/>
            <w:tcBorders>
              <w:top w:val="single" w:sz="4" w:space="0" w:color="000000"/>
            </w:tcBorders>
          </w:tcPr>
          <w:p w14:paraId="1AF9BA99"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val="restart"/>
            <w:tcBorders>
              <w:top w:val="single" w:sz="4" w:space="0" w:color="000000"/>
            </w:tcBorders>
          </w:tcPr>
          <w:p w14:paraId="797837A0"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One-way causality of GDP causes DEF</w:t>
            </w:r>
          </w:p>
        </w:tc>
      </w:tr>
      <w:tr w:rsidR="00A05921" w:rsidRPr="00870330" w14:paraId="18260AAF" w14:textId="77777777" w:rsidTr="00B95CC6">
        <w:tc>
          <w:tcPr>
            <w:tcW w:w="2376" w:type="dxa"/>
            <w:tcBorders>
              <w:bottom w:val="single" w:sz="4" w:space="0" w:color="000000"/>
            </w:tcBorders>
            <w:vAlign w:val="bottom"/>
          </w:tcPr>
          <w:p w14:paraId="1CDEF20F"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DEF → GDP</w:t>
            </w:r>
          </w:p>
        </w:tc>
        <w:tc>
          <w:tcPr>
            <w:tcW w:w="993" w:type="dxa"/>
            <w:tcBorders>
              <w:bottom w:val="single" w:sz="4" w:space="0" w:color="000000"/>
            </w:tcBorders>
            <w:vAlign w:val="bottom"/>
          </w:tcPr>
          <w:p w14:paraId="2FF8EF22"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3.858</w:t>
            </w:r>
          </w:p>
        </w:tc>
        <w:tc>
          <w:tcPr>
            <w:tcW w:w="1275" w:type="dxa"/>
            <w:tcBorders>
              <w:bottom w:val="single" w:sz="4" w:space="0" w:color="000000"/>
            </w:tcBorders>
            <w:vAlign w:val="bottom"/>
          </w:tcPr>
          <w:p w14:paraId="7BFAC257"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0.260</w:t>
            </w:r>
          </w:p>
        </w:tc>
        <w:tc>
          <w:tcPr>
            <w:tcW w:w="851" w:type="dxa"/>
            <w:tcBorders>
              <w:bottom w:val="single" w:sz="4" w:space="0" w:color="000000"/>
            </w:tcBorders>
            <w:vAlign w:val="bottom"/>
          </w:tcPr>
          <w:p w14:paraId="5DFE7F63"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0.795</w:t>
            </w:r>
          </w:p>
        </w:tc>
        <w:tc>
          <w:tcPr>
            <w:tcW w:w="283" w:type="dxa"/>
            <w:tcBorders>
              <w:bottom w:val="single" w:sz="4" w:space="0" w:color="000000"/>
            </w:tcBorders>
          </w:tcPr>
          <w:p w14:paraId="0769D581"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tcBorders>
              <w:top w:val="single" w:sz="4" w:space="0" w:color="000000"/>
            </w:tcBorders>
          </w:tcPr>
          <w:p w14:paraId="023075DB" w14:textId="77777777" w:rsidR="004C2EEB" w:rsidRPr="00870330" w:rsidRDefault="004C2EEB" w:rsidP="00A05921">
            <w:pPr>
              <w:snapToGrid w:val="0"/>
              <w:spacing w:after="0"/>
              <w:rPr>
                <w:rFonts w:asciiTheme="minorHAnsi" w:hAnsiTheme="minorHAnsi" w:cstheme="minorHAnsi"/>
                <w:color w:val="0D0D0D" w:themeColor="text1" w:themeTint="F2"/>
              </w:rPr>
            </w:pPr>
          </w:p>
        </w:tc>
      </w:tr>
      <w:tr w:rsidR="00A05921" w:rsidRPr="00870330" w14:paraId="06D990A8" w14:textId="77777777" w:rsidTr="00B95CC6">
        <w:tc>
          <w:tcPr>
            <w:tcW w:w="2376" w:type="dxa"/>
            <w:tcBorders>
              <w:top w:val="single" w:sz="4" w:space="0" w:color="000000"/>
            </w:tcBorders>
            <w:vAlign w:val="bottom"/>
          </w:tcPr>
          <w:p w14:paraId="067490EE"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TO → DEF</w:t>
            </w:r>
          </w:p>
        </w:tc>
        <w:tc>
          <w:tcPr>
            <w:tcW w:w="993" w:type="dxa"/>
            <w:tcBorders>
              <w:top w:val="single" w:sz="4" w:space="0" w:color="000000"/>
            </w:tcBorders>
            <w:vAlign w:val="bottom"/>
          </w:tcPr>
          <w:p w14:paraId="40E8AB2A"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7.023</w:t>
            </w:r>
          </w:p>
        </w:tc>
        <w:tc>
          <w:tcPr>
            <w:tcW w:w="1275" w:type="dxa"/>
            <w:tcBorders>
              <w:top w:val="single" w:sz="4" w:space="0" w:color="000000"/>
            </w:tcBorders>
            <w:vAlign w:val="bottom"/>
          </w:tcPr>
          <w:p w14:paraId="38FB46A5"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2,889</w:t>
            </w:r>
          </w:p>
        </w:tc>
        <w:tc>
          <w:tcPr>
            <w:tcW w:w="851" w:type="dxa"/>
            <w:tcBorders>
              <w:top w:val="single" w:sz="4" w:space="0" w:color="000000"/>
            </w:tcBorders>
            <w:vAlign w:val="bottom"/>
          </w:tcPr>
          <w:p w14:paraId="1AD2005C"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0.003</w:t>
            </w:r>
          </w:p>
        </w:tc>
        <w:tc>
          <w:tcPr>
            <w:tcW w:w="283" w:type="dxa"/>
            <w:tcBorders>
              <w:top w:val="single" w:sz="4" w:space="0" w:color="000000"/>
            </w:tcBorders>
          </w:tcPr>
          <w:p w14:paraId="056489CA"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val="restart"/>
            <w:tcBorders>
              <w:top w:val="single" w:sz="4" w:space="0" w:color="000000"/>
            </w:tcBorders>
          </w:tcPr>
          <w:p w14:paraId="7D06BEFB" w14:textId="5799C8E6"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xml:space="preserve">One-way causality </w:t>
            </w:r>
            <w:r w:rsidR="000071D7" w:rsidRPr="00870330">
              <w:rPr>
                <w:rFonts w:asciiTheme="minorHAnsi" w:hAnsiTheme="minorHAnsi" w:cstheme="minorHAnsi"/>
                <w:color w:val="0D0D0D" w:themeColor="text1" w:themeTint="F2"/>
              </w:rPr>
              <w:t>TOP</w:t>
            </w:r>
            <w:r w:rsidRPr="00870330">
              <w:rPr>
                <w:rFonts w:asciiTheme="minorHAnsi" w:hAnsiTheme="minorHAnsi" w:cstheme="minorHAnsi"/>
                <w:color w:val="0D0D0D" w:themeColor="text1" w:themeTint="F2"/>
              </w:rPr>
              <w:t xml:space="preserve"> causes DEF</w:t>
            </w:r>
          </w:p>
        </w:tc>
      </w:tr>
      <w:tr w:rsidR="00A05921" w:rsidRPr="00870330" w14:paraId="4D7C02E8" w14:textId="77777777" w:rsidTr="00B95CC6">
        <w:tc>
          <w:tcPr>
            <w:tcW w:w="2376" w:type="dxa"/>
            <w:tcBorders>
              <w:bottom w:val="single" w:sz="4" w:space="0" w:color="000000"/>
            </w:tcBorders>
            <w:vAlign w:val="bottom"/>
          </w:tcPr>
          <w:p w14:paraId="638F3F0B" w14:textId="0A25A474"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 xml:space="preserve">DEF → </w:t>
            </w:r>
            <w:r w:rsidR="000071D7" w:rsidRPr="00870330">
              <w:rPr>
                <w:rFonts w:asciiTheme="minorHAnsi" w:hAnsiTheme="minorHAnsi" w:cstheme="minorHAnsi"/>
                <w:color w:val="0D0D0D" w:themeColor="text1" w:themeTint="F2"/>
              </w:rPr>
              <w:t>TOP</w:t>
            </w:r>
          </w:p>
        </w:tc>
        <w:tc>
          <w:tcPr>
            <w:tcW w:w="993" w:type="dxa"/>
            <w:tcBorders>
              <w:bottom w:val="single" w:sz="4" w:space="0" w:color="000000"/>
            </w:tcBorders>
            <w:vAlign w:val="bottom"/>
          </w:tcPr>
          <w:p w14:paraId="097263D0"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4.448</w:t>
            </w:r>
          </w:p>
        </w:tc>
        <w:tc>
          <w:tcPr>
            <w:tcW w:w="1275" w:type="dxa"/>
            <w:tcBorders>
              <w:bottom w:val="single" w:sz="4" w:space="0" w:color="000000"/>
            </w:tcBorders>
            <w:vAlign w:val="bottom"/>
          </w:tcPr>
          <w:p w14:paraId="046BDBBD"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0.750</w:t>
            </w:r>
          </w:p>
        </w:tc>
        <w:tc>
          <w:tcPr>
            <w:tcW w:w="851" w:type="dxa"/>
            <w:tcBorders>
              <w:bottom w:val="single" w:sz="4" w:space="0" w:color="000000"/>
            </w:tcBorders>
            <w:vAlign w:val="bottom"/>
          </w:tcPr>
          <w:p w14:paraId="38D9857A"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0.453</w:t>
            </w:r>
          </w:p>
        </w:tc>
        <w:tc>
          <w:tcPr>
            <w:tcW w:w="283" w:type="dxa"/>
            <w:tcBorders>
              <w:bottom w:val="single" w:sz="4" w:space="0" w:color="000000"/>
            </w:tcBorders>
          </w:tcPr>
          <w:p w14:paraId="0BE26C6B"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tcBorders>
              <w:top w:val="single" w:sz="4" w:space="0" w:color="000000"/>
            </w:tcBorders>
          </w:tcPr>
          <w:p w14:paraId="08660936" w14:textId="77777777" w:rsidR="004C2EEB" w:rsidRPr="00870330" w:rsidRDefault="004C2EEB" w:rsidP="00A05921">
            <w:pPr>
              <w:snapToGrid w:val="0"/>
              <w:spacing w:after="0"/>
              <w:rPr>
                <w:rFonts w:asciiTheme="minorHAnsi" w:hAnsiTheme="minorHAnsi" w:cstheme="minorHAnsi"/>
                <w:color w:val="0D0D0D" w:themeColor="text1" w:themeTint="F2"/>
              </w:rPr>
            </w:pPr>
          </w:p>
        </w:tc>
      </w:tr>
      <w:tr w:rsidR="00A05921" w:rsidRPr="00870330" w14:paraId="474E04FC" w14:textId="77777777" w:rsidTr="00B95CC6">
        <w:tc>
          <w:tcPr>
            <w:tcW w:w="2376" w:type="dxa"/>
            <w:tcBorders>
              <w:top w:val="single" w:sz="4" w:space="0" w:color="000000"/>
            </w:tcBorders>
            <w:vAlign w:val="bottom"/>
          </w:tcPr>
          <w:p w14:paraId="29885127"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ARABLE → DEF</w:t>
            </w:r>
          </w:p>
        </w:tc>
        <w:tc>
          <w:tcPr>
            <w:tcW w:w="993" w:type="dxa"/>
            <w:tcBorders>
              <w:top w:val="single" w:sz="4" w:space="0" w:color="000000"/>
            </w:tcBorders>
            <w:vAlign w:val="bottom"/>
          </w:tcPr>
          <w:p w14:paraId="6D9E1AF5"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7.128</w:t>
            </w:r>
          </w:p>
        </w:tc>
        <w:tc>
          <w:tcPr>
            <w:tcW w:w="1275" w:type="dxa"/>
            <w:tcBorders>
              <w:top w:val="single" w:sz="4" w:space="0" w:color="000000"/>
            </w:tcBorders>
            <w:vAlign w:val="bottom"/>
          </w:tcPr>
          <w:p w14:paraId="657D2861"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2,976</w:t>
            </w:r>
          </w:p>
        </w:tc>
        <w:tc>
          <w:tcPr>
            <w:tcW w:w="851" w:type="dxa"/>
            <w:tcBorders>
              <w:top w:val="single" w:sz="4" w:space="0" w:color="000000"/>
            </w:tcBorders>
            <w:vAlign w:val="bottom"/>
          </w:tcPr>
          <w:p w14:paraId="0D83095A"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0.003</w:t>
            </w:r>
          </w:p>
        </w:tc>
        <w:tc>
          <w:tcPr>
            <w:tcW w:w="283" w:type="dxa"/>
            <w:tcBorders>
              <w:top w:val="single" w:sz="4" w:space="0" w:color="000000"/>
            </w:tcBorders>
          </w:tcPr>
          <w:p w14:paraId="770A7BB0"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val="restart"/>
            <w:tcBorders>
              <w:top w:val="single" w:sz="4" w:space="0" w:color="000000"/>
            </w:tcBorders>
          </w:tcPr>
          <w:p w14:paraId="6837FF67"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ARABLE one-way causality causes DEF</w:t>
            </w:r>
          </w:p>
        </w:tc>
      </w:tr>
      <w:tr w:rsidR="00A05921" w:rsidRPr="00870330" w14:paraId="3471D572" w14:textId="77777777" w:rsidTr="00B95CC6">
        <w:tc>
          <w:tcPr>
            <w:tcW w:w="2376" w:type="dxa"/>
            <w:tcBorders>
              <w:bottom w:val="single" w:sz="4" w:space="0" w:color="000000"/>
            </w:tcBorders>
            <w:vAlign w:val="bottom"/>
          </w:tcPr>
          <w:p w14:paraId="172206F9"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DEF → ARABLE</w:t>
            </w:r>
          </w:p>
        </w:tc>
        <w:tc>
          <w:tcPr>
            <w:tcW w:w="993" w:type="dxa"/>
            <w:tcBorders>
              <w:bottom w:val="single" w:sz="4" w:space="0" w:color="000000"/>
            </w:tcBorders>
            <w:vAlign w:val="bottom"/>
          </w:tcPr>
          <w:p w14:paraId="0F72469E"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4.873</w:t>
            </w:r>
          </w:p>
        </w:tc>
        <w:tc>
          <w:tcPr>
            <w:tcW w:w="1275" w:type="dxa"/>
            <w:tcBorders>
              <w:bottom w:val="single" w:sz="4" w:space="0" w:color="000000"/>
            </w:tcBorders>
            <w:vAlign w:val="bottom"/>
          </w:tcPr>
          <w:p w14:paraId="2E0BCBCE"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1.103</w:t>
            </w:r>
          </w:p>
        </w:tc>
        <w:tc>
          <w:tcPr>
            <w:tcW w:w="851" w:type="dxa"/>
            <w:tcBorders>
              <w:bottom w:val="single" w:sz="4" w:space="0" w:color="000000"/>
            </w:tcBorders>
            <w:vAlign w:val="bottom"/>
          </w:tcPr>
          <w:p w14:paraId="15965E5A"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0.269</w:t>
            </w:r>
          </w:p>
        </w:tc>
        <w:tc>
          <w:tcPr>
            <w:tcW w:w="283" w:type="dxa"/>
            <w:tcBorders>
              <w:bottom w:val="single" w:sz="4" w:space="0" w:color="000000"/>
            </w:tcBorders>
          </w:tcPr>
          <w:p w14:paraId="44AE653B"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tcBorders>
              <w:top w:val="single" w:sz="4" w:space="0" w:color="000000"/>
            </w:tcBorders>
          </w:tcPr>
          <w:p w14:paraId="716E6DA9" w14:textId="77777777" w:rsidR="004C2EEB" w:rsidRPr="00870330" w:rsidRDefault="004C2EEB" w:rsidP="00A05921">
            <w:pPr>
              <w:snapToGrid w:val="0"/>
              <w:spacing w:after="0"/>
              <w:rPr>
                <w:rFonts w:asciiTheme="minorHAnsi" w:hAnsiTheme="minorHAnsi" w:cstheme="minorHAnsi"/>
                <w:color w:val="0D0D0D" w:themeColor="text1" w:themeTint="F2"/>
              </w:rPr>
            </w:pPr>
          </w:p>
        </w:tc>
      </w:tr>
      <w:tr w:rsidR="00A05921" w:rsidRPr="00870330" w14:paraId="79099406" w14:textId="77777777" w:rsidTr="00B95CC6">
        <w:tc>
          <w:tcPr>
            <w:tcW w:w="2376" w:type="dxa"/>
            <w:tcBorders>
              <w:top w:val="single" w:sz="4" w:space="0" w:color="000000"/>
            </w:tcBorders>
            <w:vAlign w:val="bottom"/>
          </w:tcPr>
          <w:p w14:paraId="0E16435E"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POPG → DEF</w:t>
            </w:r>
          </w:p>
        </w:tc>
        <w:tc>
          <w:tcPr>
            <w:tcW w:w="993" w:type="dxa"/>
            <w:tcBorders>
              <w:top w:val="single" w:sz="4" w:space="0" w:color="000000"/>
            </w:tcBorders>
            <w:vAlign w:val="bottom"/>
          </w:tcPr>
          <w:p w14:paraId="07233588"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8.956</w:t>
            </w:r>
          </w:p>
        </w:tc>
        <w:tc>
          <w:tcPr>
            <w:tcW w:w="1275" w:type="dxa"/>
            <w:tcBorders>
              <w:top w:val="single" w:sz="4" w:space="0" w:color="000000"/>
            </w:tcBorders>
            <w:vAlign w:val="bottom"/>
          </w:tcPr>
          <w:p w14:paraId="6CC967B6"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4.495</w:t>
            </w:r>
          </w:p>
        </w:tc>
        <w:tc>
          <w:tcPr>
            <w:tcW w:w="851" w:type="dxa"/>
            <w:tcBorders>
              <w:top w:val="single" w:sz="4" w:space="0" w:color="000000"/>
            </w:tcBorders>
            <w:vAlign w:val="bottom"/>
          </w:tcPr>
          <w:p w14:paraId="059CB1FF"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c>
          <w:tcPr>
            <w:tcW w:w="283" w:type="dxa"/>
            <w:tcBorders>
              <w:top w:val="single" w:sz="4" w:space="0" w:color="000000"/>
            </w:tcBorders>
          </w:tcPr>
          <w:p w14:paraId="6765474B"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val="restart"/>
            <w:tcBorders>
              <w:top w:val="single" w:sz="4" w:space="0" w:color="000000"/>
            </w:tcBorders>
          </w:tcPr>
          <w:p w14:paraId="336D0946"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Bidirectional causality between POPG and DEF</w:t>
            </w:r>
          </w:p>
        </w:tc>
      </w:tr>
      <w:tr w:rsidR="00A05921" w:rsidRPr="00870330" w14:paraId="3457D3E5" w14:textId="77777777" w:rsidTr="00B95CC6">
        <w:tc>
          <w:tcPr>
            <w:tcW w:w="2376" w:type="dxa"/>
            <w:tcBorders>
              <w:bottom w:val="single" w:sz="4" w:space="0" w:color="000000"/>
            </w:tcBorders>
            <w:vAlign w:val="bottom"/>
          </w:tcPr>
          <w:p w14:paraId="7F80A2F6"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DEF → POPG</w:t>
            </w:r>
          </w:p>
        </w:tc>
        <w:tc>
          <w:tcPr>
            <w:tcW w:w="993" w:type="dxa"/>
            <w:tcBorders>
              <w:bottom w:val="single" w:sz="4" w:space="0" w:color="000000"/>
            </w:tcBorders>
            <w:vAlign w:val="bottom"/>
          </w:tcPr>
          <w:p w14:paraId="04F8B015"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11,717</w:t>
            </w:r>
          </w:p>
        </w:tc>
        <w:tc>
          <w:tcPr>
            <w:tcW w:w="1275" w:type="dxa"/>
            <w:tcBorders>
              <w:bottom w:val="single" w:sz="4" w:space="0" w:color="000000"/>
            </w:tcBorders>
            <w:vAlign w:val="bottom"/>
          </w:tcPr>
          <w:p w14:paraId="5387BAB8"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6,790</w:t>
            </w:r>
          </w:p>
        </w:tc>
        <w:tc>
          <w:tcPr>
            <w:tcW w:w="851" w:type="dxa"/>
            <w:tcBorders>
              <w:bottom w:val="single" w:sz="4" w:space="0" w:color="000000"/>
            </w:tcBorders>
            <w:vAlign w:val="bottom"/>
          </w:tcPr>
          <w:p w14:paraId="1912FB50"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c>
          <w:tcPr>
            <w:tcW w:w="283" w:type="dxa"/>
            <w:tcBorders>
              <w:bottom w:val="single" w:sz="4" w:space="0" w:color="000000"/>
            </w:tcBorders>
          </w:tcPr>
          <w:p w14:paraId="083FF712"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tcBorders>
              <w:top w:val="single" w:sz="4" w:space="0" w:color="000000"/>
            </w:tcBorders>
          </w:tcPr>
          <w:p w14:paraId="18F61A33" w14:textId="77777777" w:rsidR="004C2EEB" w:rsidRPr="00870330" w:rsidRDefault="004C2EEB" w:rsidP="00A05921">
            <w:pPr>
              <w:snapToGrid w:val="0"/>
              <w:spacing w:after="0"/>
              <w:rPr>
                <w:rFonts w:asciiTheme="minorHAnsi" w:hAnsiTheme="minorHAnsi" w:cstheme="minorHAnsi"/>
                <w:color w:val="0D0D0D" w:themeColor="text1" w:themeTint="F2"/>
              </w:rPr>
            </w:pPr>
          </w:p>
        </w:tc>
      </w:tr>
      <w:tr w:rsidR="00A05921" w:rsidRPr="00870330" w14:paraId="1A14F815" w14:textId="77777777" w:rsidTr="00B95CC6">
        <w:tc>
          <w:tcPr>
            <w:tcW w:w="2376" w:type="dxa"/>
            <w:tcBorders>
              <w:top w:val="single" w:sz="4" w:space="0" w:color="000000"/>
            </w:tcBorders>
            <w:vAlign w:val="bottom"/>
          </w:tcPr>
          <w:p w14:paraId="2868C8F7"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COR → DEF</w:t>
            </w:r>
          </w:p>
        </w:tc>
        <w:tc>
          <w:tcPr>
            <w:tcW w:w="993" w:type="dxa"/>
            <w:tcBorders>
              <w:top w:val="single" w:sz="4" w:space="0" w:color="000000"/>
            </w:tcBorders>
            <w:vAlign w:val="bottom"/>
          </w:tcPr>
          <w:p w14:paraId="56F27E3A"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12,704</w:t>
            </w:r>
          </w:p>
        </w:tc>
        <w:tc>
          <w:tcPr>
            <w:tcW w:w="1275" w:type="dxa"/>
            <w:tcBorders>
              <w:top w:val="single" w:sz="4" w:space="0" w:color="000000"/>
            </w:tcBorders>
            <w:vAlign w:val="bottom"/>
          </w:tcPr>
          <w:p w14:paraId="2FE15063"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7.610</w:t>
            </w:r>
          </w:p>
        </w:tc>
        <w:tc>
          <w:tcPr>
            <w:tcW w:w="851" w:type="dxa"/>
            <w:tcBorders>
              <w:top w:val="single" w:sz="4" w:space="0" w:color="000000"/>
            </w:tcBorders>
            <w:vAlign w:val="bottom"/>
          </w:tcPr>
          <w:p w14:paraId="71D5AD38"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c>
          <w:tcPr>
            <w:tcW w:w="283" w:type="dxa"/>
            <w:tcBorders>
              <w:top w:val="single" w:sz="4" w:space="0" w:color="000000"/>
            </w:tcBorders>
          </w:tcPr>
          <w:p w14:paraId="2D633395"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val="restart"/>
            <w:tcBorders>
              <w:top w:val="single" w:sz="4" w:space="0" w:color="000000"/>
            </w:tcBorders>
          </w:tcPr>
          <w:p w14:paraId="51BEA6E1"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Bidirectional causality between COR and DEF</w:t>
            </w:r>
          </w:p>
        </w:tc>
      </w:tr>
      <w:tr w:rsidR="00A05921" w:rsidRPr="00870330" w14:paraId="4DAB1267" w14:textId="77777777" w:rsidTr="00B95CC6">
        <w:tc>
          <w:tcPr>
            <w:tcW w:w="2376" w:type="dxa"/>
            <w:tcBorders>
              <w:bottom w:val="single" w:sz="4" w:space="0" w:color="000000"/>
            </w:tcBorders>
            <w:vAlign w:val="bottom"/>
          </w:tcPr>
          <w:p w14:paraId="317DF826"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DEF → COR</w:t>
            </w:r>
          </w:p>
        </w:tc>
        <w:tc>
          <w:tcPr>
            <w:tcW w:w="993" w:type="dxa"/>
            <w:tcBorders>
              <w:bottom w:val="single" w:sz="4" w:space="0" w:color="000000"/>
            </w:tcBorders>
            <w:vAlign w:val="bottom"/>
          </w:tcPr>
          <w:p w14:paraId="48A59E53"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7.013</w:t>
            </w:r>
          </w:p>
        </w:tc>
        <w:tc>
          <w:tcPr>
            <w:tcW w:w="1275" w:type="dxa"/>
            <w:tcBorders>
              <w:bottom w:val="single" w:sz="4" w:space="0" w:color="000000"/>
            </w:tcBorders>
            <w:vAlign w:val="bottom"/>
          </w:tcPr>
          <w:p w14:paraId="14B7ABCC"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2.881</w:t>
            </w:r>
          </w:p>
        </w:tc>
        <w:tc>
          <w:tcPr>
            <w:tcW w:w="851" w:type="dxa"/>
            <w:tcBorders>
              <w:bottom w:val="single" w:sz="4" w:space="0" w:color="000000"/>
            </w:tcBorders>
            <w:vAlign w:val="bottom"/>
          </w:tcPr>
          <w:p w14:paraId="65467C30"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0.004</w:t>
            </w:r>
          </w:p>
        </w:tc>
        <w:tc>
          <w:tcPr>
            <w:tcW w:w="283" w:type="dxa"/>
            <w:tcBorders>
              <w:bottom w:val="single" w:sz="4" w:space="0" w:color="000000"/>
            </w:tcBorders>
          </w:tcPr>
          <w:p w14:paraId="5C17176D"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tcBorders>
              <w:top w:val="single" w:sz="4" w:space="0" w:color="000000"/>
            </w:tcBorders>
          </w:tcPr>
          <w:p w14:paraId="7CEA9034" w14:textId="77777777" w:rsidR="004C2EEB" w:rsidRPr="00870330" w:rsidRDefault="004C2EEB" w:rsidP="00A05921">
            <w:pPr>
              <w:snapToGrid w:val="0"/>
              <w:spacing w:after="0"/>
              <w:rPr>
                <w:rFonts w:asciiTheme="minorHAnsi" w:hAnsiTheme="minorHAnsi" w:cstheme="minorHAnsi"/>
                <w:color w:val="0D0D0D" w:themeColor="text1" w:themeTint="F2"/>
              </w:rPr>
            </w:pPr>
          </w:p>
        </w:tc>
      </w:tr>
      <w:tr w:rsidR="00A05921" w:rsidRPr="00870330" w14:paraId="62503373" w14:textId="77777777" w:rsidTr="00B95CC6">
        <w:tc>
          <w:tcPr>
            <w:tcW w:w="2376" w:type="dxa"/>
            <w:tcBorders>
              <w:top w:val="single" w:sz="4" w:space="0" w:color="000000"/>
            </w:tcBorders>
            <w:vAlign w:val="bottom"/>
          </w:tcPr>
          <w:p w14:paraId="36EDC878" w14:textId="0947EA48"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000071D7" w:rsidRPr="00870330">
              <w:rPr>
                <w:rFonts w:asciiTheme="minorHAnsi" w:hAnsiTheme="minorHAnsi" w:cstheme="minorHAnsi"/>
                <w:color w:val="0D0D0D" w:themeColor="text1" w:themeTint="F2"/>
              </w:rPr>
              <w:t>TOP</w:t>
            </w:r>
            <w:r w:rsidRPr="00870330">
              <w:rPr>
                <w:rFonts w:asciiTheme="minorHAnsi" w:hAnsiTheme="minorHAnsi" w:cstheme="minorHAnsi"/>
                <w:color w:val="0D0D0D" w:themeColor="text1" w:themeTint="F2"/>
              </w:rPr>
              <w:t xml:space="preserve"> → GDP</w:t>
            </w:r>
          </w:p>
        </w:tc>
        <w:tc>
          <w:tcPr>
            <w:tcW w:w="993" w:type="dxa"/>
            <w:tcBorders>
              <w:top w:val="single" w:sz="4" w:space="0" w:color="000000"/>
            </w:tcBorders>
            <w:vAlign w:val="bottom"/>
          </w:tcPr>
          <w:p w14:paraId="5B306F45"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5,293</w:t>
            </w:r>
          </w:p>
        </w:tc>
        <w:tc>
          <w:tcPr>
            <w:tcW w:w="1275" w:type="dxa"/>
            <w:tcBorders>
              <w:top w:val="single" w:sz="4" w:space="0" w:color="000000"/>
            </w:tcBorders>
            <w:vAlign w:val="bottom"/>
          </w:tcPr>
          <w:p w14:paraId="6C299570"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1,452</w:t>
            </w:r>
          </w:p>
        </w:tc>
        <w:tc>
          <w:tcPr>
            <w:tcW w:w="851" w:type="dxa"/>
            <w:tcBorders>
              <w:top w:val="single" w:sz="4" w:space="0" w:color="000000"/>
            </w:tcBorders>
            <w:vAlign w:val="bottom"/>
          </w:tcPr>
          <w:p w14:paraId="1256CEB2"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0.146</w:t>
            </w:r>
          </w:p>
        </w:tc>
        <w:tc>
          <w:tcPr>
            <w:tcW w:w="283" w:type="dxa"/>
            <w:tcBorders>
              <w:top w:val="single" w:sz="4" w:space="0" w:color="000000"/>
            </w:tcBorders>
          </w:tcPr>
          <w:p w14:paraId="27443072"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val="restart"/>
            <w:tcBorders>
              <w:top w:val="single" w:sz="4" w:space="0" w:color="000000"/>
            </w:tcBorders>
          </w:tcPr>
          <w:p w14:paraId="7E035E93" w14:textId="6748F1F4"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xml:space="preserve">One-way causality of GDP causes </w:t>
            </w:r>
            <w:r w:rsidR="000071D7" w:rsidRPr="00870330">
              <w:rPr>
                <w:rFonts w:asciiTheme="minorHAnsi" w:hAnsiTheme="minorHAnsi" w:cstheme="minorHAnsi"/>
                <w:color w:val="0D0D0D" w:themeColor="text1" w:themeTint="F2"/>
              </w:rPr>
              <w:t>TOP</w:t>
            </w:r>
          </w:p>
        </w:tc>
      </w:tr>
      <w:tr w:rsidR="00A05921" w:rsidRPr="00870330" w14:paraId="22F23047" w14:textId="77777777" w:rsidTr="00B95CC6">
        <w:tc>
          <w:tcPr>
            <w:tcW w:w="2376" w:type="dxa"/>
            <w:tcBorders>
              <w:bottom w:val="single" w:sz="4" w:space="0" w:color="000000"/>
            </w:tcBorders>
            <w:vAlign w:val="bottom"/>
          </w:tcPr>
          <w:p w14:paraId="39D29AF8" w14:textId="133A78C6"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 xml:space="preserve">GDP → </w:t>
            </w:r>
            <w:r w:rsidR="000071D7" w:rsidRPr="00870330">
              <w:rPr>
                <w:rFonts w:asciiTheme="minorHAnsi" w:hAnsiTheme="minorHAnsi" w:cstheme="minorHAnsi"/>
                <w:color w:val="0D0D0D" w:themeColor="text1" w:themeTint="F2"/>
              </w:rPr>
              <w:t>TOP</w:t>
            </w:r>
          </w:p>
        </w:tc>
        <w:tc>
          <w:tcPr>
            <w:tcW w:w="993" w:type="dxa"/>
            <w:tcBorders>
              <w:bottom w:val="single" w:sz="4" w:space="0" w:color="000000"/>
            </w:tcBorders>
            <w:vAlign w:val="bottom"/>
          </w:tcPr>
          <w:p w14:paraId="5F8FEDEA"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7.146</w:t>
            </w:r>
          </w:p>
        </w:tc>
        <w:tc>
          <w:tcPr>
            <w:tcW w:w="1275" w:type="dxa"/>
            <w:tcBorders>
              <w:bottom w:val="single" w:sz="4" w:space="0" w:color="000000"/>
            </w:tcBorders>
            <w:vAlign w:val="bottom"/>
          </w:tcPr>
          <w:p w14:paraId="2FA71156"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2,992</w:t>
            </w:r>
          </w:p>
        </w:tc>
        <w:tc>
          <w:tcPr>
            <w:tcW w:w="851" w:type="dxa"/>
            <w:tcBorders>
              <w:bottom w:val="single" w:sz="4" w:space="0" w:color="000000"/>
            </w:tcBorders>
            <w:vAlign w:val="bottom"/>
          </w:tcPr>
          <w:p w14:paraId="3750D63A"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0.003</w:t>
            </w:r>
          </w:p>
        </w:tc>
        <w:tc>
          <w:tcPr>
            <w:tcW w:w="283" w:type="dxa"/>
            <w:tcBorders>
              <w:bottom w:val="single" w:sz="4" w:space="0" w:color="000000"/>
            </w:tcBorders>
          </w:tcPr>
          <w:p w14:paraId="33373B93"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tcBorders>
              <w:top w:val="single" w:sz="4" w:space="0" w:color="000000"/>
            </w:tcBorders>
          </w:tcPr>
          <w:p w14:paraId="68F53B56" w14:textId="77777777" w:rsidR="004C2EEB" w:rsidRPr="00870330" w:rsidRDefault="004C2EEB" w:rsidP="00A05921">
            <w:pPr>
              <w:snapToGrid w:val="0"/>
              <w:spacing w:after="0"/>
              <w:rPr>
                <w:rFonts w:asciiTheme="minorHAnsi" w:hAnsiTheme="minorHAnsi" w:cstheme="minorHAnsi"/>
                <w:color w:val="0D0D0D" w:themeColor="text1" w:themeTint="F2"/>
              </w:rPr>
            </w:pPr>
          </w:p>
        </w:tc>
      </w:tr>
      <w:tr w:rsidR="00A05921" w:rsidRPr="00870330" w14:paraId="465619D2" w14:textId="77777777" w:rsidTr="00B95CC6">
        <w:tc>
          <w:tcPr>
            <w:tcW w:w="2376" w:type="dxa"/>
            <w:tcBorders>
              <w:top w:val="single" w:sz="4" w:space="0" w:color="000000"/>
            </w:tcBorders>
            <w:vAlign w:val="bottom"/>
          </w:tcPr>
          <w:p w14:paraId="4032EC0F"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ARABLE → GDP</w:t>
            </w:r>
          </w:p>
        </w:tc>
        <w:tc>
          <w:tcPr>
            <w:tcW w:w="993" w:type="dxa"/>
            <w:tcBorders>
              <w:top w:val="single" w:sz="4" w:space="0" w:color="000000"/>
            </w:tcBorders>
            <w:vAlign w:val="bottom"/>
          </w:tcPr>
          <w:p w14:paraId="7C96D43C"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8.323</w:t>
            </w:r>
          </w:p>
        </w:tc>
        <w:tc>
          <w:tcPr>
            <w:tcW w:w="1275" w:type="dxa"/>
            <w:tcBorders>
              <w:top w:val="single" w:sz="4" w:space="0" w:color="000000"/>
            </w:tcBorders>
            <w:vAlign w:val="bottom"/>
          </w:tcPr>
          <w:p w14:paraId="41590B5E"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3.970</w:t>
            </w:r>
          </w:p>
        </w:tc>
        <w:tc>
          <w:tcPr>
            <w:tcW w:w="851" w:type="dxa"/>
            <w:tcBorders>
              <w:top w:val="single" w:sz="4" w:space="0" w:color="000000"/>
            </w:tcBorders>
            <w:vAlign w:val="bottom"/>
          </w:tcPr>
          <w:p w14:paraId="1015DB82"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c>
          <w:tcPr>
            <w:tcW w:w="283" w:type="dxa"/>
            <w:tcBorders>
              <w:top w:val="single" w:sz="4" w:space="0" w:color="000000"/>
            </w:tcBorders>
          </w:tcPr>
          <w:p w14:paraId="3192D335"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val="restart"/>
            <w:tcBorders>
              <w:top w:val="single" w:sz="4" w:space="0" w:color="000000"/>
            </w:tcBorders>
          </w:tcPr>
          <w:p w14:paraId="68BD6EF2"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Bidirectional causality between ARABLE and PDB</w:t>
            </w:r>
          </w:p>
        </w:tc>
      </w:tr>
      <w:tr w:rsidR="00A05921" w:rsidRPr="00870330" w14:paraId="0440BD2F" w14:textId="77777777" w:rsidTr="00B95CC6">
        <w:tc>
          <w:tcPr>
            <w:tcW w:w="2376" w:type="dxa"/>
            <w:tcBorders>
              <w:bottom w:val="single" w:sz="4" w:space="0" w:color="000000"/>
            </w:tcBorders>
            <w:vAlign w:val="bottom"/>
          </w:tcPr>
          <w:p w14:paraId="70297A4F"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GDP → ARABLE</w:t>
            </w:r>
          </w:p>
        </w:tc>
        <w:tc>
          <w:tcPr>
            <w:tcW w:w="993" w:type="dxa"/>
            <w:tcBorders>
              <w:bottom w:val="single" w:sz="4" w:space="0" w:color="000000"/>
            </w:tcBorders>
            <w:vAlign w:val="bottom"/>
          </w:tcPr>
          <w:p w14:paraId="02460D8F"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7.079</w:t>
            </w:r>
          </w:p>
        </w:tc>
        <w:tc>
          <w:tcPr>
            <w:tcW w:w="1275" w:type="dxa"/>
            <w:tcBorders>
              <w:bottom w:val="single" w:sz="4" w:space="0" w:color="000000"/>
            </w:tcBorders>
            <w:vAlign w:val="bottom"/>
          </w:tcPr>
          <w:p w14:paraId="5482C6F1"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2,936</w:t>
            </w:r>
          </w:p>
        </w:tc>
        <w:tc>
          <w:tcPr>
            <w:tcW w:w="851" w:type="dxa"/>
            <w:tcBorders>
              <w:bottom w:val="single" w:sz="4" w:space="0" w:color="000000"/>
            </w:tcBorders>
            <w:vAlign w:val="bottom"/>
          </w:tcPr>
          <w:p w14:paraId="3816FAE6"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0.003</w:t>
            </w:r>
          </w:p>
        </w:tc>
        <w:tc>
          <w:tcPr>
            <w:tcW w:w="283" w:type="dxa"/>
            <w:tcBorders>
              <w:bottom w:val="single" w:sz="4" w:space="0" w:color="000000"/>
            </w:tcBorders>
          </w:tcPr>
          <w:p w14:paraId="64A410E2"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tcBorders>
              <w:top w:val="single" w:sz="4" w:space="0" w:color="000000"/>
            </w:tcBorders>
          </w:tcPr>
          <w:p w14:paraId="0528AB50" w14:textId="77777777" w:rsidR="004C2EEB" w:rsidRPr="00870330" w:rsidRDefault="004C2EEB" w:rsidP="00A05921">
            <w:pPr>
              <w:snapToGrid w:val="0"/>
              <w:spacing w:after="0"/>
              <w:rPr>
                <w:rFonts w:asciiTheme="minorHAnsi" w:hAnsiTheme="minorHAnsi" w:cstheme="minorHAnsi"/>
                <w:color w:val="0D0D0D" w:themeColor="text1" w:themeTint="F2"/>
              </w:rPr>
            </w:pPr>
          </w:p>
        </w:tc>
      </w:tr>
      <w:tr w:rsidR="00A05921" w:rsidRPr="00870330" w14:paraId="18DBFF38" w14:textId="77777777" w:rsidTr="00B95CC6">
        <w:tc>
          <w:tcPr>
            <w:tcW w:w="2376" w:type="dxa"/>
            <w:tcBorders>
              <w:top w:val="single" w:sz="4" w:space="0" w:color="000000"/>
            </w:tcBorders>
            <w:vAlign w:val="bottom"/>
          </w:tcPr>
          <w:p w14:paraId="42A6727D"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POPG → GDP</w:t>
            </w:r>
          </w:p>
        </w:tc>
        <w:tc>
          <w:tcPr>
            <w:tcW w:w="993" w:type="dxa"/>
            <w:tcBorders>
              <w:top w:val="single" w:sz="4" w:space="0" w:color="000000"/>
            </w:tcBorders>
            <w:vAlign w:val="bottom"/>
          </w:tcPr>
          <w:p w14:paraId="06830B04"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10.019</w:t>
            </w:r>
          </w:p>
        </w:tc>
        <w:tc>
          <w:tcPr>
            <w:tcW w:w="1275" w:type="dxa"/>
            <w:tcBorders>
              <w:top w:val="single" w:sz="4" w:space="0" w:color="000000"/>
            </w:tcBorders>
            <w:vAlign w:val="bottom"/>
          </w:tcPr>
          <w:p w14:paraId="6C4A579E"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5.379</w:t>
            </w:r>
          </w:p>
        </w:tc>
        <w:tc>
          <w:tcPr>
            <w:tcW w:w="851" w:type="dxa"/>
            <w:tcBorders>
              <w:top w:val="single" w:sz="4" w:space="0" w:color="000000"/>
            </w:tcBorders>
            <w:vAlign w:val="bottom"/>
          </w:tcPr>
          <w:p w14:paraId="7B1026F4"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c>
          <w:tcPr>
            <w:tcW w:w="283" w:type="dxa"/>
            <w:tcBorders>
              <w:top w:val="single" w:sz="4" w:space="0" w:color="000000"/>
            </w:tcBorders>
          </w:tcPr>
          <w:p w14:paraId="35B367D6"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val="restart"/>
            <w:tcBorders>
              <w:top w:val="single" w:sz="4" w:space="0" w:color="000000"/>
            </w:tcBorders>
          </w:tcPr>
          <w:p w14:paraId="3EA346B2"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GDP one-way causality causes POPG</w:t>
            </w:r>
          </w:p>
        </w:tc>
      </w:tr>
      <w:tr w:rsidR="00A05921" w:rsidRPr="00870330" w14:paraId="1BB0A2FF" w14:textId="77777777" w:rsidTr="00B95CC6">
        <w:tc>
          <w:tcPr>
            <w:tcW w:w="2376" w:type="dxa"/>
            <w:tcBorders>
              <w:bottom w:val="single" w:sz="4" w:space="0" w:color="000000"/>
            </w:tcBorders>
            <w:vAlign w:val="bottom"/>
          </w:tcPr>
          <w:p w14:paraId="4ADAD80B"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GDP → POPG</w:t>
            </w:r>
          </w:p>
        </w:tc>
        <w:tc>
          <w:tcPr>
            <w:tcW w:w="993" w:type="dxa"/>
            <w:tcBorders>
              <w:bottom w:val="single" w:sz="4" w:space="0" w:color="000000"/>
            </w:tcBorders>
            <w:vAlign w:val="bottom"/>
          </w:tcPr>
          <w:p w14:paraId="489EE986"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3,787</w:t>
            </w:r>
          </w:p>
        </w:tc>
        <w:tc>
          <w:tcPr>
            <w:tcW w:w="1275" w:type="dxa"/>
            <w:tcBorders>
              <w:bottom w:val="single" w:sz="4" w:space="0" w:color="000000"/>
            </w:tcBorders>
            <w:vAlign w:val="bottom"/>
          </w:tcPr>
          <w:p w14:paraId="1371971E"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0.201</w:t>
            </w:r>
          </w:p>
        </w:tc>
        <w:tc>
          <w:tcPr>
            <w:tcW w:w="851" w:type="dxa"/>
            <w:tcBorders>
              <w:bottom w:val="single" w:sz="4" w:space="0" w:color="000000"/>
            </w:tcBorders>
            <w:vAlign w:val="bottom"/>
          </w:tcPr>
          <w:p w14:paraId="07BF20C9"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0.840</w:t>
            </w:r>
          </w:p>
        </w:tc>
        <w:tc>
          <w:tcPr>
            <w:tcW w:w="283" w:type="dxa"/>
            <w:tcBorders>
              <w:bottom w:val="single" w:sz="4" w:space="0" w:color="000000"/>
            </w:tcBorders>
          </w:tcPr>
          <w:p w14:paraId="4A596C0D"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tcBorders>
              <w:top w:val="single" w:sz="4" w:space="0" w:color="000000"/>
            </w:tcBorders>
          </w:tcPr>
          <w:p w14:paraId="63930EEE" w14:textId="77777777" w:rsidR="004C2EEB" w:rsidRPr="00870330" w:rsidRDefault="004C2EEB" w:rsidP="00A05921">
            <w:pPr>
              <w:snapToGrid w:val="0"/>
              <w:spacing w:after="0"/>
              <w:rPr>
                <w:rFonts w:asciiTheme="minorHAnsi" w:hAnsiTheme="minorHAnsi" w:cstheme="minorHAnsi"/>
                <w:color w:val="0D0D0D" w:themeColor="text1" w:themeTint="F2"/>
              </w:rPr>
            </w:pPr>
          </w:p>
        </w:tc>
      </w:tr>
      <w:tr w:rsidR="00A05921" w:rsidRPr="00870330" w14:paraId="1DAAB39F" w14:textId="77777777" w:rsidTr="00B95CC6">
        <w:tc>
          <w:tcPr>
            <w:tcW w:w="2376" w:type="dxa"/>
            <w:tcBorders>
              <w:top w:val="single" w:sz="4" w:space="0" w:color="000000"/>
            </w:tcBorders>
            <w:vAlign w:val="bottom"/>
          </w:tcPr>
          <w:p w14:paraId="6269BEA4"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COR → GDP</w:t>
            </w:r>
          </w:p>
        </w:tc>
        <w:tc>
          <w:tcPr>
            <w:tcW w:w="993" w:type="dxa"/>
            <w:tcBorders>
              <w:top w:val="single" w:sz="4" w:space="0" w:color="000000"/>
            </w:tcBorders>
            <w:vAlign w:val="bottom"/>
          </w:tcPr>
          <w:p w14:paraId="0DC387A7"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4.094</w:t>
            </w:r>
          </w:p>
        </w:tc>
        <w:tc>
          <w:tcPr>
            <w:tcW w:w="1275" w:type="dxa"/>
            <w:tcBorders>
              <w:top w:val="single" w:sz="4" w:space="0" w:color="000000"/>
            </w:tcBorders>
            <w:vAlign w:val="bottom"/>
          </w:tcPr>
          <w:p w14:paraId="2137BEA1"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0.456</w:t>
            </w:r>
          </w:p>
        </w:tc>
        <w:tc>
          <w:tcPr>
            <w:tcW w:w="851" w:type="dxa"/>
            <w:tcBorders>
              <w:top w:val="single" w:sz="4" w:space="0" w:color="000000"/>
            </w:tcBorders>
            <w:vAlign w:val="bottom"/>
          </w:tcPr>
          <w:p w14:paraId="7298D95D"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0.648</w:t>
            </w:r>
          </w:p>
        </w:tc>
        <w:tc>
          <w:tcPr>
            <w:tcW w:w="283" w:type="dxa"/>
            <w:tcBorders>
              <w:top w:val="single" w:sz="4" w:space="0" w:color="000000"/>
            </w:tcBorders>
          </w:tcPr>
          <w:p w14:paraId="6CD7AB6F"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val="restart"/>
            <w:tcBorders>
              <w:top w:val="single" w:sz="4" w:space="0" w:color="000000"/>
            </w:tcBorders>
          </w:tcPr>
          <w:p w14:paraId="28D8BBD5"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One-way causality of GDP causes COR</w:t>
            </w:r>
          </w:p>
        </w:tc>
      </w:tr>
      <w:tr w:rsidR="00A05921" w:rsidRPr="00870330" w14:paraId="3210D69E" w14:textId="77777777" w:rsidTr="00B95CC6">
        <w:tc>
          <w:tcPr>
            <w:tcW w:w="2376" w:type="dxa"/>
            <w:tcBorders>
              <w:bottom w:val="single" w:sz="4" w:space="0" w:color="000000"/>
            </w:tcBorders>
            <w:vAlign w:val="bottom"/>
          </w:tcPr>
          <w:p w14:paraId="38B99B0D"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GDP → COR</w:t>
            </w:r>
          </w:p>
        </w:tc>
        <w:tc>
          <w:tcPr>
            <w:tcW w:w="993" w:type="dxa"/>
            <w:tcBorders>
              <w:bottom w:val="single" w:sz="4" w:space="0" w:color="000000"/>
            </w:tcBorders>
            <w:vAlign w:val="bottom"/>
          </w:tcPr>
          <w:p w14:paraId="437E15B8"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8,219</w:t>
            </w:r>
          </w:p>
        </w:tc>
        <w:tc>
          <w:tcPr>
            <w:tcW w:w="1275" w:type="dxa"/>
            <w:tcBorders>
              <w:bottom w:val="single" w:sz="4" w:space="0" w:color="000000"/>
            </w:tcBorders>
            <w:vAlign w:val="bottom"/>
          </w:tcPr>
          <w:p w14:paraId="5713FF12"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3,883</w:t>
            </w:r>
          </w:p>
        </w:tc>
        <w:tc>
          <w:tcPr>
            <w:tcW w:w="851" w:type="dxa"/>
            <w:tcBorders>
              <w:bottom w:val="single" w:sz="4" w:space="0" w:color="000000"/>
            </w:tcBorders>
            <w:vAlign w:val="bottom"/>
          </w:tcPr>
          <w:p w14:paraId="352D3D77"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c>
          <w:tcPr>
            <w:tcW w:w="283" w:type="dxa"/>
            <w:tcBorders>
              <w:bottom w:val="single" w:sz="4" w:space="0" w:color="000000"/>
            </w:tcBorders>
          </w:tcPr>
          <w:p w14:paraId="239BD599"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tcBorders>
              <w:top w:val="single" w:sz="4" w:space="0" w:color="000000"/>
            </w:tcBorders>
          </w:tcPr>
          <w:p w14:paraId="2C5E207B" w14:textId="77777777" w:rsidR="004C2EEB" w:rsidRPr="00870330" w:rsidRDefault="004C2EEB" w:rsidP="00A05921">
            <w:pPr>
              <w:snapToGrid w:val="0"/>
              <w:spacing w:after="0"/>
              <w:rPr>
                <w:rFonts w:asciiTheme="minorHAnsi" w:hAnsiTheme="minorHAnsi" w:cstheme="minorHAnsi"/>
                <w:color w:val="0D0D0D" w:themeColor="text1" w:themeTint="F2"/>
              </w:rPr>
            </w:pPr>
          </w:p>
        </w:tc>
      </w:tr>
      <w:tr w:rsidR="00A05921" w:rsidRPr="00870330" w14:paraId="52723547" w14:textId="77777777" w:rsidTr="00B95CC6">
        <w:tc>
          <w:tcPr>
            <w:tcW w:w="2376" w:type="dxa"/>
            <w:tcBorders>
              <w:top w:val="single" w:sz="4" w:space="0" w:color="000000"/>
            </w:tcBorders>
            <w:vAlign w:val="bottom"/>
          </w:tcPr>
          <w:p w14:paraId="4B062D43" w14:textId="0E352CCD"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 xml:space="preserve">ARABLE → </w:t>
            </w:r>
            <w:r w:rsidR="000071D7" w:rsidRPr="00870330">
              <w:rPr>
                <w:rFonts w:asciiTheme="minorHAnsi" w:hAnsiTheme="minorHAnsi" w:cstheme="minorHAnsi"/>
                <w:color w:val="0D0D0D" w:themeColor="text1" w:themeTint="F2"/>
              </w:rPr>
              <w:t>TOP</w:t>
            </w:r>
          </w:p>
        </w:tc>
        <w:tc>
          <w:tcPr>
            <w:tcW w:w="993" w:type="dxa"/>
            <w:tcBorders>
              <w:top w:val="single" w:sz="4" w:space="0" w:color="000000"/>
            </w:tcBorders>
            <w:vAlign w:val="bottom"/>
          </w:tcPr>
          <w:p w14:paraId="47033037"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4.470</w:t>
            </w:r>
          </w:p>
        </w:tc>
        <w:tc>
          <w:tcPr>
            <w:tcW w:w="1275" w:type="dxa"/>
            <w:tcBorders>
              <w:top w:val="single" w:sz="4" w:space="0" w:color="000000"/>
            </w:tcBorders>
            <w:vAlign w:val="bottom"/>
          </w:tcPr>
          <w:p w14:paraId="605D95C1"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0.768</w:t>
            </w:r>
          </w:p>
        </w:tc>
        <w:tc>
          <w:tcPr>
            <w:tcW w:w="851" w:type="dxa"/>
            <w:tcBorders>
              <w:top w:val="single" w:sz="4" w:space="0" w:color="000000"/>
            </w:tcBorders>
            <w:vAlign w:val="bottom"/>
          </w:tcPr>
          <w:p w14:paraId="0146FCE9"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0.442</w:t>
            </w:r>
          </w:p>
        </w:tc>
        <w:tc>
          <w:tcPr>
            <w:tcW w:w="283" w:type="dxa"/>
            <w:tcBorders>
              <w:top w:val="single" w:sz="4" w:space="0" w:color="000000"/>
            </w:tcBorders>
          </w:tcPr>
          <w:p w14:paraId="1B612A6C"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val="restart"/>
            <w:tcBorders>
              <w:top w:val="single" w:sz="4" w:space="0" w:color="000000"/>
            </w:tcBorders>
          </w:tcPr>
          <w:p w14:paraId="79A5386A" w14:textId="2C6D4069"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xml:space="preserve">One-way causality </w:t>
            </w:r>
            <w:r w:rsidR="000071D7" w:rsidRPr="00870330">
              <w:rPr>
                <w:rFonts w:asciiTheme="minorHAnsi" w:hAnsiTheme="minorHAnsi" w:cstheme="minorHAnsi"/>
                <w:color w:val="0D0D0D" w:themeColor="text1" w:themeTint="F2"/>
              </w:rPr>
              <w:t>TOP</w:t>
            </w:r>
            <w:r w:rsidRPr="00870330">
              <w:rPr>
                <w:rFonts w:asciiTheme="minorHAnsi" w:hAnsiTheme="minorHAnsi" w:cstheme="minorHAnsi"/>
                <w:color w:val="0D0D0D" w:themeColor="text1" w:themeTint="F2"/>
              </w:rPr>
              <w:t xml:space="preserve"> causes ARABLE</w:t>
            </w:r>
          </w:p>
        </w:tc>
      </w:tr>
      <w:tr w:rsidR="00A05921" w:rsidRPr="00870330" w14:paraId="46FF4111" w14:textId="77777777" w:rsidTr="00B95CC6">
        <w:tc>
          <w:tcPr>
            <w:tcW w:w="2376" w:type="dxa"/>
            <w:tcBorders>
              <w:bottom w:val="single" w:sz="4" w:space="0" w:color="000000"/>
            </w:tcBorders>
            <w:vAlign w:val="bottom"/>
          </w:tcPr>
          <w:p w14:paraId="0272C348" w14:textId="7C9777C4"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000071D7" w:rsidRPr="00870330">
              <w:rPr>
                <w:rFonts w:asciiTheme="minorHAnsi" w:hAnsiTheme="minorHAnsi" w:cstheme="minorHAnsi"/>
                <w:color w:val="0D0D0D" w:themeColor="text1" w:themeTint="F2"/>
              </w:rPr>
              <w:t>TOP</w:t>
            </w:r>
            <w:r w:rsidRPr="00870330">
              <w:rPr>
                <w:rFonts w:asciiTheme="minorHAnsi" w:hAnsiTheme="minorHAnsi" w:cstheme="minorHAnsi"/>
                <w:color w:val="0D0D0D" w:themeColor="text1" w:themeTint="F2"/>
              </w:rPr>
              <w:t xml:space="preserve"> → ARABLE</w:t>
            </w:r>
          </w:p>
        </w:tc>
        <w:tc>
          <w:tcPr>
            <w:tcW w:w="993" w:type="dxa"/>
            <w:tcBorders>
              <w:bottom w:val="single" w:sz="4" w:space="0" w:color="000000"/>
            </w:tcBorders>
            <w:vAlign w:val="bottom"/>
          </w:tcPr>
          <w:p w14:paraId="07BA5682"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5.534</w:t>
            </w:r>
          </w:p>
        </w:tc>
        <w:tc>
          <w:tcPr>
            <w:tcW w:w="1275" w:type="dxa"/>
            <w:tcBorders>
              <w:bottom w:val="single" w:sz="4" w:space="0" w:color="000000"/>
            </w:tcBorders>
            <w:vAlign w:val="bottom"/>
          </w:tcPr>
          <w:p w14:paraId="1295794C"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1,652</w:t>
            </w:r>
          </w:p>
        </w:tc>
        <w:tc>
          <w:tcPr>
            <w:tcW w:w="851" w:type="dxa"/>
            <w:tcBorders>
              <w:bottom w:val="single" w:sz="4" w:space="0" w:color="000000"/>
            </w:tcBorders>
            <w:vAlign w:val="bottom"/>
          </w:tcPr>
          <w:p w14:paraId="0B5B0855"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0.098</w:t>
            </w:r>
          </w:p>
        </w:tc>
        <w:tc>
          <w:tcPr>
            <w:tcW w:w="283" w:type="dxa"/>
            <w:tcBorders>
              <w:bottom w:val="single" w:sz="4" w:space="0" w:color="000000"/>
            </w:tcBorders>
          </w:tcPr>
          <w:p w14:paraId="3E5B6428"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tcBorders>
              <w:top w:val="single" w:sz="4" w:space="0" w:color="000000"/>
            </w:tcBorders>
          </w:tcPr>
          <w:p w14:paraId="531E285C" w14:textId="77777777" w:rsidR="004C2EEB" w:rsidRPr="00870330" w:rsidRDefault="004C2EEB" w:rsidP="00A05921">
            <w:pPr>
              <w:snapToGrid w:val="0"/>
              <w:spacing w:after="0"/>
              <w:rPr>
                <w:rFonts w:asciiTheme="minorHAnsi" w:hAnsiTheme="minorHAnsi" w:cstheme="minorHAnsi"/>
                <w:color w:val="0D0D0D" w:themeColor="text1" w:themeTint="F2"/>
              </w:rPr>
            </w:pPr>
          </w:p>
        </w:tc>
      </w:tr>
      <w:tr w:rsidR="00A05921" w:rsidRPr="00870330" w14:paraId="1A89F787" w14:textId="77777777" w:rsidTr="00B95CC6">
        <w:tc>
          <w:tcPr>
            <w:tcW w:w="2376" w:type="dxa"/>
            <w:tcBorders>
              <w:top w:val="single" w:sz="4" w:space="0" w:color="000000"/>
            </w:tcBorders>
            <w:vAlign w:val="bottom"/>
          </w:tcPr>
          <w:p w14:paraId="496FF561" w14:textId="340046E8"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 xml:space="preserve">POPG → </w:t>
            </w:r>
            <w:r w:rsidR="000071D7" w:rsidRPr="00870330">
              <w:rPr>
                <w:rFonts w:asciiTheme="minorHAnsi" w:hAnsiTheme="minorHAnsi" w:cstheme="minorHAnsi"/>
                <w:color w:val="0D0D0D" w:themeColor="text1" w:themeTint="F2"/>
              </w:rPr>
              <w:t>TOP</w:t>
            </w:r>
          </w:p>
        </w:tc>
        <w:tc>
          <w:tcPr>
            <w:tcW w:w="993" w:type="dxa"/>
            <w:tcBorders>
              <w:top w:val="single" w:sz="4" w:space="0" w:color="000000"/>
            </w:tcBorders>
            <w:vAlign w:val="bottom"/>
          </w:tcPr>
          <w:p w14:paraId="672559A9"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4.161</w:t>
            </w:r>
          </w:p>
        </w:tc>
        <w:tc>
          <w:tcPr>
            <w:tcW w:w="1275" w:type="dxa"/>
            <w:tcBorders>
              <w:top w:val="single" w:sz="4" w:space="0" w:color="000000"/>
            </w:tcBorders>
            <w:vAlign w:val="bottom"/>
          </w:tcPr>
          <w:p w14:paraId="1EED96EB"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0.511</w:t>
            </w:r>
          </w:p>
        </w:tc>
        <w:tc>
          <w:tcPr>
            <w:tcW w:w="851" w:type="dxa"/>
            <w:tcBorders>
              <w:top w:val="single" w:sz="4" w:space="0" w:color="000000"/>
            </w:tcBorders>
            <w:vAlign w:val="bottom"/>
          </w:tcPr>
          <w:p w14:paraId="1BC365C7"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0.609</w:t>
            </w:r>
          </w:p>
        </w:tc>
        <w:tc>
          <w:tcPr>
            <w:tcW w:w="283" w:type="dxa"/>
            <w:tcBorders>
              <w:top w:val="single" w:sz="4" w:space="0" w:color="000000"/>
            </w:tcBorders>
          </w:tcPr>
          <w:p w14:paraId="322443CF"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val="restart"/>
            <w:tcBorders>
              <w:top w:val="single" w:sz="4" w:space="0" w:color="000000"/>
            </w:tcBorders>
          </w:tcPr>
          <w:p w14:paraId="344A1EBD" w14:textId="4CFF06B8"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xml:space="preserve">One-way causality </w:t>
            </w:r>
            <w:r w:rsidR="000071D7" w:rsidRPr="00870330">
              <w:rPr>
                <w:rFonts w:asciiTheme="minorHAnsi" w:hAnsiTheme="minorHAnsi" w:cstheme="minorHAnsi"/>
                <w:color w:val="0D0D0D" w:themeColor="text1" w:themeTint="F2"/>
              </w:rPr>
              <w:t>TOP</w:t>
            </w:r>
            <w:r w:rsidRPr="00870330">
              <w:rPr>
                <w:rFonts w:asciiTheme="minorHAnsi" w:hAnsiTheme="minorHAnsi" w:cstheme="minorHAnsi"/>
                <w:color w:val="0D0D0D" w:themeColor="text1" w:themeTint="F2"/>
              </w:rPr>
              <w:t xml:space="preserve"> causes POPG</w:t>
            </w:r>
          </w:p>
        </w:tc>
      </w:tr>
      <w:tr w:rsidR="00A05921" w:rsidRPr="00870330" w14:paraId="54EE0596" w14:textId="77777777" w:rsidTr="00B95CC6">
        <w:tc>
          <w:tcPr>
            <w:tcW w:w="2376" w:type="dxa"/>
            <w:tcBorders>
              <w:bottom w:val="single" w:sz="4" w:space="0" w:color="000000"/>
            </w:tcBorders>
            <w:vAlign w:val="bottom"/>
          </w:tcPr>
          <w:p w14:paraId="39E9B8BB" w14:textId="30F7C12F"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000071D7" w:rsidRPr="00870330">
              <w:rPr>
                <w:rFonts w:asciiTheme="minorHAnsi" w:hAnsiTheme="minorHAnsi" w:cstheme="minorHAnsi"/>
                <w:color w:val="0D0D0D" w:themeColor="text1" w:themeTint="F2"/>
              </w:rPr>
              <w:t>TOP</w:t>
            </w:r>
            <w:r w:rsidRPr="00870330">
              <w:rPr>
                <w:rFonts w:asciiTheme="minorHAnsi" w:hAnsiTheme="minorHAnsi" w:cstheme="minorHAnsi"/>
                <w:color w:val="0D0D0D" w:themeColor="text1" w:themeTint="F2"/>
              </w:rPr>
              <w:t xml:space="preserve"> → POPG</w:t>
            </w:r>
          </w:p>
        </w:tc>
        <w:tc>
          <w:tcPr>
            <w:tcW w:w="993" w:type="dxa"/>
            <w:tcBorders>
              <w:bottom w:val="single" w:sz="4" w:space="0" w:color="000000"/>
            </w:tcBorders>
            <w:vAlign w:val="bottom"/>
          </w:tcPr>
          <w:p w14:paraId="5660AABC"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7,997</w:t>
            </w:r>
          </w:p>
        </w:tc>
        <w:tc>
          <w:tcPr>
            <w:tcW w:w="1275" w:type="dxa"/>
            <w:tcBorders>
              <w:bottom w:val="single" w:sz="4" w:space="0" w:color="000000"/>
            </w:tcBorders>
            <w:vAlign w:val="bottom"/>
          </w:tcPr>
          <w:p w14:paraId="5582CF1A"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3,699</w:t>
            </w:r>
          </w:p>
        </w:tc>
        <w:tc>
          <w:tcPr>
            <w:tcW w:w="851" w:type="dxa"/>
            <w:tcBorders>
              <w:bottom w:val="single" w:sz="4" w:space="0" w:color="000000"/>
            </w:tcBorders>
            <w:vAlign w:val="bottom"/>
          </w:tcPr>
          <w:p w14:paraId="16500C5D"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c>
          <w:tcPr>
            <w:tcW w:w="283" w:type="dxa"/>
            <w:tcBorders>
              <w:bottom w:val="single" w:sz="4" w:space="0" w:color="000000"/>
            </w:tcBorders>
          </w:tcPr>
          <w:p w14:paraId="17F6FF30"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tcBorders>
              <w:top w:val="single" w:sz="4" w:space="0" w:color="000000"/>
            </w:tcBorders>
          </w:tcPr>
          <w:p w14:paraId="79A89F23" w14:textId="77777777" w:rsidR="004C2EEB" w:rsidRPr="00870330" w:rsidRDefault="004C2EEB" w:rsidP="00A05921">
            <w:pPr>
              <w:snapToGrid w:val="0"/>
              <w:spacing w:after="0"/>
              <w:rPr>
                <w:rFonts w:asciiTheme="minorHAnsi" w:hAnsiTheme="minorHAnsi" w:cstheme="minorHAnsi"/>
                <w:color w:val="0D0D0D" w:themeColor="text1" w:themeTint="F2"/>
              </w:rPr>
            </w:pPr>
          </w:p>
        </w:tc>
      </w:tr>
      <w:tr w:rsidR="00A05921" w:rsidRPr="00870330" w14:paraId="3A8DF3EA" w14:textId="77777777" w:rsidTr="00B95CC6">
        <w:tc>
          <w:tcPr>
            <w:tcW w:w="2376" w:type="dxa"/>
            <w:tcBorders>
              <w:top w:val="single" w:sz="4" w:space="0" w:color="000000"/>
            </w:tcBorders>
            <w:vAlign w:val="bottom"/>
          </w:tcPr>
          <w:p w14:paraId="4A593FB5" w14:textId="3E6DD4E4"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 xml:space="preserve">COR → </w:t>
            </w:r>
            <w:r w:rsidR="000071D7" w:rsidRPr="00870330">
              <w:rPr>
                <w:rFonts w:asciiTheme="minorHAnsi" w:hAnsiTheme="minorHAnsi" w:cstheme="minorHAnsi"/>
                <w:color w:val="0D0D0D" w:themeColor="text1" w:themeTint="F2"/>
              </w:rPr>
              <w:t>TOP</w:t>
            </w:r>
          </w:p>
        </w:tc>
        <w:tc>
          <w:tcPr>
            <w:tcW w:w="993" w:type="dxa"/>
            <w:tcBorders>
              <w:top w:val="single" w:sz="4" w:space="0" w:color="000000"/>
            </w:tcBorders>
            <w:vAlign w:val="bottom"/>
          </w:tcPr>
          <w:p w14:paraId="5CEDD207"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7,802</w:t>
            </w:r>
          </w:p>
        </w:tc>
        <w:tc>
          <w:tcPr>
            <w:tcW w:w="1275" w:type="dxa"/>
            <w:tcBorders>
              <w:top w:val="single" w:sz="4" w:space="0" w:color="000000"/>
            </w:tcBorders>
            <w:vAlign w:val="bottom"/>
          </w:tcPr>
          <w:p w14:paraId="2A9F3721"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3,537</w:t>
            </w:r>
          </w:p>
        </w:tc>
        <w:tc>
          <w:tcPr>
            <w:tcW w:w="851" w:type="dxa"/>
            <w:tcBorders>
              <w:top w:val="single" w:sz="4" w:space="0" w:color="000000"/>
            </w:tcBorders>
            <w:vAlign w:val="bottom"/>
          </w:tcPr>
          <w:p w14:paraId="3912A5A3"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c>
          <w:tcPr>
            <w:tcW w:w="283" w:type="dxa"/>
            <w:tcBorders>
              <w:top w:val="single" w:sz="4" w:space="0" w:color="000000"/>
            </w:tcBorders>
          </w:tcPr>
          <w:p w14:paraId="1B691DFB"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val="restart"/>
            <w:tcBorders>
              <w:top w:val="single" w:sz="4" w:space="0" w:color="000000"/>
            </w:tcBorders>
          </w:tcPr>
          <w:p w14:paraId="2AAFEFC4" w14:textId="394DB3EB"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 xml:space="preserve">One-way causality COR causes </w:t>
            </w:r>
            <w:r w:rsidR="000071D7" w:rsidRPr="00870330">
              <w:rPr>
                <w:rFonts w:asciiTheme="minorHAnsi" w:hAnsiTheme="minorHAnsi" w:cstheme="minorHAnsi"/>
                <w:color w:val="0D0D0D" w:themeColor="text1" w:themeTint="F2"/>
              </w:rPr>
              <w:t>TOP</w:t>
            </w:r>
          </w:p>
        </w:tc>
      </w:tr>
      <w:tr w:rsidR="00A05921" w:rsidRPr="00870330" w14:paraId="62B7E570" w14:textId="77777777" w:rsidTr="00B95CC6">
        <w:tc>
          <w:tcPr>
            <w:tcW w:w="2376" w:type="dxa"/>
            <w:tcBorders>
              <w:bottom w:val="single" w:sz="4" w:space="0" w:color="000000"/>
            </w:tcBorders>
            <w:vAlign w:val="bottom"/>
          </w:tcPr>
          <w:p w14:paraId="72D33D4F" w14:textId="046DB5FC"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lastRenderedPageBreak/>
              <w:t xml:space="preserve"> </w:t>
            </w:r>
            <w:r w:rsidR="000071D7" w:rsidRPr="00870330">
              <w:rPr>
                <w:rFonts w:asciiTheme="minorHAnsi" w:hAnsiTheme="minorHAnsi" w:cstheme="minorHAnsi"/>
                <w:color w:val="0D0D0D" w:themeColor="text1" w:themeTint="F2"/>
              </w:rPr>
              <w:t>TOP</w:t>
            </w:r>
            <w:r w:rsidRPr="00870330">
              <w:rPr>
                <w:rFonts w:asciiTheme="minorHAnsi" w:hAnsiTheme="minorHAnsi" w:cstheme="minorHAnsi"/>
                <w:color w:val="0D0D0D" w:themeColor="text1" w:themeTint="F2"/>
              </w:rPr>
              <w:t xml:space="preserve"> → COR</w:t>
            </w:r>
          </w:p>
        </w:tc>
        <w:tc>
          <w:tcPr>
            <w:tcW w:w="993" w:type="dxa"/>
            <w:tcBorders>
              <w:bottom w:val="single" w:sz="4" w:space="0" w:color="000000"/>
            </w:tcBorders>
            <w:vAlign w:val="bottom"/>
          </w:tcPr>
          <w:p w14:paraId="2CE3EFB8"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4.685</w:t>
            </w:r>
          </w:p>
        </w:tc>
        <w:tc>
          <w:tcPr>
            <w:tcW w:w="1275" w:type="dxa"/>
            <w:tcBorders>
              <w:bottom w:val="single" w:sz="4" w:space="0" w:color="000000"/>
            </w:tcBorders>
            <w:vAlign w:val="bottom"/>
          </w:tcPr>
          <w:p w14:paraId="3F702E99"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0.947</w:t>
            </w:r>
          </w:p>
        </w:tc>
        <w:tc>
          <w:tcPr>
            <w:tcW w:w="851" w:type="dxa"/>
            <w:tcBorders>
              <w:bottom w:val="single" w:sz="4" w:space="0" w:color="000000"/>
            </w:tcBorders>
            <w:vAlign w:val="bottom"/>
          </w:tcPr>
          <w:p w14:paraId="4DB88BBB"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0.343</w:t>
            </w:r>
          </w:p>
        </w:tc>
        <w:tc>
          <w:tcPr>
            <w:tcW w:w="283" w:type="dxa"/>
            <w:tcBorders>
              <w:bottom w:val="single" w:sz="4" w:space="0" w:color="000000"/>
            </w:tcBorders>
          </w:tcPr>
          <w:p w14:paraId="3BD57135"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tcBorders>
              <w:top w:val="single" w:sz="4" w:space="0" w:color="000000"/>
            </w:tcBorders>
          </w:tcPr>
          <w:p w14:paraId="0664C3CB" w14:textId="77777777" w:rsidR="004C2EEB" w:rsidRPr="00870330" w:rsidRDefault="004C2EEB" w:rsidP="00A05921">
            <w:pPr>
              <w:snapToGrid w:val="0"/>
              <w:spacing w:after="0"/>
              <w:rPr>
                <w:rFonts w:asciiTheme="minorHAnsi" w:hAnsiTheme="minorHAnsi" w:cstheme="minorHAnsi"/>
                <w:color w:val="0D0D0D" w:themeColor="text1" w:themeTint="F2"/>
              </w:rPr>
            </w:pPr>
          </w:p>
        </w:tc>
      </w:tr>
      <w:tr w:rsidR="00A05921" w:rsidRPr="00870330" w14:paraId="47CBA84E" w14:textId="77777777" w:rsidTr="00B95CC6">
        <w:tc>
          <w:tcPr>
            <w:tcW w:w="2376" w:type="dxa"/>
            <w:tcBorders>
              <w:top w:val="single" w:sz="4" w:space="0" w:color="000000"/>
            </w:tcBorders>
            <w:vAlign w:val="bottom"/>
          </w:tcPr>
          <w:p w14:paraId="43E9D759"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lastRenderedPageBreak/>
              <w:t xml:space="preserve"> </w:t>
            </w:r>
            <w:r w:rsidRPr="00870330">
              <w:rPr>
                <w:rFonts w:asciiTheme="minorHAnsi" w:hAnsiTheme="minorHAnsi" w:cstheme="minorHAnsi"/>
                <w:color w:val="0D0D0D" w:themeColor="text1" w:themeTint="F2"/>
              </w:rPr>
              <w:t>POPG → ARABLE</w:t>
            </w:r>
          </w:p>
        </w:tc>
        <w:tc>
          <w:tcPr>
            <w:tcW w:w="993" w:type="dxa"/>
            <w:tcBorders>
              <w:top w:val="single" w:sz="4" w:space="0" w:color="000000"/>
            </w:tcBorders>
            <w:vAlign w:val="bottom"/>
          </w:tcPr>
          <w:p w14:paraId="7CF74D1E"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5.487</w:t>
            </w:r>
          </w:p>
        </w:tc>
        <w:tc>
          <w:tcPr>
            <w:tcW w:w="1275" w:type="dxa"/>
            <w:tcBorders>
              <w:top w:val="single" w:sz="4" w:space="0" w:color="000000"/>
            </w:tcBorders>
            <w:vAlign w:val="bottom"/>
          </w:tcPr>
          <w:p w14:paraId="3656654B"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1,613</w:t>
            </w:r>
          </w:p>
        </w:tc>
        <w:tc>
          <w:tcPr>
            <w:tcW w:w="851" w:type="dxa"/>
            <w:tcBorders>
              <w:top w:val="single" w:sz="4" w:space="0" w:color="000000"/>
            </w:tcBorders>
            <w:vAlign w:val="bottom"/>
          </w:tcPr>
          <w:p w14:paraId="2B78CF94"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0.106</w:t>
            </w:r>
          </w:p>
        </w:tc>
        <w:tc>
          <w:tcPr>
            <w:tcW w:w="283" w:type="dxa"/>
            <w:tcBorders>
              <w:top w:val="single" w:sz="4" w:space="0" w:color="000000"/>
            </w:tcBorders>
          </w:tcPr>
          <w:p w14:paraId="54C038BB"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val="restart"/>
            <w:tcBorders>
              <w:top w:val="single" w:sz="4" w:space="0" w:color="000000"/>
              <w:bottom w:val="single" w:sz="4" w:space="0" w:color="auto"/>
            </w:tcBorders>
          </w:tcPr>
          <w:p w14:paraId="6D4D4136"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There is no causal relationship</w:t>
            </w:r>
          </w:p>
        </w:tc>
      </w:tr>
      <w:tr w:rsidR="00A05921" w:rsidRPr="00870330" w14:paraId="3B7AB136" w14:textId="77777777" w:rsidTr="00B95CC6">
        <w:tc>
          <w:tcPr>
            <w:tcW w:w="2376" w:type="dxa"/>
            <w:tcBorders>
              <w:bottom w:val="single" w:sz="4" w:space="0" w:color="000000"/>
            </w:tcBorders>
            <w:vAlign w:val="bottom"/>
          </w:tcPr>
          <w:p w14:paraId="6B04A38E"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ARABLE → POPG</w:t>
            </w:r>
          </w:p>
        </w:tc>
        <w:tc>
          <w:tcPr>
            <w:tcW w:w="993" w:type="dxa"/>
            <w:tcBorders>
              <w:bottom w:val="single" w:sz="4" w:space="0" w:color="000000"/>
            </w:tcBorders>
            <w:vAlign w:val="bottom"/>
          </w:tcPr>
          <w:p w14:paraId="2C037C04"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5.058</w:t>
            </w:r>
          </w:p>
        </w:tc>
        <w:tc>
          <w:tcPr>
            <w:tcW w:w="1275" w:type="dxa"/>
            <w:tcBorders>
              <w:bottom w:val="single" w:sz="4" w:space="0" w:color="000000"/>
            </w:tcBorders>
            <w:vAlign w:val="bottom"/>
          </w:tcPr>
          <w:p w14:paraId="1CB981FE"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1.257</w:t>
            </w:r>
          </w:p>
        </w:tc>
        <w:tc>
          <w:tcPr>
            <w:tcW w:w="851" w:type="dxa"/>
            <w:tcBorders>
              <w:bottom w:val="single" w:sz="4" w:space="0" w:color="000000"/>
            </w:tcBorders>
            <w:vAlign w:val="bottom"/>
          </w:tcPr>
          <w:p w14:paraId="13BCAD44"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0.208</w:t>
            </w:r>
          </w:p>
        </w:tc>
        <w:tc>
          <w:tcPr>
            <w:tcW w:w="283" w:type="dxa"/>
            <w:tcBorders>
              <w:bottom w:val="single" w:sz="4" w:space="0" w:color="000000"/>
            </w:tcBorders>
          </w:tcPr>
          <w:p w14:paraId="484FC1D3"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tcBorders>
              <w:top w:val="single" w:sz="4" w:space="0" w:color="auto"/>
            </w:tcBorders>
          </w:tcPr>
          <w:p w14:paraId="36CB975E" w14:textId="77777777" w:rsidR="004C2EEB" w:rsidRPr="00870330" w:rsidRDefault="004C2EEB" w:rsidP="00A05921">
            <w:pPr>
              <w:snapToGrid w:val="0"/>
              <w:spacing w:after="0"/>
              <w:rPr>
                <w:rFonts w:asciiTheme="minorHAnsi" w:hAnsiTheme="minorHAnsi" w:cstheme="minorHAnsi"/>
                <w:color w:val="0D0D0D" w:themeColor="text1" w:themeTint="F2"/>
              </w:rPr>
            </w:pPr>
          </w:p>
        </w:tc>
      </w:tr>
      <w:tr w:rsidR="00A05921" w:rsidRPr="00870330" w14:paraId="4CB76121" w14:textId="77777777" w:rsidTr="00B95CC6">
        <w:tc>
          <w:tcPr>
            <w:tcW w:w="2376" w:type="dxa"/>
            <w:tcBorders>
              <w:top w:val="single" w:sz="4" w:space="0" w:color="000000"/>
            </w:tcBorders>
            <w:vAlign w:val="bottom"/>
          </w:tcPr>
          <w:p w14:paraId="6CED4A11"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COR → ARABLE</w:t>
            </w:r>
          </w:p>
        </w:tc>
        <w:tc>
          <w:tcPr>
            <w:tcW w:w="993" w:type="dxa"/>
            <w:tcBorders>
              <w:top w:val="single" w:sz="4" w:space="0" w:color="000000"/>
            </w:tcBorders>
            <w:vAlign w:val="bottom"/>
          </w:tcPr>
          <w:p w14:paraId="663F6C21"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3.167</w:t>
            </w:r>
          </w:p>
        </w:tc>
        <w:tc>
          <w:tcPr>
            <w:tcW w:w="1275" w:type="dxa"/>
            <w:tcBorders>
              <w:top w:val="single" w:sz="4" w:space="0" w:color="000000"/>
            </w:tcBorders>
            <w:vAlign w:val="bottom"/>
          </w:tcPr>
          <w:p w14:paraId="2A2414DE"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-0.314</w:t>
            </w:r>
          </w:p>
        </w:tc>
        <w:tc>
          <w:tcPr>
            <w:tcW w:w="851" w:type="dxa"/>
            <w:tcBorders>
              <w:top w:val="single" w:sz="4" w:space="0" w:color="000000"/>
            </w:tcBorders>
            <w:vAlign w:val="bottom"/>
          </w:tcPr>
          <w:p w14:paraId="45414B2F"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0.753</w:t>
            </w:r>
          </w:p>
        </w:tc>
        <w:tc>
          <w:tcPr>
            <w:tcW w:w="283" w:type="dxa"/>
            <w:tcBorders>
              <w:top w:val="single" w:sz="4" w:space="0" w:color="000000"/>
            </w:tcBorders>
          </w:tcPr>
          <w:p w14:paraId="74EE2F4D"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val="restart"/>
            <w:tcBorders>
              <w:top w:val="single" w:sz="4" w:space="0" w:color="000000"/>
            </w:tcBorders>
          </w:tcPr>
          <w:p w14:paraId="70998605"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ARABLE one-way causality causes COR</w:t>
            </w:r>
          </w:p>
        </w:tc>
      </w:tr>
      <w:tr w:rsidR="00A05921" w:rsidRPr="00870330" w14:paraId="1BFC5033" w14:textId="77777777" w:rsidTr="00B95CC6">
        <w:tc>
          <w:tcPr>
            <w:tcW w:w="2376" w:type="dxa"/>
            <w:tcBorders>
              <w:bottom w:val="single" w:sz="4" w:space="0" w:color="000000"/>
            </w:tcBorders>
            <w:vAlign w:val="bottom"/>
          </w:tcPr>
          <w:p w14:paraId="32161DCF"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ARABLE → COR</w:t>
            </w:r>
          </w:p>
        </w:tc>
        <w:tc>
          <w:tcPr>
            <w:tcW w:w="993" w:type="dxa"/>
            <w:tcBorders>
              <w:bottom w:val="single" w:sz="4" w:space="0" w:color="000000"/>
            </w:tcBorders>
            <w:vAlign w:val="bottom"/>
          </w:tcPr>
          <w:p w14:paraId="15825A7B"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5.579</w:t>
            </w:r>
          </w:p>
        </w:tc>
        <w:tc>
          <w:tcPr>
            <w:tcW w:w="1275" w:type="dxa"/>
            <w:tcBorders>
              <w:bottom w:val="single" w:sz="4" w:space="0" w:color="000000"/>
            </w:tcBorders>
            <w:vAlign w:val="bottom"/>
          </w:tcPr>
          <w:p w14:paraId="44D5D0B6"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1,689</w:t>
            </w:r>
          </w:p>
        </w:tc>
        <w:tc>
          <w:tcPr>
            <w:tcW w:w="851" w:type="dxa"/>
            <w:tcBorders>
              <w:bottom w:val="single" w:sz="4" w:space="0" w:color="000000"/>
            </w:tcBorders>
            <w:vAlign w:val="bottom"/>
          </w:tcPr>
          <w:p w14:paraId="59B4C084"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0.091</w:t>
            </w:r>
          </w:p>
        </w:tc>
        <w:tc>
          <w:tcPr>
            <w:tcW w:w="283" w:type="dxa"/>
            <w:tcBorders>
              <w:bottom w:val="single" w:sz="4" w:space="0" w:color="000000"/>
            </w:tcBorders>
          </w:tcPr>
          <w:p w14:paraId="064A5F19"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tcBorders>
              <w:top w:val="single" w:sz="4" w:space="0" w:color="000000"/>
            </w:tcBorders>
          </w:tcPr>
          <w:p w14:paraId="6E2EFF12" w14:textId="77777777" w:rsidR="004C2EEB" w:rsidRPr="00870330" w:rsidRDefault="004C2EEB" w:rsidP="00A05921">
            <w:pPr>
              <w:snapToGrid w:val="0"/>
              <w:spacing w:after="0"/>
              <w:rPr>
                <w:rFonts w:asciiTheme="minorHAnsi" w:hAnsiTheme="minorHAnsi" w:cstheme="minorHAnsi"/>
                <w:color w:val="0D0D0D" w:themeColor="text1" w:themeTint="F2"/>
              </w:rPr>
            </w:pPr>
          </w:p>
        </w:tc>
      </w:tr>
      <w:tr w:rsidR="00A05921" w:rsidRPr="00870330" w14:paraId="19A87BB6" w14:textId="77777777" w:rsidTr="00B95CC6">
        <w:tc>
          <w:tcPr>
            <w:tcW w:w="2376" w:type="dxa"/>
            <w:tcBorders>
              <w:top w:val="single" w:sz="4" w:space="0" w:color="000000"/>
            </w:tcBorders>
            <w:vAlign w:val="bottom"/>
          </w:tcPr>
          <w:p w14:paraId="399D7557"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COR → POPG</w:t>
            </w:r>
          </w:p>
        </w:tc>
        <w:tc>
          <w:tcPr>
            <w:tcW w:w="993" w:type="dxa"/>
            <w:tcBorders>
              <w:top w:val="single" w:sz="4" w:space="0" w:color="000000"/>
            </w:tcBorders>
            <w:vAlign w:val="bottom"/>
          </w:tcPr>
          <w:p w14:paraId="68AB6903"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2.417</w:t>
            </w:r>
          </w:p>
        </w:tc>
        <w:tc>
          <w:tcPr>
            <w:tcW w:w="1275" w:type="dxa"/>
            <w:tcBorders>
              <w:top w:val="single" w:sz="4" w:space="0" w:color="000000"/>
            </w:tcBorders>
            <w:vAlign w:val="bottom"/>
          </w:tcPr>
          <w:p w14:paraId="12E89333"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-0.937</w:t>
            </w:r>
          </w:p>
        </w:tc>
        <w:tc>
          <w:tcPr>
            <w:tcW w:w="851" w:type="dxa"/>
            <w:tcBorders>
              <w:top w:val="single" w:sz="4" w:space="0" w:color="000000"/>
            </w:tcBorders>
            <w:vAlign w:val="bottom"/>
          </w:tcPr>
          <w:p w14:paraId="7F63CFB5"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0.348</w:t>
            </w:r>
          </w:p>
        </w:tc>
        <w:tc>
          <w:tcPr>
            <w:tcW w:w="283" w:type="dxa"/>
            <w:tcBorders>
              <w:top w:val="single" w:sz="4" w:space="0" w:color="000000"/>
            </w:tcBorders>
          </w:tcPr>
          <w:p w14:paraId="33245E32"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val="restart"/>
            <w:tcBorders>
              <w:top w:val="single" w:sz="4" w:space="0" w:color="000000"/>
            </w:tcBorders>
          </w:tcPr>
          <w:p w14:paraId="153E7F5B"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POPG one-way causality causes COR</w:t>
            </w:r>
          </w:p>
        </w:tc>
      </w:tr>
      <w:tr w:rsidR="00A05921" w:rsidRPr="00870330" w14:paraId="125885F0" w14:textId="77777777" w:rsidTr="00B95CC6">
        <w:tc>
          <w:tcPr>
            <w:tcW w:w="2376" w:type="dxa"/>
            <w:tcBorders>
              <w:bottom w:val="single" w:sz="4" w:space="0" w:color="000000"/>
            </w:tcBorders>
            <w:vAlign w:val="bottom"/>
          </w:tcPr>
          <w:p w14:paraId="6F9EAAB0" w14:textId="77777777" w:rsidR="004C2EEB" w:rsidRPr="00870330" w:rsidRDefault="004C2EEB" w:rsidP="00A05921">
            <w:pPr>
              <w:spacing w:after="0"/>
              <w:rPr>
                <w:rFonts w:asciiTheme="minorHAnsi" w:hAnsiTheme="minorHAnsi" w:cstheme="minorHAnsi"/>
                <w:color w:val="0D0D0D" w:themeColor="text1" w:themeTint="F2"/>
              </w:rPr>
            </w:pPr>
            <w:r w:rsidRPr="00870330">
              <w:rPr>
                <w:rFonts w:asciiTheme="minorHAnsi" w:eastAsia="Times New Roman" w:hAnsiTheme="minorHAnsi" w:cstheme="minorHAnsi"/>
                <w:color w:val="0D0D0D" w:themeColor="text1" w:themeTint="F2"/>
              </w:rPr>
              <w:t xml:space="preserve"> </w:t>
            </w:r>
            <w:r w:rsidRPr="00870330">
              <w:rPr>
                <w:rFonts w:asciiTheme="minorHAnsi" w:hAnsiTheme="minorHAnsi" w:cstheme="minorHAnsi"/>
                <w:color w:val="0D0D0D" w:themeColor="text1" w:themeTint="F2"/>
              </w:rPr>
              <w:t>POPG → COR</w:t>
            </w:r>
          </w:p>
        </w:tc>
        <w:tc>
          <w:tcPr>
            <w:tcW w:w="993" w:type="dxa"/>
            <w:tcBorders>
              <w:bottom w:val="single" w:sz="4" w:space="0" w:color="000000"/>
            </w:tcBorders>
            <w:vAlign w:val="bottom"/>
          </w:tcPr>
          <w:p w14:paraId="35071D45"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11.279</w:t>
            </w:r>
          </w:p>
        </w:tc>
        <w:tc>
          <w:tcPr>
            <w:tcW w:w="1275" w:type="dxa"/>
            <w:tcBorders>
              <w:bottom w:val="single" w:sz="4" w:space="0" w:color="000000"/>
            </w:tcBorders>
            <w:vAlign w:val="bottom"/>
          </w:tcPr>
          <w:p w14:paraId="6CFAB94E"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6.426</w:t>
            </w:r>
          </w:p>
        </w:tc>
        <w:tc>
          <w:tcPr>
            <w:tcW w:w="851" w:type="dxa"/>
            <w:tcBorders>
              <w:bottom w:val="single" w:sz="4" w:space="0" w:color="000000"/>
            </w:tcBorders>
            <w:vAlign w:val="bottom"/>
          </w:tcPr>
          <w:p w14:paraId="69A3CBFC" w14:textId="77777777" w:rsidR="004C2EEB" w:rsidRPr="00870330" w:rsidRDefault="004C2EEB" w:rsidP="00A05921">
            <w:pPr>
              <w:spacing w:after="0"/>
              <w:jc w:val="center"/>
              <w:rPr>
                <w:rFonts w:asciiTheme="minorHAnsi" w:hAnsiTheme="minorHAnsi" w:cstheme="minorHAnsi"/>
                <w:color w:val="0D0D0D" w:themeColor="text1" w:themeTint="F2"/>
              </w:rPr>
            </w:pPr>
            <w:r w:rsidRPr="00870330">
              <w:rPr>
                <w:rFonts w:asciiTheme="minorHAnsi" w:hAnsiTheme="minorHAnsi" w:cstheme="minorHAnsi"/>
                <w:color w:val="0D0D0D" w:themeColor="text1" w:themeTint="F2"/>
              </w:rPr>
              <w:t>0.000</w:t>
            </w:r>
          </w:p>
        </w:tc>
        <w:tc>
          <w:tcPr>
            <w:tcW w:w="283" w:type="dxa"/>
            <w:tcBorders>
              <w:bottom w:val="single" w:sz="4" w:space="0" w:color="000000"/>
            </w:tcBorders>
          </w:tcPr>
          <w:p w14:paraId="4BD57D0E" w14:textId="77777777" w:rsidR="004C2EEB" w:rsidRPr="00870330" w:rsidRDefault="004C2EEB" w:rsidP="00A05921">
            <w:pPr>
              <w:snapToGrid w:val="0"/>
              <w:spacing w:after="0"/>
              <w:rPr>
                <w:rFonts w:asciiTheme="minorHAnsi" w:hAnsiTheme="minorHAnsi" w:cstheme="minorHAnsi"/>
                <w:color w:val="0D0D0D" w:themeColor="text1" w:themeTint="F2"/>
              </w:rPr>
            </w:pPr>
          </w:p>
        </w:tc>
        <w:tc>
          <w:tcPr>
            <w:tcW w:w="3261" w:type="dxa"/>
            <w:vMerge/>
            <w:tcBorders>
              <w:top w:val="single" w:sz="4" w:space="0" w:color="000000"/>
              <w:bottom w:val="single" w:sz="4" w:space="0" w:color="auto"/>
            </w:tcBorders>
          </w:tcPr>
          <w:p w14:paraId="582B5B40" w14:textId="77777777" w:rsidR="004C2EEB" w:rsidRPr="00870330" w:rsidRDefault="004C2EEB" w:rsidP="00A05921">
            <w:pPr>
              <w:snapToGrid w:val="0"/>
              <w:spacing w:after="0"/>
              <w:rPr>
                <w:rFonts w:asciiTheme="minorHAnsi" w:hAnsiTheme="minorHAnsi" w:cstheme="minorHAnsi"/>
                <w:color w:val="0D0D0D" w:themeColor="text1" w:themeTint="F2"/>
              </w:rPr>
            </w:pPr>
          </w:p>
        </w:tc>
      </w:tr>
    </w:tbl>
    <w:p w14:paraId="5855BEE7" w14:textId="3BECCE04" w:rsidR="00CC790D" w:rsidRPr="00870330" w:rsidRDefault="003769B1" w:rsidP="004C2EEB">
      <w:pPr>
        <w:pStyle w:val="NormalafterHeading"/>
        <w:spacing w:line="259" w:lineRule="auto"/>
        <w:rPr>
          <w:rFonts w:asciiTheme="minorHAnsi" w:hAnsiTheme="minorHAnsi" w:cstheme="minorHAnsi"/>
          <w:color w:val="0D0D0D" w:themeColor="text1" w:themeTint="F2"/>
          <w:lang w:val="en-US"/>
        </w:rPr>
      </w:pPr>
      <w:r w:rsidRPr="00870330">
        <w:rPr>
          <w:rFonts w:asciiTheme="minorHAnsi" w:hAnsiTheme="minorHAnsi" w:cstheme="minorHAnsi"/>
          <w:color w:val="0D0D0D" w:themeColor="text1" w:themeTint="F2"/>
          <w:lang w:val="en-US"/>
        </w:rPr>
        <w:t>Note</w:t>
      </w:r>
      <w:r w:rsidR="00927C84" w:rsidRPr="00870330">
        <w:rPr>
          <w:rFonts w:asciiTheme="minorHAnsi" w:hAnsiTheme="minorHAnsi" w:cstheme="minorHAnsi"/>
          <w:color w:val="0D0D0D" w:themeColor="text1" w:themeTint="F2"/>
          <w:lang w:val="en-US"/>
        </w:rPr>
        <w:t>s</w:t>
      </w:r>
      <w:r w:rsidRPr="00870330">
        <w:rPr>
          <w:rFonts w:asciiTheme="minorHAnsi" w:hAnsiTheme="minorHAnsi" w:cstheme="minorHAnsi"/>
          <w:color w:val="0D0D0D" w:themeColor="text1" w:themeTint="F2"/>
          <w:lang w:val="en-US"/>
        </w:rPr>
        <w:t xml:space="preserve">: </w:t>
      </w:r>
      <w:r w:rsidR="00927C84" w:rsidRPr="00870330">
        <w:rPr>
          <w:rFonts w:asciiTheme="minorHAnsi" w:hAnsiTheme="minorHAnsi" w:cstheme="minorHAnsi"/>
          <w:color w:val="0D0D0D" w:themeColor="text1" w:themeTint="F2"/>
          <w:lang w:val="en-US"/>
        </w:rPr>
        <w:t>(→) indicates to the direction of causality</w:t>
      </w:r>
    </w:p>
    <w:p w14:paraId="4C89AA44" w14:textId="76907DD7" w:rsidR="00CC790D" w:rsidRPr="00870330" w:rsidRDefault="003769B1" w:rsidP="00927C84">
      <w:pPr>
        <w:pStyle w:val="NormalafterHeading"/>
        <w:spacing w:line="259" w:lineRule="auto"/>
        <w:rPr>
          <w:rFonts w:asciiTheme="minorHAnsi" w:hAnsiTheme="minorHAnsi" w:cstheme="minorHAnsi"/>
          <w:color w:val="0D0D0D" w:themeColor="text1" w:themeTint="F2"/>
          <w:lang w:val="en-US"/>
        </w:rPr>
      </w:pPr>
      <w:r w:rsidRPr="00870330">
        <w:rPr>
          <w:rFonts w:asciiTheme="minorHAnsi" w:hAnsiTheme="minorHAnsi" w:cstheme="minorHAnsi"/>
          <w:color w:val="0D0D0D" w:themeColor="text1" w:themeTint="F2"/>
          <w:lang w:val="en-US"/>
        </w:rPr>
        <w:t>The c</w:t>
      </w:r>
      <w:r w:rsidR="004C2EEB" w:rsidRPr="00870330">
        <w:rPr>
          <w:rFonts w:asciiTheme="minorHAnsi" w:hAnsiTheme="minorHAnsi" w:cstheme="minorHAnsi"/>
          <w:color w:val="0D0D0D" w:themeColor="text1" w:themeTint="F2"/>
          <w:lang w:val="en-US"/>
        </w:rPr>
        <w:t xml:space="preserve">ausality test </w:t>
      </w:r>
      <w:r w:rsidRPr="00870330">
        <w:rPr>
          <w:rFonts w:asciiTheme="minorHAnsi" w:hAnsiTheme="minorHAnsi" w:cstheme="minorHAnsi"/>
          <w:color w:val="0D0D0D" w:themeColor="text1" w:themeTint="F2"/>
          <w:lang w:val="en-US"/>
        </w:rPr>
        <w:t>adopts</w:t>
      </w:r>
      <w:r w:rsidR="004C2EEB" w:rsidRPr="00870330">
        <w:rPr>
          <w:rFonts w:asciiTheme="minorHAnsi" w:hAnsiTheme="minorHAnsi" w:cstheme="minorHAnsi"/>
          <w:color w:val="0D0D0D" w:themeColor="text1" w:themeTint="F2"/>
          <w:lang w:val="en-US"/>
        </w:rPr>
        <w:t xml:space="preserve"> lag</w:t>
      </w:r>
      <w:r w:rsidR="00CA3AC9" w:rsidRPr="00870330">
        <w:rPr>
          <w:rFonts w:asciiTheme="minorHAnsi" w:hAnsiTheme="minorHAnsi" w:cstheme="minorHAnsi"/>
          <w:color w:val="0D0D0D" w:themeColor="text1" w:themeTint="F2"/>
          <w:lang w:val="en-US"/>
        </w:rPr>
        <w:t xml:space="preserve"> 3 (as suggested by AIC, SC, and</w:t>
      </w:r>
      <w:r w:rsidR="004C2EEB" w:rsidRPr="00870330">
        <w:rPr>
          <w:rFonts w:asciiTheme="minorHAnsi" w:hAnsiTheme="minorHAnsi" w:cstheme="minorHAnsi"/>
          <w:color w:val="0D0D0D" w:themeColor="text1" w:themeTint="F2"/>
          <w:lang w:val="en-US"/>
        </w:rPr>
        <w:t xml:space="preserve"> HQ)</w:t>
      </w:r>
    </w:p>
    <w:p w14:paraId="1336196B" w14:textId="77777777" w:rsidR="007A55C3" w:rsidRPr="00870330" w:rsidRDefault="007A55C3" w:rsidP="007A55C3">
      <w:pPr>
        <w:pStyle w:val="NormalafterHeading"/>
        <w:spacing w:line="259" w:lineRule="auto"/>
        <w:rPr>
          <w:rFonts w:asciiTheme="minorHAnsi" w:hAnsiTheme="minorHAnsi" w:cstheme="minorHAnsi"/>
          <w:b/>
          <w:color w:val="0D0D0D" w:themeColor="text1" w:themeTint="F2"/>
          <w:lang w:val="en-US"/>
        </w:rPr>
      </w:pPr>
    </w:p>
    <w:p w14:paraId="2EA99288" w14:textId="77777777" w:rsidR="007A55C3" w:rsidRPr="00870330" w:rsidRDefault="007A55C3" w:rsidP="007A55C3">
      <w:pPr>
        <w:pStyle w:val="NormalafterHeading"/>
        <w:spacing w:line="259" w:lineRule="auto"/>
        <w:rPr>
          <w:rFonts w:asciiTheme="minorHAnsi" w:hAnsiTheme="minorHAnsi" w:cstheme="minorHAnsi"/>
          <w:b/>
          <w:color w:val="0D0D0D" w:themeColor="text1" w:themeTint="F2"/>
          <w:lang w:val="en-US"/>
        </w:rPr>
      </w:pPr>
      <w:r w:rsidRPr="00870330">
        <w:rPr>
          <w:rFonts w:asciiTheme="minorHAnsi" w:hAnsiTheme="minorHAnsi" w:cstheme="minorHAnsi"/>
          <w:b/>
          <w:color w:val="0D0D0D" w:themeColor="text1" w:themeTint="F2"/>
          <w:lang w:val="en-US"/>
        </w:rPr>
        <w:t xml:space="preserve">Causality Test Result </w:t>
      </w:r>
    </w:p>
    <w:p w14:paraId="3A673F07" w14:textId="330BD91E" w:rsidR="007A55C3" w:rsidRPr="00870330" w:rsidRDefault="007A55C3" w:rsidP="007A55C3">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 xml:space="preserve">Table 6 displays the results of the causality tests using the method of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{"citationItems":[{"id":"ITEM-1","itemData":{"DOI":"10.1016/j.econmod.2012.02.014","ISSN":"02649993","abstract":"This paper proposes a very simple test of Granger (1969) non-causality for heterogeneous panel data models. Our test statistic is based on the individual Wald statistics of Granger non causality averaged across the cross-section units. First, this statistic is shown to converge sequentially to a standard normal distribution. Second, the semi-asymptotic distribution of the average statistic is characterized for a fixed T sample. A standardized statistic based on an approximation of the moments of Wald statistics is hence proposed. Third, Monte Carlo experiments show that our standardized panel statistics have very good small sample properties, even in the presence of cross-sectional dependence. © 2012 Elsevier B.V.","author":[{"dropping-particle":"","family":"Dumitrescu","given":"Elena Ivona","non-dropping-particle":"","parse-names":false,"suffix":""},{"dropping-particle":"","family":"Hurlin","given":"Christophe","non-dropping-particle":"","parse-names":false,"suffix":""}],"container-title":"Economic Modelling","id":"ITEM-1","issue":"4","issued":{"date-parts":[["2012"]]},"page":"1450-1460","publisher":"Elsevier B.V.","title":"Testing for Granger non-causality in heterogeneous panels","type":"article-journal","volume":"29"},"uris":["http://www.mendeley.com/documents/?uuid=9b327d6a-4544-4d9c-aa6c-fa30054dfc43"]}],"mendeley":{"formattedCitation":"(Dumitrescu &amp; Hurlin, 2012)","manualFormatting":"Dumitrescu &amp; Hurlin (2012)","plainTextFormattedCitation":"(Dumitrescu &amp; Hurlin, 2012)","previouslyFormattedCitation":"(Dumitrescu &amp; Hurlin, 2012)"},"properties":{"noteIndex":0},"schema":"https://github.com/citation-style-language/schema/raw/master/csl-citation.json"}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Dumitrescu &amp; Hurlin (2012)</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 xml:space="preserve">In the forestry context, bidirectional causality is present between DEF and POPG and between DEF and COR. In addition, there are unidirectional causalities: from GDP to DEF, from TOP to DEF, and from ARABLE to DEF. Changes in per capita GDP, trade openness, and arable land area will drive changes in deforestation rate. Uniquely, there is a bidirectional causality between DEF and COR. Outside the forestry context, the DH causality test found unidirectional causalities from GDP to TOP, POPG, and COR; from TOP to ARABLE and POPG; from COR to TOP; from ARABLE to TOP; and from POPG to COR. </w:t>
      </w:r>
      <w:r w:rsidR="006E0AB9" w:rsidRPr="00870330">
        <w:rPr>
          <w:rFonts w:asciiTheme="minorHAnsi" w:hAnsiTheme="minorHAnsi" w:cstheme="minorHAnsi"/>
          <w:color w:val="0D0D0D" w:themeColor="text1" w:themeTint="F2"/>
          <w:lang w:eastAsia="id-ID"/>
        </w:rPr>
        <w:t>Finally</w:t>
      </w:r>
      <w:r w:rsidRPr="00870330">
        <w:rPr>
          <w:rFonts w:asciiTheme="minorHAnsi" w:hAnsiTheme="minorHAnsi" w:cstheme="minorHAnsi"/>
          <w:color w:val="0D0D0D" w:themeColor="text1" w:themeTint="F2"/>
          <w:lang w:eastAsia="id-ID"/>
        </w:rPr>
        <w:t>, there is a bidirectional causality between ARABLE and GDP.</w:t>
      </w:r>
    </w:p>
    <w:p w14:paraId="6E10AC16" w14:textId="77777777" w:rsidR="007F7511" w:rsidRPr="00870330" w:rsidRDefault="007F7511" w:rsidP="007A55C3">
      <w:pPr>
        <w:spacing w:after="0"/>
        <w:jc w:val="both"/>
        <w:rPr>
          <w:rFonts w:asciiTheme="minorHAnsi" w:hAnsiTheme="minorHAnsi" w:cstheme="minorHAnsi"/>
          <w:color w:val="0D0D0D" w:themeColor="text1" w:themeTint="F2"/>
          <w:lang w:eastAsia="id-ID"/>
        </w:rPr>
      </w:pPr>
    </w:p>
    <w:p w14:paraId="25E9BE4B" w14:textId="39BBBCB6" w:rsidR="007A55C3" w:rsidRPr="00870330" w:rsidRDefault="007A55C3" w:rsidP="00B50639">
      <w:pPr>
        <w:spacing w:after="0"/>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 xml:space="preserve">The unidirectional causality from per capita GDP to deforestation is in line with the results of studies in Burkina Faso by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{"citationItems":[{"id":"ITEM-1","itemData":{"DOI":"10.1007/s11356-020-12071-6","ISSN":"16147499","PMID":"33411273","abstract":"This study examines the effect of globalization and urbanization on deforestation in Burkina Faso, over the period 1980 to 2017. The study employed the autoregressive distributive lag (ARDL) model and the Toda-Yamamoto Granger causality approach. Empirical findings affirmed that globalization, urbanization, and agricultural land have a positive and significant effect on deforestation in the long run, while population density reduces the deforestation rate, thus indicating an improvement in environmental quality. On the other hand, urbanization, economic growth, and population density have a positive and significant impact on deforestation in the short run. Furthermore, the Granger causality approach confirmed a bidirectional association between deforestation and urbanization and between globalization and agricultural land, as well as between urbanization and population density. The result further affirmed a unidirectional causal link running from urbanization to agricultural land. Based on the empirical findings, the study recommends that the government should ensure more regulation on the removal of barriers to international trade. The study further recommends that the government should implement relevant agricultural policies to guard against deforestation since the results of the study suggest that agriculture contributes negatively to deforestation in Burkina Faso.","author":[{"dropping-particle":"","family":"Yameogo","given":"Claire Emilienne Wati","non-dropping-particle":"","parse-names":false,"suffix":""}],"container-title":"Environmental Science and Pollution Research","id":"ITEM-1","issue":"17","issued":{"date-parts":[["2021"]]},"page":"22011-22021","publisher":"Environmental Science and Pollution Research","title":"Globalization, urbanization, and deforestation linkage in Burkina Faso","type":"article-journal","volume":"28"},"uris":["http://www.mendeley.com/documents/?uuid=35896b0e-62a1-4b05-a2d7-ae508cf486b9"]}],"mendeley":{"formattedCitation":"(Yameogo, 2021)","manualFormatting":"Yameogo (2021)","plainTextFormattedCitation":"(Yameogo, 2021)","previouslyFormattedCitation":"(Yameogo, 2021)"},"properties":{"noteIndex":0},"schema":"https://github.com/citation-style-language/schema/raw/master/csl-citation.json"}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Yameogo (2021)</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 xml:space="preserve">and in Sub-Saharan Africa by </w:t>
      </w:r>
      <w:r w:rsidR="00B50639" w:rsidRPr="00870330">
        <w:rPr>
          <w:rFonts w:asciiTheme="minorHAnsi" w:hAnsiTheme="minorHAnsi" w:cstheme="minorHAnsi"/>
          <w:noProof/>
          <w:color w:val="0D0D0D"/>
        </w:rPr>
        <w:fldChar w:fldCharType="begin" w:fldLock="1"/>
      </w:r>
      <w:r w:rsidR="00B50639" w:rsidRPr="00870330">
        <w:rPr>
          <w:rFonts w:asciiTheme="minorHAnsi" w:hAnsiTheme="minorHAnsi" w:cstheme="minorHAnsi"/>
          <w:noProof/>
          <w:color w:val="0D0D0D"/>
        </w:rPr>
        <w:instrText>ADDIN CSL_CITATION {"citationItems":[{"id":"ITEM-1","itemData":{"DOI":"10.1016/j.forpol.2021.102488","ISSN":"13899341","abstract":"Deforestation is a significant environmental problem, contributing to biodiversity loss, land degradation, soil erosion, and climate change. During the past half-century, the continent of Africa has suffered massive losses of forested areas due to the changing structure of economies, increasing population, and expanding globalization. This research examines statistical evidence for the Environmental Kuznets Curve (EKC) hypothesis as applied to deforestation occurring within Africa from 1990 to 2016. Changes in forest cover data are explained with Generalized Method of Moments (GMM) estimators to overcome the endogeneity problems arising from reverse causality. The empirical results of Panel GMM confirm the EKC hypothesis is valid for deforestation in Africa with a turning point estimated to be US $3000. Heterogenous panel non-causality findings suggest that Africa could deter and reverse deforestation through appropriate land-use and forest products trade policies, and the consequences of these policies would not impact their economic growth.","author":[{"dropping-particle":"","family":"Ajanaku","given":"B. A.","non-dropping-particle":"","parse-names":false,"suffix":""},{"dropping-particle":"","family":"Collins","given":"A. R.","non-dropping-particle":"","parse-names":false,"suffix":""}],"container-title":"Forest Policy and Economics","id":"ITEM-1","issue":"May","issued":{"date-parts":[["2021"]]},"page":"102488","publisher":"Elsevier B.V.","title":"Economic growth and deforestation in African countries: Is the environmental Kuznets curve hypothesis applicable?","type":"article-journal","volume":"129"},"uris":["http://www.mendeley.com/documents/?uuid=24f622ed-0f79-4f00-9fba-56f4aa51ea86"]}],"mendeley":{"formattedCitation":"(Ajanaku &amp; Collins, 2021)","manualFormatting":"Ajanaku &amp; Collins (2021)","plainTextFormattedCitation":"(Ajanaku &amp; Collins, 2021)","previouslyFormattedCitation":"(Ajanaku &amp; Collins, 2021)"},"properties":{"noteIndex":0},"schema":"https://github.com/citation-style-language/schema/raw/master/csl-citation.json"}</w:instrText>
      </w:r>
      <w:r w:rsidR="00B50639" w:rsidRPr="00870330">
        <w:rPr>
          <w:rFonts w:asciiTheme="minorHAnsi" w:hAnsiTheme="minorHAnsi" w:cstheme="minorHAnsi"/>
          <w:noProof/>
          <w:color w:val="0D0D0D"/>
        </w:rPr>
        <w:fldChar w:fldCharType="separate"/>
      </w:r>
      <w:r w:rsidR="00B50639" w:rsidRPr="00870330">
        <w:rPr>
          <w:rFonts w:asciiTheme="minorHAnsi" w:hAnsiTheme="minorHAnsi" w:cstheme="minorHAnsi"/>
          <w:noProof/>
          <w:color w:val="0D0D0D"/>
        </w:rPr>
        <w:t>Ajanaku &amp; Collins (2021)</w:t>
      </w:r>
      <w:r w:rsidR="00B50639" w:rsidRPr="00870330">
        <w:rPr>
          <w:rFonts w:asciiTheme="minorHAnsi" w:hAnsiTheme="minorHAnsi" w:cstheme="minorHAnsi"/>
          <w:noProof/>
          <w:color w:val="0D0D0D"/>
        </w:rPr>
        <w:fldChar w:fldCharType="end"/>
      </w:r>
      <w:r w:rsidR="00B50639" w:rsidRPr="00870330">
        <w:rPr>
          <w:rFonts w:asciiTheme="minorHAnsi" w:hAnsiTheme="minorHAnsi" w:cstheme="minorHAnsi"/>
          <w:noProof/>
          <w:color w:val="0D0D0D"/>
        </w:rPr>
        <w:t xml:space="preserve">. </w:t>
      </w:r>
      <w:r w:rsidRPr="00870330">
        <w:rPr>
          <w:rFonts w:asciiTheme="minorHAnsi" w:hAnsiTheme="minorHAnsi" w:cstheme="minorHAnsi"/>
          <w:color w:val="0D0D0D" w:themeColor="text1" w:themeTint="F2"/>
          <w:lang w:eastAsia="id-ID"/>
        </w:rPr>
        <w:t xml:space="preserve">This finding indicates that deforestation is not a source of change for per capita income. Conversely, changes in per capita GDP will cause changes in the deforestation rate. In addition, changes in the trade openness index will also </w:t>
      </w:r>
      <w:r w:rsidR="00CE3155" w:rsidRPr="00870330">
        <w:rPr>
          <w:rFonts w:asciiTheme="minorHAnsi" w:hAnsiTheme="minorHAnsi" w:cstheme="minorHAnsi"/>
          <w:color w:val="0D0D0D" w:themeColor="text1" w:themeTint="F2"/>
          <w:lang w:eastAsia="id-ID"/>
        </w:rPr>
        <w:t>lead</w:t>
      </w:r>
      <w:r w:rsidRPr="00870330">
        <w:rPr>
          <w:rFonts w:asciiTheme="minorHAnsi" w:hAnsiTheme="minorHAnsi" w:cstheme="minorHAnsi"/>
          <w:color w:val="0D0D0D" w:themeColor="text1" w:themeTint="F2"/>
          <w:lang w:eastAsia="id-ID"/>
        </w:rPr>
        <w:t xml:space="preserve"> </w:t>
      </w:r>
      <w:r w:rsidR="00012E75" w:rsidRPr="00870330">
        <w:rPr>
          <w:rFonts w:asciiTheme="minorHAnsi" w:hAnsiTheme="minorHAnsi" w:cstheme="minorHAnsi"/>
          <w:color w:val="0D0D0D" w:themeColor="text1" w:themeTint="F2"/>
          <w:lang w:eastAsia="id-ID"/>
        </w:rPr>
        <w:t xml:space="preserve">to </w:t>
      </w:r>
      <w:r w:rsidRPr="00870330">
        <w:rPr>
          <w:rFonts w:asciiTheme="minorHAnsi" w:hAnsiTheme="minorHAnsi" w:cstheme="minorHAnsi"/>
          <w:color w:val="0D0D0D" w:themeColor="text1" w:themeTint="F2"/>
          <w:lang w:eastAsia="id-ID"/>
        </w:rPr>
        <w:t xml:space="preserve">changes in the deforestation rate. The unidirectional causality of per capita GDP to deforestation indicates that there is </w:t>
      </w:r>
      <w:r w:rsidR="00012E75" w:rsidRPr="00870330">
        <w:rPr>
          <w:rFonts w:asciiTheme="minorHAnsi" w:hAnsiTheme="minorHAnsi" w:cstheme="minorHAnsi"/>
          <w:color w:val="0D0D0D" w:themeColor="text1" w:themeTint="F2"/>
          <w:lang w:eastAsia="id-ID"/>
        </w:rPr>
        <w:t>excellent</w:t>
      </w:r>
      <w:r w:rsidRPr="00870330">
        <w:rPr>
          <w:rFonts w:asciiTheme="minorHAnsi" w:hAnsiTheme="minorHAnsi" w:cstheme="minorHAnsi"/>
          <w:color w:val="0D0D0D" w:themeColor="text1" w:themeTint="F2"/>
          <w:lang w:eastAsia="id-ID"/>
        </w:rPr>
        <w:t xml:space="preserve"> potential for Southeast Asian countries to promote economic development programs while reducing deforestation rates, one of which is through </w:t>
      </w:r>
      <w:r w:rsidR="004D3888" w:rsidRPr="00870330">
        <w:rPr>
          <w:rFonts w:asciiTheme="minorHAnsi" w:hAnsiTheme="minorHAnsi" w:cstheme="minorHAnsi"/>
          <w:color w:val="0D0D0D" w:themeColor="text1" w:themeTint="F2"/>
          <w:lang w:eastAsia="id-ID"/>
        </w:rPr>
        <w:t>promoting</w:t>
      </w:r>
      <w:r w:rsidRPr="00870330">
        <w:rPr>
          <w:rFonts w:asciiTheme="minorHAnsi" w:hAnsiTheme="minorHAnsi" w:cstheme="minorHAnsi"/>
          <w:color w:val="0D0D0D" w:themeColor="text1" w:themeTint="F2"/>
          <w:lang w:eastAsia="id-ID"/>
        </w:rPr>
        <w:t xml:space="preserve"> trade policies that are in line with sustainability principles. </w:t>
      </w:r>
      <w:r w:rsidR="006E0AB9" w:rsidRPr="00870330">
        <w:rPr>
          <w:rFonts w:asciiTheme="minorHAnsi" w:hAnsiTheme="minorHAnsi" w:cstheme="minorHAnsi"/>
          <w:color w:val="0D0D0D" w:themeColor="text1" w:themeTint="F2"/>
          <w:lang w:eastAsia="id-ID"/>
        </w:rPr>
        <w:t>Furthermore</w:t>
      </w:r>
      <w:r w:rsidRPr="00870330">
        <w:rPr>
          <w:rFonts w:asciiTheme="minorHAnsi" w:hAnsiTheme="minorHAnsi" w:cstheme="minorHAnsi"/>
          <w:color w:val="0D0D0D" w:themeColor="text1" w:themeTint="F2"/>
          <w:lang w:eastAsia="id-ID"/>
        </w:rPr>
        <w:t xml:space="preserve">, improving governance through strengthening controls on corrupt </w:t>
      </w:r>
      <w:r w:rsidR="00012E75" w:rsidRPr="00870330">
        <w:rPr>
          <w:rFonts w:asciiTheme="minorHAnsi" w:hAnsiTheme="minorHAnsi" w:cstheme="minorHAnsi"/>
          <w:color w:val="0D0D0D" w:themeColor="text1" w:themeTint="F2"/>
          <w:lang w:eastAsia="id-ID"/>
        </w:rPr>
        <w:t xml:space="preserve">action </w:t>
      </w:r>
      <w:r w:rsidRPr="00870330">
        <w:rPr>
          <w:rFonts w:asciiTheme="minorHAnsi" w:hAnsiTheme="minorHAnsi" w:cstheme="minorHAnsi"/>
          <w:color w:val="0D0D0D" w:themeColor="text1" w:themeTint="F2"/>
          <w:lang w:eastAsia="id-ID"/>
        </w:rPr>
        <w:t>is also an</w:t>
      </w:r>
      <w:r w:rsidR="00AE4BDE" w:rsidRPr="00870330">
        <w:t xml:space="preserve"> </w:t>
      </w:r>
      <w:r w:rsidR="00AE4BDE" w:rsidRPr="00870330">
        <w:rPr>
          <w:rFonts w:asciiTheme="minorHAnsi" w:hAnsiTheme="minorHAnsi" w:cstheme="minorHAnsi"/>
          <w:color w:val="0D0D0D" w:themeColor="text1" w:themeTint="F2"/>
          <w:lang w:eastAsia="id-ID"/>
        </w:rPr>
        <w:t xml:space="preserve">essential </w:t>
      </w:r>
      <w:r w:rsidRPr="00870330">
        <w:rPr>
          <w:rFonts w:asciiTheme="minorHAnsi" w:hAnsiTheme="minorHAnsi" w:cstheme="minorHAnsi"/>
          <w:color w:val="0D0D0D" w:themeColor="text1" w:themeTint="F2"/>
          <w:lang w:eastAsia="id-ID"/>
        </w:rPr>
        <w:t>agenda for reducing deforestation rates.</w:t>
      </w:r>
    </w:p>
    <w:p w14:paraId="594106AA" w14:textId="77777777" w:rsidR="007A55C3" w:rsidRPr="00870330" w:rsidRDefault="007A55C3">
      <w:pPr>
        <w:spacing w:after="0"/>
        <w:jc w:val="both"/>
        <w:rPr>
          <w:color w:val="0D0D0D" w:themeColor="text1" w:themeTint="F2"/>
        </w:rPr>
      </w:pPr>
    </w:p>
    <w:p w14:paraId="0000002C" w14:textId="77777777" w:rsidR="00214FDC" w:rsidRPr="00870330" w:rsidRDefault="00F21149" w:rsidP="00113308">
      <w:pPr>
        <w:jc w:val="both"/>
        <w:rPr>
          <w:b/>
          <w:color w:val="0D0D0D" w:themeColor="text1" w:themeTint="F2"/>
          <w:sz w:val="28"/>
          <w:szCs w:val="28"/>
        </w:rPr>
      </w:pPr>
      <w:r w:rsidRPr="00870330">
        <w:rPr>
          <w:b/>
          <w:color w:val="0D0D0D" w:themeColor="text1" w:themeTint="F2"/>
          <w:sz w:val="28"/>
          <w:szCs w:val="28"/>
        </w:rPr>
        <w:t>Conclusion</w:t>
      </w:r>
    </w:p>
    <w:p w14:paraId="5673E0BB" w14:textId="4F051775" w:rsidR="004C2EEB" w:rsidRPr="00870330" w:rsidRDefault="004C2EEB" w:rsidP="00113308">
      <w:pPr>
        <w:shd w:val="clear" w:color="auto" w:fill="FFFFFF"/>
        <w:spacing w:after="0" w:line="240" w:lineRule="auto"/>
        <w:jc w:val="both"/>
        <w:rPr>
          <w:rFonts w:asciiTheme="minorHAnsi" w:hAnsiTheme="minorHAnsi" w:cstheme="minorHAnsi"/>
          <w:color w:val="0D0D0D" w:themeColor="text1" w:themeTint="F2"/>
          <w:lang w:eastAsia="id-ID"/>
        </w:rPr>
      </w:pPr>
      <w:r w:rsidRPr="00870330">
        <w:rPr>
          <w:rFonts w:asciiTheme="minorHAnsi" w:hAnsiTheme="minorHAnsi" w:cstheme="minorHAnsi"/>
          <w:color w:val="0D0D0D" w:themeColor="text1" w:themeTint="F2"/>
          <w:lang w:eastAsia="id-ID"/>
        </w:rPr>
        <w:t xml:space="preserve">Achieving net zero deforestation and sustainable development remains a significant challenge for Southeast Asia. Deforestation, along with forest degradation and fragmentation, is an empirical form of environmental degradation caused by the expansion of agriculture, public infrastructure, and a lack of robust governance that neglect sustainable development principles. Nevertheless, the underlying cause of forest depletion is still in debate. This study </w:t>
      </w:r>
      <w:r w:rsidR="007E5938" w:rsidRPr="00870330">
        <w:rPr>
          <w:rFonts w:asciiTheme="minorHAnsi" w:hAnsiTheme="minorHAnsi" w:cstheme="minorHAnsi"/>
          <w:color w:val="0D0D0D" w:themeColor="text1" w:themeTint="F2"/>
          <w:lang w:eastAsia="id-ID"/>
        </w:rPr>
        <w:t>presents</w:t>
      </w:r>
      <w:r w:rsidRPr="00870330">
        <w:rPr>
          <w:rFonts w:asciiTheme="minorHAnsi" w:hAnsiTheme="minorHAnsi" w:cstheme="minorHAnsi"/>
          <w:color w:val="0D0D0D" w:themeColor="text1" w:themeTint="F2"/>
          <w:lang w:eastAsia="id-ID"/>
        </w:rPr>
        <w:t xml:space="preserve"> empirical evidence about the relationship between GDP, trade openness, corruption, and deforestation rates in Southeast Asia in the Environmental Kuznets Curve (EKC) framework by considering the impact of agricultural and demographic factors. This study uses panel data from nine developing countries in Southeast Asia from 1996 to 2018. Pooled Mean Group (PMG) and heterogeneous panel (DH) causality tests were applied to investigate the long-term </w:t>
      </w:r>
      <w:r w:rsidR="002A3251" w:rsidRPr="00870330">
        <w:rPr>
          <w:rFonts w:asciiTheme="minorHAnsi" w:hAnsiTheme="minorHAnsi" w:cstheme="minorHAnsi"/>
          <w:color w:val="0D0D0D" w:themeColor="text1" w:themeTint="F2"/>
          <w:lang w:eastAsia="id-ID"/>
        </w:rPr>
        <w:t xml:space="preserve">nexus </w:t>
      </w:r>
      <w:r w:rsidRPr="00870330">
        <w:rPr>
          <w:rFonts w:asciiTheme="minorHAnsi" w:hAnsiTheme="minorHAnsi" w:cstheme="minorHAnsi"/>
          <w:color w:val="0D0D0D" w:themeColor="text1" w:themeTint="F2"/>
          <w:lang w:eastAsia="id-ID"/>
        </w:rPr>
        <w:t>and the direction of causality.</w:t>
      </w:r>
    </w:p>
    <w:p w14:paraId="35C88443" w14:textId="77777777" w:rsidR="00113308" w:rsidRPr="00870330" w:rsidRDefault="00113308" w:rsidP="00113308">
      <w:pPr>
        <w:shd w:val="clear" w:color="auto" w:fill="FFFFFF"/>
        <w:spacing w:after="0" w:line="240" w:lineRule="auto"/>
        <w:jc w:val="both"/>
        <w:rPr>
          <w:color w:val="0D0D0D" w:themeColor="text1" w:themeTint="F2"/>
        </w:rPr>
      </w:pPr>
    </w:p>
    <w:p w14:paraId="0000002F" w14:textId="2E8F40AD" w:rsidR="00214FDC" w:rsidRPr="00870330" w:rsidRDefault="004C2EEB" w:rsidP="00656578">
      <w:pPr>
        <w:shd w:val="clear" w:color="auto" w:fill="FFFFFF"/>
        <w:spacing w:line="240" w:lineRule="auto"/>
        <w:jc w:val="both"/>
        <w:rPr>
          <w:color w:val="0D0D0D" w:themeColor="text1" w:themeTint="F2"/>
        </w:rPr>
      </w:pPr>
      <w:proofErr w:type="spellStart"/>
      <w:r w:rsidRPr="00870330">
        <w:rPr>
          <w:rFonts w:asciiTheme="minorHAnsi" w:hAnsiTheme="minorHAnsi" w:cstheme="minorHAnsi"/>
          <w:color w:val="0D0D0D" w:themeColor="text1" w:themeTint="F2"/>
          <w:lang w:eastAsia="id-ID"/>
        </w:rPr>
        <w:t>Cointegration</w:t>
      </w:r>
      <w:proofErr w:type="spellEnd"/>
      <w:r w:rsidRPr="00870330">
        <w:rPr>
          <w:rFonts w:asciiTheme="minorHAnsi" w:hAnsiTheme="minorHAnsi" w:cstheme="minorHAnsi"/>
          <w:color w:val="0D0D0D" w:themeColor="text1" w:themeTint="F2"/>
          <w:lang w:eastAsia="id-ID"/>
        </w:rPr>
        <w:t xml:space="preserve"> between deforestation, per capita GDP, trade openness, and governance (control over corruption) is evident. The estimation results support the EKC hypothesis that the relationship between per capita GDP and deforestation rate follows the Inverted-U curve. The threshold for per capita GDP is USD 26875, i.e. the stage of advanced economic development. We emphasize that </w:t>
      </w:r>
      <w:r w:rsidRPr="00870330">
        <w:rPr>
          <w:rFonts w:asciiTheme="minorHAnsi" w:hAnsiTheme="minorHAnsi" w:cstheme="minorHAnsi"/>
          <w:color w:val="0D0D0D" w:themeColor="text1" w:themeTint="F2"/>
          <w:lang w:eastAsia="id-ID"/>
        </w:rPr>
        <w:lastRenderedPageBreak/>
        <w:t xml:space="preserve">deforestation will continue because Southeast Asia is still dominated by lower middle-income countries with per capita GDP that is still far from the threshold. Brunei is the only sample that has passed the turning point. Southeast Asia is enjoying the effects of scale of development so that an increase in GDP will be followed by deforestation. Another result is that openness is the driver of deforestation, while governance (control over corruption) is the correct instrument to reduce the deforestation rate. For the record, there are unidirectional causalities from per capita GDP and trade openness to deforestation. Development that simultaneously reduces deforestation is very likely to be implemented. We emphasize that strong integration between economic growth programs, trade policies, and forestry resource governance must be improved to reduce deforestation rates and accelerate the EKC turning point. </w:t>
      </w:r>
      <w:r w:rsidR="000438D6" w:rsidRPr="00870330">
        <w:rPr>
          <w:rFonts w:asciiTheme="minorHAnsi" w:hAnsiTheme="minorHAnsi" w:cstheme="minorHAnsi"/>
          <w:color w:val="0D0D0D" w:themeColor="text1" w:themeTint="F2"/>
          <w:lang w:eastAsia="id-ID"/>
        </w:rPr>
        <w:t>Furthermore, the reconstruction of national institutions through strengthening control over corruption is also essential to prevent actions that drive deforestation.</w:t>
      </w:r>
    </w:p>
    <w:p w14:paraId="06249C54" w14:textId="66DC9B0E" w:rsidR="001C5F6C" w:rsidRPr="00870330" w:rsidRDefault="00CA3AC9" w:rsidP="00656578">
      <w:pPr>
        <w:spacing w:after="0"/>
        <w:jc w:val="both"/>
        <w:rPr>
          <w:b/>
          <w:color w:val="0D0D0D" w:themeColor="text1" w:themeTint="F2"/>
          <w:sz w:val="28"/>
          <w:szCs w:val="28"/>
        </w:rPr>
      </w:pPr>
      <w:bookmarkStart w:id="2" w:name="_heading=h.1fob9te" w:colFirst="0" w:colLast="0"/>
      <w:bookmarkEnd w:id="2"/>
      <w:r w:rsidRPr="00870330">
        <w:rPr>
          <w:b/>
          <w:color w:val="0D0D0D" w:themeColor="text1" w:themeTint="F2"/>
          <w:sz w:val="28"/>
          <w:szCs w:val="28"/>
        </w:rPr>
        <w:t>Appendix</w:t>
      </w:r>
    </w:p>
    <w:p w14:paraId="458DFB63" w14:textId="7CD42DBA" w:rsidR="001C5F6C" w:rsidRPr="00870330" w:rsidRDefault="001C5F6C" w:rsidP="00CA3AC9">
      <w:pPr>
        <w:shd w:val="clear" w:color="auto" w:fill="FFFFFF"/>
        <w:spacing w:after="0" w:line="240" w:lineRule="auto"/>
        <w:jc w:val="center"/>
        <w:rPr>
          <w:color w:val="0D0D0D" w:themeColor="text1" w:themeTint="F2"/>
        </w:rPr>
      </w:pPr>
      <w:r w:rsidRPr="00870330">
        <w:rPr>
          <w:color w:val="0D0D0D" w:themeColor="text1" w:themeTint="F2"/>
        </w:rPr>
        <w:t xml:space="preserve">Table 7. The Optimal Lag </w:t>
      </w:r>
      <w:r w:rsidR="009A76FB" w:rsidRPr="00870330">
        <w:rPr>
          <w:color w:val="0D0D0D" w:themeColor="text1" w:themeTint="F2"/>
        </w:rPr>
        <w:t>Structure</w:t>
      </w:r>
      <w:r w:rsidR="00C9206E" w:rsidRPr="00870330">
        <w:rPr>
          <w:color w:val="0D0D0D" w:themeColor="text1" w:themeTint="F2"/>
        </w:rPr>
        <w:t xml:space="preserve"> Selection</w:t>
      </w:r>
    </w:p>
    <w:tbl>
      <w:tblPr>
        <w:tblW w:w="8931" w:type="dxa"/>
        <w:tblLook w:val="04A0" w:firstRow="1" w:lastRow="0" w:firstColumn="1" w:lastColumn="0" w:noHBand="0" w:noVBand="1"/>
      </w:tblPr>
      <w:tblGrid>
        <w:gridCol w:w="709"/>
        <w:gridCol w:w="1134"/>
        <w:gridCol w:w="1418"/>
        <w:gridCol w:w="1417"/>
        <w:gridCol w:w="1418"/>
        <w:gridCol w:w="1417"/>
        <w:gridCol w:w="1418"/>
      </w:tblGrid>
      <w:tr w:rsidR="001C5F6C" w:rsidRPr="00870330" w14:paraId="6A96608A" w14:textId="77777777" w:rsidTr="00CE3155">
        <w:trPr>
          <w:trHeight w:val="300"/>
        </w:trPr>
        <w:tc>
          <w:tcPr>
            <w:tcW w:w="709" w:type="dxa"/>
            <w:tcBorders>
              <w:top w:val="single" w:sz="4" w:space="0" w:color="auto"/>
              <w:left w:val="nil"/>
              <w:bottom w:val="single" w:sz="4" w:space="0" w:color="auto"/>
              <w:right w:val="nil"/>
            </w:tcBorders>
            <w:shd w:val="clear" w:color="auto" w:fill="auto"/>
            <w:noWrap/>
            <w:vAlign w:val="bottom"/>
            <w:hideMark/>
          </w:tcPr>
          <w:p w14:paraId="1C4366B5" w14:textId="77777777" w:rsidR="001C5F6C" w:rsidRPr="00870330" w:rsidRDefault="001C5F6C" w:rsidP="001C5F6C">
            <w:pPr>
              <w:spacing w:after="0"/>
              <w:jc w:val="center"/>
              <w:rPr>
                <w:b/>
                <w:i/>
                <w:noProof/>
                <w:color w:val="000000"/>
                <w:sz w:val="20"/>
                <w:szCs w:val="20"/>
              </w:rPr>
            </w:pPr>
            <w:r w:rsidRPr="00870330">
              <w:rPr>
                <w:b/>
                <w:i/>
                <w:noProof/>
                <w:color w:val="000000"/>
                <w:sz w:val="20"/>
                <w:szCs w:val="20"/>
              </w:rPr>
              <w:t>Lag</w:t>
            </w:r>
          </w:p>
        </w:tc>
        <w:tc>
          <w:tcPr>
            <w:tcW w:w="1134" w:type="dxa"/>
            <w:tcBorders>
              <w:top w:val="single" w:sz="4" w:space="0" w:color="auto"/>
              <w:left w:val="nil"/>
              <w:bottom w:val="single" w:sz="4" w:space="0" w:color="auto"/>
              <w:right w:val="nil"/>
            </w:tcBorders>
            <w:shd w:val="clear" w:color="auto" w:fill="auto"/>
            <w:noWrap/>
            <w:vAlign w:val="bottom"/>
            <w:hideMark/>
          </w:tcPr>
          <w:p w14:paraId="60C7ED84" w14:textId="77777777" w:rsidR="001C5F6C" w:rsidRPr="00870330" w:rsidRDefault="001C5F6C" w:rsidP="001C5F6C">
            <w:pPr>
              <w:spacing w:after="0"/>
              <w:jc w:val="right"/>
              <w:rPr>
                <w:b/>
                <w:noProof/>
                <w:color w:val="000000"/>
                <w:sz w:val="20"/>
                <w:szCs w:val="20"/>
              </w:rPr>
            </w:pPr>
            <w:r w:rsidRPr="00870330">
              <w:rPr>
                <w:b/>
                <w:noProof/>
                <w:color w:val="000000"/>
                <w:sz w:val="20"/>
                <w:szCs w:val="20"/>
              </w:rPr>
              <w:t>LogL</w:t>
            </w:r>
          </w:p>
        </w:tc>
        <w:tc>
          <w:tcPr>
            <w:tcW w:w="1418" w:type="dxa"/>
            <w:tcBorders>
              <w:top w:val="single" w:sz="4" w:space="0" w:color="auto"/>
              <w:left w:val="nil"/>
              <w:bottom w:val="single" w:sz="4" w:space="0" w:color="auto"/>
              <w:right w:val="nil"/>
            </w:tcBorders>
            <w:shd w:val="clear" w:color="auto" w:fill="auto"/>
            <w:noWrap/>
            <w:vAlign w:val="bottom"/>
            <w:hideMark/>
          </w:tcPr>
          <w:p w14:paraId="70EFD0E5" w14:textId="77777777" w:rsidR="001C5F6C" w:rsidRPr="00870330" w:rsidRDefault="001C5F6C" w:rsidP="001C5F6C">
            <w:pPr>
              <w:spacing w:after="0"/>
              <w:jc w:val="right"/>
              <w:rPr>
                <w:b/>
                <w:noProof/>
                <w:color w:val="000000"/>
                <w:sz w:val="20"/>
                <w:szCs w:val="20"/>
              </w:rPr>
            </w:pPr>
            <w:r w:rsidRPr="00870330">
              <w:rPr>
                <w:b/>
                <w:noProof/>
                <w:color w:val="000000"/>
                <w:sz w:val="20"/>
                <w:szCs w:val="20"/>
              </w:rPr>
              <w:t>LR</w:t>
            </w:r>
          </w:p>
        </w:tc>
        <w:tc>
          <w:tcPr>
            <w:tcW w:w="1417" w:type="dxa"/>
            <w:tcBorders>
              <w:top w:val="single" w:sz="4" w:space="0" w:color="auto"/>
              <w:left w:val="nil"/>
              <w:bottom w:val="single" w:sz="4" w:space="0" w:color="auto"/>
              <w:right w:val="nil"/>
            </w:tcBorders>
            <w:shd w:val="clear" w:color="auto" w:fill="auto"/>
            <w:noWrap/>
            <w:vAlign w:val="bottom"/>
            <w:hideMark/>
          </w:tcPr>
          <w:p w14:paraId="3B2DC944" w14:textId="77777777" w:rsidR="001C5F6C" w:rsidRPr="00870330" w:rsidRDefault="001C5F6C" w:rsidP="001C5F6C">
            <w:pPr>
              <w:spacing w:after="0"/>
              <w:jc w:val="right"/>
              <w:rPr>
                <w:b/>
                <w:noProof/>
                <w:color w:val="000000"/>
                <w:sz w:val="20"/>
                <w:szCs w:val="20"/>
              </w:rPr>
            </w:pPr>
            <w:r w:rsidRPr="00870330">
              <w:rPr>
                <w:b/>
                <w:noProof/>
                <w:color w:val="000000"/>
                <w:sz w:val="20"/>
                <w:szCs w:val="20"/>
              </w:rPr>
              <w:t>FPE</w:t>
            </w:r>
          </w:p>
        </w:tc>
        <w:tc>
          <w:tcPr>
            <w:tcW w:w="1418" w:type="dxa"/>
            <w:tcBorders>
              <w:top w:val="single" w:sz="4" w:space="0" w:color="auto"/>
              <w:left w:val="nil"/>
              <w:bottom w:val="single" w:sz="4" w:space="0" w:color="auto"/>
              <w:right w:val="nil"/>
            </w:tcBorders>
            <w:shd w:val="clear" w:color="auto" w:fill="auto"/>
            <w:noWrap/>
            <w:vAlign w:val="bottom"/>
            <w:hideMark/>
          </w:tcPr>
          <w:p w14:paraId="668F1B14" w14:textId="77777777" w:rsidR="001C5F6C" w:rsidRPr="00870330" w:rsidRDefault="001C5F6C" w:rsidP="001C5F6C">
            <w:pPr>
              <w:spacing w:after="0"/>
              <w:jc w:val="right"/>
              <w:rPr>
                <w:b/>
                <w:noProof/>
                <w:color w:val="000000"/>
                <w:sz w:val="20"/>
                <w:szCs w:val="20"/>
              </w:rPr>
            </w:pPr>
            <w:r w:rsidRPr="00870330">
              <w:rPr>
                <w:b/>
                <w:noProof/>
                <w:color w:val="000000"/>
                <w:sz w:val="20"/>
                <w:szCs w:val="20"/>
              </w:rPr>
              <w:t>AIC</w:t>
            </w:r>
          </w:p>
        </w:tc>
        <w:tc>
          <w:tcPr>
            <w:tcW w:w="1417" w:type="dxa"/>
            <w:tcBorders>
              <w:top w:val="single" w:sz="4" w:space="0" w:color="auto"/>
              <w:left w:val="nil"/>
              <w:bottom w:val="single" w:sz="4" w:space="0" w:color="auto"/>
              <w:right w:val="nil"/>
            </w:tcBorders>
            <w:shd w:val="clear" w:color="auto" w:fill="auto"/>
            <w:noWrap/>
            <w:vAlign w:val="bottom"/>
            <w:hideMark/>
          </w:tcPr>
          <w:p w14:paraId="1B0EC541" w14:textId="77777777" w:rsidR="001C5F6C" w:rsidRPr="00870330" w:rsidRDefault="001C5F6C" w:rsidP="001C5F6C">
            <w:pPr>
              <w:spacing w:after="0"/>
              <w:jc w:val="right"/>
              <w:rPr>
                <w:b/>
                <w:noProof/>
                <w:color w:val="000000"/>
                <w:sz w:val="20"/>
                <w:szCs w:val="20"/>
              </w:rPr>
            </w:pPr>
            <w:r w:rsidRPr="00870330">
              <w:rPr>
                <w:b/>
                <w:noProof/>
                <w:color w:val="000000"/>
                <w:sz w:val="20"/>
                <w:szCs w:val="20"/>
              </w:rPr>
              <w:t>SC</w:t>
            </w:r>
          </w:p>
        </w:tc>
        <w:tc>
          <w:tcPr>
            <w:tcW w:w="1418" w:type="dxa"/>
            <w:tcBorders>
              <w:top w:val="single" w:sz="4" w:space="0" w:color="auto"/>
              <w:left w:val="nil"/>
              <w:bottom w:val="single" w:sz="4" w:space="0" w:color="auto"/>
              <w:right w:val="nil"/>
            </w:tcBorders>
            <w:shd w:val="clear" w:color="auto" w:fill="auto"/>
            <w:noWrap/>
            <w:vAlign w:val="bottom"/>
            <w:hideMark/>
          </w:tcPr>
          <w:p w14:paraId="20B2132D" w14:textId="77777777" w:rsidR="001C5F6C" w:rsidRPr="00870330" w:rsidRDefault="001C5F6C" w:rsidP="001C5F6C">
            <w:pPr>
              <w:spacing w:after="0"/>
              <w:jc w:val="right"/>
              <w:rPr>
                <w:b/>
                <w:noProof/>
                <w:color w:val="000000"/>
                <w:sz w:val="20"/>
                <w:szCs w:val="20"/>
              </w:rPr>
            </w:pPr>
            <w:r w:rsidRPr="00870330">
              <w:rPr>
                <w:b/>
                <w:noProof/>
                <w:color w:val="000000"/>
                <w:sz w:val="20"/>
                <w:szCs w:val="20"/>
              </w:rPr>
              <w:t>HQ</w:t>
            </w:r>
          </w:p>
        </w:tc>
      </w:tr>
      <w:tr w:rsidR="001C5F6C" w:rsidRPr="00870330" w14:paraId="0D461E4E" w14:textId="77777777" w:rsidTr="00CE3155">
        <w:trPr>
          <w:trHeight w:val="300"/>
        </w:trPr>
        <w:tc>
          <w:tcPr>
            <w:tcW w:w="709" w:type="dxa"/>
            <w:tcBorders>
              <w:top w:val="single" w:sz="4" w:space="0" w:color="auto"/>
              <w:left w:val="nil"/>
              <w:bottom w:val="nil"/>
              <w:right w:val="nil"/>
            </w:tcBorders>
            <w:shd w:val="clear" w:color="auto" w:fill="auto"/>
            <w:noWrap/>
            <w:vAlign w:val="bottom"/>
            <w:hideMark/>
          </w:tcPr>
          <w:p w14:paraId="26027B01" w14:textId="77777777" w:rsidR="001C5F6C" w:rsidRPr="00870330" w:rsidRDefault="001C5F6C" w:rsidP="001C5F6C">
            <w:pPr>
              <w:spacing w:after="0"/>
              <w:jc w:val="center"/>
              <w:rPr>
                <w:color w:val="000000"/>
              </w:rPr>
            </w:pPr>
            <w:r w:rsidRPr="00870330">
              <w:rPr>
                <w:color w:val="000000"/>
              </w:rPr>
              <w:t>0</w:t>
            </w:r>
          </w:p>
        </w:tc>
        <w:tc>
          <w:tcPr>
            <w:tcW w:w="1134" w:type="dxa"/>
            <w:tcBorders>
              <w:top w:val="single" w:sz="4" w:space="0" w:color="auto"/>
              <w:left w:val="nil"/>
              <w:bottom w:val="nil"/>
              <w:right w:val="nil"/>
            </w:tcBorders>
            <w:shd w:val="clear" w:color="auto" w:fill="auto"/>
            <w:noWrap/>
            <w:vAlign w:val="bottom"/>
            <w:hideMark/>
          </w:tcPr>
          <w:p w14:paraId="4835AC48" w14:textId="77777777" w:rsidR="001C5F6C" w:rsidRPr="00870330" w:rsidRDefault="001C5F6C" w:rsidP="001C5F6C">
            <w:pPr>
              <w:spacing w:after="0"/>
              <w:jc w:val="right"/>
              <w:rPr>
                <w:color w:val="000000"/>
              </w:rPr>
            </w:pPr>
            <w:r w:rsidRPr="00870330">
              <w:rPr>
                <w:color w:val="000000"/>
              </w:rPr>
              <w:t>-943.1410</w:t>
            </w:r>
          </w:p>
        </w:tc>
        <w:tc>
          <w:tcPr>
            <w:tcW w:w="1418" w:type="dxa"/>
            <w:tcBorders>
              <w:top w:val="single" w:sz="4" w:space="0" w:color="auto"/>
              <w:left w:val="nil"/>
              <w:bottom w:val="nil"/>
              <w:right w:val="nil"/>
            </w:tcBorders>
            <w:shd w:val="clear" w:color="auto" w:fill="auto"/>
            <w:noWrap/>
            <w:vAlign w:val="bottom"/>
            <w:hideMark/>
          </w:tcPr>
          <w:p w14:paraId="4E1F149B" w14:textId="77777777" w:rsidR="001C5F6C" w:rsidRPr="00870330" w:rsidRDefault="001C5F6C" w:rsidP="001C5F6C">
            <w:pPr>
              <w:spacing w:after="0"/>
              <w:jc w:val="right"/>
              <w:rPr>
                <w:color w:val="000000"/>
              </w:rPr>
            </w:pPr>
            <w:r w:rsidRPr="00870330">
              <w:rPr>
                <w:color w:val="000000"/>
              </w:rPr>
              <w:t xml:space="preserve">NA </w:t>
            </w:r>
          </w:p>
        </w:tc>
        <w:tc>
          <w:tcPr>
            <w:tcW w:w="1417" w:type="dxa"/>
            <w:tcBorders>
              <w:top w:val="single" w:sz="4" w:space="0" w:color="auto"/>
              <w:left w:val="nil"/>
              <w:bottom w:val="nil"/>
              <w:right w:val="nil"/>
            </w:tcBorders>
            <w:shd w:val="clear" w:color="auto" w:fill="auto"/>
            <w:noWrap/>
            <w:vAlign w:val="bottom"/>
            <w:hideMark/>
          </w:tcPr>
          <w:p w14:paraId="19665EF8" w14:textId="77777777" w:rsidR="001C5F6C" w:rsidRPr="00870330" w:rsidRDefault="001C5F6C" w:rsidP="001C5F6C">
            <w:pPr>
              <w:spacing w:after="0"/>
              <w:jc w:val="right"/>
              <w:rPr>
                <w:color w:val="000000"/>
              </w:rPr>
            </w:pPr>
            <w:r w:rsidRPr="00870330">
              <w:rPr>
                <w:color w:val="000000"/>
              </w:rPr>
              <w:t>0.051513</w:t>
            </w:r>
          </w:p>
        </w:tc>
        <w:tc>
          <w:tcPr>
            <w:tcW w:w="1418" w:type="dxa"/>
            <w:tcBorders>
              <w:top w:val="single" w:sz="4" w:space="0" w:color="auto"/>
              <w:left w:val="nil"/>
              <w:bottom w:val="nil"/>
              <w:right w:val="nil"/>
            </w:tcBorders>
            <w:shd w:val="clear" w:color="auto" w:fill="auto"/>
            <w:noWrap/>
            <w:vAlign w:val="bottom"/>
            <w:hideMark/>
          </w:tcPr>
          <w:p w14:paraId="07560FB6" w14:textId="77777777" w:rsidR="001C5F6C" w:rsidRPr="00870330" w:rsidRDefault="001C5F6C" w:rsidP="001C5F6C">
            <w:pPr>
              <w:spacing w:after="0"/>
              <w:jc w:val="right"/>
              <w:rPr>
                <w:color w:val="000000"/>
              </w:rPr>
            </w:pPr>
            <w:r w:rsidRPr="00870330">
              <w:rPr>
                <w:color w:val="000000"/>
              </w:rPr>
              <w:t>14.06135</w:t>
            </w:r>
          </w:p>
        </w:tc>
        <w:tc>
          <w:tcPr>
            <w:tcW w:w="1417" w:type="dxa"/>
            <w:tcBorders>
              <w:top w:val="single" w:sz="4" w:space="0" w:color="auto"/>
              <w:left w:val="nil"/>
              <w:bottom w:val="nil"/>
              <w:right w:val="nil"/>
            </w:tcBorders>
            <w:shd w:val="clear" w:color="auto" w:fill="auto"/>
            <w:noWrap/>
            <w:vAlign w:val="bottom"/>
            <w:hideMark/>
          </w:tcPr>
          <w:p w14:paraId="0BA574C3" w14:textId="77777777" w:rsidR="001C5F6C" w:rsidRPr="00870330" w:rsidRDefault="001C5F6C" w:rsidP="001C5F6C">
            <w:pPr>
              <w:spacing w:after="0"/>
              <w:jc w:val="right"/>
              <w:rPr>
                <w:color w:val="000000"/>
              </w:rPr>
            </w:pPr>
            <w:r w:rsidRPr="00870330">
              <w:rPr>
                <w:color w:val="000000"/>
              </w:rPr>
              <w:t>14.19047</w:t>
            </w:r>
          </w:p>
        </w:tc>
        <w:tc>
          <w:tcPr>
            <w:tcW w:w="1418" w:type="dxa"/>
            <w:tcBorders>
              <w:top w:val="single" w:sz="4" w:space="0" w:color="auto"/>
              <w:left w:val="nil"/>
              <w:bottom w:val="nil"/>
              <w:right w:val="nil"/>
            </w:tcBorders>
            <w:shd w:val="clear" w:color="auto" w:fill="auto"/>
            <w:noWrap/>
            <w:vAlign w:val="bottom"/>
            <w:hideMark/>
          </w:tcPr>
          <w:p w14:paraId="657D26CB" w14:textId="77777777" w:rsidR="001C5F6C" w:rsidRPr="00870330" w:rsidRDefault="001C5F6C" w:rsidP="001C5F6C">
            <w:pPr>
              <w:spacing w:after="0"/>
              <w:jc w:val="right"/>
              <w:rPr>
                <w:color w:val="000000"/>
              </w:rPr>
            </w:pPr>
            <w:r w:rsidRPr="00870330">
              <w:rPr>
                <w:color w:val="000000"/>
              </w:rPr>
              <w:t>14.11382</w:t>
            </w:r>
          </w:p>
        </w:tc>
      </w:tr>
      <w:tr w:rsidR="001C5F6C" w:rsidRPr="00870330" w14:paraId="7CAE02D9" w14:textId="77777777" w:rsidTr="00CE3155">
        <w:trPr>
          <w:trHeight w:val="300"/>
        </w:trPr>
        <w:tc>
          <w:tcPr>
            <w:tcW w:w="709" w:type="dxa"/>
            <w:tcBorders>
              <w:top w:val="nil"/>
              <w:left w:val="nil"/>
              <w:bottom w:val="nil"/>
              <w:right w:val="nil"/>
            </w:tcBorders>
            <w:shd w:val="clear" w:color="auto" w:fill="auto"/>
            <w:noWrap/>
            <w:vAlign w:val="bottom"/>
            <w:hideMark/>
          </w:tcPr>
          <w:p w14:paraId="560540AB" w14:textId="77777777" w:rsidR="001C5F6C" w:rsidRPr="00870330" w:rsidRDefault="001C5F6C" w:rsidP="001C5F6C">
            <w:pPr>
              <w:spacing w:after="0"/>
              <w:jc w:val="center"/>
              <w:rPr>
                <w:color w:val="000000"/>
              </w:rPr>
            </w:pPr>
            <w:r w:rsidRPr="00870330">
              <w:rPr>
                <w:color w:val="000000"/>
              </w:rPr>
              <w:t>1</w:t>
            </w:r>
          </w:p>
        </w:tc>
        <w:tc>
          <w:tcPr>
            <w:tcW w:w="1134" w:type="dxa"/>
            <w:tcBorders>
              <w:top w:val="nil"/>
              <w:left w:val="nil"/>
              <w:bottom w:val="nil"/>
              <w:right w:val="nil"/>
            </w:tcBorders>
            <w:shd w:val="clear" w:color="auto" w:fill="auto"/>
            <w:noWrap/>
            <w:vAlign w:val="bottom"/>
            <w:hideMark/>
          </w:tcPr>
          <w:p w14:paraId="228ED204" w14:textId="77777777" w:rsidR="001C5F6C" w:rsidRPr="00870330" w:rsidRDefault="001C5F6C" w:rsidP="001C5F6C">
            <w:pPr>
              <w:spacing w:after="0"/>
              <w:jc w:val="right"/>
              <w:rPr>
                <w:color w:val="000000"/>
              </w:rPr>
            </w:pPr>
            <w:r w:rsidRPr="00870330">
              <w:rPr>
                <w:color w:val="000000"/>
              </w:rPr>
              <w:t>722.2028</w:t>
            </w:r>
          </w:p>
        </w:tc>
        <w:tc>
          <w:tcPr>
            <w:tcW w:w="1418" w:type="dxa"/>
            <w:tcBorders>
              <w:top w:val="nil"/>
              <w:left w:val="nil"/>
              <w:bottom w:val="nil"/>
              <w:right w:val="nil"/>
            </w:tcBorders>
            <w:shd w:val="clear" w:color="auto" w:fill="auto"/>
            <w:noWrap/>
            <w:vAlign w:val="bottom"/>
            <w:hideMark/>
          </w:tcPr>
          <w:p w14:paraId="5C1B9A86" w14:textId="77777777" w:rsidR="001C5F6C" w:rsidRPr="00870330" w:rsidRDefault="001C5F6C" w:rsidP="001C5F6C">
            <w:pPr>
              <w:spacing w:after="0"/>
              <w:jc w:val="right"/>
              <w:rPr>
                <w:color w:val="000000"/>
              </w:rPr>
            </w:pPr>
            <w:r w:rsidRPr="00870330">
              <w:rPr>
                <w:color w:val="000000"/>
              </w:rPr>
              <w:t>3157.985</w:t>
            </w:r>
          </w:p>
        </w:tc>
        <w:tc>
          <w:tcPr>
            <w:tcW w:w="1417" w:type="dxa"/>
            <w:tcBorders>
              <w:top w:val="nil"/>
              <w:left w:val="nil"/>
              <w:bottom w:val="nil"/>
              <w:right w:val="nil"/>
            </w:tcBorders>
            <w:shd w:val="clear" w:color="auto" w:fill="auto"/>
            <w:noWrap/>
            <w:vAlign w:val="bottom"/>
            <w:hideMark/>
          </w:tcPr>
          <w:p w14:paraId="2A03F3ED" w14:textId="77777777" w:rsidR="001C5F6C" w:rsidRPr="00870330" w:rsidRDefault="001C5F6C" w:rsidP="001C5F6C">
            <w:pPr>
              <w:spacing w:after="0"/>
              <w:jc w:val="right"/>
              <w:rPr>
                <w:color w:val="000000"/>
              </w:rPr>
            </w:pPr>
            <w:r w:rsidRPr="00870330">
              <w:rPr>
                <w:color w:val="000000"/>
              </w:rPr>
              <w:t>1.69E-12</w:t>
            </w:r>
          </w:p>
        </w:tc>
        <w:tc>
          <w:tcPr>
            <w:tcW w:w="1418" w:type="dxa"/>
            <w:tcBorders>
              <w:top w:val="nil"/>
              <w:left w:val="nil"/>
              <w:bottom w:val="nil"/>
              <w:right w:val="nil"/>
            </w:tcBorders>
            <w:shd w:val="clear" w:color="auto" w:fill="auto"/>
            <w:noWrap/>
            <w:vAlign w:val="bottom"/>
            <w:hideMark/>
          </w:tcPr>
          <w:p w14:paraId="74B19E7D" w14:textId="77777777" w:rsidR="001C5F6C" w:rsidRPr="00870330" w:rsidRDefault="001C5F6C" w:rsidP="001C5F6C">
            <w:pPr>
              <w:spacing w:after="0"/>
              <w:jc w:val="right"/>
              <w:rPr>
                <w:color w:val="000000"/>
              </w:rPr>
            </w:pPr>
            <w:r w:rsidRPr="00870330">
              <w:rPr>
                <w:color w:val="000000"/>
              </w:rPr>
              <w:t>-10.07708</w:t>
            </w:r>
          </w:p>
        </w:tc>
        <w:tc>
          <w:tcPr>
            <w:tcW w:w="1417" w:type="dxa"/>
            <w:tcBorders>
              <w:top w:val="nil"/>
              <w:left w:val="nil"/>
              <w:bottom w:val="nil"/>
              <w:right w:val="nil"/>
            </w:tcBorders>
            <w:shd w:val="clear" w:color="auto" w:fill="auto"/>
            <w:noWrap/>
            <w:vAlign w:val="bottom"/>
            <w:hideMark/>
          </w:tcPr>
          <w:p w14:paraId="5D1A27FB" w14:textId="77777777" w:rsidR="001C5F6C" w:rsidRPr="00870330" w:rsidRDefault="001C5F6C" w:rsidP="001C5F6C">
            <w:pPr>
              <w:spacing w:after="0"/>
              <w:jc w:val="right"/>
              <w:rPr>
                <w:color w:val="000000"/>
              </w:rPr>
            </w:pPr>
            <w:r w:rsidRPr="00870330">
              <w:rPr>
                <w:color w:val="000000"/>
              </w:rPr>
              <w:t>-9.173215</w:t>
            </w:r>
          </w:p>
        </w:tc>
        <w:tc>
          <w:tcPr>
            <w:tcW w:w="1418" w:type="dxa"/>
            <w:tcBorders>
              <w:top w:val="nil"/>
              <w:left w:val="nil"/>
              <w:bottom w:val="nil"/>
              <w:right w:val="nil"/>
            </w:tcBorders>
            <w:shd w:val="clear" w:color="auto" w:fill="auto"/>
            <w:noWrap/>
            <w:vAlign w:val="bottom"/>
            <w:hideMark/>
          </w:tcPr>
          <w:p w14:paraId="4F7CAAB7" w14:textId="77777777" w:rsidR="001C5F6C" w:rsidRPr="00870330" w:rsidRDefault="001C5F6C" w:rsidP="001C5F6C">
            <w:pPr>
              <w:spacing w:after="0"/>
              <w:jc w:val="right"/>
              <w:rPr>
                <w:color w:val="000000"/>
              </w:rPr>
            </w:pPr>
            <w:r w:rsidRPr="00870330">
              <w:rPr>
                <w:color w:val="000000"/>
              </w:rPr>
              <w:t>-9.709773</w:t>
            </w:r>
          </w:p>
        </w:tc>
      </w:tr>
      <w:tr w:rsidR="001C5F6C" w:rsidRPr="00870330" w14:paraId="0CEE78DB" w14:textId="77777777" w:rsidTr="00CE3155">
        <w:trPr>
          <w:trHeight w:val="300"/>
        </w:trPr>
        <w:tc>
          <w:tcPr>
            <w:tcW w:w="709" w:type="dxa"/>
            <w:tcBorders>
              <w:top w:val="nil"/>
              <w:left w:val="nil"/>
              <w:bottom w:val="nil"/>
              <w:right w:val="nil"/>
            </w:tcBorders>
            <w:shd w:val="clear" w:color="auto" w:fill="auto"/>
            <w:noWrap/>
            <w:vAlign w:val="bottom"/>
            <w:hideMark/>
          </w:tcPr>
          <w:p w14:paraId="3AB02CE7" w14:textId="77777777" w:rsidR="001C5F6C" w:rsidRPr="00870330" w:rsidRDefault="001C5F6C" w:rsidP="001C5F6C">
            <w:pPr>
              <w:spacing w:after="0"/>
              <w:jc w:val="center"/>
              <w:rPr>
                <w:color w:val="000000"/>
              </w:rPr>
            </w:pPr>
            <w:r w:rsidRPr="00870330">
              <w:rPr>
                <w:color w:val="000000"/>
              </w:rPr>
              <w:t>2</w:t>
            </w:r>
          </w:p>
        </w:tc>
        <w:tc>
          <w:tcPr>
            <w:tcW w:w="1134" w:type="dxa"/>
            <w:tcBorders>
              <w:top w:val="nil"/>
              <w:left w:val="nil"/>
              <w:bottom w:val="nil"/>
              <w:right w:val="nil"/>
            </w:tcBorders>
            <w:shd w:val="clear" w:color="auto" w:fill="auto"/>
            <w:noWrap/>
            <w:vAlign w:val="bottom"/>
            <w:hideMark/>
          </w:tcPr>
          <w:p w14:paraId="13B76D51" w14:textId="77777777" w:rsidR="001C5F6C" w:rsidRPr="00870330" w:rsidRDefault="001C5F6C" w:rsidP="001C5F6C">
            <w:pPr>
              <w:spacing w:after="0"/>
              <w:jc w:val="right"/>
              <w:rPr>
                <w:color w:val="000000"/>
              </w:rPr>
            </w:pPr>
            <w:r w:rsidRPr="00870330">
              <w:rPr>
                <w:color w:val="000000"/>
              </w:rPr>
              <w:t>836.6655</w:t>
            </w:r>
          </w:p>
        </w:tc>
        <w:tc>
          <w:tcPr>
            <w:tcW w:w="1418" w:type="dxa"/>
            <w:tcBorders>
              <w:top w:val="nil"/>
              <w:left w:val="nil"/>
              <w:bottom w:val="nil"/>
              <w:right w:val="nil"/>
            </w:tcBorders>
            <w:shd w:val="clear" w:color="auto" w:fill="auto"/>
            <w:noWrap/>
            <w:vAlign w:val="bottom"/>
            <w:hideMark/>
          </w:tcPr>
          <w:p w14:paraId="7EE97644" w14:textId="77777777" w:rsidR="001C5F6C" w:rsidRPr="00870330" w:rsidRDefault="001C5F6C" w:rsidP="001C5F6C">
            <w:pPr>
              <w:spacing w:after="0"/>
              <w:jc w:val="right"/>
              <w:rPr>
                <w:color w:val="000000"/>
              </w:rPr>
            </w:pPr>
            <w:r w:rsidRPr="00870330">
              <w:rPr>
                <w:color w:val="000000"/>
              </w:rPr>
              <w:t>206.8808</w:t>
            </w:r>
          </w:p>
        </w:tc>
        <w:tc>
          <w:tcPr>
            <w:tcW w:w="1417" w:type="dxa"/>
            <w:tcBorders>
              <w:top w:val="nil"/>
              <w:left w:val="nil"/>
              <w:bottom w:val="nil"/>
              <w:right w:val="nil"/>
            </w:tcBorders>
            <w:shd w:val="clear" w:color="auto" w:fill="auto"/>
            <w:noWrap/>
            <w:vAlign w:val="bottom"/>
            <w:hideMark/>
          </w:tcPr>
          <w:p w14:paraId="5D6B1798" w14:textId="77777777" w:rsidR="001C5F6C" w:rsidRPr="00870330" w:rsidRDefault="001C5F6C" w:rsidP="001C5F6C">
            <w:pPr>
              <w:spacing w:after="0"/>
              <w:jc w:val="right"/>
              <w:rPr>
                <w:color w:val="000000"/>
              </w:rPr>
            </w:pPr>
            <w:r w:rsidRPr="00870330">
              <w:rPr>
                <w:color w:val="000000"/>
              </w:rPr>
              <w:t>5.31E-13</w:t>
            </w:r>
          </w:p>
        </w:tc>
        <w:tc>
          <w:tcPr>
            <w:tcW w:w="1418" w:type="dxa"/>
            <w:tcBorders>
              <w:top w:val="nil"/>
              <w:left w:val="nil"/>
              <w:bottom w:val="nil"/>
              <w:right w:val="nil"/>
            </w:tcBorders>
            <w:shd w:val="clear" w:color="auto" w:fill="auto"/>
            <w:noWrap/>
            <w:vAlign w:val="bottom"/>
            <w:hideMark/>
          </w:tcPr>
          <w:p w14:paraId="70751D06" w14:textId="77777777" w:rsidR="001C5F6C" w:rsidRPr="00870330" w:rsidRDefault="001C5F6C" w:rsidP="001C5F6C">
            <w:pPr>
              <w:spacing w:after="0"/>
              <w:jc w:val="right"/>
              <w:rPr>
                <w:color w:val="000000"/>
              </w:rPr>
            </w:pPr>
            <w:r w:rsidRPr="00870330">
              <w:rPr>
                <w:color w:val="000000"/>
              </w:rPr>
              <w:t>-11.23949</w:t>
            </w:r>
          </w:p>
        </w:tc>
        <w:tc>
          <w:tcPr>
            <w:tcW w:w="1417" w:type="dxa"/>
            <w:tcBorders>
              <w:top w:val="nil"/>
              <w:left w:val="nil"/>
              <w:bottom w:val="nil"/>
              <w:right w:val="nil"/>
            </w:tcBorders>
            <w:shd w:val="clear" w:color="auto" w:fill="auto"/>
            <w:noWrap/>
            <w:vAlign w:val="bottom"/>
            <w:hideMark/>
          </w:tcPr>
          <w:p w14:paraId="57E76437" w14:textId="77777777" w:rsidR="001C5F6C" w:rsidRPr="00870330" w:rsidRDefault="001C5F6C" w:rsidP="001C5F6C">
            <w:pPr>
              <w:spacing w:after="0"/>
              <w:jc w:val="right"/>
              <w:rPr>
                <w:color w:val="000000"/>
              </w:rPr>
            </w:pPr>
            <w:r w:rsidRPr="00870330">
              <w:rPr>
                <w:color w:val="000000"/>
              </w:rPr>
              <w:t>-9.560886</w:t>
            </w:r>
          </w:p>
        </w:tc>
        <w:tc>
          <w:tcPr>
            <w:tcW w:w="1418" w:type="dxa"/>
            <w:tcBorders>
              <w:top w:val="nil"/>
              <w:left w:val="nil"/>
              <w:bottom w:val="nil"/>
              <w:right w:val="nil"/>
            </w:tcBorders>
            <w:shd w:val="clear" w:color="auto" w:fill="auto"/>
            <w:noWrap/>
            <w:vAlign w:val="bottom"/>
            <w:hideMark/>
          </w:tcPr>
          <w:p w14:paraId="62FC87B1" w14:textId="77777777" w:rsidR="001C5F6C" w:rsidRPr="00870330" w:rsidRDefault="001C5F6C" w:rsidP="001C5F6C">
            <w:pPr>
              <w:spacing w:after="0"/>
              <w:jc w:val="right"/>
              <w:rPr>
                <w:color w:val="000000"/>
              </w:rPr>
            </w:pPr>
            <w:r w:rsidRPr="00870330">
              <w:rPr>
                <w:color w:val="000000"/>
              </w:rPr>
              <w:t>-10.55735</w:t>
            </w:r>
          </w:p>
        </w:tc>
      </w:tr>
      <w:tr w:rsidR="001C5F6C" w:rsidRPr="00870330" w14:paraId="46EFA270" w14:textId="77777777" w:rsidTr="00CE3155">
        <w:trPr>
          <w:trHeight w:val="300"/>
        </w:trPr>
        <w:tc>
          <w:tcPr>
            <w:tcW w:w="709" w:type="dxa"/>
            <w:tcBorders>
              <w:top w:val="nil"/>
              <w:left w:val="nil"/>
              <w:bottom w:val="nil"/>
              <w:right w:val="nil"/>
            </w:tcBorders>
            <w:shd w:val="clear" w:color="auto" w:fill="auto"/>
            <w:noWrap/>
            <w:vAlign w:val="bottom"/>
            <w:hideMark/>
          </w:tcPr>
          <w:p w14:paraId="339F1E16" w14:textId="77777777" w:rsidR="001C5F6C" w:rsidRPr="00870330" w:rsidRDefault="001C5F6C" w:rsidP="001C5F6C">
            <w:pPr>
              <w:spacing w:after="0"/>
              <w:jc w:val="center"/>
              <w:rPr>
                <w:color w:val="000000"/>
              </w:rPr>
            </w:pPr>
            <w:r w:rsidRPr="00870330">
              <w:rPr>
                <w:color w:val="000000"/>
              </w:rPr>
              <w:t>3</w:t>
            </w:r>
          </w:p>
        </w:tc>
        <w:tc>
          <w:tcPr>
            <w:tcW w:w="1134" w:type="dxa"/>
            <w:tcBorders>
              <w:top w:val="nil"/>
              <w:left w:val="nil"/>
              <w:bottom w:val="nil"/>
              <w:right w:val="nil"/>
            </w:tcBorders>
            <w:shd w:val="clear" w:color="auto" w:fill="auto"/>
            <w:noWrap/>
            <w:vAlign w:val="bottom"/>
            <w:hideMark/>
          </w:tcPr>
          <w:p w14:paraId="7A51F221" w14:textId="77777777" w:rsidR="001C5F6C" w:rsidRPr="00870330" w:rsidRDefault="001C5F6C" w:rsidP="001C5F6C">
            <w:pPr>
              <w:spacing w:after="0"/>
              <w:jc w:val="right"/>
              <w:rPr>
                <w:color w:val="000000"/>
              </w:rPr>
            </w:pPr>
            <w:r w:rsidRPr="00870330">
              <w:rPr>
                <w:color w:val="000000"/>
              </w:rPr>
              <w:t>979.7435</w:t>
            </w:r>
          </w:p>
        </w:tc>
        <w:tc>
          <w:tcPr>
            <w:tcW w:w="1418" w:type="dxa"/>
            <w:tcBorders>
              <w:top w:val="nil"/>
              <w:left w:val="nil"/>
              <w:bottom w:val="nil"/>
              <w:right w:val="nil"/>
            </w:tcBorders>
            <w:shd w:val="clear" w:color="auto" w:fill="auto"/>
            <w:noWrap/>
            <w:vAlign w:val="bottom"/>
            <w:hideMark/>
          </w:tcPr>
          <w:p w14:paraId="34C2C869" w14:textId="77777777" w:rsidR="001C5F6C" w:rsidRPr="00870330" w:rsidRDefault="001C5F6C" w:rsidP="001C5F6C">
            <w:pPr>
              <w:spacing w:after="0"/>
              <w:jc w:val="right"/>
              <w:rPr>
                <w:color w:val="000000"/>
              </w:rPr>
            </w:pPr>
            <w:r w:rsidRPr="00870330">
              <w:rPr>
                <w:color w:val="000000"/>
              </w:rPr>
              <w:t>245.8822</w:t>
            </w:r>
          </w:p>
        </w:tc>
        <w:tc>
          <w:tcPr>
            <w:tcW w:w="1417" w:type="dxa"/>
            <w:tcBorders>
              <w:top w:val="nil"/>
              <w:left w:val="nil"/>
              <w:bottom w:val="nil"/>
              <w:right w:val="nil"/>
            </w:tcBorders>
            <w:shd w:val="clear" w:color="auto" w:fill="auto"/>
            <w:noWrap/>
            <w:vAlign w:val="bottom"/>
            <w:hideMark/>
          </w:tcPr>
          <w:p w14:paraId="2F8F37B1" w14:textId="77777777" w:rsidR="001C5F6C" w:rsidRPr="00870330" w:rsidRDefault="001C5F6C" w:rsidP="001C5F6C">
            <w:pPr>
              <w:spacing w:after="0"/>
              <w:jc w:val="right"/>
              <w:rPr>
                <w:color w:val="000000"/>
              </w:rPr>
            </w:pPr>
            <w:r w:rsidRPr="00870330">
              <w:rPr>
                <w:color w:val="000000"/>
              </w:rPr>
              <w:t xml:space="preserve">  1.10e-13*</w:t>
            </w:r>
          </w:p>
        </w:tc>
        <w:tc>
          <w:tcPr>
            <w:tcW w:w="1418" w:type="dxa"/>
            <w:tcBorders>
              <w:top w:val="nil"/>
              <w:left w:val="nil"/>
              <w:bottom w:val="nil"/>
              <w:right w:val="nil"/>
            </w:tcBorders>
            <w:shd w:val="clear" w:color="auto" w:fill="auto"/>
            <w:noWrap/>
            <w:vAlign w:val="bottom"/>
            <w:hideMark/>
          </w:tcPr>
          <w:p w14:paraId="24584916" w14:textId="77777777" w:rsidR="001C5F6C" w:rsidRPr="00870330" w:rsidRDefault="001C5F6C" w:rsidP="001C5F6C">
            <w:pPr>
              <w:spacing w:after="0"/>
              <w:jc w:val="right"/>
              <w:rPr>
                <w:color w:val="000000"/>
              </w:rPr>
            </w:pPr>
            <w:r w:rsidRPr="00870330">
              <w:rPr>
                <w:color w:val="000000"/>
              </w:rPr>
              <w:t xml:space="preserve"> -12.82583*</w:t>
            </w:r>
          </w:p>
        </w:tc>
        <w:tc>
          <w:tcPr>
            <w:tcW w:w="1417" w:type="dxa"/>
            <w:tcBorders>
              <w:top w:val="nil"/>
              <w:left w:val="nil"/>
              <w:bottom w:val="nil"/>
              <w:right w:val="nil"/>
            </w:tcBorders>
            <w:shd w:val="clear" w:color="auto" w:fill="auto"/>
            <w:noWrap/>
            <w:vAlign w:val="bottom"/>
            <w:hideMark/>
          </w:tcPr>
          <w:p w14:paraId="69F884EA" w14:textId="77777777" w:rsidR="001C5F6C" w:rsidRPr="00870330" w:rsidRDefault="001C5F6C" w:rsidP="001C5F6C">
            <w:pPr>
              <w:spacing w:after="0"/>
              <w:jc w:val="right"/>
              <w:rPr>
                <w:color w:val="000000"/>
              </w:rPr>
            </w:pPr>
            <w:r w:rsidRPr="00870330">
              <w:rPr>
                <w:color w:val="000000"/>
              </w:rPr>
              <w:t xml:space="preserve"> -10.37249*</w:t>
            </w:r>
          </w:p>
        </w:tc>
        <w:tc>
          <w:tcPr>
            <w:tcW w:w="1418" w:type="dxa"/>
            <w:tcBorders>
              <w:top w:val="nil"/>
              <w:left w:val="nil"/>
              <w:bottom w:val="nil"/>
              <w:right w:val="nil"/>
            </w:tcBorders>
            <w:shd w:val="clear" w:color="auto" w:fill="auto"/>
            <w:noWrap/>
            <w:vAlign w:val="bottom"/>
            <w:hideMark/>
          </w:tcPr>
          <w:p w14:paraId="7E10007C" w14:textId="77777777" w:rsidR="001C5F6C" w:rsidRPr="00870330" w:rsidRDefault="001C5F6C" w:rsidP="001C5F6C">
            <w:pPr>
              <w:spacing w:after="0"/>
              <w:jc w:val="right"/>
              <w:rPr>
                <w:color w:val="000000"/>
              </w:rPr>
            </w:pPr>
            <w:r w:rsidRPr="00870330">
              <w:rPr>
                <w:color w:val="000000"/>
              </w:rPr>
              <w:t xml:space="preserve"> -11.82886*</w:t>
            </w:r>
          </w:p>
        </w:tc>
      </w:tr>
      <w:tr w:rsidR="001C5F6C" w:rsidRPr="00870330" w14:paraId="6F9FD0D3" w14:textId="77777777" w:rsidTr="00CE3155">
        <w:trPr>
          <w:trHeight w:val="300"/>
        </w:trPr>
        <w:tc>
          <w:tcPr>
            <w:tcW w:w="709" w:type="dxa"/>
            <w:tcBorders>
              <w:top w:val="nil"/>
              <w:left w:val="nil"/>
              <w:bottom w:val="nil"/>
              <w:right w:val="nil"/>
            </w:tcBorders>
            <w:shd w:val="clear" w:color="auto" w:fill="auto"/>
            <w:noWrap/>
            <w:vAlign w:val="bottom"/>
            <w:hideMark/>
          </w:tcPr>
          <w:p w14:paraId="7237733C" w14:textId="77777777" w:rsidR="001C5F6C" w:rsidRPr="00870330" w:rsidRDefault="001C5F6C" w:rsidP="001C5F6C">
            <w:pPr>
              <w:spacing w:after="0"/>
              <w:jc w:val="center"/>
              <w:rPr>
                <w:color w:val="000000"/>
              </w:rPr>
            </w:pPr>
            <w:r w:rsidRPr="00870330">
              <w:rPr>
                <w:color w:val="000000"/>
              </w:rPr>
              <w:t>4</w:t>
            </w:r>
          </w:p>
        </w:tc>
        <w:tc>
          <w:tcPr>
            <w:tcW w:w="1134" w:type="dxa"/>
            <w:tcBorders>
              <w:top w:val="nil"/>
              <w:left w:val="nil"/>
              <w:bottom w:val="nil"/>
              <w:right w:val="nil"/>
            </w:tcBorders>
            <w:shd w:val="clear" w:color="auto" w:fill="auto"/>
            <w:noWrap/>
            <w:vAlign w:val="bottom"/>
            <w:hideMark/>
          </w:tcPr>
          <w:p w14:paraId="544CA8C0" w14:textId="77777777" w:rsidR="001C5F6C" w:rsidRPr="00870330" w:rsidRDefault="001C5F6C" w:rsidP="001C5F6C">
            <w:pPr>
              <w:spacing w:after="0"/>
              <w:jc w:val="right"/>
              <w:rPr>
                <w:color w:val="000000"/>
              </w:rPr>
            </w:pPr>
            <w:r w:rsidRPr="00870330">
              <w:rPr>
                <w:color w:val="000000"/>
              </w:rPr>
              <w:t>1011.854</w:t>
            </w:r>
          </w:p>
        </w:tc>
        <w:tc>
          <w:tcPr>
            <w:tcW w:w="1418" w:type="dxa"/>
            <w:tcBorders>
              <w:top w:val="nil"/>
              <w:left w:val="nil"/>
              <w:bottom w:val="nil"/>
              <w:right w:val="nil"/>
            </w:tcBorders>
            <w:shd w:val="clear" w:color="auto" w:fill="auto"/>
            <w:noWrap/>
            <w:vAlign w:val="bottom"/>
            <w:hideMark/>
          </w:tcPr>
          <w:p w14:paraId="1BF2B394" w14:textId="77777777" w:rsidR="001C5F6C" w:rsidRPr="00870330" w:rsidRDefault="001C5F6C" w:rsidP="001C5F6C">
            <w:pPr>
              <w:spacing w:after="0"/>
              <w:jc w:val="right"/>
              <w:rPr>
                <w:color w:val="000000"/>
              </w:rPr>
            </w:pPr>
            <w:r w:rsidRPr="00870330">
              <w:rPr>
                <w:color w:val="000000"/>
              </w:rPr>
              <w:t>52.32752</w:t>
            </w:r>
          </w:p>
        </w:tc>
        <w:tc>
          <w:tcPr>
            <w:tcW w:w="1417" w:type="dxa"/>
            <w:tcBorders>
              <w:top w:val="nil"/>
              <w:left w:val="nil"/>
              <w:bottom w:val="nil"/>
              <w:right w:val="nil"/>
            </w:tcBorders>
            <w:shd w:val="clear" w:color="auto" w:fill="auto"/>
            <w:noWrap/>
            <w:vAlign w:val="bottom"/>
            <w:hideMark/>
          </w:tcPr>
          <w:p w14:paraId="48E008D6" w14:textId="77777777" w:rsidR="001C5F6C" w:rsidRPr="00870330" w:rsidRDefault="001C5F6C" w:rsidP="001C5F6C">
            <w:pPr>
              <w:spacing w:after="0"/>
              <w:jc w:val="right"/>
              <w:rPr>
                <w:color w:val="000000"/>
              </w:rPr>
            </w:pPr>
            <w:r w:rsidRPr="00870330">
              <w:rPr>
                <w:color w:val="000000"/>
              </w:rPr>
              <w:t>1.18E-13</w:t>
            </w:r>
          </w:p>
        </w:tc>
        <w:tc>
          <w:tcPr>
            <w:tcW w:w="1418" w:type="dxa"/>
            <w:tcBorders>
              <w:top w:val="nil"/>
              <w:left w:val="nil"/>
              <w:bottom w:val="nil"/>
              <w:right w:val="nil"/>
            </w:tcBorders>
            <w:shd w:val="clear" w:color="auto" w:fill="auto"/>
            <w:noWrap/>
            <w:vAlign w:val="bottom"/>
            <w:hideMark/>
          </w:tcPr>
          <w:p w14:paraId="55BFCBF0" w14:textId="77777777" w:rsidR="001C5F6C" w:rsidRPr="00870330" w:rsidRDefault="001C5F6C" w:rsidP="001C5F6C">
            <w:pPr>
              <w:spacing w:after="0"/>
              <w:jc w:val="right"/>
              <w:rPr>
                <w:color w:val="000000"/>
              </w:rPr>
            </w:pPr>
            <w:r w:rsidRPr="00870330">
              <w:rPr>
                <w:color w:val="000000"/>
              </w:rPr>
              <w:t>-12.76820</w:t>
            </w:r>
          </w:p>
        </w:tc>
        <w:tc>
          <w:tcPr>
            <w:tcW w:w="1417" w:type="dxa"/>
            <w:tcBorders>
              <w:top w:val="nil"/>
              <w:left w:val="nil"/>
              <w:bottom w:val="nil"/>
              <w:right w:val="nil"/>
            </w:tcBorders>
            <w:shd w:val="clear" w:color="auto" w:fill="auto"/>
            <w:noWrap/>
            <w:vAlign w:val="bottom"/>
            <w:hideMark/>
          </w:tcPr>
          <w:p w14:paraId="39FF99FE" w14:textId="77777777" w:rsidR="001C5F6C" w:rsidRPr="00870330" w:rsidRDefault="001C5F6C" w:rsidP="001C5F6C">
            <w:pPr>
              <w:spacing w:after="0"/>
              <w:jc w:val="right"/>
              <w:rPr>
                <w:color w:val="000000"/>
              </w:rPr>
            </w:pPr>
            <w:r w:rsidRPr="00870330">
              <w:rPr>
                <w:color w:val="000000"/>
              </w:rPr>
              <w:t>-9.540118</w:t>
            </w:r>
          </w:p>
        </w:tc>
        <w:tc>
          <w:tcPr>
            <w:tcW w:w="1418" w:type="dxa"/>
            <w:tcBorders>
              <w:top w:val="nil"/>
              <w:left w:val="nil"/>
              <w:bottom w:val="nil"/>
              <w:right w:val="nil"/>
            </w:tcBorders>
            <w:shd w:val="clear" w:color="auto" w:fill="auto"/>
            <w:noWrap/>
            <w:vAlign w:val="bottom"/>
            <w:hideMark/>
          </w:tcPr>
          <w:p w14:paraId="1DC37D04" w14:textId="77777777" w:rsidR="001C5F6C" w:rsidRPr="00870330" w:rsidRDefault="001C5F6C" w:rsidP="001C5F6C">
            <w:pPr>
              <w:spacing w:after="0"/>
              <w:jc w:val="right"/>
              <w:rPr>
                <w:color w:val="000000"/>
              </w:rPr>
            </w:pPr>
            <w:r w:rsidRPr="00870330">
              <w:rPr>
                <w:color w:val="000000"/>
              </w:rPr>
              <w:t>-11.45640</w:t>
            </w:r>
          </w:p>
        </w:tc>
      </w:tr>
      <w:tr w:rsidR="001C5F6C" w:rsidRPr="00870330" w14:paraId="1A1600AE" w14:textId="77777777" w:rsidTr="00CE3155">
        <w:trPr>
          <w:trHeight w:val="300"/>
        </w:trPr>
        <w:tc>
          <w:tcPr>
            <w:tcW w:w="709" w:type="dxa"/>
            <w:tcBorders>
              <w:top w:val="nil"/>
              <w:left w:val="nil"/>
              <w:bottom w:val="nil"/>
              <w:right w:val="nil"/>
            </w:tcBorders>
            <w:shd w:val="clear" w:color="auto" w:fill="auto"/>
            <w:noWrap/>
            <w:vAlign w:val="bottom"/>
            <w:hideMark/>
          </w:tcPr>
          <w:p w14:paraId="611B2EB4" w14:textId="77777777" w:rsidR="001C5F6C" w:rsidRPr="00870330" w:rsidRDefault="001C5F6C" w:rsidP="001C5F6C">
            <w:pPr>
              <w:spacing w:after="0"/>
              <w:jc w:val="center"/>
              <w:rPr>
                <w:color w:val="000000"/>
              </w:rPr>
            </w:pPr>
            <w:r w:rsidRPr="00870330">
              <w:rPr>
                <w:color w:val="000000"/>
              </w:rPr>
              <w:t>5</w:t>
            </w:r>
          </w:p>
        </w:tc>
        <w:tc>
          <w:tcPr>
            <w:tcW w:w="1134" w:type="dxa"/>
            <w:tcBorders>
              <w:top w:val="nil"/>
              <w:left w:val="nil"/>
              <w:bottom w:val="nil"/>
              <w:right w:val="nil"/>
            </w:tcBorders>
            <w:shd w:val="clear" w:color="auto" w:fill="auto"/>
            <w:noWrap/>
            <w:vAlign w:val="bottom"/>
            <w:hideMark/>
          </w:tcPr>
          <w:p w14:paraId="6ADB9990" w14:textId="77777777" w:rsidR="001C5F6C" w:rsidRPr="00870330" w:rsidRDefault="001C5F6C" w:rsidP="001C5F6C">
            <w:pPr>
              <w:spacing w:after="0"/>
              <w:jc w:val="right"/>
              <w:rPr>
                <w:color w:val="000000"/>
              </w:rPr>
            </w:pPr>
            <w:r w:rsidRPr="00870330">
              <w:rPr>
                <w:color w:val="000000"/>
              </w:rPr>
              <w:t>1041.160</w:t>
            </w:r>
          </w:p>
        </w:tc>
        <w:tc>
          <w:tcPr>
            <w:tcW w:w="1418" w:type="dxa"/>
            <w:tcBorders>
              <w:top w:val="nil"/>
              <w:left w:val="nil"/>
              <w:bottom w:val="nil"/>
              <w:right w:val="nil"/>
            </w:tcBorders>
            <w:shd w:val="clear" w:color="auto" w:fill="auto"/>
            <w:noWrap/>
            <w:vAlign w:val="bottom"/>
            <w:hideMark/>
          </w:tcPr>
          <w:p w14:paraId="059F11EB" w14:textId="77777777" w:rsidR="001C5F6C" w:rsidRPr="00870330" w:rsidRDefault="001C5F6C" w:rsidP="001C5F6C">
            <w:pPr>
              <w:spacing w:after="0"/>
              <w:jc w:val="right"/>
              <w:rPr>
                <w:color w:val="000000"/>
              </w:rPr>
            </w:pPr>
            <w:r w:rsidRPr="00870330">
              <w:rPr>
                <w:color w:val="000000"/>
              </w:rPr>
              <w:t>45.15316</w:t>
            </w:r>
          </w:p>
        </w:tc>
        <w:tc>
          <w:tcPr>
            <w:tcW w:w="1417" w:type="dxa"/>
            <w:tcBorders>
              <w:top w:val="nil"/>
              <w:left w:val="nil"/>
              <w:bottom w:val="nil"/>
              <w:right w:val="nil"/>
            </w:tcBorders>
            <w:shd w:val="clear" w:color="auto" w:fill="auto"/>
            <w:noWrap/>
            <w:vAlign w:val="bottom"/>
            <w:hideMark/>
          </w:tcPr>
          <w:p w14:paraId="427F075D" w14:textId="77777777" w:rsidR="001C5F6C" w:rsidRPr="00870330" w:rsidRDefault="001C5F6C" w:rsidP="001C5F6C">
            <w:pPr>
              <w:spacing w:after="0"/>
              <w:jc w:val="right"/>
              <w:rPr>
                <w:color w:val="000000"/>
              </w:rPr>
            </w:pPr>
            <w:r w:rsidRPr="00870330">
              <w:rPr>
                <w:color w:val="000000"/>
              </w:rPr>
              <w:t>1.33E-13</w:t>
            </w:r>
          </w:p>
        </w:tc>
        <w:tc>
          <w:tcPr>
            <w:tcW w:w="1418" w:type="dxa"/>
            <w:tcBorders>
              <w:top w:val="nil"/>
              <w:left w:val="nil"/>
              <w:bottom w:val="nil"/>
              <w:right w:val="nil"/>
            </w:tcBorders>
            <w:shd w:val="clear" w:color="auto" w:fill="auto"/>
            <w:noWrap/>
            <w:vAlign w:val="bottom"/>
            <w:hideMark/>
          </w:tcPr>
          <w:p w14:paraId="1E4A4DF5" w14:textId="77777777" w:rsidR="001C5F6C" w:rsidRPr="00870330" w:rsidRDefault="001C5F6C" w:rsidP="001C5F6C">
            <w:pPr>
              <w:spacing w:after="0"/>
              <w:jc w:val="right"/>
              <w:rPr>
                <w:color w:val="000000"/>
              </w:rPr>
            </w:pPr>
            <w:r w:rsidRPr="00870330">
              <w:rPr>
                <w:color w:val="000000"/>
              </w:rPr>
              <w:t>-12.66903</w:t>
            </w:r>
          </w:p>
        </w:tc>
        <w:tc>
          <w:tcPr>
            <w:tcW w:w="1417" w:type="dxa"/>
            <w:tcBorders>
              <w:top w:val="nil"/>
              <w:left w:val="nil"/>
              <w:bottom w:val="nil"/>
              <w:right w:val="nil"/>
            </w:tcBorders>
            <w:shd w:val="clear" w:color="auto" w:fill="auto"/>
            <w:noWrap/>
            <w:vAlign w:val="bottom"/>
            <w:hideMark/>
          </w:tcPr>
          <w:p w14:paraId="239D7B4F" w14:textId="77777777" w:rsidR="001C5F6C" w:rsidRPr="00870330" w:rsidRDefault="001C5F6C" w:rsidP="001C5F6C">
            <w:pPr>
              <w:spacing w:after="0"/>
              <w:jc w:val="right"/>
              <w:rPr>
                <w:color w:val="000000"/>
              </w:rPr>
            </w:pPr>
            <w:r w:rsidRPr="00870330">
              <w:rPr>
                <w:color w:val="000000"/>
              </w:rPr>
              <w:t>-8.666210</w:t>
            </w:r>
          </w:p>
        </w:tc>
        <w:tc>
          <w:tcPr>
            <w:tcW w:w="1418" w:type="dxa"/>
            <w:tcBorders>
              <w:top w:val="nil"/>
              <w:left w:val="nil"/>
              <w:bottom w:val="nil"/>
              <w:right w:val="nil"/>
            </w:tcBorders>
            <w:shd w:val="clear" w:color="auto" w:fill="auto"/>
            <w:noWrap/>
            <w:vAlign w:val="bottom"/>
            <w:hideMark/>
          </w:tcPr>
          <w:p w14:paraId="6B904E3A" w14:textId="77777777" w:rsidR="001C5F6C" w:rsidRPr="00870330" w:rsidRDefault="001C5F6C" w:rsidP="001C5F6C">
            <w:pPr>
              <w:spacing w:after="0"/>
              <w:jc w:val="right"/>
              <w:rPr>
                <w:color w:val="000000"/>
              </w:rPr>
            </w:pPr>
            <w:r w:rsidRPr="00870330">
              <w:rPr>
                <w:color w:val="000000"/>
              </w:rPr>
              <w:t>-11.04240</w:t>
            </w:r>
          </w:p>
        </w:tc>
      </w:tr>
      <w:tr w:rsidR="001C5F6C" w:rsidRPr="00870330" w14:paraId="5F1FED88" w14:textId="77777777" w:rsidTr="00CE3155">
        <w:trPr>
          <w:trHeight w:val="300"/>
        </w:trPr>
        <w:tc>
          <w:tcPr>
            <w:tcW w:w="709" w:type="dxa"/>
            <w:tcBorders>
              <w:top w:val="nil"/>
              <w:left w:val="nil"/>
              <w:bottom w:val="nil"/>
              <w:right w:val="nil"/>
            </w:tcBorders>
            <w:shd w:val="clear" w:color="auto" w:fill="auto"/>
            <w:noWrap/>
            <w:vAlign w:val="bottom"/>
            <w:hideMark/>
          </w:tcPr>
          <w:p w14:paraId="5924E58E" w14:textId="77777777" w:rsidR="001C5F6C" w:rsidRPr="00870330" w:rsidRDefault="001C5F6C" w:rsidP="001C5F6C">
            <w:pPr>
              <w:spacing w:after="0"/>
              <w:jc w:val="center"/>
              <w:rPr>
                <w:color w:val="000000"/>
              </w:rPr>
            </w:pPr>
            <w:r w:rsidRPr="00870330">
              <w:rPr>
                <w:color w:val="000000"/>
              </w:rPr>
              <w:t>6</w:t>
            </w:r>
          </w:p>
        </w:tc>
        <w:tc>
          <w:tcPr>
            <w:tcW w:w="1134" w:type="dxa"/>
            <w:tcBorders>
              <w:top w:val="nil"/>
              <w:left w:val="nil"/>
              <w:bottom w:val="nil"/>
              <w:right w:val="nil"/>
            </w:tcBorders>
            <w:shd w:val="clear" w:color="auto" w:fill="auto"/>
            <w:noWrap/>
            <w:vAlign w:val="bottom"/>
            <w:hideMark/>
          </w:tcPr>
          <w:p w14:paraId="77876A53" w14:textId="77777777" w:rsidR="001C5F6C" w:rsidRPr="00870330" w:rsidRDefault="001C5F6C" w:rsidP="001C5F6C">
            <w:pPr>
              <w:spacing w:after="0"/>
              <w:jc w:val="right"/>
              <w:rPr>
                <w:color w:val="000000"/>
              </w:rPr>
            </w:pPr>
            <w:r w:rsidRPr="00870330">
              <w:rPr>
                <w:color w:val="000000"/>
              </w:rPr>
              <w:t>1066.686</w:t>
            </w:r>
          </w:p>
        </w:tc>
        <w:tc>
          <w:tcPr>
            <w:tcW w:w="1418" w:type="dxa"/>
            <w:tcBorders>
              <w:top w:val="nil"/>
              <w:left w:val="nil"/>
              <w:bottom w:val="nil"/>
              <w:right w:val="nil"/>
            </w:tcBorders>
            <w:shd w:val="clear" w:color="auto" w:fill="auto"/>
            <w:noWrap/>
            <w:vAlign w:val="bottom"/>
            <w:hideMark/>
          </w:tcPr>
          <w:p w14:paraId="2106E804" w14:textId="77777777" w:rsidR="001C5F6C" w:rsidRPr="00870330" w:rsidRDefault="001C5F6C" w:rsidP="001C5F6C">
            <w:pPr>
              <w:spacing w:after="0"/>
              <w:jc w:val="right"/>
              <w:rPr>
                <w:color w:val="000000"/>
              </w:rPr>
            </w:pPr>
            <w:r w:rsidRPr="00870330">
              <w:rPr>
                <w:color w:val="000000"/>
              </w:rPr>
              <w:t>37.05992</w:t>
            </w:r>
          </w:p>
        </w:tc>
        <w:tc>
          <w:tcPr>
            <w:tcW w:w="1417" w:type="dxa"/>
            <w:tcBorders>
              <w:top w:val="nil"/>
              <w:left w:val="nil"/>
              <w:bottom w:val="nil"/>
              <w:right w:val="nil"/>
            </w:tcBorders>
            <w:shd w:val="clear" w:color="auto" w:fill="auto"/>
            <w:noWrap/>
            <w:vAlign w:val="bottom"/>
            <w:hideMark/>
          </w:tcPr>
          <w:p w14:paraId="20FFB0A8" w14:textId="77777777" w:rsidR="001C5F6C" w:rsidRPr="00870330" w:rsidRDefault="001C5F6C" w:rsidP="001C5F6C">
            <w:pPr>
              <w:spacing w:after="0"/>
              <w:jc w:val="right"/>
              <w:rPr>
                <w:color w:val="000000"/>
              </w:rPr>
            </w:pPr>
            <w:r w:rsidRPr="00870330">
              <w:rPr>
                <w:color w:val="000000"/>
              </w:rPr>
              <w:t>1.61E-13</w:t>
            </w:r>
          </w:p>
        </w:tc>
        <w:tc>
          <w:tcPr>
            <w:tcW w:w="1418" w:type="dxa"/>
            <w:tcBorders>
              <w:top w:val="nil"/>
              <w:left w:val="nil"/>
              <w:bottom w:val="nil"/>
              <w:right w:val="nil"/>
            </w:tcBorders>
            <w:shd w:val="clear" w:color="auto" w:fill="auto"/>
            <w:noWrap/>
            <w:vAlign w:val="bottom"/>
            <w:hideMark/>
          </w:tcPr>
          <w:p w14:paraId="0C28D049" w14:textId="77777777" w:rsidR="001C5F6C" w:rsidRPr="00870330" w:rsidRDefault="001C5F6C" w:rsidP="001C5F6C">
            <w:pPr>
              <w:spacing w:after="0"/>
              <w:jc w:val="right"/>
              <w:rPr>
                <w:color w:val="000000"/>
              </w:rPr>
            </w:pPr>
            <w:r w:rsidRPr="00870330">
              <w:rPr>
                <w:color w:val="000000"/>
              </w:rPr>
              <w:t>-12.51386</w:t>
            </w:r>
          </w:p>
        </w:tc>
        <w:tc>
          <w:tcPr>
            <w:tcW w:w="1417" w:type="dxa"/>
            <w:tcBorders>
              <w:top w:val="nil"/>
              <w:left w:val="nil"/>
              <w:bottom w:val="nil"/>
              <w:right w:val="nil"/>
            </w:tcBorders>
            <w:shd w:val="clear" w:color="auto" w:fill="auto"/>
            <w:noWrap/>
            <w:vAlign w:val="bottom"/>
            <w:hideMark/>
          </w:tcPr>
          <w:p w14:paraId="14CB3D4A" w14:textId="77777777" w:rsidR="001C5F6C" w:rsidRPr="00870330" w:rsidRDefault="001C5F6C" w:rsidP="001C5F6C">
            <w:pPr>
              <w:spacing w:after="0"/>
              <w:jc w:val="right"/>
              <w:rPr>
                <w:color w:val="000000"/>
              </w:rPr>
            </w:pPr>
            <w:r w:rsidRPr="00870330">
              <w:rPr>
                <w:color w:val="000000"/>
              </w:rPr>
              <w:t>-7.736299</w:t>
            </w:r>
          </w:p>
        </w:tc>
        <w:tc>
          <w:tcPr>
            <w:tcW w:w="1418" w:type="dxa"/>
            <w:tcBorders>
              <w:top w:val="nil"/>
              <w:left w:val="nil"/>
              <w:bottom w:val="nil"/>
              <w:right w:val="nil"/>
            </w:tcBorders>
            <w:shd w:val="clear" w:color="auto" w:fill="auto"/>
            <w:noWrap/>
            <w:vAlign w:val="bottom"/>
            <w:hideMark/>
          </w:tcPr>
          <w:p w14:paraId="53FAFF45" w14:textId="77777777" w:rsidR="001C5F6C" w:rsidRPr="00870330" w:rsidRDefault="001C5F6C" w:rsidP="001C5F6C">
            <w:pPr>
              <w:spacing w:after="0"/>
              <w:jc w:val="right"/>
              <w:rPr>
                <w:color w:val="000000"/>
              </w:rPr>
            </w:pPr>
            <w:r w:rsidRPr="00870330">
              <w:rPr>
                <w:color w:val="000000"/>
              </w:rPr>
              <w:t>-10.57239</w:t>
            </w:r>
          </w:p>
        </w:tc>
      </w:tr>
      <w:tr w:rsidR="001C5F6C" w:rsidRPr="00870330" w14:paraId="7C3186DE" w14:textId="77777777" w:rsidTr="00CE3155">
        <w:trPr>
          <w:trHeight w:val="300"/>
        </w:trPr>
        <w:tc>
          <w:tcPr>
            <w:tcW w:w="709" w:type="dxa"/>
            <w:tcBorders>
              <w:top w:val="nil"/>
              <w:left w:val="nil"/>
              <w:bottom w:val="nil"/>
              <w:right w:val="nil"/>
            </w:tcBorders>
            <w:shd w:val="clear" w:color="auto" w:fill="auto"/>
            <w:noWrap/>
            <w:vAlign w:val="bottom"/>
            <w:hideMark/>
          </w:tcPr>
          <w:p w14:paraId="66E850B9" w14:textId="77777777" w:rsidR="001C5F6C" w:rsidRPr="00870330" w:rsidRDefault="001C5F6C" w:rsidP="001C5F6C">
            <w:pPr>
              <w:spacing w:after="0"/>
              <w:jc w:val="center"/>
              <w:rPr>
                <w:color w:val="000000"/>
              </w:rPr>
            </w:pPr>
            <w:r w:rsidRPr="00870330">
              <w:rPr>
                <w:color w:val="000000"/>
              </w:rPr>
              <w:t>7</w:t>
            </w:r>
          </w:p>
        </w:tc>
        <w:tc>
          <w:tcPr>
            <w:tcW w:w="1134" w:type="dxa"/>
            <w:tcBorders>
              <w:top w:val="nil"/>
              <w:left w:val="nil"/>
              <w:bottom w:val="nil"/>
              <w:right w:val="nil"/>
            </w:tcBorders>
            <w:shd w:val="clear" w:color="auto" w:fill="auto"/>
            <w:noWrap/>
            <w:vAlign w:val="bottom"/>
            <w:hideMark/>
          </w:tcPr>
          <w:p w14:paraId="796DACA2" w14:textId="77777777" w:rsidR="001C5F6C" w:rsidRPr="00870330" w:rsidRDefault="001C5F6C" w:rsidP="001C5F6C">
            <w:pPr>
              <w:spacing w:after="0"/>
              <w:jc w:val="right"/>
              <w:rPr>
                <w:color w:val="000000"/>
              </w:rPr>
            </w:pPr>
            <w:r w:rsidRPr="00870330">
              <w:rPr>
                <w:color w:val="000000"/>
              </w:rPr>
              <w:t>1091.039</w:t>
            </w:r>
          </w:p>
        </w:tc>
        <w:tc>
          <w:tcPr>
            <w:tcW w:w="1418" w:type="dxa"/>
            <w:tcBorders>
              <w:top w:val="nil"/>
              <w:left w:val="nil"/>
              <w:bottom w:val="nil"/>
              <w:right w:val="nil"/>
            </w:tcBorders>
            <w:shd w:val="clear" w:color="auto" w:fill="auto"/>
            <w:noWrap/>
            <w:vAlign w:val="bottom"/>
            <w:hideMark/>
          </w:tcPr>
          <w:p w14:paraId="7F84C479" w14:textId="77777777" w:rsidR="001C5F6C" w:rsidRPr="00870330" w:rsidRDefault="001C5F6C" w:rsidP="001C5F6C">
            <w:pPr>
              <w:spacing w:after="0"/>
              <w:jc w:val="right"/>
              <w:rPr>
                <w:color w:val="000000"/>
              </w:rPr>
            </w:pPr>
            <w:r w:rsidRPr="00870330">
              <w:rPr>
                <w:color w:val="000000"/>
              </w:rPr>
              <w:t>33.19290</w:t>
            </w:r>
          </w:p>
        </w:tc>
        <w:tc>
          <w:tcPr>
            <w:tcW w:w="1417" w:type="dxa"/>
            <w:tcBorders>
              <w:top w:val="nil"/>
              <w:left w:val="nil"/>
              <w:bottom w:val="nil"/>
              <w:right w:val="nil"/>
            </w:tcBorders>
            <w:shd w:val="clear" w:color="auto" w:fill="auto"/>
            <w:noWrap/>
            <w:vAlign w:val="bottom"/>
            <w:hideMark/>
          </w:tcPr>
          <w:p w14:paraId="23725F74" w14:textId="77777777" w:rsidR="001C5F6C" w:rsidRPr="00870330" w:rsidRDefault="001C5F6C" w:rsidP="001C5F6C">
            <w:pPr>
              <w:spacing w:after="0"/>
              <w:jc w:val="right"/>
              <w:rPr>
                <w:color w:val="000000"/>
              </w:rPr>
            </w:pPr>
            <w:r w:rsidRPr="00870330">
              <w:rPr>
                <w:color w:val="000000"/>
              </w:rPr>
              <w:t>2.02E-13</w:t>
            </w:r>
          </w:p>
        </w:tc>
        <w:tc>
          <w:tcPr>
            <w:tcW w:w="1418" w:type="dxa"/>
            <w:tcBorders>
              <w:top w:val="nil"/>
              <w:left w:val="nil"/>
              <w:bottom w:val="nil"/>
              <w:right w:val="nil"/>
            </w:tcBorders>
            <w:shd w:val="clear" w:color="auto" w:fill="auto"/>
            <w:noWrap/>
            <w:vAlign w:val="bottom"/>
            <w:hideMark/>
          </w:tcPr>
          <w:p w14:paraId="75C4A49A" w14:textId="77777777" w:rsidR="001C5F6C" w:rsidRPr="00870330" w:rsidRDefault="001C5F6C" w:rsidP="001C5F6C">
            <w:pPr>
              <w:spacing w:after="0"/>
              <w:jc w:val="right"/>
              <w:rPr>
                <w:color w:val="000000"/>
              </w:rPr>
            </w:pPr>
            <w:r w:rsidRPr="00870330">
              <w:rPr>
                <w:color w:val="000000"/>
              </w:rPr>
              <w:t>-12.34132</w:t>
            </w:r>
          </w:p>
        </w:tc>
        <w:tc>
          <w:tcPr>
            <w:tcW w:w="1417" w:type="dxa"/>
            <w:tcBorders>
              <w:top w:val="nil"/>
              <w:left w:val="nil"/>
              <w:bottom w:val="nil"/>
              <w:right w:val="nil"/>
            </w:tcBorders>
            <w:shd w:val="clear" w:color="auto" w:fill="auto"/>
            <w:noWrap/>
            <w:vAlign w:val="bottom"/>
            <w:hideMark/>
          </w:tcPr>
          <w:p w14:paraId="13EBA262" w14:textId="77777777" w:rsidR="001C5F6C" w:rsidRPr="00870330" w:rsidRDefault="001C5F6C" w:rsidP="001C5F6C">
            <w:pPr>
              <w:spacing w:after="0"/>
              <w:jc w:val="right"/>
              <w:rPr>
                <w:color w:val="000000"/>
              </w:rPr>
            </w:pPr>
            <w:r w:rsidRPr="00870330">
              <w:rPr>
                <w:color w:val="000000"/>
              </w:rPr>
              <w:t>-6.789018</w:t>
            </w:r>
          </w:p>
        </w:tc>
        <w:tc>
          <w:tcPr>
            <w:tcW w:w="1418" w:type="dxa"/>
            <w:tcBorders>
              <w:top w:val="nil"/>
              <w:left w:val="nil"/>
              <w:bottom w:val="nil"/>
              <w:right w:val="nil"/>
            </w:tcBorders>
            <w:shd w:val="clear" w:color="auto" w:fill="auto"/>
            <w:noWrap/>
            <w:vAlign w:val="bottom"/>
            <w:hideMark/>
          </w:tcPr>
          <w:p w14:paraId="51C13595" w14:textId="77777777" w:rsidR="001C5F6C" w:rsidRPr="00870330" w:rsidRDefault="001C5F6C" w:rsidP="001C5F6C">
            <w:pPr>
              <w:spacing w:after="0"/>
              <w:jc w:val="right"/>
              <w:rPr>
                <w:color w:val="000000"/>
              </w:rPr>
            </w:pPr>
            <w:r w:rsidRPr="00870330">
              <w:rPr>
                <w:color w:val="000000"/>
              </w:rPr>
              <w:t>-10.08502</w:t>
            </w:r>
          </w:p>
        </w:tc>
      </w:tr>
      <w:tr w:rsidR="001C5F6C" w:rsidRPr="00870330" w14:paraId="31D1E80E" w14:textId="77777777" w:rsidTr="00CE3155">
        <w:trPr>
          <w:trHeight w:val="300"/>
        </w:trPr>
        <w:tc>
          <w:tcPr>
            <w:tcW w:w="709" w:type="dxa"/>
            <w:tcBorders>
              <w:top w:val="nil"/>
              <w:left w:val="nil"/>
              <w:bottom w:val="single" w:sz="4" w:space="0" w:color="auto"/>
              <w:right w:val="nil"/>
            </w:tcBorders>
            <w:shd w:val="clear" w:color="auto" w:fill="auto"/>
            <w:noWrap/>
            <w:vAlign w:val="bottom"/>
            <w:hideMark/>
          </w:tcPr>
          <w:p w14:paraId="130FE884" w14:textId="77777777" w:rsidR="001C5F6C" w:rsidRPr="00870330" w:rsidRDefault="001C5F6C" w:rsidP="001C5F6C">
            <w:pPr>
              <w:spacing w:after="0"/>
              <w:jc w:val="center"/>
              <w:rPr>
                <w:color w:val="000000"/>
              </w:rPr>
            </w:pPr>
            <w:r w:rsidRPr="00870330">
              <w:rPr>
                <w:color w:val="000000"/>
              </w:rPr>
              <w:t>8</w:t>
            </w:r>
          </w:p>
        </w:tc>
        <w:tc>
          <w:tcPr>
            <w:tcW w:w="1134" w:type="dxa"/>
            <w:tcBorders>
              <w:top w:val="nil"/>
              <w:left w:val="nil"/>
              <w:bottom w:val="single" w:sz="4" w:space="0" w:color="auto"/>
              <w:right w:val="nil"/>
            </w:tcBorders>
            <w:shd w:val="clear" w:color="auto" w:fill="auto"/>
            <w:noWrap/>
            <w:vAlign w:val="bottom"/>
            <w:hideMark/>
          </w:tcPr>
          <w:p w14:paraId="6457B8CA" w14:textId="77777777" w:rsidR="001C5F6C" w:rsidRPr="00870330" w:rsidRDefault="001C5F6C" w:rsidP="001C5F6C">
            <w:pPr>
              <w:spacing w:after="0"/>
              <w:jc w:val="right"/>
              <w:rPr>
                <w:color w:val="000000"/>
              </w:rPr>
            </w:pPr>
            <w:r w:rsidRPr="00870330">
              <w:rPr>
                <w:color w:val="000000"/>
              </w:rPr>
              <w:t>1134.904</w:t>
            </w:r>
          </w:p>
        </w:tc>
        <w:tc>
          <w:tcPr>
            <w:tcW w:w="1418" w:type="dxa"/>
            <w:tcBorders>
              <w:top w:val="nil"/>
              <w:left w:val="nil"/>
              <w:bottom w:val="single" w:sz="4" w:space="0" w:color="auto"/>
              <w:right w:val="nil"/>
            </w:tcBorders>
            <w:shd w:val="clear" w:color="auto" w:fill="auto"/>
            <w:noWrap/>
            <w:vAlign w:val="bottom"/>
            <w:hideMark/>
          </w:tcPr>
          <w:p w14:paraId="1458F700" w14:textId="77777777" w:rsidR="001C5F6C" w:rsidRPr="00870330" w:rsidRDefault="001C5F6C" w:rsidP="001C5F6C">
            <w:pPr>
              <w:spacing w:after="0"/>
              <w:jc w:val="right"/>
              <w:rPr>
                <w:color w:val="000000"/>
              </w:rPr>
            </w:pPr>
            <w:r w:rsidRPr="00870330">
              <w:rPr>
                <w:color w:val="000000"/>
              </w:rPr>
              <w:t xml:space="preserve">  55.88707*</w:t>
            </w:r>
          </w:p>
        </w:tc>
        <w:tc>
          <w:tcPr>
            <w:tcW w:w="1417" w:type="dxa"/>
            <w:tcBorders>
              <w:top w:val="nil"/>
              <w:left w:val="nil"/>
              <w:bottom w:val="single" w:sz="4" w:space="0" w:color="auto"/>
              <w:right w:val="nil"/>
            </w:tcBorders>
            <w:shd w:val="clear" w:color="auto" w:fill="auto"/>
            <w:noWrap/>
            <w:vAlign w:val="bottom"/>
            <w:hideMark/>
          </w:tcPr>
          <w:p w14:paraId="340877C5" w14:textId="77777777" w:rsidR="001C5F6C" w:rsidRPr="00870330" w:rsidRDefault="001C5F6C" w:rsidP="001C5F6C">
            <w:pPr>
              <w:spacing w:after="0"/>
              <w:jc w:val="right"/>
              <w:rPr>
                <w:color w:val="000000"/>
              </w:rPr>
            </w:pPr>
            <w:r w:rsidRPr="00870330">
              <w:rPr>
                <w:color w:val="000000"/>
              </w:rPr>
              <w:t>1.93E-13</w:t>
            </w:r>
          </w:p>
        </w:tc>
        <w:tc>
          <w:tcPr>
            <w:tcW w:w="1418" w:type="dxa"/>
            <w:tcBorders>
              <w:top w:val="nil"/>
              <w:left w:val="nil"/>
              <w:bottom w:val="single" w:sz="4" w:space="0" w:color="auto"/>
              <w:right w:val="nil"/>
            </w:tcBorders>
            <w:shd w:val="clear" w:color="auto" w:fill="auto"/>
            <w:noWrap/>
            <w:vAlign w:val="bottom"/>
            <w:hideMark/>
          </w:tcPr>
          <w:p w14:paraId="43E77FF5" w14:textId="77777777" w:rsidR="001C5F6C" w:rsidRPr="00870330" w:rsidRDefault="001C5F6C" w:rsidP="001C5F6C">
            <w:pPr>
              <w:spacing w:after="0"/>
              <w:jc w:val="right"/>
              <w:rPr>
                <w:color w:val="000000"/>
              </w:rPr>
            </w:pPr>
            <w:r w:rsidRPr="00870330">
              <w:rPr>
                <w:color w:val="000000"/>
              </w:rPr>
              <w:t>-12.45784</w:t>
            </w:r>
          </w:p>
        </w:tc>
        <w:tc>
          <w:tcPr>
            <w:tcW w:w="1417" w:type="dxa"/>
            <w:tcBorders>
              <w:top w:val="nil"/>
              <w:left w:val="nil"/>
              <w:bottom w:val="single" w:sz="4" w:space="0" w:color="auto"/>
              <w:right w:val="nil"/>
            </w:tcBorders>
            <w:shd w:val="clear" w:color="auto" w:fill="auto"/>
            <w:noWrap/>
            <w:vAlign w:val="bottom"/>
            <w:hideMark/>
          </w:tcPr>
          <w:p w14:paraId="2324A71B" w14:textId="77777777" w:rsidR="001C5F6C" w:rsidRPr="00870330" w:rsidRDefault="001C5F6C" w:rsidP="001C5F6C">
            <w:pPr>
              <w:spacing w:after="0"/>
              <w:jc w:val="right"/>
              <w:rPr>
                <w:color w:val="000000"/>
              </w:rPr>
            </w:pPr>
            <w:r w:rsidRPr="00870330">
              <w:rPr>
                <w:color w:val="000000"/>
              </w:rPr>
              <w:t>-6.130794</w:t>
            </w:r>
          </w:p>
        </w:tc>
        <w:tc>
          <w:tcPr>
            <w:tcW w:w="1418" w:type="dxa"/>
            <w:tcBorders>
              <w:top w:val="nil"/>
              <w:left w:val="nil"/>
              <w:bottom w:val="single" w:sz="4" w:space="0" w:color="auto"/>
              <w:right w:val="nil"/>
            </w:tcBorders>
            <w:shd w:val="clear" w:color="auto" w:fill="auto"/>
            <w:noWrap/>
            <w:vAlign w:val="bottom"/>
            <w:hideMark/>
          </w:tcPr>
          <w:p w14:paraId="502B8D20" w14:textId="77777777" w:rsidR="001C5F6C" w:rsidRPr="00870330" w:rsidRDefault="001C5F6C" w:rsidP="001C5F6C">
            <w:pPr>
              <w:spacing w:after="0"/>
              <w:jc w:val="right"/>
              <w:rPr>
                <w:color w:val="000000"/>
              </w:rPr>
            </w:pPr>
            <w:r w:rsidRPr="00870330">
              <w:rPr>
                <w:color w:val="000000"/>
              </w:rPr>
              <w:t>-9.886704</w:t>
            </w:r>
          </w:p>
        </w:tc>
      </w:tr>
    </w:tbl>
    <w:p w14:paraId="35C6875A" w14:textId="6CE35DCA" w:rsidR="001C5F6C" w:rsidRPr="00870330" w:rsidRDefault="004815D3">
      <w:pPr>
        <w:shd w:val="clear" w:color="auto" w:fill="FFFFFF"/>
        <w:spacing w:line="240" w:lineRule="auto"/>
        <w:jc w:val="both"/>
        <w:rPr>
          <w:color w:val="0D0D0D" w:themeColor="text1" w:themeTint="F2"/>
        </w:rPr>
      </w:pPr>
      <w:r w:rsidRPr="00870330">
        <w:rPr>
          <w:color w:val="0D0D0D" w:themeColor="text1" w:themeTint="F2"/>
        </w:rPr>
        <w:t>Note: *</w:t>
      </w:r>
      <w:r w:rsidR="003769B1" w:rsidRPr="00870330">
        <w:rPr>
          <w:color w:val="0D0D0D" w:themeColor="text1" w:themeTint="F2"/>
        </w:rPr>
        <w:t xml:space="preserve"> </w:t>
      </w:r>
      <w:r w:rsidRPr="00870330">
        <w:rPr>
          <w:color w:val="0D0D0D" w:themeColor="text1" w:themeTint="F2"/>
        </w:rPr>
        <w:t xml:space="preserve">represents </w:t>
      </w:r>
      <w:r w:rsidR="003769B1" w:rsidRPr="00870330">
        <w:rPr>
          <w:color w:val="0D0D0D" w:themeColor="text1" w:themeTint="F2"/>
        </w:rPr>
        <w:t xml:space="preserve">the </w:t>
      </w:r>
      <w:r w:rsidRPr="00870330">
        <w:rPr>
          <w:color w:val="0D0D0D" w:themeColor="text1" w:themeTint="F2"/>
        </w:rPr>
        <w:t>optimal lag</w:t>
      </w:r>
    </w:p>
    <w:p w14:paraId="00000034" w14:textId="77777777" w:rsidR="00214FDC" w:rsidRPr="008465A6" w:rsidRDefault="00F21149" w:rsidP="00BD22CC">
      <w:pPr>
        <w:spacing w:after="0"/>
        <w:jc w:val="both"/>
        <w:rPr>
          <w:color w:val="0D0D0D" w:themeColor="text1" w:themeTint="F2"/>
        </w:rPr>
      </w:pPr>
      <w:r w:rsidRPr="00870330">
        <w:rPr>
          <w:b/>
          <w:color w:val="0D0D0D" w:themeColor="text1" w:themeTint="F2"/>
          <w:sz w:val="28"/>
          <w:szCs w:val="28"/>
        </w:rPr>
        <w:t>References</w:t>
      </w:r>
    </w:p>
    <w:p w14:paraId="22CC7CD1" w14:textId="4F3540FF" w:rsidR="00BD22CC" w:rsidRPr="00BD22CC" w:rsidRDefault="00BD22CC" w:rsidP="00BD22CC">
      <w:pPr>
        <w:widowControl w:val="0"/>
        <w:autoSpaceDE w:val="0"/>
        <w:autoSpaceDN w:val="0"/>
        <w:adjustRightInd w:val="0"/>
        <w:spacing w:after="0" w:line="240" w:lineRule="auto"/>
        <w:ind w:left="480" w:hanging="480"/>
        <w:jc w:val="both"/>
        <w:rPr>
          <w:noProof/>
          <w:szCs w:val="24"/>
        </w:rPr>
      </w:pPr>
      <w:r>
        <w:rPr>
          <w:color w:val="0D0D0D" w:themeColor="text1" w:themeTint="F2"/>
        </w:rPr>
        <w:fldChar w:fldCharType="begin" w:fldLock="1"/>
      </w:r>
      <w:r>
        <w:rPr>
          <w:color w:val="0D0D0D" w:themeColor="text1" w:themeTint="F2"/>
        </w:rPr>
        <w:instrText xml:space="preserve">ADDIN Mendeley Bibliography CSL_BIBLIOGRAPHY </w:instrText>
      </w:r>
      <w:r>
        <w:rPr>
          <w:color w:val="0D0D0D" w:themeColor="text1" w:themeTint="F2"/>
        </w:rPr>
        <w:fldChar w:fldCharType="separate"/>
      </w:r>
      <w:r w:rsidRPr="00BD22CC">
        <w:rPr>
          <w:noProof/>
          <w:szCs w:val="24"/>
        </w:rPr>
        <w:t xml:space="preserve">Acheampong, E. O., Macgregor, C. J., Sloan, S., &amp; Sayer, J. (2019). Deforestation is driven by agricultural expansion in Ghana’s forest reserves. </w:t>
      </w:r>
      <w:r w:rsidRPr="00BD22CC">
        <w:rPr>
          <w:i/>
          <w:iCs/>
          <w:noProof/>
          <w:szCs w:val="24"/>
        </w:rPr>
        <w:t>Scientific African</w:t>
      </w:r>
      <w:r w:rsidRPr="00BD22CC">
        <w:rPr>
          <w:noProof/>
          <w:szCs w:val="24"/>
        </w:rPr>
        <w:t xml:space="preserve">, </w:t>
      </w:r>
      <w:r w:rsidRPr="00BD22CC">
        <w:rPr>
          <w:i/>
          <w:iCs/>
          <w:noProof/>
          <w:szCs w:val="24"/>
        </w:rPr>
        <w:t>5</w:t>
      </w:r>
      <w:r w:rsidRPr="00BD22CC">
        <w:rPr>
          <w:noProof/>
          <w:szCs w:val="24"/>
        </w:rPr>
        <w:t>(e00146), 1–11. https://doi.org/10.1016/j.sciaf.2019.e00146</w:t>
      </w:r>
    </w:p>
    <w:p w14:paraId="19DD35BF"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Ajanaku, B. A., &amp; Collins, A. R. (2021). Economic growth and deforestation in African countries: Is the environmental Kuznets curve hypothesis applicable? </w:t>
      </w:r>
      <w:r w:rsidRPr="00BD22CC">
        <w:rPr>
          <w:i/>
          <w:iCs/>
          <w:noProof/>
          <w:szCs w:val="24"/>
        </w:rPr>
        <w:t>Forest Policy and Economics</w:t>
      </w:r>
      <w:r w:rsidRPr="00BD22CC">
        <w:rPr>
          <w:noProof/>
          <w:szCs w:val="24"/>
        </w:rPr>
        <w:t xml:space="preserve">, </w:t>
      </w:r>
      <w:r w:rsidRPr="00BD22CC">
        <w:rPr>
          <w:i/>
          <w:iCs/>
          <w:noProof/>
          <w:szCs w:val="24"/>
        </w:rPr>
        <w:t>129</w:t>
      </w:r>
      <w:r w:rsidRPr="00BD22CC">
        <w:rPr>
          <w:noProof/>
          <w:szCs w:val="24"/>
        </w:rPr>
        <w:t>(May), 102488. https://doi.org/10.1016/j.forpol.2021.102488</w:t>
      </w:r>
    </w:p>
    <w:p w14:paraId="56638F5E"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Ampon-Wireko, S., Zhou, L., Xu, X., Dauda, L., Mensah, I. A., Larnyo, E., &amp; Baah Nketiah, E. (2021). The relationship between healthcare expenditure, CO2 emissions and natural resources: evidence from developing countries. </w:t>
      </w:r>
      <w:r w:rsidRPr="00BD22CC">
        <w:rPr>
          <w:i/>
          <w:iCs/>
          <w:noProof/>
          <w:szCs w:val="24"/>
        </w:rPr>
        <w:t>Journal of Environmental Economics and Policy</w:t>
      </w:r>
      <w:r w:rsidRPr="00BD22CC">
        <w:rPr>
          <w:noProof/>
          <w:szCs w:val="24"/>
        </w:rPr>
        <w:t>. https://doi.org/10.1080/21606544.2021.1979101</w:t>
      </w:r>
    </w:p>
    <w:p w14:paraId="447FDEB7"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Attiaoui, I., Toumi, H., Ammouri, B., &amp; Gargouri, I. (2017). Causality links among renewable energy consumption, CO2 emissions, and economic growth in Africa: evidence from a panel ARDL-PMG approach. </w:t>
      </w:r>
      <w:r w:rsidRPr="00BD22CC">
        <w:rPr>
          <w:i/>
          <w:iCs/>
          <w:noProof/>
          <w:szCs w:val="24"/>
        </w:rPr>
        <w:t>Environmental Science and Pollution Research</w:t>
      </w:r>
      <w:r w:rsidRPr="00BD22CC">
        <w:rPr>
          <w:noProof/>
          <w:szCs w:val="24"/>
        </w:rPr>
        <w:t xml:space="preserve">, </w:t>
      </w:r>
      <w:r w:rsidRPr="00BD22CC">
        <w:rPr>
          <w:i/>
          <w:iCs/>
          <w:noProof/>
          <w:szCs w:val="24"/>
        </w:rPr>
        <w:t>24</w:t>
      </w:r>
      <w:r w:rsidRPr="00BD22CC">
        <w:rPr>
          <w:noProof/>
          <w:szCs w:val="24"/>
        </w:rPr>
        <w:t>(14), 13036–13048. https://doi.org/10.1007/s11356-017-8850-7</w:t>
      </w:r>
    </w:p>
    <w:p w14:paraId="788FFCF3"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Austin, K. G., Schwantes, A., Gu, Y., &amp; Kasibhatla, P. S. (2019). What causes deforestation in Indonesia? </w:t>
      </w:r>
      <w:r w:rsidRPr="00BD22CC">
        <w:rPr>
          <w:i/>
          <w:iCs/>
          <w:noProof/>
          <w:szCs w:val="24"/>
        </w:rPr>
        <w:t>Environmental Research Letters</w:t>
      </w:r>
      <w:r w:rsidRPr="00BD22CC">
        <w:rPr>
          <w:noProof/>
          <w:szCs w:val="24"/>
        </w:rPr>
        <w:t xml:space="preserve">, </w:t>
      </w:r>
      <w:r w:rsidRPr="00BD22CC">
        <w:rPr>
          <w:i/>
          <w:iCs/>
          <w:noProof/>
          <w:szCs w:val="24"/>
        </w:rPr>
        <w:t>14</w:t>
      </w:r>
      <w:r w:rsidRPr="00BD22CC">
        <w:rPr>
          <w:noProof/>
          <w:szCs w:val="24"/>
        </w:rPr>
        <w:t>(2), 1–10. https://doi.org/10.1088/1748-9326/aaf6db</w:t>
      </w:r>
    </w:p>
    <w:p w14:paraId="46E7FAC0"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Avnimelech, G., &amp; Zelekha, Y. (2014). The impact of corruption on entrepreneurship. </w:t>
      </w:r>
      <w:r w:rsidRPr="00BD22CC">
        <w:rPr>
          <w:i/>
          <w:iCs/>
          <w:noProof/>
          <w:szCs w:val="24"/>
        </w:rPr>
        <w:t>International Business Ethics and Growth Opportunities</w:t>
      </w:r>
      <w:r w:rsidRPr="00BD22CC">
        <w:rPr>
          <w:noProof/>
          <w:szCs w:val="24"/>
        </w:rPr>
        <w:t xml:space="preserve">, </w:t>
      </w:r>
      <w:r w:rsidRPr="00BD22CC">
        <w:rPr>
          <w:i/>
          <w:iCs/>
          <w:noProof/>
          <w:szCs w:val="24"/>
        </w:rPr>
        <w:t>42</w:t>
      </w:r>
      <w:r w:rsidRPr="00BD22CC">
        <w:rPr>
          <w:noProof/>
          <w:szCs w:val="24"/>
        </w:rPr>
        <w:t>(2), 282–294. https://doi.org/10.4018/978-1-4666-7419-6.ch013</w:t>
      </w:r>
    </w:p>
    <w:p w14:paraId="4C8B76FC"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Caravaggio, N. (2020). A global empirical re-assessment of the Environmental Kuznets curve for deforestation. </w:t>
      </w:r>
      <w:r w:rsidRPr="00BD22CC">
        <w:rPr>
          <w:i/>
          <w:iCs/>
          <w:noProof/>
          <w:szCs w:val="24"/>
        </w:rPr>
        <w:t>Forest Policy and Economics</w:t>
      </w:r>
      <w:r w:rsidRPr="00BD22CC">
        <w:rPr>
          <w:noProof/>
          <w:szCs w:val="24"/>
        </w:rPr>
        <w:t xml:space="preserve">, </w:t>
      </w:r>
      <w:r w:rsidRPr="00BD22CC">
        <w:rPr>
          <w:i/>
          <w:iCs/>
          <w:noProof/>
          <w:szCs w:val="24"/>
        </w:rPr>
        <w:t>119</w:t>
      </w:r>
      <w:r w:rsidRPr="00BD22CC">
        <w:rPr>
          <w:noProof/>
          <w:szCs w:val="24"/>
        </w:rPr>
        <w:t>(September), 102282. https://doi.org/10.1016/j.forpol.2020.102282</w:t>
      </w:r>
    </w:p>
    <w:p w14:paraId="1D607638"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Carodenuto, S., Merger, E., Essomba, E., Panev, M., Pistorius, T., &amp; Amougou, J. (2015). A </w:t>
      </w:r>
      <w:r w:rsidRPr="00BD22CC">
        <w:rPr>
          <w:noProof/>
          <w:szCs w:val="24"/>
        </w:rPr>
        <w:lastRenderedPageBreak/>
        <w:t xml:space="preserve">methodological framework for assessing agents, proximate drivers and underlying causes of deforestation: Field test results from Southern Cameroon. </w:t>
      </w:r>
      <w:r w:rsidRPr="00BD22CC">
        <w:rPr>
          <w:i/>
          <w:iCs/>
          <w:noProof/>
          <w:szCs w:val="24"/>
        </w:rPr>
        <w:t>Forests</w:t>
      </w:r>
      <w:r w:rsidRPr="00BD22CC">
        <w:rPr>
          <w:noProof/>
          <w:szCs w:val="24"/>
        </w:rPr>
        <w:t xml:space="preserve">, </w:t>
      </w:r>
      <w:r w:rsidRPr="00BD22CC">
        <w:rPr>
          <w:i/>
          <w:iCs/>
          <w:noProof/>
          <w:szCs w:val="24"/>
        </w:rPr>
        <w:t>6</w:t>
      </w:r>
      <w:r w:rsidRPr="00BD22CC">
        <w:rPr>
          <w:noProof/>
          <w:szCs w:val="24"/>
        </w:rPr>
        <w:t>(1), 203–224. https://doi.org/10.3390/f6010203</w:t>
      </w:r>
    </w:p>
    <w:p w14:paraId="18A3FF90"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Crespo Cuaresma, J., Danylo, O., Fritz, S., McCallum, I., Obersteiner, M., See, L., &amp; Walsh, B. (2017). Economic development and forest cover: Evidence from satellite data. </w:t>
      </w:r>
      <w:r w:rsidRPr="00BD22CC">
        <w:rPr>
          <w:i/>
          <w:iCs/>
          <w:noProof/>
          <w:szCs w:val="24"/>
        </w:rPr>
        <w:t>Scientific Reports</w:t>
      </w:r>
      <w:r w:rsidRPr="00BD22CC">
        <w:rPr>
          <w:noProof/>
          <w:szCs w:val="24"/>
        </w:rPr>
        <w:t xml:space="preserve">, </w:t>
      </w:r>
      <w:r w:rsidRPr="00BD22CC">
        <w:rPr>
          <w:i/>
          <w:iCs/>
          <w:noProof/>
          <w:szCs w:val="24"/>
        </w:rPr>
        <w:t>7</w:t>
      </w:r>
      <w:r w:rsidRPr="00BD22CC">
        <w:rPr>
          <w:noProof/>
          <w:szCs w:val="24"/>
        </w:rPr>
        <w:t>(January), 1–8. https://doi.org/10.1038/srep40678</w:t>
      </w:r>
    </w:p>
    <w:p w14:paraId="668FFA26"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Culas, R. J. (2007). Deforestation and the environmental Kuznets curve: An institutional perspective. </w:t>
      </w:r>
      <w:r w:rsidRPr="00BD22CC">
        <w:rPr>
          <w:i/>
          <w:iCs/>
          <w:noProof/>
          <w:szCs w:val="24"/>
        </w:rPr>
        <w:t>Ecological Economics</w:t>
      </w:r>
      <w:r w:rsidRPr="00BD22CC">
        <w:rPr>
          <w:noProof/>
          <w:szCs w:val="24"/>
        </w:rPr>
        <w:t xml:space="preserve">, </w:t>
      </w:r>
      <w:r w:rsidRPr="00BD22CC">
        <w:rPr>
          <w:i/>
          <w:iCs/>
          <w:noProof/>
          <w:szCs w:val="24"/>
        </w:rPr>
        <w:t>61</w:t>
      </w:r>
      <w:r w:rsidRPr="00BD22CC">
        <w:rPr>
          <w:noProof/>
          <w:szCs w:val="24"/>
        </w:rPr>
        <w:t>(2–3), 429–437. https://doi.org/10.1016/j.ecolecon.2006.03.014</w:t>
      </w:r>
    </w:p>
    <w:p w14:paraId="3C7C5E8B"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Defries, R. S., Rudel, T., Uriarte, M., &amp; Hansen, M. (2010). Deforestation driven by urban population growth and agricultural trade in the twenty-first century. </w:t>
      </w:r>
      <w:r w:rsidRPr="00BD22CC">
        <w:rPr>
          <w:i/>
          <w:iCs/>
          <w:noProof/>
          <w:szCs w:val="24"/>
        </w:rPr>
        <w:t>Nature Geoscience</w:t>
      </w:r>
      <w:r w:rsidRPr="00BD22CC">
        <w:rPr>
          <w:noProof/>
          <w:szCs w:val="24"/>
        </w:rPr>
        <w:t xml:space="preserve">, </w:t>
      </w:r>
      <w:r w:rsidRPr="00BD22CC">
        <w:rPr>
          <w:i/>
          <w:iCs/>
          <w:noProof/>
          <w:szCs w:val="24"/>
        </w:rPr>
        <w:t>3</w:t>
      </w:r>
      <w:r w:rsidRPr="00BD22CC">
        <w:rPr>
          <w:noProof/>
          <w:szCs w:val="24"/>
        </w:rPr>
        <w:t>(3), 178–181. https://doi.org/10.1038/ngeo756</w:t>
      </w:r>
    </w:p>
    <w:p w14:paraId="0A43D311"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Dumitrescu, E. I., &amp; Hurlin, C. (2012). Testing for Granger non-causality in heterogeneous panels. </w:t>
      </w:r>
      <w:r w:rsidRPr="00BD22CC">
        <w:rPr>
          <w:i/>
          <w:iCs/>
          <w:noProof/>
          <w:szCs w:val="24"/>
        </w:rPr>
        <w:t>Economic Modelling</w:t>
      </w:r>
      <w:r w:rsidRPr="00BD22CC">
        <w:rPr>
          <w:noProof/>
          <w:szCs w:val="24"/>
        </w:rPr>
        <w:t xml:space="preserve">, </w:t>
      </w:r>
      <w:r w:rsidRPr="00BD22CC">
        <w:rPr>
          <w:i/>
          <w:iCs/>
          <w:noProof/>
          <w:szCs w:val="24"/>
        </w:rPr>
        <w:t>29</w:t>
      </w:r>
      <w:r w:rsidRPr="00BD22CC">
        <w:rPr>
          <w:noProof/>
          <w:szCs w:val="24"/>
        </w:rPr>
        <w:t>(4), 1450–1460. https://doi.org/10.1016/j.econmod.2012.02.014</w:t>
      </w:r>
    </w:p>
    <w:p w14:paraId="6704DB1C"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Ekananda, M. (2014). </w:t>
      </w:r>
      <w:r w:rsidRPr="00BD22CC">
        <w:rPr>
          <w:i/>
          <w:iCs/>
          <w:noProof/>
          <w:szCs w:val="24"/>
        </w:rPr>
        <w:t>Analisis Data Time Series untuk Penelitian Ekonomi, Manajemen dan Akuntansi</w:t>
      </w:r>
      <w:r w:rsidRPr="00BD22CC">
        <w:rPr>
          <w:noProof/>
          <w:szCs w:val="24"/>
        </w:rPr>
        <w:t>. Mitra Wacana Media.</w:t>
      </w:r>
    </w:p>
    <w:p w14:paraId="4056BA42"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Ekananda, M. (2022). Role of macroeconomic determinants on the natural resource commodity prices: Indonesia futures volatility. </w:t>
      </w:r>
      <w:r w:rsidRPr="00BD22CC">
        <w:rPr>
          <w:i/>
          <w:iCs/>
          <w:noProof/>
          <w:szCs w:val="24"/>
        </w:rPr>
        <w:t>Resources Policy</w:t>
      </w:r>
      <w:r w:rsidRPr="00BD22CC">
        <w:rPr>
          <w:noProof/>
          <w:szCs w:val="24"/>
        </w:rPr>
        <w:t xml:space="preserve">, </w:t>
      </w:r>
      <w:r w:rsidRPr="00BD22CC">
        <w:rPr>
          <w:i/>
          <w:iCs/>
          <w:noProof/>
          <w:szCs w:val="24"/>
        </w:rPr>
        <w:t>78</w:t>
      </w:r>
      <w:r w:rsidRPr="00BD22CC">
        <w:rPr>
          <w:noProof/>
          <w:szCs w:val="24"/>
        </w:rPr>
        <w:t>(May), 102815. https://doi.org/10.1016/j.resourpol.2022.102815</w:t>
      </w:r>
    </w:p>
    <w:p w14:paraId="5A343DD5"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FAO. (2020). Global Forest Resources Assessment 2020: Main report. In </w:t>
      </w:r>
      <w:r w:rsidRPr="00BD22CC">
        <w:rPr>
          <w:i/>
          <w:iCs/>
          <w:noProof/>
          <w:szCs w:val="24"/>
        </w:rPr>
        <w:t>FAO</w:t>
      </w:r>
      <w:r w:rsidRPr="00BD22CC">
        <w:rPr>
          <w:noProof/>
          <w:szCs w:val="24"/>
        </w:rPr>
        <w:t>. https://doi.org/10.4324/9781315184487-1</w:t>
      </w:r>
    </w:p>
    <w:p w14:paraId="2134F5A3"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FAO and UNEP. (2020). The State of the World’s Forest. Forests, biodiversity and people. In </w:t>
      </w:r>
      <w:r w:rsidRPr="00BD22CC">
        <w:rPr>
          <w:i/>
          <w:iCs/>
          <w:noProof/>
          <w:szCs w:val="24"/>
        </w:rPr>
        <w:t>Geographical Review</w:t>
      </w:r>
      <w:r w:rsidRPr="00BD22CC">
        <w:rPr>
          <w:noProof/>
          <w:szCs w:val="24"/>
        </w:rPr>
        <w:t xml:space="preserve"> (Vol. 14, Issue 1). https://doi.org/https://doi.org/10.4060/ca8642en</w:t>
      </w:r>
    </w:p>
    <w:p w14:paraId="07C03F37"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Faria, W. R., &amp; Almeida, A. N. (2016). Relationship between openness to trade and deforestation: Empirical evidence from the Brazilian Amazon. </w:t>
      </w:r>
      <w:r w:rsidRPr="00BD22CC">
        <w:rPr>
          <w:i/>
          <w:iCs/>
          <w:noProof/>
          <w:szCs w:val="24"/>
        </w:rPr>
        <w:t>Ecological Economics</w:t>
      </w:r>
      <w:r w:rsidRPr="00BD22CC">
        <w:rPr>
          <w:noProof/>
          <w:szCs w:val="24"/>
        </w:rPr>
        <w:t xml:space="preserve">, </w:t>
      </w:r>
      <w:r w:rsidRPr="00BD22CC">
        <w:rPr>
          <w:i/>
          <w:iCs/>
          <w:noProof/>
          <w:szCs w:val="24"/>
        </w:rPr>
        <w:t>121</w:t>
      </w:r>
      <w:r w:rsidRPr="00BD22CC">
        <w:rPr>
          <w:noProof/>
          <w:szCs w:val="24"/>
        </w:rPr>
        <w:t>, 85–97. https://doi.org/10.1016/j.ecolecon.2015.11.014</w:t>
      </w:r>
    </w:p>
    <w:p w14:paraId="7545E204"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Gandhi, S., &amp; Jones, T. G. (2019). Identifying mangrove deforestation hotspots in South Asia, Southeast Asia and Asia-Pacific. </w:t>
      </w:r>
      <w:r w:rsidRPr="00BD22CC">
        <w:rPr>
          <w:i/>
          <w:iCs/>
          <w:noProof/>
          <w:szCs w:val="24"/>
        </w:rPr>
        <w:t>Remote Sensing</w:t>
      </w:r>
      <w:r w:rsidRPr="00BD22CC">
        <w:rPr>
          <w:noProof/>
          <w:szCs w:val="24"/>
        </w:rPr>
        <w:t xml:space="preserve">, </w:t>
      </w:r>
      <w:r w:rsidRPr="00BD22CC">
        <w:rPr>
          <w:i/>
          <w:iCs/>
          <w:noProof/>
          <w:szCs w:val="24"/>
        </w:rPr>
        <w:t>11</w:t>
      </w:r>
      <w:r w:rsidRPr="00BD22CC">
        <w:rPr>
          <w:noProof/>
          <w:szCs w:val="24"/>
        </w:rPr>
        <w:t>(6), 1–27. https://doi.org/10.3390/RS11060728</w:t>
      </w:r>
    </w:p>
    <w:p w14:paraId="14FCA6C5"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Handalani, R. T. (2019). Determinan Deforestasi Negara-Negara Di Kawasan Asia Tenggara Periode 2008-2015. </w:t>
      </w:r>
      <w:r w:rsidRPr="00BD22CC">
        <w:rPr>
          <w:i/>
          <w:iCs/>
          <w:noProof/>
          <w:szCs w:val="24"/>
        </w:rPr>
        <w:t>Jurnal Pembangunan Wilayah &amp; Kota</w:t>
      </w:r>
      <w:r w:rsidRPr="00BD22CC">
        <w:rPr>
          <w:noProof/>
          <w:szCs w:val="24"/>
        </w:rPr>
        <w:t xml:space="preserve">, </w:t>
      </w:r>
      <w:r w:rsidRPr="00BD22CC">
        <w:rPr>
          <w:i/>
          <w:iCs/>
          <w:noProof/>
          <w:szCs w:val="24"/>
        </w:rPr>
        <w:t>15</w:t>
      </w:r>
      <w:r w:rsidRPr="00BD22CC">
        <w:rPr>
          <w:noProof/>
          <w:szCs w:val="24"/>
        </w:rPr>
        <w:t>(1), 1–19. https://doi.org/10.14710/pwk.v15i1.21267</w:t>
      </w:r>
    </w:p>
    <w:p w14:paraId="3B969C06"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Hill, T. D., Davis, A. P., Roos, J. M., &amp; French, M. T. (2020). Limitations of Fixed-Effects Models for Panel Data. </w:t>
      </w:r>
      <w:r w:rsidRPr="00BD22CC">
        <w:rPr>
          <w:i/>
          <w:iCs/>
          <w:noProof/>
          <w:szCs w:val="24"/>
        </w:rPr>
        <w:t>Sociological Perspectives</w:t>
      </w:r>
      <w:r w:rsidRPr="00BD22CC">
        <w:rPr>
          <w:noProof/>
          <w:szCs w:val="24"/>
        </w:rPr>
        <w:t xml:space="preserve">, </w:t>
      </w:r>
      <w:r w:rsidRPr="00BD22CC">
        <w:rPr>
          <w:i/>
          <w:iCs/>
          <w:noProof/>
          <w:szCs w:val="24"/>
        </w:rPr>
        <w:t>63</w:t>
      </w:r>
      <w:r w:rsidRPr="00BD22CC">
        <w:rPr>
          <w:noProof/>
          <w:szCs w:val="24"/>
        </w:rPr>
        <w:t>(3), 357–369. https://doi.org/10.1177/0731121419863785</w:t>
      </w:r>
    </w:p>
    <w:p w14:paraId="1BEC5E76"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Hosonuma, N., Herold, M., De Sy, V., De Fries, R. S., Brockhaus, M., Verchot, L., Angelsen, A., &amp; Romijn, E. (2012). An assessment of deforestation and forest degradation drivers in developing countries. </w:t>
      </w:r>
      <w:r w:rsidRPr="00BD22CC">
        <w:rPr>
          <w:i/>
          <w:iCs/>
          <w:noProof/>
          <w:szCs w:val="24"/>
        </w:rPr>
        <w:t>Environmental Research Letters</w:t>
      </w:r>
      <w:r w:rsidRPr="00BD22CC">
        <w:rPr>
          <w:noProof/>
          <w:szCs w:val="24"/>
        </w:rPr>
        <w:t xml:space="preserve">, </w:t>
      </w:r>
      <w:r w:rsidRPr="00BD22CC">
        <w:rPr>
          <w:i/>
          <w:iCs/>
          <w:noProof/>
          <w:szCs w:val="24"/>
        </w:rPr>
        <w:t>7</w:t>
      </w:r>
      <w:r w:rsidRPr="00BD22CC">
        <w:rPr>
          <w:noProof/>
          <w:szCs w:val="24"/>
        </w:rPr>
        <w:t>(4), 1–12. https://doi.org/10.1088/1748-9326/7/4/044009</w:t>
      </w:r>
    </w:p>
    <w:p w14:paraId="55F084E5"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Im, K. S., Pesaran, M. H., &amp; Shin, Y. (2003). Testing for unit roots in heterogeneous panels. </w:t>
      </w:r>
      <w:r w:rsidRPr="00BD22CC">
        <w:rPr>
          <w:i/>
          <w:iCs/>
          <w:noProof/>
          <w:szCs w:val="24"/>
        </w:rPr>
        <w:t>Journal of Econometrics</w:t>
      </w:r>
      <w:r w:rsidRPr="00BD22CC">
        <w:rPr>
          <w:noProof/>
          <w:szCs w:val="24"/>
        </w:rPr>
        <w:t xml:space="preserve">, </w:t>
      </w:r>
      <w:r w:rsidRPr="00BD22CC">
        <w:rPr>
          <w:i/>
          <w:iCs/>
          <w:noProof/>
          <w:szCs w:val="24"/>
        </w:rPr>
        <w:t>115</w:t>
      </w:r>
      <w:r w:rsidRPr="00BD22CC">
        <w:rPr>
          <w:noProof/>
          <w:szCs w:val="24"/>
        </w:rPr>
        <w:t>(1), 53–74. https://doi.org/10.1016/S0304-4076(03)00092-7</w:t>
      </w:r>
    </w:p>
    <w:p w14:paraId="07272F98"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International Union for Conservation of Nature. (2021). Deforestation and Forest Degradation. In </w:t>
      </w:r>
      <w:r w:rsidRPr="00BD22CC">
        <w:rPr>
          <w:i/>
          <w:iCs/>
          <w:noProof/>
          <w:szCs w:val="24"/>
        </w:rPr>
        <w:t>Issue Brief</w:t>
      </w:r>
      <w:r w:rsidRPr="00BD22CC">
        <w:rPr>
          <w:noProof/>
          <w:szCs w:val="24"/>
        </w:rPr>
        <w:t xml:space="preserve"> (Issue February). https://www.iucn.org/sites/dev/files/species_and_climate_change_issues_brief-2019-12.pdf</w:t>
      </w:r>
    </w:p>
    <w:p w14:paraId="05598B00"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Islam, M. S. (2021). Influence of economic growth on environmental pollution in South Asia: a panel cointegration analysis. </w:t>
      </w:r>
      <w:r w:rsidRPr="00BD22CC">
        <w:rPr>
          <w:i/>
          <w:iCs/>
          <w:noProof/>
          <w:szCs w:val="24"/>
        </w:rPr>
        <w:t>Asia-Pacific Journal of Regional Science</w:t>
      </w:r>
      <w:r w:rsidRPr="00BD22CC">
        <w:rPr>
          <w:noProof/>
          <w:szCs w:val="24"/>
        </w:rPr>
        <w:t xml:space="preserve">, </w:t>
      </w:r>
      <w:r w:rsidRPr="00BD22CC">
        <w:rPr>
          <w:i/>
          <w:iCs/>
          <w:noProof/>
          <w:szCs w:val="24"/>
        </w:rPr>
        <w:t>5</w:t>
      </w:r>
      <w:r w:rsidRPr="00BD22CC">
        <w:rPr>
          <w:noProof/>
          <w:szCs w:val="24"/>
        </w:rPr>
        <w:t>(3), 951–973. https://doi.org/10.1007/s41685-021-00208-5</w:t>
      </w:r>
    </w:p>
    <w:p w14:paraId="57363BFE"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Kao, C. (1999). Spurious regression and residual-based tests for cointegration in panel data. </w:t>
      </w:r>
      <w:r w:rsidRPr="00BD22CC">
        <w:rPr>
          <w:i/>
          <w:iCs/>
          <w:noProof/>
          <w:szCs w:val="24"/>
        </w:rPr>
        <w:t>Journal of Econometrics</w:t>
      </w:r>
      <w:r w:rsidRPr="00BD22CC">
        <w:rPr>
          <w:noProof/>
          <w:szCs w:val="24"/>
        </w:rPr>
        <w:t xml:space="preserve">, </w:t>
      </w:r>
      <w:r w:rsidRPr="00BD22CC">
        <w:rPr>
          <w:i/>
          <w:iCs/>
          <w:noProof/>
          <w:szCs w:val="24"/>
        </w:rPr>
        <w:t>90</w:t>
      </w:r>
      <w:r w:rsidRPr="00BD22CC">
        <w:rPr>
          <w:noProof/>
          <w:szCs w:val="24"/>
        </w:rPr>
        <w:t>(1), 1–44. https://doi.org/10.1016/S0304-4076(98)00023-2</w:t>
      </w:r>
    </w:p>
    <w:p w14:paraId="56A85391"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Kustanto, A. (2022). Does Trade Openness Cause Deforestation? A Case Study from Indonesia. </w:t>
      </w:r>
      <w:r w:rsidRPr="00BD22CC">
        <w:rPr>
          <w:i/>
          <w:iCs/>
          <w:noProof/>
          <w:szCs w:val="24"/>
        </w:rPr>
        <w:t>Jurnal Ekonomi Pembangunan</w:t>
      </w:r>
      <w:r w:rsidRPr="00BD22CC">
        <w:rPr>
          <w:noProof/>
          <w:szCs w:val="24"/>
        </w:rPr>
        <w:t xml:space="preserve">, </w:t>
      </w:r>
      <w:r w:rsidRPr="00BD22CC">
        <w:rPr>
          <w:i/>
          <w:iCs/>
          <w:noProof/>
          <w:szCs w:val="24"/>
        </w:rPr>
        <w:t>19</w:t>
      </w:r>
      <w:r w:rsidRPr="00BD22CC">
        <w:rPr>
          <w:noProof/>
          <w:szCs w:val="24"/>
        </w:rPr>
        <w:t>(2), 165–182. https://doi.org/10.29259/jep.v19i2.15530</w:t>
      </w:r>
    </w:p>
    <w:p w14:paraId="129AC8C8"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Le, T. H., &amp; Nguyen, C. P. (2020). DETERMINANTS of GREENHOUSE GAS EMISSIONS REVISITED: A GLOBAL PERSPECTIVE. </w:t>
      </w:r>
      <w:r w:rsidRPr="00BD22CC">
        <w:rPr>
          <w:i/>
          <w:iCs/>
          <w:noProof/>
          <w:szCs w:val="24"/>
        </w:rPr>
        <w:t>Singapore Economic Review</w:t>
      </w:r>
      <w:r w:rsidRPr="00BD22CC">
        <w:rPr>
          <w:noProof/>
          <w:szCs w:val="24"/>
        </w:rPr>
        <w:t>. https://doi.org/10.1142/S0217590820500514</w:t>
      </w:r>
    </w:p>
    <w:p w14:paraId="571551BC"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Levin, A., Lin, C. F., &amp; Chu, C. S. J. (2002). Unit root tests in panel data: Asymptotic and finite-sample </w:t>
      </w:r>
      <w:r w:rsidRPr="00BD22CC">
        <w:rPr>
          <w:noProof/>
          <w:szCs w:val="24"/>
        </w:rPr>
        <w:lastRenderedPageBreak/>
        <w:t xml:space="preserve">properties. </w:t>
      </w:r>
      <w:r w:rsidRPr="00BD22CC">
        <w:rPr>
          <w:i/>
          <w:iCs/>
          <w:noProof/>
          <w:szCs w:val="24"/>
        </w:rPr>
        <w:t>Journal of Econometrics</w:t>
      </w:r>
      <w:r w:rsidRPr="00BD22CC">
        <w:rPr>
          <w:noProof/>
          <w:szCs w:val="24"/>
        </w:rPr>
        <w:t xml:space="preserve">, </w:t>
      </w:r>
      <w:r w:rsidRPr="00BD22CC">
        <w:rPr>
          <w:i/>
          <w:iCs/>
          <w:noProof/>
          <w:szCs w:val="24"/>
        </w:rPr>
        <w:t>108</w:t>
      </w:r>
      <w:r w:rsidRPr="00BD22CC">
        <w:rPr>
          <w:noProof/>
          <w:szCs w:val="24"/>
        </w:rPr>
        <w:t>(1), 1–24. https://doi.org/10.1016/S0304-4076(01)00098-7</w:t>
      </w:r>
    </w:p>
    <w:p w14:paraId="67ED7229"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Lopez, L., &amp; Weber, S. (2017). Testing for Granger causality in panel data. </w:t>
      </w:r>
      <w:r w:rsidRPr="00BD22CC">
        <w:rPr>
          <w:i/>
          <w:iCs/>
          <w:noProof/>
          <w:szCs w:val="24"/>
        </w:rPr>
        <w:t>Stata Journal</w:t>
      </w:r>
      <w:r w:rsidRPr="00BD22CC">
        <w:rPr>
          <w:noProof/>
          <w:szCs w:val="24"/>
        </w:rPr>
        <w:t xml:space="preserve">, </w:t>
      </w:r>
      <w:r w:rsidRPr="00BD22CC">
        <w:rPr>
          <w:i/>
          <w:iCs/>
          <w:noProof/>
          <w:szCs w:val="24"/>
        </w:rPr>
        <w:t>17</w:t>
      </w:r>
      <w:r w:rsidRPr="00BD22CC">
        <w:rPr>
          <w:noProof/>
          <w:szCs w:val="24"/>
        </w:rPr>
        <w:t>(4), 972–984. https://doi.org/10.1177/1536867X1801700412</w:t>
      </w:r>
    </w:p>
    <w:p w14:paraId="1B417912"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Manivong, K., Phengsavanh, S., Kyophilavong, P., Pommavong, P., Khamvilvanh, K., &amp; Mixayboua, S. (2021). Testing Environmental Kuznets Curve Hypothesis for N2O. </w:t>
      </w:r>
      <w:r w:rsidRPr="00BD22CC">
        <w:rPr>
          <w:i/>
          <w:iCs/>
          <w:noProof/>
          <w:szCs w:val="24"/>
        </w:rPr>
        <w:t>International Journal of Development Administration Research</w:t>
      </w:r>
      <w:r w:rsidRPr="00BD22CC">
        <w:rPr>
          <w:noProof/>
          <w:szCs w:val="24"/>
        </w:rPr>
        <w:t xml:space="preserve">, </w:t>
      </w:r>
      <w:r w:rsidRPr="00BD22CC">
        <w:rPr>
          <w:i/>
          <w:iCs/>
          <w:noProof/>
          <w:szCs w:val="24"/>
        </w:rPr>
        <w:t>1</w:t>
      </w:r>
      <w:r w:rsidRPr="00BD22CC">
        <w:rPr>
          <w:noProof/>
          <w:szCs w:val="24"/>
        </w:rPr>
        <w:t>(2), 27–36. https://doi.org/10.24988/ije.830503</w:t>
      </w:r>
    </w:p>
    <w:p w14:paraId="39CE69C7"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Mendes, C. M., &amp; Junior, S. P. (2012). Deforestation, economic growth and corruption: A nonparametric analysis on the case of Amazon forest. </w:t>
      </w:r>
      <w:r w:rsidRPr="00BD22CC">
        <w:rPr>
          <w:i/>
          <w:iCs/>
          <w:noProof/>
          <w:szCs w:val="24"/>
        </w:rPr>
        <w:t>Applied Economics Letters</w:t>
      </w:r>
      <w:r w:rsidRPr="00BD22CC">
        <w:rPr>
          <w:noProof/>
          <w:szCs w:val="24"/>
        </w:rPr>
        <w:t xml:space="preserve">, </w:t>
      </w:r>
      <w:r w:rsidRPr="00BD22CC">
        <w:rPr>
          <w:i/>
          <w:iCs/>
          <w:noProof/>
          <w:szCs w:val="24"/>
        </w:rPr>
        <w:t>19</w:t>
      </w:r>
      <w:r w:rsidRPr="00BD22CC">
        <w:rPr>
          <w:noProof/>
          <w:szCs w:val="24"/>
        </w:rPr>
        <w:t>(13), 1285–1291. https://doi.org/10.1080/13504851.2011.619487</w:t>
      </w:r>
    </w:p>
    <w:p w14:paraId="3EBCC0A6"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Nathaniel, S. P., &amp; Bekun, F. V. (2020). Environmental management amidst energy use, urbanization, trade openness, and deforestation: The Nigerian experience. </w:t>
      </w:r>
      <w:r w:rsidRPr="00BD22CC">
        <w:rPr>
          <w:i/>
          <w:iCs/>
          <w:noProof/>
          <w:szCs w:val="24"/>
        </w:rPr>
        <w:t>Journal of Public Affairs</w:t>
      </w:r>
      <w:r w:rsidRPr="00BD22CC">
        <w:rPr>
          <w:noProof/>
          <w:szCs w:val="24"/>
        </w:rPr>
        <w:t xml:space="preserve">, </w:t>
      </w:r>
      <w:r w:rsidRPr="00BD22CC">
        <w:rPr>
          <w:i/>
          <w:iCs/>
          <w:noProof/>
          <w:szCs w:val="24"/>
        </w:rPr>
        <w:t>20</w:t>
      </w:r>
      <w:r w:rsidRPr="00BD22CC">
        <w:rPr>
          <w:noProof/>
          <w:szCs w:val="24"/>
        </w:rPr>
        <w:t>(2). https://doi.org/10.1002/pa.2037</w:t>
      </w:r>
    </w:p>
    <w:p w14:paraId="6A377379"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Ngwira, S., &amp; Watanabe, T. (2019). An analysis of the causes of deforestation in malawi: A case of mwazisi. </w:t>
      </w:r>
      <w:r w:rsidRPr="00BD22CC">
        <w:rPr>
          <w:i/>
          <w:iCs/>
          <w:noProof/>
          <w:szCs w:val="24"/>
        </w:rPr>
        <w:t>Land</w:t>
      </w:r>
      <w:r w:rsidRPr="00BD22CC">
        <w:rPr>
          <w:noProof/>
          <w:szCs w:val="24"/>
        </w:rPr>
        <w:t xml:space="preserve">, </w:t>
      </w:r>
      <w:r w:rsidRPr="00BD22CC">
        <w:rPr>
          <w:i/>
          <w:iCs/>
          <w:noProof/>
          <w:szCs w:val="24"/>
        </w:rPr>
        <w:t>8</w:t>
      </w:r>
      <w:r w:rsidRPr="00BD22CC">
        <w:rPr>
          <w:noProof/>
          <w:szCs w:val="24"/>
        </w:rPr>
        <w:t>(3). https://doi.org/10.3390/land8030048</w:t>
      </w:r>
    </w:p>
    <w:p w14:paraId="6C55DA9F"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Pachmann, A. (2018). Corruption and Deforestation in Indonesia. </w:t>
      </w:r>
      <w:r w:rsidRPr="00BD22CC">
        <w:rPr>
          <w:i/>
          <w:iCs/>
          <w:noProof/>
          <w:szCs w:val="24"/>
        </w:rPr>
        <w:t>Regional Formation and Development Studies</w:t>
      </w:r>
      <w:r w:rsidRPr="00BD22CC">
        <w:rPr>
          <w:noProof/>
          <w:szCs w:val="24"/>
        </w:rPr>
        <w:t xml:space="preserve">, </w:t>
      </w:r>
      <w:r w:rsidRPr="00BD22CC">
        <w:rPr>
          <w:i/>
          <w:iCs/>
          <w:noProof/>
          <w:szCs w:val="24"/>
        </w:rPr>
        <w:t>25</w:t>
      </w:r>
      <w:r w:rsidRPr="00BD22CC">
        <w:rPr>
          <w:noProof/>
          <w:szCs w:val="24"/>
        </w:rPr>
        <w:t>(2), 55–62. https://doi.org/10.15181/rfds.v25i2.1745</w:t>
      </w:r>
    </w:p>
    <w:p w14:paraId="34B0F4A8"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Pedroni, P. (2004). Panel cointegration: Asymptotic and finite sample properties of pooled time series tests with an application to the PPP hypothesis. </w:t>
      </w:r>
      <w:r w:rsidRPr="00BD22CC">
        <w:rPr>
          <w:i/>
          <w:iCs/>
          <w:noProof/>
          <w:szCs w:val="24"/>
        </w:rPr>
        <w:t>Econometric Theory</w:t>
      </w:r>
      <w:r w:rsidRPr="00BD22CC">
        <w:rPr>
          <w:noProof/>
          <w:szCs w:val="24"/>
        </w:rPr>
        <w:t xml:space="preserve">, </w:t>
      </w:r>
      <w:r w:rsidRPr="00BD22CC">
        <w:rPr>
          <w:i/>
          <w:iCs/>
          <w:noProof/>
          <w:szCs w:val="24"/>
        </w:rPr>
        <w:t>20</w:t>
      </w:r>
      <w:r w:rsidRPr="00BD22CC">
        <w:rPr>
          <w:noProof/>
          <w:szCs w:val="24"/>
        </w:rPr>
        <w:t>(3), 597–625. https://doi.org/10.1017/S0266466604203073</w:t>
      </w:r>
    </w:p>
    <w:p w14:paraId="03A6A448"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Pesaran, M. H., Shin, Y., Smith, R. P., &amp; Hashem, M. (1999). Pooled Mean Group Estimation of Dynamic Heterogeneous Panels. </w:t>
      </w:r>
      <w:r w:rsidRPr="00BD22CC">
        <w:rPr>
          <w:i/>
          <w:iCs/>
          <w:noProof/>
          <w:szCs w:val="24"/>
        </w:rPr>
        <w:t>Source: Journal of the American Statistical Association</w:t>
      </w:r>
      <w:r w:rsidRPr="00BD22CC">
        <w:rPr>
          <w:noProof/>
          <w:szCs w:val="24"/>
        </w:rPr>
        <w:t xml:space="preserve">, </w:t>
      </w:r>
      <w:r w:rsidRPr="00BD22CC">
        <w:rPr>
          <w:i/>
          <w:iCs/>
          <w:noProof/>
          <w:szCs w:val="24"/>
        </w:rPr>
        <w:t>94</w:t>
      </w:r>
      <w:r w:rsidRPr="00BD22CC">
        <w:rPr>
          <w:noProof/>
          <w:szCs w:val="24"/>
        </w:rPr>
        <w:t>(446), 621–634. https://www.jstor.org/stable/2670182?origin=JSTOR-pdf</w:t>
      </w:r>
    </w:p>
    <w:p w14:paraId="2AF90A11"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Plata-Rocha, W., Monjardin-Armenta, S. A., Pacheco-Angulo, C. E., Rangel-Peraza, J. G., Franco-Ochoa, C., &amp; Mora-Felix, Z. D. (2021). Proximate and underlying deforestation causes in a tropical basin through specialized consultation and spatial logistic regression modeling. </w:t>
      </w:r>
      <w:r w:rsidRPr="00BD22CC">
        <w:rPr>
          <w:i/>
          <w:iCs/>
          <w:noProof/>
          <w:szCs w:val="24"/>
        </w:rPr>
        <w:t>Land</w:t>
      </w:r>
      <w:r w:rsidRPr="00BD22CC">
        <w:rPr>
          <w:noProof/>
          <w:szCs w:val="24"/>
        </w:rPr>
        <w:t xml:space="preserve">, </w:t>
      </w:r>
      <w:r w:rsidRPr="00BD22CC">
        <w:rPr>
          <w:i/>
          <w:iCs/>
          <w:noProof/>
          <w:szCs w:val="24"/>
        </w:rPr>
        <w:t>10</w:t>
      </w:r>
      <w:r w:rsidRPr="00BD22CC">
        <w:rPr>
          <w:noProof/>
          <w:szCs w:val="24"/>
        </w:rPr>
        <w:t>(2), 1–18. https://doi.org/10.3390/land10020186</w:t>
      </w:r>
    </w:p>
    <w:p w14:paraId="2F03F296"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Rashid Gill, A., Viswanathan, K. K., &amp; Hassan, S. (2018). The Environmental Kuznets Curve (EKC) and the environmental problem of the day. </w:t>
      </w:r>
      <w:r w:rsidRPr="00BD22CC">
        <w:rPr>
          <w:i/>
          <w:iCs/>
          <w:noProof/>
          <w:szCs w:val="24"/>
        </w:rPr>
        <w:t>Renewable and Sustainable Energy Reviews</w:t>
      </w:r>
      <w:r w:rsidRPr="00BD22CC">
        <w:rPr>
          <w:noProof/>
          <w:szCs w:val="24"/>
        </w:rPr>
        <w:t xml:space="preserve">, </w:t>
      </w:r>
      <w:r w:rsidRPr="00BD22CC">
        <w:rPr>
          <w:i/>
          <w:iCs/>
          <w:noProof/>
          <w:szCs w:val="24"/>
        </w:rPr>
        <w:t>81</w:t>
      </w:r>
      <w:r w:rsidRPr="00BD22CC">
        <w:rPr>
          <w:noProof/>
          <w:szCs w:val="24"/>
        </w:rPr>
        <w:t>(May), 1636–1642. https://doi.org/10.1016/j.rser.2017.05.247</w:t>
      </w:r>
    </w:p>
    <w:p w14:paraId="457E381D"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Russell, M. (2020). </w:t>
      </w:r>
      <w:r w:rsidRPr="00BD22CC">
        <w:rPr>
          <w:i/>
          <w:iCs/>
          <w:noProof/>
          <w:szCs w:val="24"/>
        </w:rPr>
        <w:t>Forest in South-east Asia; Can they be saved?</w:t>
      </w:r>
      <w:r w:rsidRPr="00BD22CC">
        <w:rPr>
          <w:noProof/>
          <w:szCs w:val="24"/>
        </w:rPr>
        <w:t xml:space="preserve"> https://www.europarl.europa.eu/RegData/etudes/BRIE/2020/652068/EPRS_BRI(2020)652068_EN.pdf</w:t>
      </w:r>
    </w:p>
    <w:p w14:paraId="163B7F4A"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Thi, L., &amp; Nguyen, N. (2018). </w:t>
      </w:r>
      <w:r w:rsidRPr="00BD22CC">
        <w:rPr>
          <w:i/>
          <w:iCs/>
          <w:noProof/>
          <w:szCs w:val="24"/>
        </w:rPr>
        <w:t>Economic Growth and Changes in Forested Areas in Southeast Economic Growth and Changes in Forested Areas in Southeast Asia: Is Environmental Kuznets Curve Still Relevant? Asia: Is Environmental Kuznets Curve Still Relevant?</w:t>
      </w:r>
      <w:r w:rsidRPr="00BD22CC">
        <w:rPr>
          <w:noProof/>
          <w:szCs w:val="24"/>
        </w:rPr>
        <w:t xml:space="preserve"> [Hollins University]. https://digitalcommons.hollins.edu/ughonors</w:t>
      </w:r>
    </w:p>
    <w:p w14:paraId="038EE9B1"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Usman, O., Iorember, P. T., &amp; Olanipekun, I. O. (2019). Revisiting the environmental kuznets curve (EKC) hypothesis in india: The effects of energy consumption and democracy. </w:t>
      </w:r>
      <w:r w:rsidRPr="00BD22CC">
        <w:rPr>
          <w:i/>
          <w:iCs/>
          <w:noProof/>
          <w:szCs w:val="24"/>
        </w:rPr>
        <w:t>Environmental Science and Pollution Research</w:t>
      </w:r>
      <w:r w:rsidRPr="00BD22CC">
        <w:rPr>
          <w:noProof/>
          <w:szCs w:val="24"/>
        </w:rPr>
        <w:t xml:space="preserve">, </w:t>
      </w:r>
      <w:r w:rsidRPr="00BD22CC">
        <w:rPr>
          <w:i/>
          <w:iCs/>
          <w:noProof/>
          <w:szCs w:val="24"/>
        </w:rPr>
        <w:t>26</w:t>
      </w:r>
      <w:r w:rsidRPr="00BD22CC">
        <w:rPr>
          <w:noProof/>
          <w:szCs w:val="24"/>
        </w:rPr>
        <w:t>(13), 13390–13400. https://doi.org/10.1007/s11356-019-04696-z</w:t>
      </w:r>
    </w:p>
    <w:p w14:paraId="1CA7DA6F"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Waluyo, E. A., &amp; Terawaki, T. (2016). Environmental kuznets curve for deforestation in Indonesia: An ARDL bounds testing approach. </w:t>
      </w:r>
      <w:r w:rsidRPr="00BD22CC">
        <w:rPr>
          <w:i/>
          <w:iCs/>
          <w:noProof/>
          <w:szCs w:val="24"/>
        </w:rPr>
        <w:t>Journal of Economic Cooperation and Development</w:t>
      </w:r>
      <w:r w:rsidRPr="00BD22CC">
        <w:rPr>
          <w:noProof/>
          <w:szCs w:val="24"/>
        </w:rPr>
        <w:t xml:space="preserve">, </w:t>
      </w:r>
      <w:r w:rsidRPr="00BD22CC">
        <w:rPr>
          <w:i/>
          <w:iCs/>
          <w:noProof/>
          <w:szCs w:val="24"/>
        </w:rPr>
        <w:t>37</w:t>
      </w:r>
      <w:r w:rsidRPr="00BD22CC">
        <w:rPr>
          <w:noProof/>
          <w:szCs w:val="24"/>
        </w:rPr>
        <w:t>(3), 87–108.</w:t>
      </w:r>
    </w:p>
    <w:p w14:paraId="6E739177"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Wehkamp, J., Koch, N., Lübbers, S., &amp; Fuss, S. (2018). Governance and deforestation — a meta-analysis in economics. </w:t>
      </w:r>
      <w:r w:rsidRPr="00BD22CC">
        <w:rPr>
          <w:i/>
          <w:iCs/>
          <w:noProof/>
          <w:szCs w:val="24"/>
        </w:rPr>
        <w:t>Ecological Economics</w:t>
      </w:r>
      <w:r w:rsidRPr="00BD22CC">
        <w:rPr>
          <w:noProof/>
          <w:szCs w:val="24"/>
        </w:rPr>
        <w:t xml:space="preserve">, </w:t>
      </w:r>
      <w:r w:rsidRPr="00BD22CC">
        <w:rPr>
          <w:i/>
          <w:iCs/>
          <w:noProof/>
          <w:szCs w:val="24"/>
        </w:rPr>
        <w:t>144</w:t>
      </w:r>
      <w:r w:rsidRPr="00BD22CC">
        <w:rPr>
          <w:noProof/>
          <w:szCs w:val="24"/>
        </w:rPr>
        <w:t>(May 2017), 214–227. https://doi.org/10.1016/j.ecolecon.2017.07.030</w:t>
      </w:r>
    </w:p>
    <w:p w14:paraId="62A06476" w14:textId="77777777" w:rsidR="00BD22CC" w:rsidRPr="00BD22CC" w:rsidRDefault="00BD22CC" w:rsidP="00BD22CC">
      <w:pPr>
        <w:widowControl w:val="0"/>
        <w:autoSpaceDE w:val="0"/>
        <w:autoSpaceDN w:val="0"/>
        <w:adjustRightInd w:val="0"/>
        <w:spacing w:after="0" w:line="240" w:lineRule="auto"/>
        <w:ind w:left="480" w:hanging="480"/>
        <w:jc w:val="both"/>
        <w:rPr>
          <w:noProof/>
          <w:szCs w:val="24"/>
        </w:rPr>
      </w:pPr>
      <w:r w:rsidRPr="00BD22CC">
        <w:rPr>
          <w:noProof/>
          <w:szCs w:val="24"/>
        </w:rPr>
        <w:t xml:space="preserve">Westerlund, J. (2005). New simple tests for panel cointegration. </w:t>
      </w:r>
      <w:r w:rsidRPr="00BD22CC">
        <w:rPr>
          <w:i/>
          <w:iCs/>
          <w:noProof/>
          <w:szCs w:val="24"/>
        </w:rPr>
        <w:t>Econometric Reviews</w:t>
      </w:r>
      <w:r w:rsidRPr="00BD22CC">
        <w:rPr>
          <w:noProof/>
          <w:szCs w:val="24"/>
        </w:rPr>
        <w:t xml:space="preserve">, </w:t>
      </w:r>
      <w:r w:rsidRPr="00BD22CC">
        <w:rPr>
          <w:i/>
          <w:iCs/>
          <w:noProof/>
          <w:szCs w:val="24"/>
        </w:rPr>
        <w:t>24</w:t>
      </w:r>
      <w:r w:rsidRPr="00BD22CC">
        <w:rPr>
          <w:noProof/>
          <w:szCs w:val="24"/>
        </w:rPr>
        <w:t>(3), 297–316. https://doi.org/10.1080/07474930500243019</w:t>
      </w:r>
    </w:p>
    <w:p w14:paraId="3E3AE1CD" w14:textId="77777777" w:rsidR="00BD22CC" w:rsidRPr="00BD22CC" w:rsidRDefault="00BD22CC" w:rsidP="00BD22CC">
      <w:pPr>
        <w:widowControl w:val="0"/>
        <w:autoSpaceDE w:val="0"/>
        <w:autoSpaceDN w:val="0"/>
        <w:adjustRightInd w:val="0"/>
        <w:spacing w:after="0" w:line="240" w:lineRule="auto"/>
        <w:ind w:left="480" w:hanging="480"/>
        <w:jc w:val="both"/>
        <w:rPr>
          <w:noProof/>
        </w:rPr>
      </w:pPr>
      <w:r w:rsidRPr="00BD22CC">
        <w:rPr>
          <w:noProof/>
          <w:szCs w:val="24"/>
        </w:rPr>
        <w:t xml:space="preserve">Yameogo, C. E. W. (2021). Globalization, urbanization, and deforestation linkage in Burkina Faso. </w:t>
      </w:r>
      <w:r w:rsidRPr="00BD22CC">
        <w:rPr>
          <w:i/>
          <w:iCs/>
          <w:noProof/>
          <w:szCs w:val="24"/>
        </w:rPr>
        <w:t>Environmental Science and Pollution Research</w:t>
      </w:r>
      <w:r w:rsidRPr="00BD22CC">
        <w:rPr>
          <w:noProof/>
          <w:szCs w:val="24"/>
        </w:rPr>
        <w:t xml:space="preserve">, </w:t>
      </w:r>
      <w:r w:rsidRPr="00BD22CC">
        <w:rPr>
          <w:i/>
          <w:iCs/>
          <w:noProof/>
          <w:szCs w:val="24"/>
        </w:rPr>
        <w:t>28</w:t>
      </w:r>
      <w:r w:rsidRPr="00BD22CC">
        <w:rPr>
          <w:noProof/>
          <w:szCs w:val="24"/>
        </w:rPr>
        <w:t xml:space="preserve">(17), 22011–22021. </w:t>
      </w:r>
      <w:r w:rsidRPr="00BD22CC">
        <w:rPr>
          <w:noProof/>
          <w:szCs w:val="24"/>
        </w:rPr>
        <w:lastRenderedPageBreak/>
        <w:t>https://doi.org/10.1007/s11356-020-12071-6</w:t>
      </w:r>
    </w:p>
    <w:p w14:paraId="3ABE9B42" w14:textId="25BC988E" w:rsidR="001D47AF" w:rsidRPr="00A05921" w:rsidRDefault="00BD22CC" w:rsidP="00BD22CC">
      <w:pPr>
        <w:spacing w:after="0"/>
        <w:jc w:val="both"/>
        <w:rPr>
          <w:color w:val="0D0D0D" w:themeColor="text1" w:themeTint="F2"/>
        </w:rPr>
      </w:pPr>
      <w:r>
        <w:rPr>
          <w:color w:val="0D0D0D" w:themeColor="text1" w:themeTint="F2"/>
        </w:rPr>
        <w:fldChar w:fldCharType="end"/>
      </w:r>
    </w:p>
    <w:sectPr w:rsidR="001D47AF" w:rsidRPr="00A0592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56005" w14:textId="77777777" w:rsidR="003921E4" w:rsidRDefault="003921E4" w:rsidP="002C1809">
      <w:pPr>
        <w:spacing w:after="0" w:line="240" w:lineRule="auto"/>
      </w:pPr>
      <w:r>
        <w:separator/>
      </w:r>
    </w:p>
  </w:endnote>
  <w:endnote w:type="continuationSeparator" w:id="0">
    <w:p w14:paraId="37C731D6" w14:textId="77777777" w:rsidR="003921E4" w:rsidRDefault="003921E4" w:rsidP="002C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masis MT">
    <w:altName w:val="Cambria Math"/>
    <w:charset w:val="00"/>
    <w:family w:val="roman"/>
    <w:pitch w:val="variable"/>
    <w:sig w:usb0="00000001" w:usb1="00000000" w:usb2="00000000" w:usb3="00000000" w:csb0="00000013" w:csb1="00000000"/>
  </w:font>
  <w:font w:name="FSMePro">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F1FF9" w14:textId="77777777" w:rsidR="002C1809" w:rsidRDefault="002C1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76EFB" w14:textId="77777777" w:rsidR="002C1809" w:rsidRDefault="002C18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37D7C" w14:textId="77777777" w:rsidR="002C1809" w:rsidRDefault="002C1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CF315" w14:textId="77777777" w:rsidR="003921E4" w:rsidRDefault="003921E4" w:rsidP="002C1809">
      <w:pPr>
        <w:spacing w:after="0" w:line="240" w:lineRule="auto"/>
      </w:pPr>
      <w:r>
        <w:separator/>
      </w:r>
    </w:p>
  </w:footnote>
  <w:footnote w:type="continuationSeparator" w:id="0">
    <w:p w14:paraId="5CA6CE76" w14:textId="77777777" w:rsidR="003921E4" w:rsidRDefault="003921E4" w:rsidP="002C1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3789C" w14:textId="77777777" w:rsidR="002C1809" w:rsidRDefault="002C18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6F32D" w14:textId="77777777" w:rsidR="002C1809" w:rsidRDefault="002C18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C8F3B" w14:textId="77777777" w:rsidR="002C1809" w:rsidRDefault="002C18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DC"/>
    <w:rsid w:val="000011AE"/>
    <w:rsid w:val="00001F1B"/>
    <w:rsid w:val="00002675"/>
    <w:rsid w:val="00002920"/>
    <w:rsid w:val="0000306B"/>
    <w:rsid w:val="000071D7"/>
    <w:rsid w:val="000125A6"/>
    <w:rsid w:val="000125E5"/>
    <w:rsid w:val="00012E75"/>
    <w:rsid w:val="00024AE4"/>
    <w:rsid w:val="00032305"/>
    <w:rsid w:val="000438D6"/>
    <w:rsid w:val="00052449"/>
    <w:rsid w:val="00052DE0"/>
    <w:rsid w:val="000567A5"/>
    <w:rsid w:val="00073193"/>
    <w:rsid w:val="00073ECF"/>
    <w:rsid w:val="000744D1"/>
    <w:rsid w:val="00075938"/>
    <w:rsid w:val="00082179"/>
    <w:rsid w:val="00083C8B"/>
    <w:rsid w:val="0008504D"/>
    <w:rsid w:val="00093CAF"/>
    <w:rsid w:val="00095B17"/>
    <w:rsid w:val="00095CD1"/>
    <w:rsid w:val="000A0F90"/>
    <w:rsid w:val="000A1152"/>
    <w:rsid w:val="000A2560"/>
    <w:rsid w:val="000A2FFD"/>
    <w:rsid w:val="000B6D2E"/>
    <w:rsid w:val="000D3FD7"/>
    <w:rsid w:val="000D4218"/>
    <w:rsid w:val="000D678E"/>
    <w:rsid w:val="000D6E8D"/>
    <w:rsid w:val="000D7989"/>
    <w:rsid w:val="000E2F07"/>
    <w:rsid w:val="000E75A7"/>
    <w:rsid w:val="000F15FC"/>
    <w:rsid w:val="00100B97"/>
    <w:rsid w:val="00101EFE"/>
    <w:rsid w:val="001047A9"/>
    <w:rsid w:val="001059A3"/>
    <w:rsid w:val="00111B8D"/>
    <w:rsid w:val="001129E7"/>
    <w:rsid w:val="00113308"/>
    <w:rsid w:val="00115E4C"/>
    <w:rsid w:val="00115EE5"/>
    <w:rsid w:val="00124DFC"/>
    <w:rsid w:val="00126520"/>
    <w:rsid w:val="00131A4F"/>
    <w:rsid w:val="00134CBB"/>
    <w:rsid w:val="00155E46"/>
    <w:rsid w:val="00165FAB"/>
    <w:rsid w:val="001A6924"/>
    <w:rsid w:val="001B0083"/>
    <w:rsid w:val="001B4DF9"/>
    <w:rsid w:val="001B602F"/>
    <w:rsid w:val="001B6809"/>
    <w:rsid w:val="001B791E"/>
    <w:rsid w:val="001C2AE1"/>
    <w:rsid w:val="001C5F6C"/>
    <w:rsid w:val="001C6C4F"/>
    <w:rsid w:val="001D47AF"/>
    <w:rsid w:val="001E05FC"/>
    <w:rsid w:val="001F0E15"/>
    <w:rsid w:val="001F1FDE"/>
    <w:rsid w:val="001F2702"/>
    <w:rsid w:val="00201684"/>
    <w:rsid w:val="00206FAA"/>
    <w:rsid w:val="00213326"/>
    <w:rsid w:val="00214FDC"/>
    <w:rsid w:val="002178BF"/>
    <w:rsid w:val="002255F9"/>
    <w:rsid w:val="0023202F"/>
    <w:rsid w:val="00236F39"/>
    <w:rsid w:val="00243577"/>
    <w:rsid w:val="00246BA6"/>
    <w:rsid w:val="00250519"/>
    <w:rsid w:val="002578D9"/>
    <w:rsid w:val="00260290"/>
    <w:rsid w:val="002622EB"/>
    <w:rsid w:val="00262F28"/>
    <w:rsid w:val="00266117"/>
    <w:rsid w:val="00273722"/>
    <w:rsid w:val="00274B98"/>
    <w:rsid w:val="0027533F"/>
    <w:rsid w:val="0027552E"/>
    <w:rsid w:val="0027697B"/>
    <w:rsid w:val="00277796"/>
    <w:rsid w:val="00280D75"/>
    <w:rsid w:val="00287452"/>
    <w:rsid w:val="00297F00"/>
    <w:rsid w:val="002A3251"/>
    <w:rsid w:val="002A4438"/>
    <w:rsid w:val="002A57A7"/>
    <w:rsid w:val="002B0C20"/>
    <w:rsid w:val="002B39E7"/>
    <w:rsid w:val="002B67AF"/>
    <w:rsid w:val="002B7034"/>
    <w:rsid w:val="002C1809"/>
    <w:rsid w:val="002C569C"/>
    <w:rsid w:val="002D18DD"/>
    <w:rsid w:val="002E25F9"/>
    <w:rsid w:val="002E3E82"/>
    <w:rsid w:val="002E40BE"/>
    <w:rsid w:val="002E4999"/>
    <w:rsid w:val="002F67A3"/>
    <w:rsid w:val="0030690B"/>
    <w:rsid w:val="00306F05"/>
    <w:rsid w:val="00313568"/>
    <w:rsid w:val="0032048C"/>
    <w:rsid w:val="00320F58"/>
    <w:rsid w:val="00322DE7"/>
    <w:rsid w:val="003379AC"/>
    <w:rsid w:val="003401C8"/>
    <w:rsid w:val="00341042"/>
    <w:rsid w:val="0034716A"/>
    <w:rsid w:val="0036283E"/>
    <w:rsid w:val="003653B8"/>
    <w:rsid w:val="003769B1"/>
    <w:rsid w:val="003824E2"/>
    <w:rsid w:val="003905B5"/>
    <w:rsid w:val="00391BEF"/>
    <w:rsid w:val="003921E4"/>
    <w:rsid w:val="00394709"/>
    <w:rsid w:val="00396B71"/>
    <w:rsid w:val="003A2593"/>
    <w:rsid w:val="003A4185"/>
    <w:rsid w:val="003A4ED4"/>
    <w:rsid w:val="003B5166"/>
    <w:rsid w:val="003B5544"/>
    <w:rsid w:val="003C6F86"/>
    <w:rsid w:val="003D002C"/>
    <w:rsid w:val="003D5576"/>
    <w:rsid w:val="003D70CB"/>
    <w:rsid w:val="003D750D"/>
    <w:rsid w:val="003E0B26"/>
    <w:rsid w:val="003E4F18"/>
    <w:rsid w:val="003F69CE"/>
    <w:rsid w:val="003F79A7"/>
    <w:rsid w:val="0040007D"/>
    <w:rsid w:val="004058FA"/>
    <w:rsid w:val="00407690"/>
    <w:rsid w:val="00410618"/>
    <w:rsid w:val="00412888"/>
    <w:rsid w:val="004134BA"/>
    <w:rsid w:val="00416DC5"/>
    <w:rsid w:val="00417098"/>
    <w:rsid w:val="0042343C"/>
    <w:rsid w:val="00432499"/>
    <w:rsid w:val="004429C2"/>
    <w:rsid w:val="00442DF7"/>
    <w:rsid w:val="004436CF"/>
    <w:rsid w:val="00451F47"/>
    <w:rsid w:val="00453C47"/>
    <w:rsid w:val="0045519B"/>
    <w:rsid w:val="004571ED"/>
    <w:rsid w:val="00457C04"/>
    <w:rsid w:val="00473067"/>
    <w:rsid w:val="004815D3"/>
    <w:rsid w:val="0048214D"/>
    <w:rsid w:val="004871B8"/>
    <w:rsid w:val="00493DCD"/>
    <w:rsid w:val="004A06B5"/>
    <w:rsid w:val="004A225C"/>
    <w:rsid w:val="004A2397"/>
    <w:rsid w:val="004A6046"/>
    <w:rsid w:val="004B0A87"/>
    <w:rsid w:val="004B2433"/>
    <w:rsid w:val="004B43AB"/>
    <w:rsid w:val="004B7F1B"/>
    <w:rsid w:val="004C0116"/>
    <w:rsid w:val="004C18A5"/>
    <w:rsid w:val="004C2EEB"/>
    <w:rsid w:val="004C46B0"/>
    <w:rsid w:val="004D3888"/>
    <w:rsid w:val="004D4F9C"/>
    <w:rsid w:val="004E634A"/>
    <w:rsid w:val="004E6E87"/>
    <w:rsid w:val="004F08C7"/>
    <w:rsid w:val="004F4CCB"/>
    <w:rsid w:val="004F6C97"/>
    <w:rsid w:val="005018B8"/>
    <w:rsid w:val="005039E7"/>
    <w:rsid w:val="00506FC2"/>
    <w:rsid w:val="00523D21"/>
    <w:rsid w:val="00525BD6"/>
    <w:rsid w:val="005339A7"/>
    <w:rsid w:val="00533C70"/>
    <w:rsid w:val="00534D81"/>
    <w:rsid w:val="00555EA4"/>
    <w:rsid w:val="00560E33"/>
    <w:rsid w:val="00562CF0"/>
    <w:rsid w:val="00563D32"/>
    <w:rsid w:val="005640D7"/>
    <w:rsid w:val="005648A2"/>
    <w:rsid w:val="00570BA5"/>
    <w:rsid w:val="0057600E"/>
    <w:rsid w:val="00581195"/>
    <w:rsid w:val="005907DF"/>
    <w:rsid w:val="00591542"/>
    <w:rsid w:val="00594901"/>
    <w:rsid w:val="005961DE"/>
    <w:rsid w:val="005A5DA1"/>
    <w:rsid w:val="005A693E"/>
    <w:rsid w:val="005B15B3"/>
    <w:rsid w:val="005B615E"/>
    <w:rsid w:val="005C4802"/>
    <w:rsid w:val="005D1099"/>
    <w:rsid w:val="005D3239"/>
    <w:rsid w:val="005D3F6D"/>
    <w:rsid w:val="005F5C3A"/>
    <w:rsid w:val="00603147"/>
    <w:rsid w:val="00606D23"/>
    <w:rsid w:val="00606F47"/>
    <w:rsid w:val="0061078D"/>
    <w:rsid w:val="00613B3D"/>
    <w:rsid w:val="006202C9"/>
    <w:rsid w:val="006204EF"/>
    <w:rsid w:val="00627FB0"/>
    <w:rsid w:val="006312AF"/>
    <w:rsid w:val="00634A85"/>
    <w:rsid w:val="00645F65"/>
    <w:rsid w:val="0064654C"/>
    <w:rsid w:val="006544B7"/>
    <w:rsid w:val="00655B2F"/>
    <w:rsid w:val="00656578"/>
    <w:rsid w:val="00661040"/>
    <w:rsid w:val="0066387B"/>
    <w:rsid w:val="00664FEC"/>
    <w:rsid w:val="00672ECB"/>
    <w:rsid w:val="00676E59"/>
    <w:rsid w:val="0068628E"/>
    <w:rsid w:val="00690673"/>
    <w:rsid w:val="00692ACE"/>
    <w:rsid w:val="006A67F9"/>
    <w:rsid w:val="006A7EED"/>
    <w:rsid w:val="006B0001"/>
    <w:rsid w:val="006B018C"/>
    <w:rsid w:val="006B15D8"/>
    <w:rsid w:val="006B21EB"/>
    <w:rsid w:val="006B5F64"/>
    <w:rsid w:val="006B6CAF"/>
    <w:rsid w:val="006C5A12"/>
    <w:rsid w:val="006C7854"/>
    <w:rsid w:val="006D10D4"/>
    <w:rsid w:val="006D2154"/>
    <w:rsid w:val="006D41CB"/>
    <w:rsid w:val="006D4200"/>
    <w:rsid w:val="006D524A"/>
    <w:rsid w:val="006E0AB9"/>
    <w:rsid w:val="006E2047"/>
    <w:rsid w:val="006E4E21"/>
    <w:rsid w:val="00701202"/>
    <w:rsid w:val="00707723"/>
    <w:rsid w:val="00724547"/>
    <w:rsid w:val="00747145"/>
    <w:rsid w:val="00763262"/>
    <w:rsid w:val="0077120E"/>
    <w:rsid w:val="00775DF9"/>
    <w:rsid w:val="007806FC"/>
    <w:rsid w:val="0078510D"/>
    <w:rsid w:val="00785D64"/>
    <w:rsid w:val="007868BE"/>
    <w:rsid w:val="00790F6A"/>
    <w:rsid w:val="00792859"/>
    <w:rsid w:val="0079632D"/>
    <w:rsid w:val="007A374D"/>
    <w:rsid w:val="007A55C3"/>
    <w:rsid w:val="007A697F"/>
    <w:rsid w:val="007A70DF"/>
    <w:rsid w:val="007B093B"/>
    <w:rsid w:val="007B536C"/>
    <w:rsid w:val="007C1D1B"/>
    <w:rsid w:val="007C5A5D"/>
    <w:rsid w:val="007D4698"/>
    <w:rsid w:val="007D5768"/>
    <w:rsid w:val="007D73A1"/>
    <w:rsid w:val="007D7BE2"/>
    <w:rsid w:val="007E5938"/>
    <w:rsid w:val="007F15E8"/>
    <w:rsid w:val="007F7511"/>
    <w:rsid w:val="0080167D"/>
    <w:rsid w:val="00807F1D"/>
    <w:rsid w:val="00815BE3"/>
    <w:rsid w:val="00827788"/>
    <w:rsid w:val="00831190"/>
    <w:rsid w:val="00831528"/>
    <w:rsid w:val="00833E3F"/>
    <w:rsid w:val="008379D4"/>
    <w:rsid w:val="0084110C"/>
    <w:rsid w:val="0084347C"/>
    <w:rsid w:val="00845B3A"/>
    <w:rsid w:val="008465A6"/>
    <w:rsid w:val="00847678"/>
    <w:rsid w:val="00860891"/>
    <w:rsid w:val="00863726"/>
    <w:rsid w:val="00867EB2"/>
    <w:rsid w:val="00870330"/>
    <w:rsid w:val="0087421E"/>
    <w:rsid w:val="00886264"/>
    <w:rsid w:val="00887EBB"/>
    <w:rsid w:val="00893CF3"/>
    <w:rsid w:val="0089574E"/>
    <w:rsid w:val="008A53BE"/>
    <w:rsid w:val="008A7395"/>
    <w:rsid w:val="008A7921"/>
    <w:rsid w:val="008A7B19"/>
    <w:rsid w:val="008B4B4A"/>
    <w:rsid w:val="008B514B"/>
    <w:rsid w:val="008C502C"/>
    <w:rsid w:val="008E13D3"/>
    <w:rsid w:val="008E2AFD"/>
    <w:rsid w:val="008E329C"/>
    <w:rsid w:val="008E4F2C"/>
    <w:rsid w:val="00900594"/>
    <w:rsid w:val="00903283"/>
    <w:rsid w:val="00903888"/>
    <w:rsid w:val="00906C62"/>
    <w:rsid w:val="00922F91"/>
    <w:rsid w:val="00924275"/>
    <w:rsid w:val="00927A1B"/>
    <w:rsid w:val="00927C84"/>
    <w:rsid w:val="00935B0B"/>
    <w:rsid w:val="00942602"/>
    <w:rsid w:val="0095262E"/>
    <w:rsid w:val="00953538"/>
    <w:rsid w:val="00960436"/>
    <w:rsid w:val="00982E53"/>
    <w:rsid w:val="00987E05"/>
    <w:rsid w:val="00991B6F"/>
    <w:rsid w:val="00995A3C"/>
    <w:rsid w:val="009A169D"/>
    <w:rsid w:val="009A1BF2"/>
    <w:rsid w:val="009A3075"/>
    <w:rsid w:val="009A5203"/>
    <w:rsid w:val="009A6D9B"/>
    <w:rsid w:val="009A76FB"/>
    <w:rsid w:val="009A7E6F"/>
    <w:rsid w:val="009B774D"/>
    <w:rsid w:val="009C0AF6"/>
    <w:rsid w:val="009C4B5E"/>
    <w:rsid w:val="009C6E27"/>
    <w:rsid w:val="009D247C"/>
    <w:rsid w:val="009D5993"/>
    <w:rsid w:val="009E1137"/>
    <w:rsid w:val="009E3E17"/>
    <w:rsid w:val="00A05921"/>
    <w:rsid w:val="00A10C50"/>
    <w:rsid w:val="00A15305"/>
    <w:rsid w:val="00A15555"/>
    <w:rsid w:val="00A156AC"/>
    <w:rsid w:val="00A204E7"/>
    <w:rsid w:val="00A235B8"/>
    <w:rsid w:val="00A34E98"/>
    <w:rsid w:val="00A37778"/>
    <w:rsid w:val="00A37B02"/>
    <w:rsid w:val="00A46B55"/>
    <w:rsid w:val="00A46B7B"/>
    <w:rsid w:val="00A50871"/>
    <w:rsid w:val="00A51BC3"/>
    <w:rsid w:val="00A51F15"/>
    <w:rsid w:val="00A55E08"/>
    <w:rsid w:val="00A56B5B"/>
    <w:rsid w:val="00A659A4"/>
    <w:rsid w:val="00A85A8C"/>
    <w:rsid w:val="00AA0620"/>
    <w:rsid w:val="00AA2F7C"/>
    <w:rsid w:val="00AB0C14"/>
    <w:rsid w:val="00AB3072"/>
    <w:rsid w:val="00AB73E6"/>
    <w:rsid w:val="00AC0D52"/>
    <w:rsid w:val="00AD0518"/>
    <w:rsid w:val="00AD1803"/>
    <w:rsid w:val="00AD5E16"/>
    <w:rsid w:val="00AD63C6"/>
    <w:rsid w:val="00AE1D0A"/>
    <w:rsid w:val="00AE2694"/>
    <w:rsid w:val="00AE29CE"/>
    <w:rsid w:val="00AE4BDE"/>
    <w:rsid w:val="00AE4FBE"/>
    <w:rsid w:val="00AF21CD"/>
    <w:rsid w:val="00B058CD"/>
    <w:rsid w:val="00B203FE"/>
    <w:rsid w:val="00B20C61"/>
    <w:rsid w:val="00B35222"/>
    <w:rsid w:val="00B40F5C"/>
    <w:rsid w:val="00B42B88"/>
    <w:rsid w:val="00B43240"/>
    <w:rsid w:val="00B43CA0"/>
    <w:rsid w:val="00B44D03"/>
    <w:rsid w:val="00B46294"/>
    <w:rsid w:val="00B50639"/>
    <w:rsid w:val="00B60783"/>
    <w:rsid w:val="00B63884"/>
    <w:rsid w:val="00B6713A"/>
    <w:rsid w:val="00B74779"/>
    <w:rsid w:val="00B75240"/>
    <w:rsid w:val="00B77A8A"/>
    <w:rsid w:val="00B90FBF"/>
    <w:rsid w:val="00B95CC6"/>
    <w:rsid w:val="00B97595"/>
    <w:rsid w:val="00B97905"/>
    <w:rsid w:val="00BA0BBA"/>
    <w:rsid w:val="00BA313F"/>
    <w:rsid w:val="00BA7D7D"/>
    <w:rsid w:val="00BB09D1"/>
    <w:rsid w:val="00BC5421"/>
    <w:rsid w:val="00BD22CC"/>
    <w:rsid w:val="00BD3F46"/>
    <w:rsid w:val="00BD5D2C"/>
    <w:rsid w:val="00BD6D7E"/>
    <w:rsid w:val="00BE06B4"/>
    <w:rsid w:val="00BF239C"/>
    <w:rsid w:val="00BF69F9"/>
    <w:rsid w:val="00C038AE"/>
    <w:rsid w:val="00C123F0"/>
    <w:rsid w:val="00C12D8B"/>
    <w:rsid w:val="00C22DC8"/>
    <w:rsid w:val="00C2620E"/>
    <w:rsid w:val="00C32022"/>
    <w:rsid w:val="00C35AFB"/>
    <w:rsid w:val="00C53A4F"/>
    <w:rsid w:val="00C56ED6"/>
    <w:rsid w:val="00C57000"/>
    <w:rsid w:val="00C5745F"/>
    <w:rsid w:val="00C66490"/>
    <w:rsid w:val="00C77E7C"/>
    <w:rsid w:val="00C84AE0"/>
    <w:rsid w:val="00C86877"/>
    <w:rsid w:val="00C914E8"/>
    <w:rsid w:val="00C9206E"/>
    <w:rsid w:val="00CA3AC9"/>
    <w:rsid w:val="00CA40FF"/>
    <w:rsid w:val="00CB0DB6"/>
    <w:rsid w:val="00CB1312"/>
    <w:rsid w:val="00CB28F5"/>
    <w:rsid w:val="00CB2EC0"/>
    <w:rsid w:val="00CB4257"/>
    <w:rsid w:val="00CB47FD"/>
    <w:rsid w:val="00CB4F2B"/>
    <w:rsid w:val="00CB6A4A"/>
    <w:rsid w:val="00CB7AA8"/>
    <w:rsid w:val="00CC0B56"/>
    <w:rsid w:val="00CC1722"/>
    <w:rsid w:val="00CC2A36"/>
    <w:rsid w:val="00CC36BE"/>
    <w:rsid w:val="00CC723E"/>
    <w:rsid w:val="00CC7750"/>
    <w:rsid w:val="00CC790D"/>
    <w:rsid w:val="00CD090E"/>
    <w:rsid w:val="00CD2F38"/>
    <w:rsid w:val="00CD4213"/>
    <w:rsid w:val="00CD6891"/>
    <w:rsid w:val="00CE3155"/>
    <w:rsid w:val="00CE4E41"/>
    <w:rsid w:val="00CF71DF"/>
    <w:rsid w:val="00D04D70"/>
    <w:rsid w:val="00D058F9"/>
    <w:rsid w:val="00D05CE2"/>
    <w:rsid w:val="00D06D2C"/>
    <w:rsid w:val="00D16D3C"/>
    <w:rsid w:val="00D16F68"/>
    <w:rsid w:val="00D17F58"/>
    <w:rsid w:val="00D2022E"/>
    <w:rsid w:val="00D33A43"/>
    <w:rsid w:val="00D37B02"/>
    <w:rsid w:val="00D41C3E"/>
    <w:rsid w:val="00D443F9"/>
    <w:rsid w:val="00D44CCF"/>
    <w:rsid w:val="00D455EF"/>
    <w:rsid w:val="00D47C4C"/>
    <w:rsid w:val="00D52014"/>
    <w:rsid w:val="00D61617"/>
    <w:rsid w:val="00D628A8"/>
    <w:rsid w:val="00D674EC"/>
    <w:rsid w:val="00D7452A"/>
    <w:rsid w:val="00D8227A"/>
    <w:rsid w:val="00D840FF"/>
    <w:rsid w:val="00D8469E"/>
    <w:rsid w:val="00D90C2E"/>
    <w:rsid w:val="00D94EB9"/>
    <w:rsid w:val="00D9607D"/>
    <w:rsid w:val="00D96F48"/>
    <w:rsid w:val="00DA15DC"/>
    <w:rsid w:val="00DA2C29"/>
    <w:rsid w:val="00DA35B1"/>
    <w:rsid w:val="00DA4ABC"/>
    <w:rsid w:val="00DA519A"/>
    <w:rsid w:val="00DB0E9F"/>
    <w:rsid w:val="00DC2ECB"/>
    <w:rsid w:val="00DC46FF"/>
    <w:rsid w:val="00DC6DC1"/>
    <w:rsid w:val="00DF00FA"/>
    <w:rsid w:val="00E0092B"/>
    <w:rsid w:val="00E04AF6"/>
    <w:rsid w:val="00E13B5F"/>
    <w:rsid w:val="00E20874"/>
    <w:rsid w:val="00E2180D"/>
    <w:rsid w:val="00E221BC"/>
    <w:rsid w:val="00E30768"/>
    <w:rsid w:val="00E31004"/>
    <w:rsid w:val="00E3425C"/>
    <w:rsid w:val="00E420FB"/>
    <w:rsid w:val="00E4457F"/>
    <w:rsid w:val="00E502B0"/>
    <w:rsid w:val="00E5047D"/>
    <w:rsid w:val="00E51ED6"/>
    <w:rsid w:val="00E557D4"/>
    <w:rsid w:val="00E630C4"/>
    <w:rsid w:val="00E73B78"/>
    <w:rsid w:val="00E7451C"/>
    <w:rsid w:val="00E81B34"/>
    <w:rsid w:val="00E83B5F"/>
    <w:rsid w:val="00E979D5"/>
    <w:rsid w:val="00EA6B25"/>
    <w:rsid w:val="00EC31D5"/>
    <w:rsid w:val="00EC3815"/>
    <w:rsid w:val="00EC458C"/>
    <w:rsid w:val="00EC5F9B"/>
    <w:rsid w:val="00EE3972"/>
    <w:rsid w:val="00EE4135"/>
    <w:rsid w:val="00EE5123"/>
    <w:rsid w:val="00EF343C"/>
    <w:rsid w:val="00F02B2C"/>
    <w:rsid w:val="00F04300"/>
    <w:rsid w:val="00F14922"/>
    <w:rsid w:val="00F16FD2"/>
    <w:rsid w:val="00F2004F"/>
    <w:rsid w:val="00F21149"/>
    <w:rsid w:val="00F224F1"/>
    <w:rsid w:val="00F271B5"/>
    <w:rsid w:val="00F34E55"/>
    <w:rsid w:val="00F439F3"/>
    <w:rsid w:val="00F50AA7"/>
    <w:rsid w:val="00F51879"/>
    <w:rsid w:val="00F546DC"/>
    <w:rsid w:val="00F61C7C"/>
    <w:rsid w:val="00F639CC"/>
    <w:rsid w:val="00F651DA"/>
    <w:rsid w:val="00F72B59"/>
    <w:rsid w:val="00F748C9"/>
    <w:rsid w:val="00F752A9"/>
    <w:rsid w:val="00F86192"/>
    <w:rsid w:val="00F911EE"/>
    <w:rsid w:val="00F94DAA"/>
    <w:rsid w:val="00FA2448"/>
    <w:rsid w:val="00FA72BE"/>
    <w:rsid w:val="00FB4500"/>
    <w:rsid w:val="00FC18EF"/>
    <w:rsid w:val="00FC71F1"/>
    <w:rsid w:val="00FE1842"/>
    <w:rsid w:val="00FE1A0A"/>
    <w:rsid w:val="00FF14D3"/>
    <w:rsid w:val="00FF1CDE"/>
    <w:rsid w:val="00FF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1AB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F6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E99"/>
    <w:rPr>
      <w:rFonts w:ascii="Segoe UI" w:hAnsi="Segoe UI" w:cs="Segoe UI"/>
      <w:sz w:val="18"/>
      <w:szCs w:val="18"/>
    </w:rPr>
  </w:style>
  <w:style w:type="character" w:styleId="Emphasis">
    <w:name w:val="Emphasis"/>
    <w:basedOn w:val="DefaultParagraphFont"/>
    <w:uiPriority w:val="20"/>
    <w:qFormat/>
    <w:rsid w:val="001D66CA"/>
    <w:rPr>
      <w:i/>
      <w:iCs/>
    </w:rPr>
  </w:style>
  <w:style w:type="character" w:customStyle="1" w:styleId="Heading1Char">
    <w:name w:val="Heading 1 Char"/>
    <w:basedOn w:val="DefaultParagraphFont"/>
    <w:link w:val="Heading1"/>
    <w:uiPriority w:val="9"/>
    <w:rsid w:val="007F1AB6"/>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7F1AB6"/>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NormalafterHeading">
    <w:name w:val="Normal after Heading"/>
    <w:basedOn w:val="Normal"/>
    <w:next w:val="Normal"/>
    <w:link w:val="NormalafterHeadingChar"/>
    <w:qFormat/>
    <w:rsid w:val="004C2EEB"/>
    <w:pPr>
      <w:spacing w:after="0" w:line="240" w:lineRule="auto"/>
      <w:jc w:val="both"/>
    </w:pPr>
    <w:rPr>
      <w:rFonts w:ascii="Amasis MT" w:eastAsia="Times New Roman" w:hAnsi="Amasis MT" w:cs="Times New Roman"/>
      <w:lang w:val="sv-SE" w:eastAsia="id-ID"/>
    </w:rPr>
  </w:style>
  <w:style w:type="character" w:customStyle="1" w:styleId="NormalafterHeadingChar">
    <w:name w:val="Normal after Heading Char"/>
    <w:link w:val="NormalafterHeading"/>
    <w:rsid w:val="004C2EEB"/>
    <w:rPr>
      <w:rFonts w:ascii="Amasis MT" w:eastAsia="Times New Roman" w:hAnsi="Amasis MT" w:cs="Times New Roman"/>
      <w:lang w:val="sv-SE" w:eastAsia="id-ID"/>
    </w:rPr>
  </w:style>
  <w:style w:type="table" w:styleId="TableGrid">
    <w:name w:val="Table Grid"/>
    <w:basedOn w:val="TableNormal"/>
    <w:uiPriority w:val="39"/>
    <w:rsid w:val="004C2EEB"/>
    <w:pPr>
      <w:spacing w:after="0" w:line="240" w:lineRule="auto"/>
    </w:pPr>
    <w:rPr>
      <w:rFonts w:asciiTheme="minorHAnsi" w:eastAsiaTheme="minorHAnsi" w:hAnsiTheme="minorHAnsi" w:cstheme="minorBid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eChar">
    <w:name w:val="Title Char"/>
    <w:basedOn w:val="DefaultParagraphFont"/>
    <w:link w:val="Title"/>
    <w:rsid w:val="004C2EEB"/>
    <w:rPr>
      <w:b/>
      <w:sz w:val="72"/>
      <w:szCs w:val="72"/>
    </w:rPr>
  </w:style>
  <w:style w:type="paragraph" w:styleId="Caption">
    <w:name w:val="caption"/>
    <w:basedOn w:val="Normal"/>
    <w:next w:val="Normal"/>
    <w:uiPriority w:val="35"/>
    <w:unhideWhenUsed/>
    <w:qFormat/>
    <w:rsid w:val="004C2EEB"/>
    <w:pPr>
      <w:spacing w:after="200" w:line="276" w:lineRule="auto"/>
    </w:pPr>
    <w:rPr>
      <w:rFonts w:cs="Times New Roman"/>
      <w:b/>
      <w:bCs/>
      <w:sz w:val="20"/>
      <w:szCs w:val="20"/>
      <w:lang w:val="en-US"/>
    </w:rPr>
  </w:style>
  <w:style w:type="paragraph" w:styleId="ListParagraph">
    <w:name w:val="List Paragraph"/>
    <w:basedOn w:val="Normal"/>
    <w:link w:val="ListParagraphChar"/>
    <w:uiPriority w:val="34"/>
    <w:qFormat/>
    <w:rsid w:val="004C2EEB"/>
    <w:pPr>
      <w:spacing w:after="0" w:line="360" w:lineRule="auto"/>
      <w:ind w:left="720"/>
      <w:contextualSpacing/>
      <w:jc w:val="both"/>
    </w:pPr>
    <w:rPr>
      <w:rFonts w:cs="Times New Roman"/>
      <w:lang w:val="id-ID"/>
    </w:rPr>
  </w:style>
  <w:style w:type="character" w:customStyle="1" w:styleId="ListParagraphChar">
    <w:name w:val="List Paragraph Char"/>
    <w:link w:val="ListParagraph"/>
    <w:uiPriority w:val="34"/>
    <w:locked/>
    <w:rsid w:val="004C2EEB"/>
    <w:rPr>
      <w:rFonts w:cs="Times New Roman"/>
      <w:lang w:val="id-ID"/>
    </w:rPr>
  </w:style>
  <w:style w:type="character" w:styleId="PlaceholderText">
    <w:name w:val="Placeholder Text"/>
    <w:basedOn w:val="DefaultParagraphFont"/>
    <w:uiPriority w:val="99"/>
    <w:semiHidden/>
    <w:rsid w:val="00CD6891"/>
    <w:rPr>
      <w:color w:val="808080"/>
    </w:rPr>
  </w:style>
  <w:style w:type="character" w:customStyle="1" w:styleId="fontstyle01">
    <w:name w:val="fontstyle01"/>
    <w:basedOn w:val="DefaultParagraphFont"/>
    <w:rsid w:val="00603147"/>
    <w:rPr>
      <w:rFonts w:ascii="FSMePro" w:hAnsi="FSMePro" w:hint="default"/>
      <w:b w:val="0"/>
      <w:bCs w:val="0"/>
      <w:i w:val="0"/>
      <w:iCs w:val="0"/>
      <w:color w:val="000000"/>
      <w:sz w:val="18"/>
      <w:szCs w:val="18"/>
    </w:rPr>
  </w:style>
  <w:style w:type="paragraph" w:styleId="Header">
    <w:name w:val="header"/>
    <w:basedOn w:val="Normal"/>
    <w:link w:val="HeaderChar"/>
    <w:uiPriority w:val="99"/>
    <w:unhideWhenUsed/>
    <w:rsid w:val="002C1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809"/>
  </w:style>
  <w:style w:type="paragraph" w:styleId="Footer">
    <w:name w:val="footer"/>
    <w:basedOn w:val="Normal"/>
    <w:link w:val="FooterChar"/>
    <w:uiPriority w:val="99"/>
    <w:unhideWhenUsed/>
    <w:rsid w:val="002C1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859062">
      <w:bodyDiv w:val="1"/>
      <w:marLeft w:val="0"/>
      <w:marRight w:val="0"/>
      <w:marTop w:val="0"/>
      <w:marBottom w:val="0"/>
      <w:divBdr>
        <w:top w:val="none" w:sz="0" w:space="0" w:color="auto"/>
        <w:left w:val="none" w:sz="0" w:space="0" w:color="auto"/>
        <w:bottom w:val="none" w:sz="0" w:space="0" w:color="auto"/>
        <w:right w:val="none" w:sz="0" w:space="0" w:color="auto"/>
      </w:divBdr>
    </w:div>
    <w:div w:id="2061586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32989</Words>
  <Characters>188038</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2022-11-11T11:12:00Z</dcterms:created>
  <dcterms:modified xsi:type="dcterms:W3CDTF">2022-12-13T06:46:00Z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4b47415a3b3afaa9d1f55542af38da73eef6dcd94b23d20fcb1cd4cb1787f5ca</vt:lpwstr>
  </property>
</Properties>
</file>