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43210" w14:textId="501B3B64" w:rsidR="00691CBF" w:rsidRDefault="00691CBF" w:rsidP="00691CBF">
      <w:pPr>
        <w:spacing w:after="0"/>
        <w:jc w:val="center"/>
        <w:rPr>
          <w:b/>
          <w:sz w:val="28"/>
          <w:szCs w:val="28"/>
          <w:lang w:val="id-ID"/>
        </w:rPr>
      </w:pPr>
      <w:r w:rsidRPr="00767C59">
        <w:rPr>
          <w:b/>
          <w:sz w:val="28"/>
          <w:szCs w:val="28"/>
          <w:lang w:val="id-ID"/>
        </w:rPr>
        <w:t>MACROECONOMIC</w:t>
      </w:r>
      <w:r w:rsidR="0038135E">
        <w:rPr>
          <w:b/>
          <w:sz w:val="28"/>
          <w:szCs w:val="28"/>
          <w:lang w:val="id-ID"/>
        </w:rPr>
        <w:t xml:space="preserve">S, </w:t>
      </w:r>
      <w:r w:rsidR="0038135E" w:rsidRPr="00767C59">
        <w:rPr>
          <w:b/>
          <w:sz w:val="28"/>
          <w:szCs w:val="28"/>
          <w:lang w:val="id-ID"/>
        </w:rPr>
        <w:t xml:space="preserve">HUMAN DEVELOPMENT </w:t>
      </w:r>
      <w:r w:rsidRPr="00767C59">
        <w:rPr>
          <w:b/>
          <w:sz w:val="28"/>
          <w:szCs w:val="28"/>
          <w:lang w:val="id-ID"/>
        </w:rPr>
        <w:t>AND POLITICAL STABILITY</w:t>
      </w:r>
      <w:r w:rsidR="0038135E">
        <w:rPr>
          <w:b/>
          <w:sz w:val="28"/>
          <w:szCs w:val="28"/>
          <w:lang w:val="id-ID"/>
        </w:rPr>
        <w:t>: EVIDANCE</w:t>
      </w:r>
      <w:r w:rsidRPr="00767C59">
        <w:rPr>
          <w:b/>
          <w:sz w:val="28"/>
          <w:szCs w:val="28"/>
          <w:lang w:val="id-ID"/>
        </w:rPr>
        <w:t xml:space="preserve"> </w:t>
      </w:r>
      <w:r w:rsidR="0038135E">
        <w:rPr>
          <w:b/>
          <w:sz w:val="28"/>
          <w:szCs w:val="28"/>
          <w:lang w:val="id-ID"/>
        </w:rPr>
        <w:t>FROM</w:t>
      </w:r>
      <w:r w:rsidRPr="00767C59">
        <w:rPr>
          <w:b/>
          <w:sz w:val="28"/>
          <w:szCs w:val="28"/>
          <w:lang w:val="id-ID"/>
        </w:rPr>
        <w:t xml:space="preserve"> OIC COUNTRIES</w:t>
      </w:r>
    </w:p>
    <w:p w14:paraId="3FC242D8" w14:textId="77777777" w:rsidR="00015469" w:rsidRDefault="00015469" w:rsidP="00691CBF">
      <w:pPr>
        <w:spacing w:after="0"/>
        <w:jc w:val="center"/>
      </w:pPr>
    </w:p>
    <w:p w14:paraId="06717BB7" w14:textId="77777777" w:rsidR="00691CBF" w:rsidRDefault="00691CBF" w:rsidP="00691CBF">
      <w:pPr>
        <w:spacing w:after="0"/>
        <w:rPr>
          <w:b/>
        </w:rPr>
      </w:pPr>
    </w:p>
    <w:p w14:paraId="6955F418" w14:textId="1D59DD4F" w:rsidR="00556FEF" w:rsidRDefault="004B0BEF" w:rsidP="00753FFD">
      <w:pPr>
        <w:spacing w:after="0"/>
        <w:jc w:val="center"/>
        <w:rPr>
          <w:b/>
        </w:rPr>
      </w:pPr>
      <w:r>
        <w:rPr>
          <w:b/>
        </w:rPr>
        <w:t>ABSTRACT</w:t>
      </w:r>
    </w:p>
    <w:p w14:paraId="1B8BE622" w14:textId="77777777" w:rsidR="00753FFD" w:rsidRPr="00753FFD" w:rsidRDefault="00753FFD" w:rsidP="00753FFD">
      <w:pPr>
        <w:spacing w:after="0"/>
        <w:jc w:val="center"/>
        <w:rPr>
          <w:b/>
        </w:rPr>
      </w:pPr>
    </w:p>
    <w:p w14:paraId="51F03501" w14:textId="5B062702" w:rsidR="00CA3A2A" w:rsidRPr="00814023" w:rsidRDefault="00C90257" w:rsidP="0075777D">
      <w:pPr>
        <w:spacing w:after="0"/>
        <w:jc w:val="both"/>
        <w:rPr>
          <w:bCs/>
        </w:rPr>
      </w:pPr>
      <w:r w:rsidRPr="00D0215F">
        <w:rPr>
          <w:bCs/>
          <w:lang w:val="id-ID"/>
        </w:rPr>
        <w:t>T</w:t>
      </w:r>
      <w:r w:rsidR="00D513D4" w:rsidRPr="00D0215F">
        <w:rPr>
          <w:bCs/>
        </w:rPr>
        <w:t xml:space="preserve">he human development index </w:t>
      </w:r>
      <w:r w:rsidRPr="00D0215F">
        <w:rPr>
          <w:bCs/>
          <w:lang w:val="id-ID"/>
        </w:rPr>
        <w:t>is used by t</w:t>
      </w:r>
      <w:r w:rsidRPr="00D0215F">
        <w:rPr>
          <w:bCs/>
        </w:rPr>
        <w:t xml:space="preserve">he United Nations </w:t>
      </w:r>
      <w:r w:rsidR="00D513D4" w:rsidRPr="00D0215F">
        <w:rPr>
          <w:bCs/>
        </w:rPr>
        <w:t>as a</w:t>
      </w:r>
      <w:r w:rsidR="0078091A" w:rsidRPr="00D0215F">
        <w:rPr>
          <w:bCs/>
          <w:lang w:val="id-ID"/>
        </w:rPr>
        <w:t xml:space="preserve"> main</w:t>
      </w:r>
      <w:r w:rsidR="00D513D4" w:rsidRPr="00D0215F">
        <w:rPr>
          <w:bCs/>
        </w:rPr>
        <w:t xml:space="preserve"> </w:t>
      </w:r>
      <w:r w:rsidR="00CD6C63" w:rsidRPr="00D0215F">
        <w:rPr>
          <w:bCs/>
          <w:lang w:val="id-ID"/>
        </w:rPr>
        <w:t>standart</w:t>
      </w:r>
      <w:r w:rsidR="00D513D4" w:rsidRPr="00D0215F">
        <w:rPr>
          <w:bCs/>
        </w:rPr>
        <w:t xml:space="preserve"> to assess welfare and </w:t>
      </w:r>
      <w:r w:rsidR="005244DF" w:rsidRPr="00D0215F">
        <w:rPr>
          <w:bCs/>
          <w:lang w:val="id-ID"/>
        </w:rPr>
        <w:t>classify</w:t>
      </w:r>
      <w:r w:rsidR="00D513D4" w:rsidRPr="00D0215F">
        <w:rPr>
          <w:bCs/>
        </w:rPr>
        <w:t xml:space="preserve"> nations around the </w:t>
      </w:r>
      <w:r w:rsidR="00D513D4" w:rsidRPr="00D0215F">
        <w:rPr>
          <w:bCs/>
          <w:lang w:val="id-ID"/>
        </w:rPr>
        <w:t>world</w:t>
      </w:r>
      <w:r w:rsidR="00D513D4" w:rsidRPr="00D0215F">
        <w:rPr>
          <w:bCs/>
        </w:rPr>
        <w:t>.</w:t>
      </w:r>
      <w:r w:rsidR="005244DF" w:rsidRPr="00D0215F">
        <w:rPr>
          <w:bCs/>
          <w:lang w:val="id-ID"/>
        </w:rPr>
        <w:t xml:space="preserve"> </w:t>
      </w:r>
      <w:r w:rsidR="005244DF" w:rsidRPr="00D0215F">
        <w:rPr>
          <w:bCs/>
        </w:rPr>
        <w:t>The</w:t>
      </w:r>
      <w:r w:rsidR="005244DF" w:rsidRPr="00D0215F">
        <w:rPr>
          <w:bCs/>
          <w:lang w:val="id-ID"/>
        </w:rPr>
        <w:t xml:space="preserve"> purpose </w:t>
      </w:r>
      <w:r w:rsidR="005244DF" w:rsidRPr="00D0215F">
        <w:rPr>
          <w:bCs/>
        </w:rPr>
        <w:t xml:space="preserve">of this study is to evaluate and </w:t>
      </w:r>
      <w:proofErr w:type="spellStart"/>
      <w:r w:rsidR="005244DF" w:rsidRPr="00D0215F">
        <w:rPr>
          <w:bCs/>
        </w:rPr>
        <w:t>analyze</w:t>
      </w:r>
      <w:proofErr w:type="spellEnd"/>
      <w:r w:rsidR="005244DF" w:rsidRPr="00D0215F">
        <w:rPr>
          <w:bCs/>
        </w:rPr>
        <w:t xml:space="preserve"> the impact of macroeconomic factors on the Human Development Index (HDI) in OIC countries</w:t>
      </w:r>
      <w:r w:rsidR="005244DF" w:rsidRPr="00D0215F">
        <w:rPr>
          <w:bCs/>
          <w:lang w:val="id-ID"/>
        </w:rPr>
        <w:t xml:space="preserve"> </w:t>
      </w:r>
      <w:r w:rsidR="00691CBF" w:rsidRPr="00D0215F">
        <w:rPr>
          <w:bCs/>
        </w:rPr>
        <w:t>with political stability as the moderating variable</w:t>
      </w:r>
      <w:r w:rsidR="00DC046C" w:rsidRPr="00D0215F">
        <w:rPr>
          <w:bCs/>
          <w:lang w:val="id-ID"/>
        </w:rPr>
        <w:t xml:space="preserve"> between them</w:t>
      </w:r>
      <w:r w:rsidR="00691CBF" w:rsidRPr="003A1806">
        <w:rPr>
          <w:bCs/>
          <w:color w:val="7030A0"/>
        </w:rPr>
        <w:t xml:space="preserve">. </w:t>
      </w:r>
      <w:r w:rsidR="005244DF" w:rsidRPr="006D004F">
        <w:rPr>
          <w:bCs/>
        </w:rPr>
        <w:t>As analysis tools, the GMM (Generalized Method Moment) dynamic pane</w:t>
      </w:r>
      <w:r w:rsidR="00013392" w:rsidRPr="006D004F">
        <w:rPr>
          <w:bCs/>
          <w:lang w:val="id-ID"/>
        </w:rPr>
        <w:t>l</w:t>
      </w:r>
      <w:r w:rsidR="00A31AB4" w:rsidRPr="006D004F">
        <w:rPr>
          <w:bCs/>
          <w:lang w:val="id-ID"/>
        </w:rPr>
        <w:t xml:space="preserve"> </w:t>
      </w:r>
      <w:r w:rsidR="005244DF" w:rsidRPr="006D004F">
        <w:rPr>
          <w:bCs/>
        </w:rPr>
        <w:t>and MRA (Moderated Regression Analysis)</w:t>
      </w:r>
      <w:r w:rsidR="00A31AB4" w:rsidRPr="006D004F">
        <w:rPr>
          <w:bCs/>
          <w:lang w:val="id-ID"/>
        </w:rPr>
        <w:t xml:space="preserve"> </w:t>
      </w:r>
      <w:r w:rsidR="006D004F" w:rsidRPr="006D004F">
        <w:rPr>
          <w:bCs/>
          <w:lang w:val="id-ID"/>
        </w:rPr>
        <w:t>are used</w:t>
      </w:r>
      <w:r w:rsidR="005244DF" w:rsidRPr="006D004F">
        <w:rPr>
          <w:bCs/>
        </w:rPr>
        <w:t>.</w:t>
      </w:r>
      <w:r w:rsidR="0075777D" w:rsidRPr="006D004F">
        <w:rPr>
          <w:bCs/>
          <w:lang w:val="id-ID"/>
        </w:rPr>
        <w:t xml:space="preserve"> </w:t>
      </w:r>
      <w:r w:rsidR="00CA3A2A" w:rsidRPr="00F402CE">
        <w:rPr>
          <w:bCs/>
        </w:rPr>
        <w:t xml:space="preserve">The study's findings demonstrate that whereas unemployment and inflation have no effect on HDI, respectively, trade and foreign direct investment have a considerable positive and negative impact on HDI, respectively. </w:t>
      </w:r>
      <w:r w:rsidR="00FD2786" w:rsidRPr="00814023">
        <w:rPr>
          <w:bCs/>
          <w:lang w:val="id-ID"/>
        </w:rPr>
        <w:t>However,</w:t>
      </w:r>
      <w:r w:rsidR="00CA3A2A" w:rsidRPr="00814023">
        <w:rPr>
          <w:bCs/>
        </w:rPr>
        <w:t xml:space="preserve"> political stability can </w:t>
      </w:r>
      <w:r w:rsidR="00CA3A2A" w:rsidRPr="00814023">
        <w:rPr>
          <w:bCs/>
          <w:lang w:val="id-ID"/>
        </w:rPr>
        <w:t>moderate</w:t>
      </w:r>
      <w:r w:rsidR="00CA3A2A" w:rsidRPr="00814023">
        <w:rPr>
          <w:bCs/>
        </w:rPr>
        <w:t xml:space="preserve"> the impact of HDI responses</w:t>
      </w:r>
      <w:r w:rsidR="00CA3A2A" w:rsidRPr="00814023">
        <w:rPr>
          <w:bCs/>
          <w:lang w:val="id-ID"/>
        </w:rPr>
        <w:t xml:space="preserve"> </w:t>
      </w:r>
      <w:r w:rsidR="00CA3A2A" w:rsidRPr="00814023">
        <w:rPr>
          <w:bCs/>
        </w:rPr>
        <w:t xml:space="preserve">(pseudo-moderation). The findings of this study have implications for the value of collaboration among OIC nations in a number of areas, particularly in terms of </w:t>
      </w:r>
      <w:r w:rsidR="00CA3A2A" w:rsidRPr="00814023">
        <w:rPr>
          <w:bCs/>
          <w:lang w:val="id-ID"/>
        </w:rPr>
        <w:t>expanding trade</w:t>
      </w:r>
      <w:r w:rsidR="00CA3A2A" w:rsidRPr="00814023">
        <w:rPr>
          <w:bCs/>
        </w:rPr>
        <w:t xml:space="preserve">, attracting investment, and creating jobs to support the expansion of human development and </w:t>
      </w:r>
      <w:r w:rsidR="0075777D" w:rsidRPr="00814023">
        <w:rPr>
          <w:bCs/>
          <w:lang w:val="id-ID"/>
        </w:rPr>
        <w:t>sustainable</w:t>
      </w:r>
      <w:r w:rsidR="00CA3A2A" w:rsidRPr="00814023">
        <w:rPr>
          <w:bCs/>
        </w:rPr>
        <w:t xml:space="preserve"> prosperity in OIC nations.</w:t>
      </w:r>
    </w:p>
    <w:p w14:paraId="146B44BB" w14:textId="77777777" w:rsidR="00691CBF" w:rsidRPr="00534612" w:rsidRDefault="00691CBF" w:rsidP="00691CBF">
      <w:pPr>
        <w:spacing w:after="0"/>
        <w:jc w:val="both"/>
        <w:rPr>
          <w:bCs/>
        </w:rPr>
      </w:pPr>
    </w:p>
    <w:p w14:paraId="723880F6" w14:textId="7F146DA8" w:rsidR="00691CBF" w:rsidRDefault="00691CBF" w:rsidP="00691CBF">
      <w:pPr>
        <w:spacing w:after="0"/>
        <w:jc w:val="both"/>
      </w:pPr>
      <w:r>
        <w:rPr>
          <w:b/>
        </w:rPr>
        <w:t>Keywords</w:t>
      </w:r>
      <w:r>
        <w:t xml:space="preserve">: </w:t>
      </w:r>
      <w:r w:rsidR="00D54370">
        <w:rPr>
          <w:lang w:val="id-ID"/>
        </w:rPr>
        <w:t>HDI, inflation,</w:t>
      </w:r>
      <w:r w:rsidR="00CC7B46">
        <w:rPr>
          <w:lang w:val="id-ID"/>
        </w:rPr>
        <w:t xml:space="preserve"> </w:t>
      </w:r>
      <w:r w:rsidR="00CC7B46" w:rsidRPr="00CC7B46">
        <w:rPr>
          <w:lang w:val="id-ID"/>
        </w:rPr>
        <w:t>unemployment, trade openness, foreign direct investment, political stability</w:t>
      </w:r>
    </w:p>
    <w:p w14:paraId="03CBF859" w14:textId="69D22E51" w:rsidR="00106630" w:rsidRDefault="00691CBF" w:rsidP="00344D28">
      <w:pPr>
        <w:spacing w:after="0"/>
        <w:jc w:val="both"/>
      </w:pPr>
      <w:r>
        <w:rPr>
          <w:b/>
        </w:rPr>
        <w:t xml:space="preserve">JEL Classification: </w:t>
      </w:r>
      <w:r w:rsidR="00CC7B46">
        <w:t>E6, I0, J5, P0</w:t>
      </w:r>
      <w:bookmarkStart w:id="0" w:name="_heading=h.gjdgxs" w:colFirst="0" w:colLast="0"/>
      <w:bookmarkEnd w:id="0"/>
    </w:p>
    <w:p w14:paraId="3F47B8BC" w14:textId="77777777" w:rsidR="00344D28" w:rsidRPr="00344D28" w:rsidRDefault="00344D28" w:rsidP="00344D28">
      <w:pPr>
        <w:spacing w:after="0"/>
        <w:jc w:val="both"/>
      </w:pPr>
    </w:p>
    <w:p w14:paraId="0000000A" w14:textId="35AB32E3" w:rsidR="008213D5" w:rsidRDefault="00106630" w:rsidP="00106630">
      <w:pPr>
        <w:spacing w:after="0"/>
        <w:jc w:val="center"/>
        <w:rPr>
          <w:b/>
          <w:sz w:val="28"/>
          <w:szCs w:val="28"/>
        </w:rPr>
      </w:pPr>
      <w:r>
        <w:rPr>
          <w:b/>
          <w:sz w:val="28"/>
          <w:szCs w:val="28"/>
        </w:rPr>
        <w:t>Introduction</w:t>
      </w:r>
    </w:p>
    <w:p w14:paraId="3A717AF9" w14:textId="77777777" w:rsidR="00CF3F23" w:rsidRDefault="00CF3F23" w:rsidP="00106630">
      <w:pPr>
        <w:spacing w:after="0"/>
        <w:jc w:val="center"/>
      </w:pPr>
    </w:p>
    <w:p w14:paraId="7818A13D" w14:textId="214F6DB2" w:rsidR="00CF3F23" w:rsidRDefault="00814023" w:rsidP="00CF3F23">
      <w:pPr>
        <w:spacing w:after="0"/>
        <w:jc w:val="both"/>
        <w:rPr>
          <w:lang w:val="id-ID"/>
        </w:rPr>
      </w:pPr>
      <w:r w:rsidRPr="00814023">
        <w:t xml:space="preserve">Significant modifications have been made to the economic development paradigm. The country's development strategy is distinguished not just by its rapid economic growth but also by the quality of its </w:t>
      </w:r>
      <w:r w:rsidR="002B1DEF">
        <w:rPr>
          <w:lang w:val="id-ID"/>
        </w:rPr>
        <w:t>society</w:t>
      </w:r>
      <w:r w:rsidRPr="00814023">
        <w:t xml:space="preserve">. </w:t>
      </w:r>
      <w:r w:rsidR="00CF3F23">
        <w:t xml:space="preserve">Development programs explain high incomes </w:t>
      </w:r>
      <w:r w:rsidR="00CF3F23" w:rsidRPr="00685E47">
        <w:rPr>
          <w:lang w:val="id-ID"/>
        </w:rPr>
        <w:t xml:space="preserve">and also </w:t>
      </w:r>
      <w:r w:rsidR="00CF3F23">
        <w:t xml:space="preserve">create environmental conditions, which humans </w:t>
      </w:r>
      <w:r w:rsidR="00CF3F23">
        <w:rPr>
          <w:lang w:val="id-ID"/>
        </w:rPr>
        <w:t>are having</w:t>
      </w:r>
      <w:r w:rsidR="00CF3F23">
        <w:t xml:space="preserve"> </w:t>
      </w:r>
      <w:r w:rsidR="00CF3F23">
        <w:rPr>
          <w:lang w:val="id-ID"/>
        </w:rPr>
        <w:t xml:space="preserve">the </w:t>
      </w:r>
      <w:r w:rsidR="00CF3F23">
        <w:t>freedom and choice</w:t>
      </w:r>
      <w:r w:rsidR="00CF3F23">
        <w:rPr>
          <w:lang w:val="id-ID"/>
        </w:rPr>
        <w:t>s</w:t>
      </w:r>
      <w:r w:rsidR="00CF3F23">
        <w:t xml:space="preserve">, </w:t>
      </w:r>
      <w:r w:rsidR="00CF3F23">
        <w:rPr>
          <w:lang w:val="id-ID"/>
        </w:rPr>
        <w:t xml:space="preserve">living longer and </w:t>
      </w:r>
      <w:r w:rsidR="00CF3F23">
        <w:t xml:space="preserve">healthier and </w:t>
      </w:r>
      <w:r w:rsidR="00CF3F23">
        <w:rPr>
          <w:lang w:val="id-ID"/>
        </w:rPr>
        <w:t xml:space="preserve">having much </w:t>
      </w:r>
      <w:r w:rsidR="00CF3F23">
        <w:t xml:space="preserve">more </w:t>
      </w:r>
      <w:proofErr w:type="spellStart"/>
      <w:r w:rsidR="00CF3F23">
        <w:t>productiv</w:t>
      </w:r>
      <w:proofErr w:type="spellEnd"/>
      <w:r w:rsidR="00CF3F23">
        <w:rPr>
          <w:lang w:val="id-ID"/>
        </w:rPr>
        <w:t>ities</w:t>
      </w:r>
      <w:r w:rsidR="00E90A75">
        <w:rPr>
          <w:lang w:val="id-ID"/>
        </w:rPr>
        <w:t xml:space="preserve"> </w:t>
      </w:r>
      <w:r w:rsidR="00B47E96">
        <w:rPr>
          <w:lang w:val="id-ID"/>
        </w:rPr>
        <w:fldChar w:fldCharType="begin" w:fldLock="1"/>
      </w:r>
      <w:r w:rsidR="00B47E96">
        <w:rPr>
          <w:lang w:val="id-ID"/>
        </w:rPr>
        <w:instrText>ADDIN CSL_CITATION {"citationItems":[{"id":"ITEM-1","itemData":{"abstract":"Compared with countries in the Southeast Asian Region (ASEAN), Indonesia has a Human Development Index (HDI) which is still in medium level. Based on the report of the United Nations Development Programme (UNDP), Indonesia's HDI ranking in 2013 was ranked 108 out of 187 countries. One factor of low HDI in Indonesia is the imbalance of development that occurs between Western Indonesia and East Indonesia. This is as the result of a centralized government implementation before decentralization in 2001. Some areas in Eastern Indonesia have HDI far below of the average National HDI (Indonesian National score 0.73). Overall, only 17 provinces in Indonesia which has an above-average National HDI and the remaining 16 provinces, below the average of the National HDI and is mostly in Eastern region. Theoretically, one of the factors driving the increase in HDI is the increase in percapita income. This improvement will increase the purchasing power of people and at the end will improve the quality of education and health. However, high growth sector in the region do not necessarily reflect equitable prosperity for all people of the region. Moreover, the rapid rate of economic growth by itself will not be followed by growth or improving the distribution of profits for the entire population (see: Tadaro, 2011). Actually, increased demand would stimulate investment which in turn will increase revenues and led to a second round of investment, and so on. But it can also happen that the concentration of economic activities is quite high only in certain areas and not in other areas. This will affect income inequality community. Furthermore, high HDI will improve the quality of the economic development. HDI is a composition index based on three indicators, namely: health, educational attainment, and standard of living. One of several policies is fiscal policy reformation, which starts with the law number 22/1999 on Local Government, which is equipped by the Law No.25/1999 on Financial Balance between Central and Local Government. The both laws are updated with the law number 32/2004 on local government and law number 33/2004 on the financial balance between central and local Governments. A few studies those have been successful in verifying the potential contribution of fiscal decentralization to economic growth. One of the main objectives of fiscal decentralization is equality in the distribution of income. Centralistic system in the past (New Order Regime) made inequali…","author":[{"dropping-particle":"","family":"Sofilda","given":"Eleonora","non-dropping-particle":"","parse-names":false,"suffix":""},{"dropping-particle":"","family":"Hermiyanti","given":"Putri","non-dropping-particle":"","parse-names":false,"suffix":""},{"dropping-particle":"","family":"Hamzah","given":"Muhammad Zilal","non-dropping-particle":"","parse-names":false,"suffix":""}],"container-title":"OIDA International Journal of Sustainable Development","id":"ITEM-1","issue":"09","issued":{"date-parts":[["2015"]]},"page":"11-28","title":"Determinant Variable Analysis of Human Development Index in Indonesia (Case for High and Low Index at Period 2004-2013)","type":"article-journal","volume":"08"},"uris":["http://www.mendeley.com/documents/?uuid=9129c90c-5658-4e09-b3b9-a868794ce6d6"]}],"mendeley":{"formattedCitation":"(Sofilda et al., 2015)","plainTextFormattedCitation":"(Sofilda et al., 2015)","previouslyFormattedCitation":"(Sofilda et al., 2015)"},"properties":{"noteIndex":0},"schema":"https://github.com/citation-style-language/schema/raw/master/csl-citation.json"}</w:instrText>
      </w:r>
      <w:r w:rsidR="00B47E96">
        <w:rPr>
          <w:lang w:val="id-ID"/>
        </w:rPr>
        <w:fldChar w:fldCharType="separate"/>
      </w:r>
      <w:r w:rsidR="00B47E96" w:rsidRPr="00B47E96">
        <w:rPr>
          <w:noProof/>
          <w:lang w:val="id-ID"/>
        </w:rPr>
        <w:t>(Sofilda et al., 2015)</w:t>
      </w:r>
      <w:r w:rsidR="00B47E96">
        <w:rPr>
          <w:lang w:val="id-ID"/>
        </w:rPr>
        <w:fldChar w:fldCharType="end"/>
      </w:r>
      <w:r w:rsidR="00B47E96">
        <w:rPr>
          <w:lang w:val="id-ID"/>
        </w:rPr>
        <w:t xml:space="preserve">. </w:t>
      </w:r>
      <w:r w:rsidR="00CF3F23">
        <w:t>According to UNDP</w:t>
      </w:r>
      <w:r w:rsidR="00CF3F23">
        <w:rPr>
          <w:lang w:val="id-ID"/>
        </w:rPr>
        <w:t xml:space="preserve"> (1999) and</w:t>
      </w:r>
      <w:r w:rsidR="00CF3F23">
        <w:t xml:space="preserve"> </w:t>
      </w:r>
      <w:r w:rsidR="00B47E96">
        <w:fldChar w:fldCharType="begin" w:fldLock="1"/>
      </w:r>
      <w:r w:rsidR="00242A8F">
        <w:instrText>ADDIN CSL_CITATION {"citationItems":[{"id":"ITEM-1","itemData":{"ISBN":"9780138013882","abstract":"Economic Development is the leading textbook in this field, providing a complete and balanced introduction to the requisite theory, the driving policy issues, and the latest research. Todaro and Smith take a policy-oriented approach, presenting economic theory in the context of critical policy debates and country-specific case studies so students see how theory relates to the problems and prospects of developing countries.","author":[{"dropping-particle":"","family":"Todaro","given":"Michael","non-dropping-particle":"","parse-names":false,"suffix":""},{"dropping-particle":"","family":"Smith","given":"Stephen C.","non-dropping-particle":"","parse-names":false,"suffix":""}],"container-title":"Economic Development","id":"ITEM-1","issued":{"date-parts":[["2011"]]},"number-of-pages":"202-265","title":"Chapter 5: Poverty, Inequality and Development","type":"book"},"uris":["http://www.mendeley.com/documents/?uuid=58b20350-8def-4912-be9a-50cdef2750fb"]}],"mendeley":{"formattedCitation":"(Todaro &amp; Smith, 2011)","manualFormatting":"Todaro &amp; Smith (2011)","plainTextFormattedCitation":"(Todaro &amp; Smith, 2011)","previouslyFormattedCitation":"(Todaro &amp; Smith, 2011)"},"properties":{"noteIndex":0},"schema":"https://github.com/citation-style-language/schema/raw/master/csl-citation.json"}</w:instrText>
      </w:r>
      <w:r w:rsidR="00B47E96">
        <w:fldChar w:fldCharType="separate"/>
      </w:r>
      <w:r w:rsidR="00B47E96" w:rsidRPr="00B47E96">
        <w:rPr>
          <w:noProof/>
        </w:rPr>
        <w:t xml:space="preserve">Todaro &amp; Smith </w:t>
      </w:r>
      <w:r w:rsidR="00B47E96">
        <w:rPr>
          <w:noProof/>
          <w:lang w:val="id-ID"/>
        </w:rPr>
        <w:t>(</w:t>
      </w:r>
      <w:r w:rsidR="00B47E96" w:rsidRPr="00B47E96">
        <w:rPr>
          <w:noProof/>
        </w:rPr>
        <w:t>2011)</w:t>
      </w:r>
      <w:r w:rsidR="00B47E96">
        <w:fldChar w:fldCharType="end"/>
      </w:r>
      <w:r w:rsidR="00B47E96">
        <w:rPr>
          <w:lang w:val="id-ID"/>
        </w:rPr>
        <w:t>,</w:t>
      </w:r>
      <w:r w:rsidR="00CF3F23">
        <w:t xml:space="preserve"> </w:t>
      </w:r>
      <w:r w:rsidR="00DE1C7B" w:rsidRPr="00DE1C7B">
        <w:t xml:space="preserve">The Human Development Index (HDI) measures a nation's socioeconomic development by combining data on education, health, and real per capita income. The HDI is currently a comprehensive tool that the UN uses to assess the level of social and economic development in various nations around the </w:t>
      </w:r>
      <w:r w:rsidR="00DE1C7B">
        <w:rPr>
          <w:lang w:val="id-ID"/>
        </w:rPr>
        <w:t>world</w:t>
      </w:r>
      <w:r w:rsidR="00DE1C7B" w:rsidRPr="00DE1C7B">
        <w:t>.</w:t>
      </w:r>
      <w:r w:rsidR="00CF3F23">
        <w:t xml:space="preserve"> Several dimensions of the human development program consider various factors, including the economy, society, politics, law, and security. </w:t>
      </w:r>
      <w:r w:rsidR="00CF3F23">
        <w:rPr>
          <w:lang w:val="id-ID"/>
        </w:rPr>
        <w:t xml:space="preserve">The </w:t>
      </w:r>
      <w:r w:rsidR="00CF3F23">
        <w:t xml:space="preserve">following </w:t>
      </w:r>
      <w:r w:rsidR="00CF3F23">
        <w:rPr>
          <w:lang w:val="id-ID"/>
        </w:rPr>
        <w:t>table below describe</w:t>
      </w:r>
      <w:r w:rsidR="00CF3F23">
        <w:t xml:space="preserve"> the development of the HDI of world countries in recent times.</w:t>
      </w:r>
      <w:r w:rsidR="00CF3F23">
        <w:rPr>
          <w:lang w:val="id-ID"/>
        </w:rPr>
        <w:t xml:space="preserve"> </w:t>
      </w:r>
    </w:p>
    <w:p w14:paraId="63EE924D" w14:textId="77777777" w:rsidR="00CF3F23" w:rsidRDefault="00CF3F23" w:rsidP="00CF3F23">
      <w:pPr>
        <w:spacing w:after="0"/>
        <w:ind w:firstLine="720"/>
        <w:jc w:val="both"/>
        <w:rPr>
          <w:lang w:val="id-ID"/>
        </w:rPr>
      </w:pPr>
    </w:p>
    <w:p w14:paraId="526F789A" w14:textId="77777777" w:rsidR="00CF3F23" w:rsidRPr="009C48DE" w:rsidRDefault="00CF3F23" w:rsidP="00010A31">
      <w:pPr>
        <w:pStyle w:val="Caption"/>
        <w:keepNext/>
        <w:spacing w:after="0"/>
        <w:jc w:val="center"/>
        <w:rPr>
          <w:rFonts w:cstheme="minorHAnsi"/>
          <w:b/>
          <w:bCs/>
          <w:i w:val="0"/>
          <w:iCs w:val="0"/>
          <w:color w:val="auto"/>
          <w:sz w:val="22"/>
          <w:szCs w:val="22"/>
        </w:rPr>
      </w:pPr>
      <w:bookmarkStart w:id="1" w:name="_Toc124139717"/>
      <w:r w:rsidRPr="000A099B">
        <w:rPr>
          <w:rFonts w:cstheme="minorHAnsi"/>
          <w:b/>
          <w:bCs/>
          <w:i w:val="0"/>
          <w:iCs w:val="0"/>
          <w:color w:val="auto"/>
          <w:sz w:val="22"/>
          <w:szCs w:val="22"/>
        </w:rPr>
        <w:t xml:space="preserve">Tabel </w:t>
      </w:r>
      <w:r w:rsidRPr="000A099B">
        <w:rPr>
          <w:rFonts w:cstheme="minorHAnsi"/>
          <w:b/>
          <w:bCs/>
          <w:i w:val="0"/>
          <w:iCs w:val="0"/>
          <w:color w:val="auto"/>
          <w:sz w:val="22"/>
          <w:szCs w:val="22"/>
        </w:rPr>
        <w:fldChar w:fldCharType="begin"/>
      </w:r>
      <w:r w:rsidRPr="000A099B">
        <w:rPr>
          <w:rFonts w:cstheme="minorHAnsi"/>
          <w:b/>
          <w:bCs/>
          <w:i w:val="0"/>
          <w:iCs w:val="0"/>
          <w:color w:val="auto"/>
          <w:sz w:val="22"/>
          <w:szCs w:val="22"/>
        </w:rPr>
        <w:instrText xml:space="preserve"> SEQ Tabel \* ARABIC </w:instrText>
      </w:r>
      <w:r w:rsidRPr="000A099B">
        <w:rPr>
          <w:rFonts w:cstheme="minorHAnsi"/>
          <w:b/>
          <w:bCs/>
          <w:i w:val="0"/>
          <w:iCs w:val="0"/>
          <w:color w:val="auto"/>
          <w:sz w:val="22"/>
          <w:szCs w:val="22"/>
        </w:rPr>
        <w:fldChar w:fldCharType="separate"/>
      </w:r>
      <w:r w:rsidRPr="000A099B">
        <w:rPr>
          <w:rFonts w:cstheme="minorHAnsi"/>
          <w:b/>
          <w:bCs/>
          <w:i w:val="0"/>
          <w:iCs w:val="0"/>
          <w:noProof/>
          <w:color w:val="auto"/>
          <w:sz w:val="22"/>
          <w:szCs w:val="22"/>
        </w:rPr>
        <w:t>1</w:t>
      </w:r>
      <w:r w:rsidRPr="000A099B">
        <w:rPr>
          <w:rFonts w:cstheme="minorHAnsi"/>
          <w:b/>
          <w:bCs/>
          <w:i w:val="0"/>
          <w:iCs w:val="0"/>
          <w:color w:val="auto"/>
          <w:sz w:val="22"/>
          <w:szCs w:val="22"/>
        </w:rPr>
        <w:fldChar w:fldCharType="end"/>
      </w:r>
      <w:r w:rsidRPr="000A099B">
        <w:rPr>
          <w:rFonts w:cstheme="minorHAnsi"/>
          <w:b/>
          <w:bCs/>
          <w:i w:val="0"/>
          <w:iCs w:val="0"/>
          <w:color w:val="auto"/>
          <w:sz w:val="22"/>
          <w:szCs w:val="22"/>
        </w:rPr>
        <w:t xml:space="preserve">.1 </w:t>
      </w:r>
      <w:bookmarkEnd w:id="1"/>
      <w:r>
        <w:rPr>
          <w:rFonts w:cstheme="minorHAnsi"/>
          <w:b/>
          <w:bCs/>
          <w:i w:val="0"/>
          <w:iCs w:val="0"/>
          <w:color w:val="auto"/>
          <w:sz w:val="22"/>
          <w:szCs w:val="22"/>
        </w:rPr>
        <w:t>The</w:t>
      </w:r>
      <w:r w:rsidRPr="00B03818">
        <w:rPr>
          <w:rFonts w:cstheme="minorHAnsi"/>
          <w:b/>
          <w:bCs/>
          <w:i w:val="0"/>
          <w:iCs w:val="0"/>
          <w:color w:val="auto"/>
          <w:sz w:val="22"/>
          <w:szCs w:val="22"/>
        </w:rPr>
        <w:t xml:space="preserve"> World Countries with the Highest HDI Values</w:t>
      </w:r>
    </w:p>
    <w:tbl>
      <w:tblPr>
        <w:tblStyle w:val="GridTable2-Accent3"/>
        <w:tblpPr w:leftFromText="180" w:rightFromText="180" w:vertAnchor="text" w:horzAnchor="margin" w:tblpXSpec="center" w:tblpY="405"/>
        <w:tblW w:w="7130" w:type="dxa"/>
        <w:tblLook w:val="04A0" w:firstRow="1" w:lastRow="0" w:firstColumn="1" w:lastColumn="0" w:noHBand="0" w:noVBand="1"/>
      </w:tblPr>
      <w:tblGrid>
        <w:gridCol w:w="516"/>
        <w:gridCol w:w="1316"/>
        <w:gridCol w:w="607"/>
        <w:gridCol w:w="516"/>
        <w:gridCol w:w="1412"/>
        <w:gridCol w:w="674"/>
        <w:gridCol w:w="516"/>
        <w:gridCol w:w="1341"/>
        <w:gridCol w:w="607"/>
      </w:tblGrid>
      <w:tr w:rsidR="00CF3F23" w:rsidRPr="000A099B" w14:paraId="61F8B5E7" w14:textId="77777777" w:rsidTr="00EA1A1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1972839D" w14:textId="77777777" w:rsidR="00CF3F23" w:rsidRPr="00EA1A1E" w:rsidRDefault="00CF3F23" w:rsidP="00010A31">
            <w:pPr>
              <w:jc w:val="center"/>
              <w:rPr>
                <w:rFonts w:eastAsia="Times New Roman" w:cstheme="minorHAnsi"/>
                <w:color w:val="000000"/>
              </w:rPr>
            </w:pPr>
            <w:r w:rsidRPr="00EA1A1E">
              <w:rPr>
                <w:rFonts w:eastAsia="Times New Roman" w:cstheme="minorHAnsi"/>
                <w:color w:val="000000"/>
              </w:rPr>
              <w:t>NO</w:t>
            </w:r>
          </w:p>
        </w:tc>
        <w:tc>
          <w:tcPr>
            <w:tcW w:w="1210" w:type="dxa"/>
            <w:noWrap/>
            <w:hideMark/>
          </w:tcPr>
          <w:p w14:paraId="592FE571" w14:textId="349F6858" w:rsidR="00CF3F23" w:rsidRPr="00EA1A1E" w:rsidRDefault="00EA1A1E" w:rsidP="00010A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id-ID"/>
              </w:rPr>
            </w:pPr>
            <w:r w:rsidRPr="00EA1A1E">
              <w:rPr>
                <w:rFonts w:eastAsia="Times New Roman" w:cstheme="minorHAnsi"/>
                <w:color w:val="000000"/>
                <w:lang w:val="id-ID"/>
              </w:rPr>
              <w:t>COUNTRY</w:t>
            </w:r>
          </w:p>
        </w:tc>
        <w:tc>
          <w:tcPr>
            <w:tcW w:w="605" w:type="dxa"/>
            <w:noWrap/>
            <w:hideMark/>
          </w:tcPr>
          <w:p w14:paraId="1D81FDDD" w14:textId="662B47E3" w:rsidR="00CF3F23" w:rsidRPr="00EA1A1E" w:rsidRDefault="00EA1A1E" w:rsidP="00010A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id-ID"/>
              </w:rPr>
            </w:pPr>
            <w:r w:rsidRPr="00EA1A1E">
              <w:rPr>
                <w:rFonts w:eastAsia="Times New Roman" w:cstheme="minorHAnsi"/>
                <w:color w:val="000000"/>
                <w:lang w:val="id-ID"/>
              </w:rPr>
              <w:t xml:space="preserve">HDI </w:t>
            </w:r>
          </w:p>
        </w:tc>
        <w:tc>
          <w:tcPr>
            <w:tcW w:w="516" w:type="dxa"/>
            <w:noWrap/>
            <w:hideMark/>
          </w:tcPr>
          <w:p w14:paraId="1EF4CAA6" w14:textId="77777777" w:rsidR="00CF3F23" w:rsidRPr="00EA1A1E" w:rsidRDefault="00CF3F23" w:rsidP="00010A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EA1A1E">
              <w:rPr>
                <w:rFonts w:eastAsia="Times New Roman" w:cstheme="minorHAnsi"/>
                <w:color w:val="000000"/>
              </w:rPr>
              <w:t>NO</w:t>
            </w:r>
          </w:p>
        </w:tc>
        <w:tc>
          <w:tcPr>
            <w:tcW w:w="1294" w:type="dxa"/>
            <w:noWrap/>
            <w:hideMark/>
          </w:tcPr>
          <w:p w14:paraId="300F0119" w14:textId="41E6B6AA" w:rsidR="00CF3F23" w:rsidRPr="00EA1A1E" w:rsidRDefault="00EA1A1E" w:rsidP="00010A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id-ID"/>
              </w:rPr>
            </w:pPr>
            <w:r w:rsidRPr="00EA1A1E">
              <w:rPr>
                <w:rFonts w:eastAsia="Times New Roman" w:cstheme="minorHAnsi"/>
                <w:color w:val="000000"/>
                <w:lang w:val="id-ID"/>
              </w:rPr>
              <w:t>COUNTRY</w:t>
            </w:r>
          </w:p>
        </w:tc>
        <w:tc>
          <w:tcPr>
            <w:tcW w:w="674" w:type="dxa"/>
            <w:noWrap/>
            <w:hideMark/>
          </w:tcPr>
          <w:p w14:paraId="4AA9D7CD" w14:textId="75089AE5" w:rsidR="00CF3F23" w:rsidRPr="00EA1A1E" w:rsidRDefault="00EA1A1E" w:rsidP="00010A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id-ID"/>
              </w:rPr>
            </w:pPr>
            <w:r w:rsidRPr="00EA1A1E">
              <w:rPr>
                <w:rFonts w:eastAsia="Times New Roman" w:cstheme="minorHAnsi"/>
                <w:color w:val="000000"/>
                <w:lang w:val="id-ID"/>
              </w:rPr>
              <w:t xml:space="preserve">HDI </w:t>
            </w:r>
          </w:p>
        </w:tc>
        <w:tc>
          <w:tcPr>
            <w:tcW w:w="516" w:type="dxa"/>
            <w:noWrap/>
            <w:hideMark/>
          </w:tcPr>
          <w:p w14:paraId="70C8A464" w14:textId="77777777" w:rsidR="00CF3F23" w:rsidRPr="00EA1A1E" w:rsidRDefault="00CF3F23" w:rsidP="00010A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rPr>
            </w:pPr>
            <w:r w:rsidRPr="00EA1A1E">
              <w:rPr>
                <w:rFonts w:eastAsia="Times New Roman" w:cstheme="minorHAnsi"/>
                <w:color w:val="000000"/>
              </w:rPr>
              <w:t>NO</w:t>
            </w:r>
          </w:p>
        </w:tc>
        <w:tc>
          <w:tcPr>
            <w:tcW w:w="1194" w:type="dxa"/>
            <w:noWrap/>
            <w:hideMark/>
          </w:tcPr>
          <w:p w14:paraId="5C57971F" w14:textId="62DD0983" w:rsidR="00CF3F23" w:rsidRPr="00EA1A1E" w:rsidRDefault="00EA1A1E" w:rsidP="00010A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id-ID"/>
              </w:rPr>
            </w:pPr>
            <w:r w:rsidRPr="00EA1A1E">
              <w:rPr>
                <w:rFonts w:eastAsia="Times New Roman" w:cstheme="minorHAnsi"/>
                <w:color w:val="000000"/>
                <w:lang w:val="id-ID"/>
              </w:rPr>
              <w:t>COUNTRY</w:t>
            </w:r>
          </w:p>
        </w:tc>
        <w:tc>
          <w:tcPr>
            <w:tcW w:w="605" w:type="dxa"/>
            <w:noWrap/>
            <w:hideMark/>
          </w:tcPr>
          <w:p w14:paraId="274D77C6" w14:textId="6F24E240" w:rsidR="00CF3F23" w:rsidRPr="00EA1A1E" w:rsidRDefault="00EA1A1E" w:rsidP="00010A3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lang w:val="id-ID"/>
              </w:rPr>
            </w:pPr>
            <w:r w:rsidRPr="00EA1A1E">
              <w:rPr>
                <w:rFonts w:eastAsia="Times New Roman" w:cstheme="minorHAnsi"/>
                <w:color w:val="000000"/>
                <w:lang w:val="id-ID"/>
              </w:rPr>
              <w:t>HDI</w:t>
            </w:r>
          </w:p>
        </w:tc>
      </w:tr>
      <w:tr w:rsidR="00CF3F23" w:rsidRPr="000A099B" w14:paraId="3E87F0C0"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1D6749FE" w14:textId="77777777" w:rsidR="00CF3F23" w:rsidRPr="00EA1A1E" w:rsidRDefault="00CF3F23" w:rsidP="00010A31">
            <w:pPr>
              <w:jc w:val="center"/>
              <w:rPr>
                <w:rFonts w:eastAsia="Times New Roman" w:cstheme="minorHAnsi"/>
                <w:b w:val="0"/>
                <w:bCs w:val="0"/>
                <w:color w:val="000000"/>
              </w:rPr>
            </w:pPr>
            <w:r w:rsidRPr="00EA1A1E">
              <w:rPr>
                <w:rFonts w:eastAsia="Times New Roman" w:cstheme="minorHAnsi"/>
                <w:b w:val="0"/>
                <w:bCs w:val="0"/>
                <w:color w:val="000000"/>
              </w:rPr>
              <w:t>1</w:t>
            </w:r>
          </w:p>
        </w:tc>
        <w:tc>
          <w:tcPr>
            <w:tcW w:w="1210" w:type="dxa"/>
            <w:noWrap/>
            <w:hideMark/>
          </w:tcPr>
          <w:p w14:paraId="1E8E5E68" w14:textId="77777777" w:rsidR="00CF3F23" w:rsidRPr="000A099B" w:rsidRDefault="00CF3F23" w:rsidP="00010A31">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Norway</w:t>
            </w:r>
          </w:p>
        </w:tc>
        <w:tc>
          <w:tcPr>
            <w:tcW w:w="605" w:type="dxa"/>
            <w:noWrap/>
            <w:hideMark/>
          </w:tcPr>
          <w:p w14:paraId="56C87A0C" w14:textId="77777777" w:rsidR="00CF3F23" w:rsidRPr="000A099B" w:rsidRDefault="00CF3F23" w:rsidP="00010A3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0.95</w:t>
            </w:r>
          </w:p>
        </w:tc>
        <w:tc>
          <w:tcPr>
            <w:tcW w:w="516" w:type="dxa"/>
            <w:noWrap/>
            <w:hideMark/>
          </w:tcPr>
          <w:p w14:paraId="63FEF606" w14:textId="77777777" w:rsidR="00CF3F23" w:rsidRPr="000A099B" w:rsidRDefault="00CF3F23" w:rsidP="00010A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21</w:t>
            </w:r>
          </w:p>
        </w:tc>
        <w:tc>
          <w:tcPr>
            <w:tcW w:w="1294" w:type="dxa"/>
            <w:noWrap/>
            <w:hideMark/>
          </w:tcPr>
          <w:p w14:paraId="473131F3" w14:textId="77777777" w:rsidR="00CF3F23" w:rsidRPr="000A099B" w:rsidRDefault="00CF3F23" w:rsidP="00010A31">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Liechtenstein</w:t>
            </w:r>
          </w:p>
        </w:tc>
        <w:tc>
          <w:tcPr>
            <w:tcW w:w="674" w:type="dxa"/>
            <w:noWrap/>
            <w:hideMark/>
          </w:tcPr>
          <w:p w14:paraId="45561516" w14:textId="77777777" w:rsidR="00CF3F23" w:rsidRPr="000A099B" w:rsidRDefault="00CF3F23" w:rsidP="00010A3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0.91</w:t>
            </w:r>
          </w:p>
        </w:tc>
        <w:tc>
          <w:tcPr>
            <w:tcW w:w="516" w:type="dxa"/>
            <w:noWrap/>
            <w:hideMark/>
          </w:tcPr>
          <w:p w14:paraId="1273D6B8" w14:textId="77777777" w:rsidR="00CF3F23" w:rsidRPr="000A099B" w:rsidRDefault="00CF3F23" w:rsidP="00010A3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41</w:t>
            </w:r>
          </w:p>
        </w:tc>
        <w:tc>
          <w:tcPr>
            <w:tcW w:w="1194" w:type="dxa"/>
            <w:noWrap/>
            <w:hideMark/>
          </w:tcPr>
          <w:p w14:paraId="01010FA3" w14:textId="77777777" w:rsidR="00CF3F23" w:rsidRPr="000A099B" w:rsidRDefault="00CF3F23" w:rsidP="00010A31">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 xml:space="preserve">Saudi </w:t>
            </w:r>
          </w:p>
        </w:tc>
        <w:tc>
          <w:tcPr>
            <w:tcW w:w="605" w:type="dxa"/>
            <w:noWrap/>
            <w:hideMark/>
          </w:tcPr>
          <w:p w14:paraId="20C19BEF" w14:textId="77777777" w:rsidR="00CF3F23" w:rsidRPr="000A099B" w:rsidRDefault="00CF3F23" w:rsidP="00010A31">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0.85</w:t>
            </w:r>
          </w:p>
        </w:tc>
      </w:tr>
      <w:tr w:rsidR="00CF3F23" w:rsidRPr="000A099B" w14:paraId="3A805B5E"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002BBB53"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2</w:t>
            </w:r>
          </w:p>
        </w:tc>
        <w:tc>
          <w:tcPr>
            <w:tcW w:w="1210" w:type="dxa"/>
            <w:noWrap/>
            <w:hideMark/>
          </w:tcPr>
          <w:p w14:paraId="28BE188D"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Ireland</w:t>
            </w:r>
          </w:p>
        </w:tc>
        <w:tc>
          <w:tcPr>
            <w:tcW w:w="605" w:type="dxa"/>
            <w:noWrap/>
            <w:hideMark/>
          </w:tcPr>
          <w:p w14:paraId="1FC091F2"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0.93</w:t>
            </w:r>
          </w:p>
        </w:tc>
        <w:tc>
          <w:tcPr>
            <w:tcW w:w="516" w:type="dxa"/>
            <w:noWrap/>
            <w:hideMark/>
          </w:tcPr>
          <w:p w14:paraId="39ABC609"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22</w:t>
            </w:r>
          </w:p>
        </w:tc>
        <w:tc>
          <w:tcPr>
            <w:tcW w:w="1294" w:type="dxa"/>
            <w:noWrap/>
            <w:hideMark/>
          </w:tcPr>
          <w:p w14:paraId="0DD907F0"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Slovenia</w:t>
            </w:r>
          </w:p>
        </w:tc>
        <w:tc>
          <w:tcPr>
            <w:tcW w:w="674" w:type="dxa"/>
            <w:noWrap/>
            <w:hideMark/>
          </w:tcPr>
          <w:p w14:paraId="5A122C4C"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0.90</w:t>
            </w:r>
          </w:p>
        </w:tc>
        <w:tc>
          <w:tcPr>
            <w:tcW w:w="516" w:type="dxa"/>
            <w:noWrap/>
            <w:hideMark/>
          </w:tcPr>
          <w:p w14:paraId="063A3C99"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42</w:t>
            </w:r>
          </w:p>
        </w:tc>
        <w:tc>
          <w:tcPr>
            <w:tcW w:w="1194" w:type="dxa"/>
            <w:noWrap/>
            <w:hideMark/>
          </w:tcPr>
          <w:p w14:paraId="03337D06"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Bahrain</w:t>
            </w:r>
          </w:p>
        </w:tc>
        <w:tc>
          <w:tcPr>
            <w:tcW w:w="605" w:type="dxa"/>
            <w:noWrap/>
            <w:hideMark/>
          </w:tcPr>
          <w:p w14:paraId="694FEE93"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0.84</w:t>
            </w:r>
          </w:p>
        </w:tc>
      </w:tr>
      <w:tr w:rsidR="00CF3F23" w:rsidRPr="000A099B" w14:paraId="2C6788D7"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693DE715"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3</w:t>
            </w:r>
          </w:p>
        </w:tc>
        <w:tc>
          <w:tcPr>
            <w:tcW w:w="1210" w:type="dxa"/>
            <w:noWrap/>
            <w:hideMark/>
          </w:tcPr>
          <w:p w14:paraId="06D70AD7"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Switzerland</w:t>
            </w:r>
          </w:p>
        </w:tc>
        <w:tc>
          <w:tcPr>
            <w:tcW w:w="605" w:type="dxa"/>
            <w:noWrap/>
            <w:hideMark/>
          </w:tcPr>
          <w:p w14:paraId="02C79767"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0.94</w:t>
            </w:r>
          </w:p>
        </w:tc>
        <w:tc>
          <w:tcPr>
            <w:tcW w:w="516" w:type="dxa"/>
            <w:noWrap/>
            <w:hideMark/>
          </w:tcPr>
          <w:p w14:paraId="3E07EDDC"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23</w:t>
            </w:r>
          </w:p>
        </w:tc>
        <w:tc>
          <w:tcPr>
            <w:tcW w:w="1294" w:type="dxa"/>
            <w:noWrap/>
            <w:hideMark/>
          </w:tcPr>
          <w:p w14:paraId="513CE78A"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 xml:space="preserve">Korea </w:t>
            </w:r>
          </w:p>
        </w:tc>
        <w:tc>
          <w:tcPr>
            <w:tcW w:w="674" w:type="dxa"/>
            <w:noWrap/>
            <w:hideMark/>
          </w:tcPr>
          <w:p w14:paraId="288B8914"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0.91</w:t>
            </w:r>
          </w:p>
        </w:tc>
        <w:tc>
          <w:tcPr>
            <w:tcW w:w="516" w:type="dxa"/>
            <w:noWrap/>
            <w:hideMark/>
          </w:tcPr>
          <w:p w14:paraId="0C1685FB"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43</w:t>
            </w:r>
          </w:p>
        </w:tc>
        <w:tc>
          <w:tcPr>
            <w:tcW w:w="1194" w:type="dxa"/>
            <w:noWrap/>
            <w:hideMark/>
          </w:tcPr>
          <w:p w14:paraId="571EAD1F"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Chile</w:t>
            </w:r>
          </w:p>
        </w:tc>
        <w:tc>
          <w:tcPr>
            <w:tcW w:w="605" w:type="dxa"/>
            <w:noWrap/>
            <w:hideMark/>
          </w:tcPr>
          <w:p w14:paraId="4EE46E47"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0.84</w:t>
            </w:r>
          </w:p>
        </w:tc>
      </w:tr>
      <w:tr w:rsidR="00CF3F23" w:rsidRPr="000A099B" w14:paraId="0CDCA354"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1AF95AED"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4</w:t>
            </w:r>
          </w:p>
        </w:tc>
        <w:tc>
          <w:tcPr>
            <w:tcW w:w="1210" w:type="dxa"/>
            <w:noWrap/>
            <w:hideMark/>
          </w:tcPr>
          <w:p w14:paraId="6B220020"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Hong Kong</w:t>
            </w:r>
          </w:p>
        </w:tc>
        <w:tc>
          <w:tcPr>
            <w:tcW w:w="605" w:type="dxa"/>
            <w:noWrap/>
            <w:hideMark/>
          </w:tcPr>
          <w:p w14:paraId="126BB726"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0.93</w:t>
            </w:r>
          </w:p>
        </w:tc>
        <w:tc>
          <w:tcPr>
            <w:tcW w:w="516" w:type="dxa"/>
            <w:noWrap/>
            <w:hideMark/>
          </w:tcPr>
          <w:p w14:paraId="495DF975"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24</w:t>
            </w:r>
          </w:p>
        </w:tc>
        <w:tc>
          <w:tcPr>
            <w:tcW w:w="1294" w:type="dxa"/>
            <w:noWrap/>
            <w:hideMark/>
          </w:tcPr>
          <w:p w14:paraId="3537D060"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Luxembourg</w:t>
            </w:r>
          </w:p>
        </w:tc>
        <w:tc>
          <w:tcPr>
            <w:tcW w:w="674" w:type="dxa"/>
            <w:noWrap/>
            <w:hideMark/>
          </w:tcPr>
          <w:p w14:paraId="3941C8AB"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0.90</w:t>
            </w:r>
          </w:p>
        </w:tc>
        <w:tc>
          <w:tcPr>
            <w:tcW w:w="516" w:type="dxa"/>
            <w:noWrap/>
            <w:hideMark/>
          </w:tcPr>
          <w:p w14:paraId="2BBC2123"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44</w:t>
            </w:r>
          </w:p>
        </w:tc>
        <w:tc>
          <w:tcPr>
            <w:tcW w:w="1194" w:type="dxa"/>
            <w:noWrap/>
            <w:hideMark/>
          </w:tcPr>
          <w:p w14:paraId="6B500D76"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Croatia</w:t>
            </w:r>
          </w:p>
        </w:tc>
        <w:tc>
          <w:tcPr>
            <w:tcW w:w="605" w:type="dxa"/>
            <w:noWrap/>
            <w:hideMark/>
          </w:tcPr>
          <w:p w14:paraId="79214839"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0.84</w:t>
            </w:r>
          </w:p>
        </w:tc>
      </w:tr>
      <w:tr w:rsidR="00CF3F23" w:rsidRPr="000A099B" w14:paraId="3477529A"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0772814B"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5</w:t>
            </w:r>
          </w:p>
        </w:tc>
        <w:tc>
          <w:tcPr>
            <w:tcW w:w="1210" w:type="dxa"/>
            <w:noWrap/>
            <w:hideMark/>
          </w:tcPr>
          <w:p w14:paraId="4ED6E16D"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Iceland</w:t>
            </w:r>
          </w:p>
        </w:tc>
        <w:tc>
          <w:tcPr>
            <w:tcW w:w="605" w:type="dxa"/>
            <w:noWrap/>
            <w:hideMark/>
          </w:tcPr>
          <w:p w14:paraId="249301DE"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0.93</w:t>
            </w:r>
          </w:p>
        </w:tc>
        <w:tc>
          <w:tcPr>
            <w:tcW w:w="516" w:type="dxa"/>
            <w:noWrap/>
            <w:hideMark/>
          </w:tcPr>
          <w:p w14:paraId="36BB715F"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25</w:t>
            </w:r>
          </w:p>
        </w:tc>
        <w:tc>
          <w:tcPr>
            <w:tcW w:w="1294" w:type="dxa"/>
            <w:noWrap/>
            <w:hideMark/>
          </w:tcPr>
          <w:p w14:paraId="4FF92D8A"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Spain</w:t>
            </w:r>
          </w:p>
        </w:tc>
        <w:tc>
          <w:tcPr>
            <w:tcW w:w="674" w:type="dxa"/>
            <w:noWrap/>
            <w:hideMark/>
          </w:tcPr>
          <w:p w14:paraId="2554F3C8"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0.89</w:t>
            </w:r>
          </w:p>
        </w:tc>
        <w:tc>
          <w:tcPr>
            <w:tcW w:w="516" w:type="dxa"/>
            <w:noWrap/>
            <w:hideMark/>
          </w:tcPr>
          <w:p w14:paraId="471901AB"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45</w:t>
            </w:r>
          </w:p>
        </w:tc>
        <w:tc>
          <w:tcPr>
            <w:tcW w:w="1194" w:type="dxa"/>
            <w:noWrap/>
            <w:hideMark/>
          </w:tcPr>
          <w:p w14:paraId="2561D7F0"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Qatar</w:t>
            </w:r>
          </w:p>
        </w:tc>
        <w:tc>
          <w:tcPr>
            <w:tcW w:w="605" w:type="dxa"/>
            <w:noWrap/>
            <w:hideMark/>
          </w:tcPr>
          <w:p w14:paraId="35A5CB5C"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0.85</w:t>
            </w:r>
          </w:p>
        </w:tc>
      </w:tr>
      <w:tr w:rsidR="00CF3F23" w:rsidRPr="000A099B" w14:paraId="6FBC8708"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60A8B10A"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6</w:t>
            </w:r>
          </w:p>
        </w:tc>
        <w:tc>
          <w:tcPr>
            <w:tcW w:w="1210" w:type="dxa"/>
            <w:noWrap/>
            <w:hideMark/>
          </w:tcPr>
          <w:p w14:paraId="429CB755"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Germany</w:t>
            </w:r>
          </w:p>
        </w:tc>
        <w:tc>
          <w:tcPr>
            <w:tcW w:w="605" w:type="dxa"/>
            <w:noWrap/>
            <w:hideMark/>
          </w:tcPr>
          <w:p w14:paraId="11320489"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0.93</w:t>
            </w:r>
          </w:p>
        </w:tc>
        <w:tc>
          <w:tcPr>
            <w:tcW w:w="516" w:type="dxa"/>
            <w:noWrap/>
            <w:hideMark/>
          </w:tcPr>
          <w:p w14:paraId="46E4A847"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26</w:t>
            </w:r>
          </w:p>
        </w:tc>
        <w:tc>
          <w:tcPr>
            <w:tcW w:w="1294" w:type="dxa"/>
            <w:noWrap/>
            <w:hideMark/>
          </w:tcPr>
          <w:p w14:paraId="4D188196"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France</w:t>
            </w:r>
          </w:p>
        </w:tc>
        <w:tc>
          <w:tcPr>
            <w:tcW w:w="674" w:type="dxa"/>
            <w:noWrap/>
            <w:hideMark/>
          </w:tcPr>
          <w:p w14:paraId="40303082"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0.89</w:t>
            </w:r>
          </w:p>
        </w:tc>
        <w:tc>
          <w:tcPr>
            <w:tcW w:w="516" w:type="dxa"/>
            <w:noWrap/>
            <w:hideMark/>
          </w:tcPr>
          <w:p w14:paraId="13C1BCFA"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46</w:t>
            </w:r>
          </w:p>
        </w:tc>
        <w:tc>
          <w:tcPr>
            <w:tcW w:w="1194" w:type="dxa"/>
            <w:noWrap/>
            <w:hideMark/>
          </w:tcPr>
          <w:p w14:paraId="0A7B7CD2"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Argentina</w:t>
            </w:r>
          </w:p>
        </w:tc>
        <w:tc>
          <w:tcPr>
            <w:tcW w:w="605" w:type="dxa"/>
            <w:noWrap/>
            <w:hideMark/>
          </w:tcPr>
          <w:p w14:paraId="3E702808"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0.83</w:t>
            </w:r>
          </w:p>
        </w:tc>
      </w:tr>
      <w:tr w:rsidR="00CF3F23" w:rsidRPr="000A099B" w14:paraId="1F3DDFDA"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2E952CBA"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7</w:t>
            </w:r>
          </w:p>
        </w:tc>
        <w:tc>
          <w:tcPr>
            <w:tcW w:w="1210" w:type="dxa"/>
            <w:noWrap/>
            <w:hideMark/>
          </w:tcPr>
          <w:p w14:paraId="2BE1A7EC"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Sweden</w:t>
            </w:r>
          </w:p>
        </w:tc>
        <w:tc>
          <w:tcPr>
            <w:tcW w:w="605" w:type="dxa"/>
            <w:noWrap/>
            <w:hideMark/>
          </w:tcPr>
          <w:p w14:paraId="0AF3E619"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0.93</w:t>
            </w:r>
          </w:p>
        </w:tc>
        <w:tc>
          <w:tcPr>
            <w:tcW w:w="516" w:type="dxa"/>
            <w:noWrap/>
            <w:hideMark/>
          </w:tcPr>
          <w:p w14:paraId="49CF0CFF"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27</w:t>
            </w:r>
          </w:p>
        </w:tc>
        <w:tc>
          <w:tcPr>
            <w:tcW w:w="1294" w:type="dxa"/>
            <w:noWrap/>
            <w:hideMark/>
          </w:tcPr>
          <w:p w14:paraId="27326A28"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Czechia</w:t>
            </w:r>
          </w:p>
        </w:tc>
        <w:tc>
          <w:tcPr>
            <w:tcW w:w="674" w:type="dxa"/>
            <w:noWrap/>
            <w:hideMark/>
          </w:tcPr>
          <w:p w14:paraId="541F3A00"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0.88</w:t>
            </w:r>
          </w:p>
        </w:tc>
        <w:tc>
          <w:tcPr>
            <w:tcW w:w="516" w:type="dxa"/>
            <w:noWrap/>
            <w:hideMark/>
          </w:tcPr>
          <w:p w14:paraId="4D00F80D"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47</w:t>
            </w:r>
          </w:p>
        </w:tc>
        <w:tc>
          <w:tcPr>
            <w:tcW w:w="1194" w:type="dxa"/>
            <w:noWrap/>
            <w:hideMark/>
          </w:tcPr>
          <w:p w14:paraId="3938F3B3"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 xml:space="preserve">Brunei </w:t>
            </w:r>
          </w:p>
        </w:tc>
        <w:tc>
          <w:tcPr>
            <w:tcW w:w="605" w:type="dxa"/>
            <w:noWrap/>
            <w:hideMark/>
          </w:tcPr>
          <w:p w14:paraId="58E9DFDC"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0.84</w:t>
            </w:r>
          </w:p>
        </w:tc>
      </w:tr>
      <w:tr w:rsidR="00CF3F23" w:rsidRPr="000A099B" w14:paraId="406C2B1D"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23C17B60"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8</w:t>
            </w:r>
          </w:p>
        </w:tc>
        <w:tc>
          <w:tcPr>
            <w:tcW w:w="1210" w:type="dxa"/>
            <w:noWrap/>
            <w:hideMark/>
          </w:tcPr>
          <w:p w14:paraId="50A6C8CC"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Australia</w:t>
            </w:r>
          </w:p>
        </w:tc>
        <w:tc>
          <w:tcPr>
            <w:tcW w:w="605" w:type="dxa"/>
            <w:noWrap/>
            <w:hideMark/>
          </w:tcPr>
          <w:p w14:paraId="2972196B"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0.94</w:t>
            </w:r>
          </w:p>
        </w:tc>
        <w:tc>
          <w:tcPr>
            <w:tcW w:w="516" w:type="dxa"/>
            <w:noWrap/>
            <w:hideMark/>
          </w:tcPr>
          <w:p w14:paraId="1945F983"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28</w:t>
            </w:r>
          </w:p>
        </w:tc>
        <w:tc>
          <w:tcPr>
            <w:tcW w:w="1294" w:type="dxa"/>
            <w:noWrap/>
            <w:hideMark/>
          </w:tcPr>
          <w:p w14:paraId="2C81CFB0"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Malta</w:t>
            </w:r>
          </w:p>
        </w:tc>
        <w:tc>
          <w:tcPr>
            <w:tcW w:w="674" w:type="dxa"/>
            <w:noWrap/>
            <w:hideMark/>
          </w:tcPr>
          <w:p w14:paraId="0B095627"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0.87</w:t>
            </w:r>
          </w:p>
        </w:tc>
        <w:tc>
          <w:tcPr>
            <w:tcW w:w="516" w:type="dxa"/>
            <w:noWrap/>
            <w:hideMark/>
          </w:tcPr>
          <w:p w14:paraId="003AC707"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48</w:t>
            </w:r>
          </w:p>
        </w:tc>
        <w:tc>
          <w:tcPr>
            <w:tcW w:w="1194" w:type="dxa"/>
            <w:noWrap/>
            <w:hideMark/>
          </w:tcPr>
          <w:p w14:paraId="69F1F523"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Montenegro</w:t>
            </w:r>
          </w:p>
        </w:tc>
        <w:tc>
          <w:tcPr>
            <w:tcW w:w="605" w:type="dxa"/>
            <w:noWrap/>
            <w:hideMark/>
          </w:tcPr>
          <w:p w14:paraId="02563642"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0.81</w:t>
            </w:r>
          </w:p>
        </w:tc>
      </w:tr>
      <w:tr w:rsidR="00CF3F23" w:rsidRPr="000A099B" w14:paraId="110108A7"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10BEC6AA"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lastRenderedPageBreak/>
              <w:t>9</w:t>
            </w:r>
          </w:p>
        </w:tc>
        <w:tc>
          <w:tcPr>
            <w:tcW w:w="1210" w:type="dxa"/>
            <w:noWrap/>
            <w:hideMark/>
          </w:tcPr>
          <w:p w14:paraId="01D82B0C"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Netherlands</w:t>
            </w:r>
          </w:p>
        </w:tc>
        <w:tc>
          <w:tcPr>
            <w:tcW w:w="605" w:type="dxa"/>
            <w:noWrap/>
            <w:hideMark/>
          </w:tcPr>
          <w:p w14:paraId="5CF8232E"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0.93</w:t>
            </w:r>
          </w:p>
        </w:tc>
        <w:tc>
          <w:tcPr>
            <w:tcW w:w="516" w:type="dxa"/>
            <w:noWrap/>
            <w:hideMark/>
          </w:tcPr>
          <w:p w14:paraId="366A81EB"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29</w:t>
            </w:r>
          </w:p>
        </w:tc>
        <w:tc>
          <w:tcPr>
            <w:tcW w:w="1294" w:type="dxa"/>
            <w:noWrap/>
            <w:hideMark/>
          </w:tcPr>
          <w:p w14:paraId="2F06D58F"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Estonia</w:t>
            </w:r>
          </w:p>
        </w:tc>
        <w:tc>
          <w:tcPr>
            <w:tcW w:w="674" w:type="dxa"/>
            <w:noWrap/>
            <w:hideMark/>
          </w:tcPr>
          <w:p w14:paraId="343BA9D7"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0.87</w:t>
            </w:r>
          </w:p>
        </w:tc>
        <w:tc>
          <w:tcPr>
            <w:tcW w:w="516" w:type="dxa"/>
            <w:noWrap/>
            <w:hideMark/>
          </w:tcPr>
          <w:p w14:paraId="6FEF5D3E"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49</w:t>
            </w:r>
          </w:p>
        </w:tc>
        <w:tc>
          <w:tcPr>
            <w:tcW w:w="1194" w:type="dxa"/>
            <w:noWrap/>
            <w:hideMark/>
          </w:tcPr>
          <w:p w14:paraId="4CD8FFF2"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Romania</w:t>
            </w:r>
          </w:p>
        </w:tc>
        <w:tc>
          <w:tcPr>
            <w:tcW w:w="605" w:type="dxa"/>
            <w:noWrap/>
            <w:hideMark/>
          </w:tcPr>
          <w:p w14:paraId="3BDFBA76"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0.81</w:t>
            </w:r>
          </w:p>
        </w:tc>
      </w:tr>
      <w:tr w:rsidR="00CF3F23" w:rsidRPr="000A099B" w14:paraId="38A5334D"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6FB5A297"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10</w:t>
            </w:r>
          </w:p>
        </w:tc>
        <w:tc>
          <w:tcPr>
            <w:tcW w:w="1210" w:type="dxa"/>
            <w:noWrap/>
            <w:hideMark/>
          </w:tcPr>
          <w:p w14:paraId="262B7657"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Denmark</w:t>
            </w:r>
          </w:p>
        </w:tc>
        <w:tc>
          <w:tcPr>
            <w:tcW w:w="605" w:type="dxa"/>
            <w:noWrap/>
            <w:hideMark/>
          </w:tcPr>
          <w:p w14:paraId="6C67A844"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0.93</w:t>
            </w:r>
          </w:p>
        </w:tc>
        <w:tc>
          <w:tcPr>
            <w:tcW w:w="516" w:type="dxa"/>
            <w:noWrap/>
            <w:hideMark/>
          </w:tcPr>
          <w:p w14:paraId="5FAF2F8A"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30</w:t>
            </w:r>
          </w:p>
        </w:tc>
        <w:tc>
          <w:tcPr>
            <w:tcW w:w="1294" w:type="dxa"/>
            <w:noWrap/>
            <w:hideMark/>
          </w:tcPr>
          <w:p w14:paraId="5EBF9E44"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Italy</w:t>
            </w:r>
          </w:p>
        </w:tc>
        <w:tc>
          <w:tcPr>
            <w:tcW w:w="674" w:type="dxa"/>
            <w:noWrap/>
            <w:hideMark/>
          </w:tcPr>
          <w:p w14:paraId="78278E6F"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0.88</w:t>
            </w:r>
          </w:p>
        </w:tc>
        <w:tc>
          <w:tcPr>
            <w:tcW w:w="516" w:type="dxa"/>
            <w:noWrap/>
            <w:hideMark/>
          </w:tcPr>
          <w:p w14:paraId="20904292"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50</w:t>
            </w:r>
          </w:p>
        </w:tc>
        <w:tc>
          <w:tcPr>
            <w:tcW w:w="1194" w:type="dxa"/>
            <w:noWrap/>
            <w:hideMark/>
          </w:tcPr>
          <w:p w14:paraId="59569375"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Palau</w:t>
            </w:r>
          </w:p>
        </w:tc>
        <w:tc>
          <w:tcPr>
            <w:tcW w:w="605" w:type="dxa"/>
            <w:noWrap/>
            <w:hideMark/>
          </w:tcPr>
          <w:p w14:paraId="6963E716"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0.80</w:t>
            </w:r>
          </w:p>
        </w:tc>
      </w:tr>
      <w:tr w:rsidR="00CF3F23" w:rsidRPr="000A099B" w14:paraId="790D5006"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34ADD190"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11</w:t>
            </w:r>
          </w:p>
        </w:tc>
        <w:tc>
          <w:tcPr>
            <w:tcW w:w="1210" w:type="dxa"/>
            <w:noWrap/>
            <w:hideMark/>
          </w:tcPr>
          <w:p w14:paraId="0B4D4AD2"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Finland</w:t>
            </w:r>
          </w:p>
        </w:tc>
        <w:tc>
          <w:tcPr>
            <w:tcW w:w="605" w:type="dxa"/>
            <w:noWrap/>
            <w:hideMark/>
          </w:tcPr>
          <w:p w14:paraId="2F3C1509"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0.92</w:t>
            </w:r>
          </w:p>
        </w:tc>
        <w:tc>
          <w:tcPr>
            <w:tcW w:w="516" w:type="dxa"/>
            <w:noWrap/>
            <w:hideMark/>
          </w:tcPr>
          <w:p w14:paraId="2EFFBD55"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31</w:t>
            </w:r>
          </w:p>
        </w:tc>
        <w:tc>
          <w:tcPr>
            <w:tcW w:w="1294" w:type="dxa"/>
            <w:noWrap/>
            <w:hideMark/>
          </w:tcPr>
          <w:p w14:paraId="240F2F29"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UEA</w:t>
            </w:r>
          </w:p>
        </w:tc>
        <w:tc>
          <w:tcPr>
            <w:tcW w:w="674" w:type="dxa"/>
            <w:noWrap/>
            <w:hideMark/>
          </w:tcPr>
          <w:p w14:paraId="75910418"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0.87</w:t>
            </w:r>
          </w:p>
        </w:tc>
        <w:tc>
          <w:tcPr>
            <w:tcW w:w="516" w:type="dxa"/>
            <w:noWrap/>
            <w:hideMark/>
          </w:tcPr>
          <w:p w14:paraId="57570281"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4007FD62"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0D906F5F"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r w:rsidR="00CF3F23" w:rsidRPr="000A099B" w14:paraId="5FC86AAC"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0EC3DF15"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12</w:t>
            </w:r>
          </w:p>
        </w:tc>
        <w:tc>
          <w:tcPr>
            <w:tcW w:w="1210" w:type="dxa"/>
            <w:noWrap/>
            <w:hideMark/>
          </w:tcPr>
          <w:p w14:paraId="0B51E77F"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Singapore</w:t>
            </w:r>
          </w:p>
        </w:tc>
        <w:tc>
          <w:tcPr>
            <w:tcW w:w="605" w:type="dxa"/>
            <w:noWrap/>
            <w:hideMark/>
          </w:tcPr>
          <w:p w14:paraId="602AB5D2"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0.92</w:t>
            </w:r>
          </w:p>
        </w:tc>
        <w:tc>
          <w:tcPr>
            <w:tcW w:w="516" w:type="dxa"/>
            <w:noWrap/>
            <w:hideMark/>
          </w:tcPr>
          <w:p w14:paraId="618E2C74"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32</w:t>
            </w:r>
          </w:p>
        </w:tc>
        <w:tc>
          <w:tcPr>
            <w:tcW w:w="1294" w:type="dxa"/>
            <w:noWrap/>
            <w:hideMark/>
          </w:tcPr>
          <w:p w14:paraId="264C3EF3"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Greece</w:t>
            </w:r>
          </w:p>
        </w:tc>
        <w:tc>
          <w:tcPr>
            <w:tcW w:w="674" w:type="dxa"/>
            <w:noWrap/>
            <w:hideMark/>
          </w:tcPr>
          <w:p w14:paraId="5617BDD4"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0.87</w:t>
            </w:r>
          </w:p>
        </w:tc>
        <w:tc>
          <w:tcPr>
            <w:tcW w:w="516" w:type="dxa"/>
            <w:noWrap/>
            <w:hideMark/>
          </w:tcPr>
          <w:p w14:paraId="67DA47C7"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3C008E5C"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7C623CEE"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r w:rsidR="00CF3F23" w:rsidRPr="000A099B" w14:paraId="574F5A7C"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26B13E33"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13</w:t>
            </w:r>
          </w:p>
        </w:tc>
        <w:tc>
          <w:tcPr>
            <w:tcW w:w="1210" w:type="dxa"/>
            <w:noWrap/>
            <w:hideMark/>
          </w:tcPr>
          <w:p w14:paraId="78ABEBB6"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United Kingdom</w:t>
            </w:r>
          </w:p>
        </w:tc>
        <w:tc>
          <w:tcPr>
            <w:tcW w:w="605" w:type="dxa"/>
            <w:noWrap/>
            <w:hideMark/>
          </w:tcPr>
          <w:p w14:paraId="767EA65E"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0.92</w:t>
            </w:r>
          </w:p>
        </w:tc>
        <w:tc>
          <w:tcPr>
            <w:tcW w:w="516" w:type="dxa"/>
            <w:noWrap/>
            <w:hideMark/>
          </w:tcPr>
          <w:p w14:paraId="73C14AB9"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33</w:t>
            </w:r>
          </w:p>
        </w:tc>
        <w:tc>
          <w:tcPr>
            <w:tcW w:w="1294" w:type="dxa"/>
            <w:noWrap/>
            <w:hideMark/>
          </w:tcPr>
          <w:p w14:paraId="595C8EAC"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Cyprus</w:t>
            </w:r>
          </w:p>
        </w:tc>
        <w:tc>
          <w:tcPr>
            <w:tcW w:w="674" w:type="dxa"/>
            <w:noWrap/>
            <w:hideMark/>
          </w:tcPr>
          <w:p w14:paraId="4EDA32E0"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0.87</w:t>
            </w:r>
          </w:p>
        </w:tc>
        <w:tc>
          <w:tcPr>
            <w:tcW w:w="516" w:type="dxa"/>
            <w:noWrap/>
            <w:hideMark/>
          </w:tcPr>
          <w:p w14:paraId="23DEA5C6"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2F8A7413"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6D93B9E4"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r w:rsidR="00CF3F23" w:rsidRPr="000A099B" w14:paraId="101D5838"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1A4F2E3A"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14</w:t>
            </w:r>
          </w:p>
        </w:tc>
        <w:tc>
          <w:tcPr>
            <w:tcW w:w="1210" w:type="dxa"/>
            <w:noWrap/>
            <w:hideMark/>
          </w:tcPr>
          <w:p w14:paraId="6AAD1F1D"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Belgium</w:t>
            </w:r>
          </w:p>
        </w:tc>
        <w:tc>
          <w:tcPr>
            <w:tcW w:w="605" w:type="dxa"/>
            <w:noWrap/>
            <w:hideMark/>
          </w:tcPr>
          <w:p w14:paraId="0E8F96A5"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0.91</w:t>
            </w:r>
          </w:p>
        </w:tc>
        <w:tc>
          <w:tcPr>
            <w:tcW w:w="516" w:type="dxa"/>
            <w:noWrap/>
            <w:hideMark/>
          </w:tcPr>
          <w:p w14:paraId="3592FC21"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34</w:t>
            </w:r>
          </w:p>
        </w:tc>
        <w:tc>
          <w:tcPr>
            <w:tcW w:w="1294" w:type="dxa"/>
            <w:noWrap/>
            <w:hideMark/>
          </w:tcPr>
          <w:p w14:paraId="62DF3CB4"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Lithuania</w:t>
            </w:r>
          </w:p>
        </w:tc>
        <w:tc>
          <w:tcPr>
            <w:tcW w:w="674" w:type="dxa"/>
            <w:noWrap/>
            <w:hideMark/>
          </w:tcPr>
          <w:p w14:paraId="2928A081"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0.86</w:t>
            </w:r>
          </w:p>
        </w:tc>
        <w:tc>
          <w:tcPr>
            <w:tcW w:w="516" w:type="dxa"/>
            <w:noWrap/>
            <w:hideMark/>
          </w:tcPr>
          <w:p w14:paraId="16A249E9"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6AFA2956"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1A10C334"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r w:rsidR="00CF3F23" w:rsidRPr="000A099B" w14:paraId="076F0EE8"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50CE03E8"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15</w:t>
            </w:r>
          </w:p>
        </w:tc>
        <w:tc>
          <w:tcPr>
            <w:tcW w:w="1210" w:type="dxa"/>
            <w:noWrap/>
            <w:hideMark/>
          </w:tcPr>
          <w:p w14:paraId="0A78B187"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New Zealand</w:t>
            </w:r>
          </w:p>
        </w:tc>
        <w:tc>
          <w:tcPr>
            <w:tcW w:w="605" w:type="dxa"/>
            <w:noWrap/>
            <w:hideMark/>
          </w:tcPr>
          <w:p w14:paraId="533F3E24"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0.92</w:t>
            </w:r>
          </w:p>
        </w:tc>
        <w:tc>
          <w:tcPr>
            <w:tcW w:w="516" w:type="dxa"/>
            <w:noWrap/>
            <w:hideMark/>
          </w:tcPr>
          <w:p w14:paraId="3C3FCA76"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35</w:t>
            </w:r>
          </w:p>
        </w:tc>
        <w:tc>
          <w:tcPr>
            <w:tcW w:w="1294" w:type="dxa"/>
            <w:noWrap/>
            <w:hideMark/>
          </w:tcPr>
          <w:p w14:paraId="7646F378"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Poland</w:t>
            </w:r>
          </w:p>
        </w:tc>
        <w:tc>
          <w:tcPr>
            <w:tcW w:w="674" w:type="dxa"/>
            <w:noWrap/>
            <w:hideMark/>
          </w:tcPr>
          <w:p w14:paraId="1AF7444C"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0.86</w:t>
            </w:r>
          </w:p>
        </w:tc>
        <w:tc>
          <w:tcPr>
            <w:tcW w:w="516" w:type="dxa"/>
            <w:noWrap/>
            <w:hideMark/>
          </w:tcPr>
          <w:p w14:paraId="1B03DB46"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7DFFC0BA"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57919788"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r w:rsidR="00CF3F23" w:rsidRPr="000A099B" w14:paraId="18112514"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4A9B8D3B"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16</w:t>
            </w:r>
          </w:p>
        </w:tc>
        <w:tc>
          <w:tcPr>
            <w:tcW w:w="1210" w:type="dxa"/>
            <w:noWrap/>
            <w:hideMark/>
          </w:tcPr>
          <w:p w14:paraId="4C85FE0E"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Canada</w:t>
            </w:r>
          </w:p>
        </w:tc>
        <w:tc>
          <w:tcPr>
            <w:tcW w:w="605" w:type="dxa"/>
            <w:noWrap/>
            <w:hideMark/>
          </w:tcPr>
          <w:p w14:paraId="4B702EF6"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0.92</w:t>
            </w:r>
          </w:p>
        </w:tc>
        <w:tc>
          <w:tcPr>
            <w:tcW w:w="516" w:type="dxa"/>
            <w:noWrap/>
            <w:hideMark/>
          </w:tcPr>
          <w:p w14:paraId="29C65EF9"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36</w:t>
            </w:r>
          </w:p>
        </w:tc>
        <w:tc>
          <w:tcPr>
            <w:tcW w:w="1294" w:type="dxa"/>
            <w:noWrap/>
            <w:hideMark/>
          </w:tcPr>
          <w:p w14:paraId="3A363480"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Andorra</w:t>
            </w:r>
          </w:p>
        </w:tc>
        <w:tc>
          <w:tcPr>
            <w:tcW w:w="674" w:type="dxa"/>
            <w:noWrap/>
            <w:hideMark/>
          </w:tcPr>
          <w:p w14:paraId="4C88D543"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0.85</w:t>
            </w:r>
          </w:p>
        </w:tc>
        <w:tc>
          <w:tcPr>
            <w:tcW w:w="516" w:type="dxa"/>
            <w:noWrap/>
            <w:hideMark/>
          </w:tcPr>
          <w:p w14:paraId="386A3F1C"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5F03F1DB"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356252D9"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r w:rsidR="00CF3F23" w:rsidRPr="000A099B" w14:paraId="565B4BC5"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64C8265D"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17</w:t>
            </w:r>
          </w:p>
        </w:tc>
        <w:tc>
          <w:tcPr>
            <w:tcW w:w="1210" w:type="dxa"/>
            <w:noWrap/>
            <w:hideMark/>
          </w:tcPr>
          <w:p w14:paraId="6D749D2B"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United States</w:t>
            </w:r>
          </w:p>
        </w:tc>
        <w:tc>
          <w:tcPr>
            <w:tcW w:w="605" w:type="dxa"/>
            <w:noWrap/>
            <w:hideMark/>
          </w:tcPr>
          <w:p w14:paraId="2DBE5D3A"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0.92</w:t>
            </w:r>
          </w:p>
        </w:tc>
        <w:tc>
          <w:tcPr>
            <w:tcW w:w="516" w:type="dxa"/>
            <w:noWrap/>
            <w:hideMark/>
          </w:tcPr>
          <w:p w14:paraId="7B0B5568"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37</w:t>
            </w:r>
          </w:p>
        </w:tc>
        <w:tc>
          <w:tcPr>
            <w:tcW w:w="1294" w:type="dxa"/>
            <w:noWrap/>
            <w:hideMark/>
          </w:tcPr>
          <w:p w14:paraId="7CD860BA"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Latvia</w:t>
            </w:r>
          </w:p>
        </w:tc>
        <w:tc>
          <w:tcPr>
            <w:tcW w:w="674" w:type="dxa"/>
            <w:noWrap/>
            <w:hideMark/>
          </w:tcPr>
          <w:p w14:paraId="1403B9C8"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0.84</w:t>
            </w:r>
          </w:p>
        </w:tc>
        <w:tc>
          <w:tcPr>
            <w:tcW w:w="516" w:type="dxa"/>
            <w:noWrap/>
            <w:hideMark/>
          </w:tcPr>
          <w:p w14:paraId="6DFAEB05"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4E1715F4"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66B20449"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r w:rsidR="00CF3F23" w:rsidRPr="000A099B" w14:paraId="12DD3A54"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0776A9F3"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18</w:t>
            </w:r>
          </w:p>
        </w:tc>
        <w:tc>
          <w:tcPr>
            <w:tcW w:w="1210" w:type="dxa"/>
            <w:noWrap/>
            <w:hideMark/>
          </w:tcPr>
          <w:p w14:paraId="6E627989"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Austria</w:t>
            </w:r>
          </w:p>
        </w:tc>
        <w:tc>
          <w:tcPr>
            <w:tcW w:w="605" w:type="dxa"/>
            <w:noWrap/>
            <w:hideMark/>
          </w:tcPr>
          <w:p w14:paraId="52DD67B1"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0.91</w:t>
            </w:r>
          </w:p>
        </w:tc>
        <w:tc>
          <w:tcPr>
            <w:tcW w:w="516" w:type="dxa"/>
            <w:noWrap/>
            <w:hideMark/>
          </w:tcPr>
          <w:p w14:paraId="12DFD2EF"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38</w:t>
            </w:r>
          </w:p>
        </w:tc>
        <w:tc>
          <w:tcPr>
            <w:tcW w:w="1294" w:type="dxa"/>
            <w:noWrap/>
            <w:hideMark/>
          </w:tcPr>
          <w:p w14:paraId="2FABE84D"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Portugal</w:t>
            </w:r>
          </w:p>
        </w:tc>
        <w:tc>
          <w:tcPr>
            <w:tcW w:w="674" w:type="dxa"/>
            <w:noWrap/>
            <w:hideMark/>
          </w:tcPr>
          <w:p w14:paraId="70FBA4C4"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0.85</w:t>
            </w:r>
          </w:p>
        </w:tc>
        <w:tc>
          <w:tcPr>
            <w:tcW w:w="516" w:type="dxa"/>
            <w:noWrap/>
            <w:hideMark/>
          </w:tcPr>
          <w:p w14:paraId="00ECE865"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1B9C2177"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4FBCA39A"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r w:rsidR="00CF3F23" w:rsidRPr="000A099B" w14:paraId="61B287C8" w14:textId="77777777" w:rsidTr="00EA1A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4C136F8C"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19</w:t>
            </w:r>
          </w:p>
        </w:tc>
        <w:tc>
          <w:tcPr>
            <w:tcW w:w="1210" w:type="dxa"/>
            <w:noWrap/>
            <w:hideMark/>
          </w:tcPr>
          <w:p w14:paraId="20AB2F32"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Israel</w:t>
            </w:r>
          </w:p>
        </w:tc>
        <w:tc>
          <w:tcPr>
            <w:tcW w:w="605" w:type="dxa"/>
            <w:noWrap/>
            <w:hideMark/>
          </w:tcPr>
          <w:p w14:paraId="623E42C4"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0.91</w:t>
            </w:r>
          </w:p>
        </w:tc>
        <w:tc>
          <w:tcPr>
            <w:tcW w:w="516" w:type="dxa"/>
            <w:noWrap/>
            <w:hideMark/>
          </w:tcPr>
          <w:p w14:paraId="09943C7D" w14:textId="77777777" w:rsidR="00CF3F23" w:rsidRPr="000A099B" w:rsidRDefault="00CF3F23" w:rsidP="009B1F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39</w:t>
            </w:r>
          </w:p>
        </w:tc>
        <w:tc>
          <w:tcPr>
            <w:tcW w:w="1294" w:type="dxa"/>
            <w:noWrap/>
            <w:hideMark/>
          </w:tcPr>
          <w:p w14:paraId="16E12E60"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A099B">
              <w:rPr>
                <w:rFonts w:eastAsia="Times New Roman" w:cstheme="minorHAnsi"/>
              </w:rPr>
              <w:t>Slovakia</w:t>
            </w:r>
          </w:p>
        </w:tc>
        <w:tc>
          <w:tcPr>
            <w:tcW w:w="674" w:type="dxa"/>
            <w:noWrap/>
            <w:hideMark/>
          </w:tcPr>
          <w:p w14:paraId="57BCDDBC" w14:textId="77777777" w:rsidR="00CF3F23" w:rsidRPr="000A099B" w:rsidRDefault="00CF3F23" w:rsidP="009B1F6F">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0.85</w:t>
            </w:r>
          </w:p>
        </w:tc>
        <w:tc>
          <w:tcPr>
            <w:tcW w:w="516" w:type="dxa"/>
            <w:noWrap/>
            <w:hideMark/>
          </w:tcPr>
          <w:p w14:paraId="03934C5E"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44E5682C"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2FDA3867" w14:textId="77777777" w:rsidR="00CF3F23" w:rsidRPr="000A099B" w:rsidRDefault="00CF3F23" w:rsidP="009B1F6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r w:rsidR="00CF3F23" w:rsidRPr="000A099B" w14:paraId="2A00D8F7" w14:textId="77777777" w:rsidTr="00EA1A1E">
        <w:trPr>
          <w:trHeight w:val="300"/>
        </w:trPr>
        <w:tc>
          <w:tcPr>
            <w:cnfStyle w:val="001000000000" w:firstRow="0" w:lastRow="0" w:firstColumn="1" w:lastColumn="0" w:oddVBand="0" w:evenVBand="0" w:oddHBand="0" w:evenHBand="0" w:firstRowFirstColumn="0" w:firstRowLastColumn="0" w:lastRowFirstColumn="0" w:lastRowLastColumn="0"/>
            <w:tcW w:w="516" w:type="dxa"/>
            <w:noWrap/>
            <w:hideMark/>
          </w:tcPr>
          <w:p w14:paraId="190FDE9F" w14:textId="77777777" w:rsidR="00CF3F23" w:rsidRPr="00EA1A1E" w:rsidRDefault="00CF3F23" w:rsidP="009B1F6F">
            <w:pPr>
              <w:jc w:val="center"/>
              <w:rPr>
                <w:rFonts w:eastAsia="Times New Roman" w:cstheme="minorHAnsi"/>
                <w:b w:val="0"/>
                <w:bCs w:val="0"/>
                <w:color w:val="000000"/>
              </w:rPr>
            </w:pPr>
            <w:r w:rsidRPr="00EA1A1E">
              <w:rPr>
                <w:rFonts w:eastAsia="Times New Roman" w:cstheme="minorHAnsi"/>
                <w:b w:val="0"/>
                <w:bCs w:val="0"/>
                <w:color w:val="000000"/>
              </w:rPr>
              <w:t>20</w:t>
            </w:r>
          </w:p>
        </w:tc>
        <w:tc>
          <w:tcPr>
            <w:tcW w:w="1210" w:type="dxa"/>
            <w:noWrap/>
            <w:hideMark/>
          </w:tcPr>
          <w:p w14:paraId="10DC40DF"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Japan</w:t>
            </w:r>
          </w:p>
        </w:tc>
        <w:tc>
          <w:tcPr>
            <w:tcW w:w="605" w:type="dxa"/>
            <w:noWrap/>
            <w:hideMark/>
          </w:tcPr>
          <w:p w14:paraId="6CB16CF2"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0.91</w:t>
            </w:r>
          </w:p>
        </w:tc>
        <w:tc>
          <w:tcPr>
            <w:tcW w:w="516" w:type="dxa"/>
            <w:noWrap/>
            <w:hideMark/>
          </w:tcPr>
          <w:p w14:paraId="6DAD7A1F" w14:textId="77777777" w:rsidR="00CF3F23" w:rsidRPr="000A099B" w:rsidRDefault="00CF3F23" w:rsidP="009B1F6F">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40</w:t>
            </w:r>
          </w:p>
        </w:tc>
        <w:tc>
          <w:tcPr>
            <w:tcW w:w="1294" w:type="dxa"/>
            <w:noWrap/>
            <w:hideMark/>
          </w:tcPr>
          <w:p w14:paraId="3332DAFE"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A099B">
              <w:rPr>
                <w:rFonts w:eastAsia="Times New Roman" w:cstheme="minorHAnsi"/>
              </w:rPr>
              <w:t>Hungary</w:t>
            </w:r>
          </w:p>
        </w:tc>
        <w:tc>
          <w:tcPr>
            <w:tcW w:w="674" w:type="dxa"/>
            <w:noWrap/>
            <w:hideMark/>
          </w:tcPr>
          <w:p w14:paraId="4108131F" w14:textId="77777777" w:rsidR="00CF3F23" w:rsidRPr="000A099B" w:rsidRDefault="00CF3F23" w:rsidP="009B1F6F">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0.84</w:t>
            </w:r>
          </w:p>
        </w:tc>
        <w:tc>
          <w:tcPr>
            <w:tcW w:w="516" w:type="dxa"/>
            <w:noWrap/>
            <w:hideMark/>
          </w:tcPr>
          <w:p w14:paraId="6DD265B9"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1194" w:type="dxa"/>
            <w:noWrap/>
            <w:hideMark/>
          </w:tcPr>
          <w:p w14:paraId="3B9565C4"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c>
          <w:tcPr>
            <w:tcW w:w="605" w:type="dxa"/>
            <w:noWrap/>
            <w:hideMark/>
          </w:tcPr>
          <w:p w14:paraId="6D6DD7E8" w14:textId="77777777" w:rsidR="00CF3F23" w:rsidRPr="000A099B" w:rsidRDefault="00CF3F23" w:rsidP="009B1F6F">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rPr>
            </w:pPr>
            <w:r w:rsidRPr="000A099B">
              <w:rPr>
                <w:rFonts w:eastAsia="Times New Roman" w:cstheme="minorHAnsi"/>
                <w:color w:val="000000"/>
              </w:rPr>
              <w:t> </w:t>
            </w:r>
          </w:p>
        </w:tc>
      </w:tr>
    </w:tbl>
    <w:p w14:paraId="7D9054F7" w14:textId="77777777" w:rsidR="00CF3F23" w:rsidRDefault="00CF3F23" w:rsidP="00CF3F23">
      <w:pPr>
        <w:spacing w:after="0"/>
        <w:jc w:val="both"/>
        <w:rPr>
          <w:lang w:val="id-ID"/>
        </w:rPr>
      </w:pPr>
    </w:p>
    <w:p w14:paraId="251894BF" w14:textId="77777777" w:rsidR="00CF3F23" w:rsidRDefault="00CF3F23" w:rsidP="00CF3F23">
      <w:pPr>
        <w:spacing w:after="0"/>
        <w:jc w:val="both"/>
        <w:rPr>
          <w:lang w:val="id-ID"/>
        </w:rPr>
      </w:pPr>
    </w:p>
    <w:p w14:paraId="3B0F3788" w14:textId="77777777" w:rsidR="00CF3F23" w:rsidRDefault="00CF3F23" w:rsidP="00CF3F23">
      <w:pPr>
        <w:spacing w:after="0"/>
        <w:jc w:val="both"/>
        <w:rPr>
          <w:lang w:val="id-ID"/>
        </w:rPr>
      </w:pPr>
    </w:p>
    <w:p w14:paraId="51D23592" w14:textId="77777777" w:rsidR="00CF3F23" w:rsidRDefault="00CF3F23" w:rsidP="00CF3F23">
      <w:pPr>
        <w:spacing w:after="0"/>
        <w:jc w:val="both"/>
        <w:rPr>
          <w:lang w:val="id-ID"/>
        </w:rPr>
      </w:pPr>
    </w:p>
    <w:p w14:paraId="085E01BA" w14:textId="77777777" w:rsidR="00CF3F23" w:rsidRDefault="00CF3F23" w:rsidP="00CF3F23">
      <w:pPr>
        <w:spacing w:after="0"/>
        <w:jc w:val="both"/>
        <w:rPr>
          <w:lang w:val="id-ID"/>
        </w:rPr>
      </w:pPr>
    </w:p>
    <w:p w14:paraId="1974EE53" w14:textId="77777777" w:rsidR="00CF3F23" w:rsidRDefault="00CF3F23" w:rsidP="00CF3F23">
      <w:pPr>
        <w:spacing w:after="0"/>
        <w:jc w:val="both"/>
        <w:rPr>
          <w:lang w:val="id-ID"/>
        </w:rPr>
      </w:pPr>
    </w:p>
    <w:p w14:paraId="35E7B102" w14:textId="77777777" w:rsidR="00CF3F23" w:rsidRDefault="00CF3F23" w:rsidP="00CF3F23">
      <w:pPr>
        <w:spacing w:after="0"/>
        <w:jc w:val="both"/>
        <w:rPr>
          <w:lang w:val="id-ID"/>
        </w:rPr>
      </w:pPr>
    </w:p>
    <w:p w14:paraId="147E5ED0" w14:textId="77777777" w:rsidR="00CF3F23" w:rsidRDefault="00CF3F23" w:rsidP="00CF3F23">
      <w:pPr>
        <w:spacing w:after="0"/>
        <w:jc w:val="both"/>
        <w:rPr>
          <w:lang w:val="id-ID"/>
        </w:rPr>
      </w:pPr>
    </w:p>
    <w:p w14:paraId="4F08172C" w14:textId="77777777" w:rsidR="00CF3F23" w:rsidRDefault="00CF3F23" w:rsidP="00CF3F23">
      <w:pPr>
        <w:spacing w:after="0"/>
        <w:jc w:val="both"/>
        <w:rPr>
          <w:lang w:val="id-ID"/>
        </w:rPr>
      </w:pPr>
    </w:p>
    <w:p w14:paraId="046DC303" w14:textId="77777777" w:rsidR="00CF3F23" w:rsidRDefault="00CF3F23" w:rsidP="00CF3F23">
      <w:pPr>
        <w:spacing w:after="0"/>
        <w:jc w:val="both"/>
        <w:rPr>
          <w:lang w:val="id-ID"/>
        </w:rPr>
      </w:pPr>
    </w:p>
    <w:p w14:paraId="01DEFD45" w14:textId="77777777" w:rsidR="00CF3F23" w:rsidRDefault="00CF3F23" w:rsidP="00CF3F23">
      <w:pPr>
        <w:spacing w:after="0"/>
        <w:jc w:val="both"/>
        <w:rPr>
          <w:lang w:val="id-ID"/>
        </w:rPr>
      </w:pPr>
    </w:p>
    <w:p w14:paraId="62A6F5DD" w14:textId="77777777" w:rsidR="00CF3F23" w:rsidRDefault="00CF3F23" w:rsidP="00CF3F23">
      <w:pPr>
        <w:spacing w:after="0"/>
        <w:jc w:val="both"/>
        <w:rPr>
          <w:lang w:val="id-ID"/>
        </w:rPr>
      </w:pPr>
    </w:p>
    <w:p w14:paraId="3A330929" w14:textId="77777777" w:rsidR="00CF3F23" w:rsidRDefault="00CF3F23" w:rsidP="00CF3F23">
      <w:pPr>
        <w:spacing w:after="0"/>
        <w:jc w:val="both"/>
        <w:rPr>
          <w:lang w:val="id-ID"/>
        </w:rPr>
      </w:pPr>
    </w:p>
    <w:p w14:paraId="52F34DA0" w14:textId="77777777" w:rsidR="00CF3F23" w:rsidRDefault="00CF3F23" w:rsidP="00CF3F23">
      <w:pPr>
        <w:spacing w:after="0"/>
        <w:jc w:val="both"/>
        <w:rPr>
          <w:lang w:val="id-ID"/>
        </w:rPr>
      </w:pPr>
    </w:p>
    <w:p w14:paraId="5AF5C3E5" w14:textId="77777777" w:rsidR="00CF3F23" w:rsidRDefault="00CF3F23" w:rsidP="00CF3F23">
      <w:pPr>
        <w:spacing w:after="0"/>
        <w:jc w:val="both"/>
        <w:rPr>
          <w:lang w:val="id-ID"/>
        </w:rPr>
      </w:pPr>
    </w:p>
    <w:p w14:paraId="1DCF6BC2" w14:textId="77777777" w:rsidR="00CF3F23" w:rsidRDefault="00CF3F23" w:rsidP="00CF3F23">
      <w:pPr>
        <w:spacing w:after="0"/>
        <w:jc w:val="both"/>
      </w:pPr>
    </w:p>
    <w:p w14:paraId="0F6CA8AA" w14:textId="6924DF4A" w:rsidR="00CF3F23" w:rsidRPr="00FE6574" w:rsidRDefault="00C304D8" w:rsidP="00CF3F23">
      <w:pPr>
        <w:spacing w:after="0"/>
        <w:jc w:val="both"/>
        <w:rPr>
          <w:sz w:val="20"/>
          <w:szCs w:val="20"/>
          <w:lang w:val="id-ID"/>
        </w:rPr>
      </w:pPr>
      <w:r>
        <w:tab/>
      </w:r>
      <w:r w:rsidRPr="00FE6574">
        <w:rPr>
          <w:sz w:val="20"/>
          <w:szCs w:val="20"/>
          <w:lang w:val="id-ID"/>
        </w:rPr>
        <w:t xml:space="preserve">Source: </w:t>
      </w:r>
      <w:r w:rsidR="00AC6B54" w:rsidRPr="00FE6574">
        <w:rPr>
          <w:sz w:val="20"/>
          <w:szCs w:val="20"/>
          <w:lang w:val="id-ID"/>
        </w:rPr>
        <w:t>UNDP 2021</w:t>
      </w:r>
    </w:p>
    <w:p w14:paraId="3B9CBD94" w14:textId="77777777" w:rsidR="00C304D8" w:rsidRDefault="00C304D8" w:rsidP="00CF3F23">
      <w:pPr>
        <w:spacing w:after="0"/>
        <w:jc w:val="both"/>
      </w:pPr>
    </w:p>
    <w:p w14:paraId="199E4BE4" w14:textId="2ECF0D8C" w:rsidR="00CF3F23" w:rsidRDefault="00CF3F23" w:rsidP="00CF3F23">
      <w:pPr>
        <w:spacing w:after="0"/>
        <w:jc w:val="both"/>
      </w:pPr>
      <w:r w:rsidRPr="000B37D3">
        <w:t>Table 1.1 explains that the highest levels of human development</w:t>
      </w:r>
      <w:r>
        <w:rPr>
          <w:lang w:val="id-ID"/>
        </w:rPr>
        <w:t xml:space="preserve"> </w:t>
      </w:r>
      <w:r w:rsidRPr="000B37D3">
        <w:t>growth</w:t>
      </w:r>
      <w:r>
        <w:rPr>
          <w:lang w:val="id-ID"/>
        </w:rPr>
        <w:t xml:space="preserve"> </w:t>
      </w:r>
      <w:r w:rsidRPr="000B37D3">
        <w:t>are dominated by Europe and America</w:t>
      </w:r>
      <w:r w:rsidR="00260313">
        <w:rPr>
          <w:lang w:val="id-ID"/>
        </w:rPr>
        <w:t xml:space="preserve">n </w:t>
      </w:r>
      <w:r w:rsidR="00260313" w:rsidRPr="000B37D3">
        <w:t>countries</w:t>
      </w:r>
      <w:r w:rsidRPr="000B37D3">
        <w:t xml:space="preserve">. Meanwhile, the majority of OIC countries are </w:t>
      </w:r>
      <w:r>
        <w:rPr>
          <w:lang w:val="id-ID"/>
        </w:rPr>
        <w:t xml:space="preserve">stuck </w:t>
      </w:r>
      <w:r w:rsidRPr="000B37D3">
        <w:t>in the developing and underdeveloped countries group</w:t>
      </w:r>
      <w:r w:rsidRPr="00FB605B">
        <w:t xml:space="preserve">. </w:t>
      </w:r>
      <w:r w:rsidR="00F60C73" w:rsidRPr="00FB605B">
        <w:rPr>
          <w:lang w:val="id-ID"/>
        </w:rPr>
        <w:t>T</w:t>
      </w:r>
      <w:r w:rsidRPr="00FB605B">
        <w:rPr>
          <w:lang w:val="id-ID"/>
        </w:rPr>
        <w:t xml:space="preserve">here are only five </w:t>
      </w:r>
      <w:r w:rsidRPr="00FB605B">
        <w:t xml:space="preserve">OIC countries </w:t>
      </w:r>
      <w:r w:rsidR="00F60C73" w:rsidRPr="00FB605B">
        <w:rPr>
          <w:lang w:val="id-ID"/>
        </w:rPr>
        <w:t>include</w:t>
      </w:r>
      <w:r w:rsidRPr="00FB605B">
        <w:t xml:space="preserve"> the 50 countries with the highest HDI scores. </w:t>
      </w:r>
      <w:r w:rsidRPr="001367AB">
        <w:t xml:space="preserve">United Arab Emirates </w:t>
      </w:r>
      <w:r w:rsidRPr="001367AB">
        <w:rPr>
          <w:lang w:val="id-ID"/>
        </w:rPr>
        <w:t>was</w:t>
      </w:r>
      <w:r w:rsidRPr="001367AB">
        <w:t xml:space="preserve"> the highest </w:t>
      </w:r>
      <w:r w:rsidRPr="001367AB">
        <w:rPr>
          <w:lang w:val="id-ID"/>
        </w:rPr>
        <w:t xml:space="preserve">beetwen five </w:t>
      </w:r>
      <w:r w:rsidRPr="001367AB">
        <w:t>with an average value 0.87 (UNDP, 2021).</w:t>
      </w:r>
      <w:r w:rsidRPr="000B37D3">
        <w:t xml:space="preserve"> </w:t>
      </w:r>
      <w:r w:rsidR="00A0556B" w:rsidRPr="00A0556B">
        <w:rPr>
          <w:lang w:val="id-ID"/>
        </w:rPr>
        <w:t xml:space="preserve">Saudi Arabia and Qatar </w:t>
      </w:r>
      <w:r w:rsidR="00880B72">
        <w:rPr>
          <w:lang w:val="id-ID"/>
        </w:rPr>
        <w:t xml:space="preserve">came </w:t>
      </w:r>
      <w:r w:rsidR="00BA4477">
        <w:rPr>
          <w:lang w:val="id-ID"/>
        </w:rPr>
        <w:t>afterward</w:t>
      </w:r>
      <w:r w:rsidR="00A0556B" w:rsidRPr="00A0556B">
        <w:rPr>
          <w:lang w:val="id-ID"/>
        </w:rPr>
        <w:t xml:space="preserve"> with an average score of </w:t>
      </w:r>
      <w:r w:rsidR="00880B72">
        <w:rPr>
          <w:lang w:val="id-ID"/>
        </w:rPr>
        <w:t>0.</w:t>
      </w:r>
      <w:r w:rsidR="00A0556B" w:rsidRPr="00A0556B">
        <w:rPr>
          <w:lang w:val="id-ID"/>
        </w:rPr>
        <w:t xml:space="preserve">85, followed by Brunei Darussalam and Qatar with an average score of </w:t>
      </w:r>
      <w:r w:rsidR="00880B72">
        <w:rPr>
          <w:lang w:val="id-ID"/>
        </w:rPr>
        <w:t>0.</w:t>
      </w:r>
      <w:r w:rsidR="00A0556B" w:rsidRPr="00A0556B">
        <w:rPr>
          <w:lang w:val="id-ID"/>
        </w:rPr>
        <w:t>84</w:t>
      </w:r>
      <w:r w:rsidR="00A0556B">
        <w:rPr>
          <w:lang w:val="id-ID"/>
        </w:rPr>
        <w:t xml:space="preserve">. </w:t>
      </w:r>
      <w:r w:rsidR="00DA3C60" w:rsidRPr="00DA3C60">
        <w:rPr>
          <w:lang w:val="id-ID"/>
        </w:rPr>
        <w:t xml:space="preserve">However, this number looks small in comparison to the 57 OIC member countries as a whole, which have </w:t>
      </w:r>
      <w:r w:rsidR="003B421E" w:rsidRPr="00DA3C60">
        <w:rPr>
          <w:lang w:val="id-ID"/>
        </w:rPr>
        <w:t xml:space="preserve">dynamic </w:t>
      </w:r>
      <w:r w:rsidR="00DA3C60" w:rsidRPr="00DA3C60">
        <w:rPr>
          <w:lang w:val="id-ID"/>
        </w:rPr>
        <w:t>populations and have abundant natural resources and human resources</w:t>
      </w:r>
      <w:r w:rsidR="00FE6574">
        <w:rPr>
          <w:lang w:val="id-ID"/>
        </w:rPr>
        <w:t xml:space="preserve"> </w:t>
      </w:r>
      <w:r w:rsidR="00242A8F">
        <w:fldChar w:fldCharType="begin" w:fldLock="1"/>
      </w:r>
      <w:r w:rsidR="0094005C">
        <w:instrText>ADDIN CSL_CITATION {"citationItems":[{"id":"ITEM-1","itemData":{"DOI":"10.20473/vol8iss20215pp537-547","ISSN":"2407-1935","abstract":"ABSTRAKPertumbuhan ekonomi memegang peranan penting dalam menentukan keberhasilan pembangunan sebuah negara, oleh karena itu setiap negara selalu menetapkan target pertumbuhan ekonomi yang stabil dalam tujuan pembangunan. Dalam prosesnya pertumbuhan ekonomi dipengaruhi oleh berbagai factor yang dapat mendorong atau bahkan menghambat laju pertumbuhan. Penelitian ini bertujuan untuk menganalisis pertumbuhan penduduk, keterbukaan perdagangan, inflasi, nilai tukar dan investasi terhadap pertumbuhan ekonomi 40 negara anggota Organisasi Kerjasama Islam (OKI) pada tahun 2005-2019 menggunakan pendekatan kuantitatif dengan teknik analisis regresi data panel fixed effect model dan menggunakan aplikasi Eviews 11dalam mengelola data penelitian. Hasil penelitian ini menunjukkan bahwa variabel pertumbuhan penduduk dan nilai tukar memiliki hubungan signifikan dan negatif terhadap pertumbuhan ekonomi, sedangkan keterbukaan perdagangan dan investasi berpengaruh signifikan dan positif. Sedangkan investasi tidak berpengaruh signifikan pada pertumbuhan ekonomi di Negara OKI. Berdasarkan hasil penelitian ini pemerintah dan pihak terkait diharapkan dapat mengendalikan tingkat pertumbuhan penduduknya serta mendorong sektor perdagangan internasional untuk meningkatkan pertumbuhan ekonomi mengingat tingkat keterbukaan perdagangan di Negara OKI masih dibawah potensinya.Kata Kunci: Pertumbuhan Ekonomi, Pertumbuhan Penduduk, Keterbukaan Perdagangan, Organisasi Kerjasama Islam. ABSTRACTEconomic growth plays an important role in determining the success of a country's development; therefore, each country always sets a target for stable economic growth in its development goals. In the process, economic growth is influenced by various factors that can encourage or even hinder the growth rate. The purpose of this study is to analyze the effect of population growth, trade openness, inflation, exchange rates and investment on the economic growth of 40 member countries of the Organization of Islamic Cooperation (OIC) in 2005-2019 using a quantitative approach with a fixed effect model panel data regression analysis technique and using the Eviews application. 11 in managing research data. The results of this study indicate that the variables of population growth and exchange rates have a significant and negative relationship to economic growth, while trade openness and investment have a significant and positive effect. Meanwhile, investment has no significant effect on economic growth in th…","author":[{"dropping-particle":"El","family":"Muharromy","given":"Noor Syahro","non-dropping-particle":"","parse-names":false,"suffix":""},{"dropping-particle":"","family":"Auwalin","given":"Ilmiawan","non-dropping-particle":"","parse-names":false,"suffix":""}],"container-title":"Jurnal Ekonomi Syariah Teori dan Terapan","id":"ITEM-1","issue":"5","issued":{"date-parts":[["2021"]]},"page":"537","title":"the Effect of Population Growth and Trade Openness on Economic Growth of the Oic Countries","type":"article-journal","volume":"8"},"uris":["http://www.mendeley.com/documents/?uuid=80b36431-3598-476c-9437-66e2ff87247b"]},{"id":"ITEM-2","itemData":{"DOI":"10.20885/jeki.vol6.iss2.art2","ISSN":"20889968","abstract":"Purpose­­­ – This study investigates the driven factors of Foreign Direct Investment (FDI) inflow in selected OIC member countries. The selection of samples observation based on the top 10 hosts of inward FDI flows countries, includes the United Arab Emirates (UAE), Morocco, Indonesia, Turkey, Iran, Egypt, Bangladesh, Kazakhstan, Oman, and Malaysia. Methodology – The data for this study are obtained from World Bank and United Nations Development Programme (UNDP) database for the period 20012018. This study adopted panel regression analyses and utilized the Random Effect Model. Findings – This study reveals that GDP and trade openness were positive and significantly plays a vital role in driving the FDI inflow. Whereas, the exchange rate, inflation, and human development index did not have a significant impact on FDI inflow in the top 10 hosts of inward FDI flows countries. Research limitation – The main limitation of this research is the lack of a variable that represents the Islamicity index, which can differentiate the driven factors of FDI in Muslim and nonMuslim organization countries. Practical implication – This study suggests that members of OIC countries should provide a conducive investment environment which is represented by higher GDP growth and engage in various international trade agreements because those factors have higher possibilities in impacting the FDI inflow. Moreover, the rules which describe the investment priority amongst the member of OIC countries must be ratified immediately to decrease the percentage of the FDI inflows goes to nonOIC members. Social implication – The results from this study bring informative guidance for the others member of OIC countries to attract more FDI inflows as the financial resources for the development of their projects. Consequently, the national human standard of living will move in the same direction with the increasing FDI inflow. Originality – This study has advanced the knowledge by examining the driven factors of FDI in the specifically selected members of OIC countries, which based on the highest FDI inward. Thus, this study provides significant insights for policymakers for the rest of the member OIC countries to attract FDI inflows referring to the top 10 hosts of inward FDI flows countries.","author":[{"dropping-particle":"","family":"Supriani","given":"Indri","non-dropping-particle":"","parse-names":false,"suffix":""},{"dropping-particle":"","family":"Fianto","given":"Bayu Arie","non-dropping-particle":"","parse-names":false,"suffix":""}],"container-title":"Jurnal Ekonomi &amp; Keuangan Islam","id":"ITEM-2","issue":"2","issued":{"date-parts":[["2020"]]},"page":"91-105","title":"What drives the inflow of FDI in OIC countries? Evidence from Top 10 hosts of inward FDI flows","type":"article-journal","volume":"6"},"uris":["http://www.mendeley.com/documents/?uuid=015c6b9e-d3da-4251-9628-eedd980b40de"]}],"mendeley":{"formattedCitation":"(Muharromy &amp; Auwalin, 2021; Supriani &amp; Fianto, 2020)","plainTextFormattedCitation":"(Muharromy &amp; Auwalin, 2021; Supriani &amp; Fianto, 2020)","previouslyFormattedCitation":"(Muharromy &amp; Auwalin, 2021; Supriani &amp; Fianto, 2020)"},"properties":{"noteIndex":0},"schema":"https://github.com/citation-style-language/schema/raw/master/csl-citation.json"}</w:instrText>
      </w:r>
      <w:r w:rsidR="00242A8F">
        <w:fldChar w:fldCharType="separate"/>
      </w:r>
      <w:r w:rsidR="00242A8F" w:rsidRPr="00242A8F">
        <w:rPr>
          <w:noProof/>
        </w:rPr>
        <w:t>(Muharromy &amp; Auwalin, 2021; Supriani &amp; Fianto, 2020)</w:t>
      </w:r>
      <w:r w:rsidR="00242A8F">
        <w:fldChar w:fldCharType="end"/>
      </w:r>
      <w:r w:rsidRPr="000B37D3">
        <w:t>.</w:t>
      </w:r>
    </w:p>
    <w:p w14:paraId="68D239B3" w14:textId="77777777" w:rsidR="00CF3F23" w:rsidRDefault="00CF3F23" w:rsidP="00CF3F23">
      <w:pPr>
        <w:spacing w:after="0"/>
        <w:jc w:val="both"/>
      </w:pPr>
    </w:p>
    <w:p w14:paraId="16858AC5" w14:textId="14E2AD7A" w:rsidR="00CF3F23" w:rsidRDefault="00CF3F23" w:rsidP="00594B62">
      <w:pPr>
        <w:spacing w:after="0"/>
        <w:jc w:val="both"/>
      </w:pPr>
      <w:r>
        <w:t>In the Islamic economic system, human development and economic growth are basically in line with the objectives of Islamic law (</w:t>
      </w:r>
      <w:proofErr w:type="spellStart"/>
      <w:r w:rsidRPr="00394BBB">
        <w:rPr>
          <w:i/>
          <w:iCs/>
        </w:rPr>
        <w:t>maqᾱsid</w:t>
      </w:r>
      <w:proofErr w:type="spellEnd"/>
      <w:r w:rsidRPr="00394BBB">
        <w:rPr>
          <w:i/>
          <w:iCs/>
        </w:rPr>
        <w:t xml:space="preserve"> sharia</w:t>
      </w:r>
      <w:r>
        <w:t>) that have been formulated. Where human welfare does not only focus on the economy</w:t>
      </w:r>
      <w:r>
        <w:rPr>
          <w:lang w:val="id-ID"/>
        </w:rPr>
        <w:t xml:space="preserve"> or welfare</w:t>
      </w:r>
      <w:r>
        <w:t xml:space="preserve"> (</w:t>
      </w:r>
      <w:r w:rsidRPr="00394BBB">
        <w:rPr>
          <w:i/>
          <w:iCs/>
        </w:rPr>
        <w:t>al-</w:t>
      </w:r>
      <w:proofErr w:type="spellStart"/>
      <w:r w:rsidRPr="00394BBB">
        <w:rPr>
          <w:i/>
          <w:iCs/>
        </w:rPr>
        <w:t>mᾱl</w:t>
      </w:r>
      <w:proofErr w:type="spellEnd"/>
      <w:r>
        <w:t>), but also in terms of the freedom of each individual in thinking, obtaining education and making choices (</w:t>
      </w:r>
      <w:r w:rsidRPr="00394BBB">
        <w:rPr>
          <w:i/>
          <w:iCs/>
        </w:rPr>
        <w:t>al-</w:t>
      </w:r>
      <w:proofErr w:type="spellStart"/>
      <w:r w:rsidRPr="00394BBB">
        <w:rPr>
          <w:i/>
          <w:iCs/>
        </w:rPr>
        <w:t>aql</w:t>
      </w:r>
      <w:proofErr w:type="spellEnd"/>
      <w:r>
        <w:t>), health and offspring (</w:t>
      </w:r>
      <w:r w:rsidRPr="00394BBB">
        <w:rPr>
          <w:i/>
          <w:iCs/>
        </w:rPr>
        <w:t>al-</w:t>
      </w:r>
      <w:proofErr w:type="spellStart"/>
      <w:r w:rsidRPr="00394BBB">
        <w:rPr>
          <w:i/>
          <w:iCs/>
        </w:rPr>
        <w:t>nafs</w:t>
      </w:r>
      <w:proofErr w:type="spellEnd"/>
      <w:r w:rsidRPr="00394BBB">
        <w:rPr>
          <w:i/>
          <w:iCs/>
        </w:rPr>
        <w:t xml:space="preserve"> and al-</w:t>
      </w:r>
      <w:proofErr w:type="spellStart"/>
      <w:r w:rsidRPr="00394BBB">
        <w:rPr>
          <w:i/>
          <w:iCs/>
        </w:rPr>
        <w:t>nasab</w:t>
      </w:r>
      <w:proofErr w:type="spellEnd"/>
      <w:r>
        <w:t>) and of course determination religion (</w:t>
      </w:r>
      <w:proofErr w:type="spellStart"/>
      <w:r w:rsidRPr="00394BBB">
        <w:rPr>
          <w:i/>
          <w:iCs/>
        </w:rPr>
        <w:t>hifdzuddīn</w:t>
      </w:r>
      <w:proofErr w:type="spellEnd"/>
      <w:r>
        <w:t xml:space="preserve">) </w:t>
      </w:r>
      <w:r w:rsidR="0094005C">
        <w:fldChar w:fldCharType="begin" w:fldLock="1"/>
      </w:r>
      <w:r w:rsidR="00E45E99">
        <w:instrText>ADDIN CSL_CITATION {"citationItems":[{"id":"ITEM-1","itemData":{"DOI":"10.1016/s2212-5671(15)01195-8","ISSN":"22125671","abstract":"The concept of value creation incorporating both the economic and social values is in line with the Islamic perspective of amanah (trust). The information on social values allows organisations to demonstrate their ethical accountability and in turn gain legitimacy and support particularly for organisations operating in Muslim dominated stakeholders’ environment. While the measurement for economic values is generally available, the measurement of social values/impacts has encountered many difficulties, particularly in formulating acceptable measures. Hence, the objective of this study is to provide some preliminary evidence in measuring social values for relevant stakeholders as a result of business activities. In achieving this objective, this study focuses on one aspect of social output, i.e. the development of human capital through the medium of entrepreneurship education at the university for a group of small entrepreneurs. The findings revealed that social output/values are measurable and can be used in enhancing support for the organisations, particularly the provision of Islamic-based micro-finance and other forms of Islamic fundings such as waqf, zakah and saddaqa (charity) as well as the formulation of relevant strategic models in support of developing Islamic-based sustainable organisations. Islamic-based sustainable organisations can play an important role in enhancing societal and economic development.","author":[{"dropping-particle":"","family":"Arshad","given":"Roshayani","non-dropping-particle":"","parse-names":false,"suffix":""},{"dropping-particle":"","family":"Noor","given":"Abdul Halim Mohd","non-dropping-particle":"","parse-names":false,"suffix":""},{"dropping-particle":"","family":"Yahya","given":"Azlan","non-dropping-particle":"","parse-names":false,"suffix":""}],"container-title":"Procedia Economics and Finance","id":"ITEM-1","issue":"15","issued":{"date-parts":[["2015"]]},"page":"510-519","publisher":"Elsevier B.V.","title":"Human Capital and Islamic-Based Social Impact Model: Small Enterprise Perspective","type":"article-journal","volume":"31"},"uris":["http://www.mendeley.com/documents/?uuid=cc8f4a55-b69d-43b9-857c-285d791e6100"]},{"id":"ITEM-2","itemData":{"ISBN":"9786026004277","author":[{"dropping-particle":"","family":"Mahri","given":"Jajang W","non-dropping-particle":"","parse-names":false,"suffix":""},{"dropping-particle":"","family":"Nur","given":"Cupian M","non-dropping-particle":"","parse-names":false,"suffix":""},{"dropping-particle":"","family":"Al","given":"Rianto","non-dropping-particle":"","parse-names":false,"suffix":""},{"dropping-particle":"","family":"Arundina","given":"Tika","non-dropping-particle":"","parse-names":false,"suffix":""},{"dropping-particle":"","family":"Widiastuti","given":"Tika","non-dropping-particle":"","parse-names":false,"suffix":""},{"dropping-particle":"","family":"Mubarok","given":"Faizul","non-dropping-particle":"","parse-names":false,"suffix":""},{"dropping-particle":"","family":"Fajri","given":"Muhamad","non-dropping-particle":"","parse-names":false,"suffix":""},{"dropping-particle":"","family":"Nurasyiah","given":"Aas","non-dropping-particle":"","parse-names":false,"suffix":""}],"id":"ITEM-2","issued":{"date-parts":[["0"]]},"title":"Ekonomi pembangunan islam","type":"book"},"uris":["http://www.mendeley.com/documents/?uuid=d29540f0-0b16-47bf-866d-71f6fe279e55"]}],"mendeley":{"formattedCitation":"(Arshad et al., 2015; Mahri et al., n.d.)","plainTextFormattedCitation":"(Arshad et al., 2015; Mahri et al., n.d.)","previouslyFormattedCitation":"(Arshad et al., 2015; Mahri et al., n.d.)"},"properties":{"noteIndex":0},"schema":"https://github.com/citation-style-language/schema/raw/master/csl-citation.json"}</w:instrText>
      </w:r>
      <w:r w:rsidR="0094005C">
        <w:fldChar w:fldCharType="separate"/>
      </w:r>
      <w:r w:rsidR="0094005C" w:rsidRPr="0094005C">
        <w:rPr>
          <w:noProof/>
        </w:rPr>
        <w:t>(Arshad et al., 2015; Mahri et al., n.d.)</w:t>
      </w:r>
      <w:r w:rsidR="0094005C">
        <w:fldChar w:fldCharType="end"/>
      </w:r>
      <w:r>
        <w:t xml:space="preserve">. </w:t>
      </w:r>
      <w:r w:rsidR="007E74F8" w:rsidRPr="007E74F8">
        <w:t xml:space="preserve">Therefore, </w:t>
      </w:r>
      <w:r w:rsidR="00594B62" w:rsidRPr="00594B62">
        <w:t>Analysis of the contradiction between concepts and reality about the elements influencing human growth and economic welfare in OIC nations is important.</w:t>
      </w:r>
    </w:p>
    <w:p w14:paraId="5725D7DE" w14:textId="77777777" w:rsidR="00594B62" w:rsidRDefault="00594B62" w:rsidP="00594B62">
      <w:pPr>
        <w:spacing w:after="0"/>
        <w:jc w:val="both"/>
        <w:rPr>
          <w:b/>
        </w:rPr>
      </w:pPr>
    </w:p>
    <w:p w14:paraId="7169A720" w14:textId="68D17092" w:rsidR="006B3BF2" w:rsidRPr="006B3BF2" w:rsidRDefault="00E21BA3" w:rsidP="009A199F">
      <w:pPr>
        <w:spacing w:after="0" w:line="276" w:lineRule="auto"/>
        <w:jc w:val="both"/>
        <w:rPr>
          <w:lang w:val="id-ID"/>
        </w:rPr>
      </w:pPr>
      <w:r>
        <w:rPr>
          <w:lang w:val="id-ID"/>
        </w:rPr>
        <w:t>The e</w:t>
      </w:r>
      <w:proofErr w:type="spellStart"/>
      <w:r>
        <w:t>xternal</w:t>
      </w:r>
      <w:proofErr w:type="spellEnd"/>
      <w:r>
        <w:t xml:space="preserve"> factors that affect development in a country are its macroeconomic conditions </w:t>
      </w:r>
      <w:r w:rsidR="00E45E99">
        <w:fldChar w:fldCharType="begin" w:fldLock="1"/>
      </w:r>
      <w:r w:rsidR="00795191">
        <w:instrText>ADDIN CSL_CITATION {"citationItems":[{"id":"ITEM-1","itemData":{"DOI":"10.33019/society.v8i2.246","ISSN":"23386932","abstract":"This research aims to determine the effect of inflation, per capita income. The method used is a quantitative method with a descriptive approach. The data analysis technique uses multiple linear regression models, which are continued by the classical assumption test. This research uses secondary data, precisely ten years of time-series data from 2010-2019 obtained from the Central Bureau of Statistics, books, literature, the internet, records, and other sources related. The research sample consisted of 40 data taken per quarter, from 2010-2019. The analytical method used in this research is multiple linear regressions. The results showed that inflation had a negative and insignificant effect on Human Development Index (HDI). In contrast, per capita income and unemployment had a negative and significant effect on Human Development Index (HDI). Inflation, per capita income, and unemployment significantly affected the Human Development Index (HDI) in Ternate City. The independent variable’s determination (R Square) on the dependent variable is 0.836 or 83.6%. It means inflation, per capita income, and unemployment can affect the Human Development Index (HDI) in Ternate City at 83.6%, remaining 16.4% by other factors.","author":[{"dropping-particle":"","family":"Runtunuwu","given":"Prince Charles Heston","non-dropping-particle":"","parse-names":false,"suffix":""}],"container-title":"Society","id":"ITEM-1","issue":"2","issued":{"date-parts":[["2020"]]},"page":"596-610","title":"Analysis of Macroeconomic Indicators and It's Effect on Human Development Index (HDI)","type":"article-journal","volume":"8"},"uris":["http://www.mendeley.com/documents/?uuid=26433edc-b64b-4f3d-9558-f96ee933b6f1"]},{"id":"ITEM-2","itemData":{"DOI":"10.20885/jeki.vol6.iss2.art2","ISSN":"20889968","abstract":"Purpose­­­ – This study investigates the driven factors of Foreign Direct Investment (FDI) inflow in selected OIC member countries. The selection of samples observation based on the top 10 hosts of inward FDI flows countries, includes the United Arab Emirates (UAE), Morocco, Indonesia, Turkey, Iran, Egypt, Bangladesh, Kazakhstan, Oman, and Malaysia. Methodology – The data for this study are obtained from World Bank and United Nations Development Programme (UNDP) database for the period 20012018. This study adopted panel regression analyses and utilized the Random Effect Model. Findings – This study reveals that GDP and trade openness were positive and significantly plays a vital role in driving the FDI inflow. Whereas, the exchange rate, inflation, and human development index did not have a significant impact on FDI inflow in the top 10 hosts of inward FDI flows countries. Research limitation – The main limitation of this research is the lack of a variable that represents the Islamicity index, which can differentiate the driven factors of FDI in Muslim and nonMuslim organization countries. Practical implication – This study suggests that members of OIC countries should provide a conducive investment environment which is represented by higher GDP growth and engage in various international trade agreements because those factors have higher possibilities in impacting the FDI inflow. Moreover, the rules which describe the investment priority amongst the member of OIC countries must be ratified immediately to decrease the percentage of the FDI inflows goes to nonOIC members. Social implication – The results from this study bring informative guidance for the others member of OIC countries to attract more FDI inflows as the financial resources for the development of their projects. Consequently, the national human standard of living will move in the same direction with the increasing FDI inflow. Originality – This study has advanced the knowledge by examining the driven factors of FDI in the specifically selected members of OIC countries, which based on the highest FDI inward. Thus, this study provides significant insights for policymakers for the rest of the member OIC countries to attract FDI inflows referring to the top 10 hosts of inward FDI flows countries.","author":[{"dropping-particle":"","family":"Supriani","given":"Indri","non-dropping-particle":"","parse-names":false,"suffix":""},{"dropping-particle":"","family":"Fianto","given":"Bayu Arie","non-dropping-particle":"","parse-names":false,"suffix":""}],"container-title":"Jurnal Ekonomi &amp; Keuangan Islam","id":"ITEM-2","issue":"2","issued":{"date-parts":[["2020"]]},"page":"91-105","title":"What drives the inflow of FDI in OIC countries? Evidence from Top 10 hosts of inward FDI flows","type":"article-journal","volume":"6"},"uris":["http://www.mendeley.com/documents/?uuid=015c6b9e-d3da-4251-9628-eedd980b40de"]},{"id":"ITEM-3","itemData":{"abstract":"This study has the objective to analyze the effect that occurs between Indonesian Bank (BI)-rate, Foreign Exchange Rates, Money Supply, oil price and gold prices on Inflation, its impact on human development Index (HDI) and poverty in Indonesia for the period 1997 up to 2016. This study used secondary data with purposive sampling method. Methods of data analysis using multiple regression analysis, Model 1: Results of this study indicate that there are significant variables simultaneously at BI Rate, Foreign Exchange Rates, Money Supply, oil price and gold prices to the level of inflation in Indonesia. The results also showed variable BI rate, money supply, oil price and gold prices partial effect on the level of inflation positively and significantly, while the exchange rate variable does not affect the rate of inflation. The results determinant coefficient of 0.9497means the ability of independent variables to explain the dependent variable of 94.97 % , while the remaining 5,03 % is influenced by other variables and are not included in this study. Model 2: inflation on HDI is significant and positif and model 3: Inflation on poverty is significant and positive.","author":[{"dropping-particle":"","family":"Yolanda Y","given":"","non-dropping-particle":"","parse-names":false,"suffix":""}],"container-title":"European Research Studies Journal","id":"ITEM-3","issue":"4","issued":{"date-parts":[["2017"]]},"page":"38-56","title":"Analysis of Factors Affecting Inflation and its Impact on Human Development Index and Poverty in Indonesia","type":"article-journal","volume":"XX"},"uris":["http://www.mendeley.com/documents/?uuid=045c9a0c-8899-4492-bbc5-e020d691c896"]}],"mendeley":{"formattedCitation":"(Runtunuwu, 2020; Supriani &amp; Fianto, 2020; Yolanda Y, 2017)","plainTextFormattedCitation":"(Runtunuwu, 2020; Supriani &amp; Fianto, 2020; Yolanda Y, 2017)","previouslyFormattedCitation":"(Runtunuwu, 2020; Supriani &amp; Fianto, 2020; Yolanda Y, 2017)"},"properties":{"noteIndex":0},"schema":"https://github.com/citation-style-language/schema/raw/master/csl-citation.json"}</w:instrText>
      </w:r>
      <w:r w:rsidR="00E45E99">
        <w:fldChar w:fldCharType="separate"/>
      </w:r>
      <w:r w:rsidR="00E45E99" w:rsidRPr="00E45E99">
        <w:rPr>
          <w:noProof/>
        </w:rPr>
        <w:t>(Runtunuwu, 2020; Supriani &amp; Fianto, 2020; Yolanda Y, 2017)</w:t>
      </w:r>
      <w:r w:rsidR="00E45E99">
        <w:fldChar w:fldCharType="end"/>
      </w:r>
      <w:r>
        <w:t xml:space="preserve">. </w:t>
      </w:r>
      <w:r w:rsidR="008825A8" w:rsidRPr="008825A8">
        <w:t>The two fundamental issues that every civilization</w:t>
      </w:r>
      <w:r w:rsidR="00BD76C3">
        <w:rPr>
          <w:lang w:val="id-ID"/>
        </w:rPr>
        <w:t xml:space="preserve"> </w:t>
      </w:r>
      <w:r w:rsidR="008825A8" w:rsidRPr="008825A8">
        <w:t>face</w:t>
      </w:r>
      <w:r w:rsidR="00BD76C3">
        <w:rPr>
          <w:lang w:val="id-ID"/>
        </w:rPr>
        <w:t xml:space="preserve">d </w:t>
      </w:r>
      <w:r w:rsidR="008825A8" w:rsidRPr="008825A8">
        <w:t>are erratic inflation and high unemployment rates. They both have detrimental effects on society, politics, and the economy.</w:t>
      </w:r>
      <w:r>
        <w:t xml:space="preserve"> </w:t>
      </w:r>
      <w:r>
        <w:rPr>
          <w:lang w:val="id-ID"/>
        </w:rPr>
        <w:t xml:space="preserve">Inability </w:t>
      </w:r>
      <w:r>
        <w:t xml:space="preserve">of </w:t>
      </w:r>
      <w:r>
        <w:rPr>
          <w:lang w:val="id-ID"/>
        </w:rPr>
        <w:t>society</w:t>
      </w:r>
      <w:r>
        <w:t xml:space="preserve"> to </w:t>
      </w:r>
      <w:proofErr w:type="spellStart"/>
      <w:r>
        <w:t>fulfill</w:t>
      </w:r>
      <w:proofErr w:type="spellEnd"/>
      <w:r>
        <w:t xml:space="preserve"> </w:t>
      </w:r>
      <w:r>
        <w:rPr>
          <w:lang w:val="id-ID"/>
        </w:rPr>
        <w:t xml:space="preserve">the </w:t>
      </w:r>
      <w:r>
        <w:t xml:space="preserve">basic needs </w:t>
      </w:r>
      <w:r>
        <w:rPr>
          <w:lang w:val="id-ID"/>
        </w:rPr>
        <w:t>are the</w:t>
      </w:r>
      <w:r>
        <w:t xml:space="preserve"> major disaster in development programs in</w:t>
      </w:r>
      <w:r w:rsidR="009D0D87">
        <w:rPr>
          <w:lang w:val="id-ID"/>
        </w:rPr>
        <w:t xml:space="preserve"> all</w:t>
      </w:r>
      <w:r>
        <w:t xml:space="preserve"> terms of the economy, health and education </w:t>
      </w:r>
      <w:r w:rsidR="00795191">
        <w:fldChar w:fldCharType="begin" w:fldLock="1"/>
      </w:r>
      <w:r w:rsidR="006B3BF2">
        <w:instrText>ADDIN CSL_CITATION {"citationItems":[{"id":"ITEM-1","itemData":{"author":[{"dropping-particle":"","family":"Sen","given":"A.","non-dropping-particle":"","parse-names":false,"suffix":""}],"container-title":"Oxford: Oxford University Press","id":"ITEM-1","issued":{"date-parts":[["1999"]]},"title":"Development as freedom","type":"article-journal"},"uris":["http://www.mendeley.com/documents/?uuid=99f9c64a-2a34-484e-a196-7375976f2b62"]}],"mendeley":{"formattedCitation":"(Sen, 1999)","plainTextFormattedCitation":"(Sen, 1999)","previouslyFormattedCitation":"(Sen, 1999)"},"properties":{"noteIndex":0},"schema":"https://github.com/citation-style-language/schema/raw/master/csl-citation.json"}</w:instrText>
      </w:r>
      <w:r w:rsidR="00795191">
        <w:fldChar w:fldCharType="separate"/>
      </w:r>
      <w:r w:rsidR="00795191" w:rsidRPr="00795191">
        <w:rPr>
          <w:noProof/>
        </w:rPr>
        <w:t>(Sen, 1999)</w:t>
      </w:r>
      <w:r w:rsidR="00795191">
        <w:fldChar w:fldCharType="end"/>
      </w:r>
      <w:r w:rsidR="00795191">
        <w:rPr>
          <w:lang w:val="id-ID"/>
        </w:rPr>
        <w:t>.</w:t>
      </w:r>
      <w:r>
        <w:rPr>
          <w:lang w:val="id-ID"/>
        </w:rPr>
        <w:t xml:space="preserve"> </w:t>
      </w:r>
      <w:r w:rsidR="006B3BF2">
        <w:rPr>
          <w:lang w:val="id-ID"/>
        </w:rPr>
        <w:fldChar w:fldCharType="begin" w:fldLock="1"/>
      </w:r>
      <w:r w:rsidR="006B3BF2">
        <w:rPr>
          <w:lang w:val="id-ID"/>
        </w:rPr>
        <w:instrText>ADDIN CSL_CITATION {"citationItems":[{"id":"ITEM-1","itemData":{"DOI":"10.1080/02692171.2017.1351531","ISSN":"14653486","abstract":"This paper studies the relation between inflation and economic development. The literature is largely silent regarding both the theoretical and empirical perspectives that undeveloped countries endure higher average inflation than developed economies. We present a simple theoretical model linking the inflation phenomenon to the tradition of development economics. Empirical evidence is garnered to test the hypothesis that economic development engenders a downward bias to inflation rates. Through the feasible-GLS estimator in a panel of 65 countries from 2001 to 2011, we aim at listing a number of variables most commonly used to explain differences in the stage of economic development across countries and identifying the most statistically relevant ones to account for differences in inflationary patterns. While our results show that inflation is inversely correlated with the level of the technological content of the economy (measured by share of high-tech exports), human capital and cyclical unemployment, it is directly related to the degree of inflation persistence and terms of trade growth. However, our findings still present an inverse and low correlation between inflation persistence and economic development, implying that development-sensitive variables allowed into the model can only partially account for the differences in inflation at different levels of economic development.","author":[{"dropping-particle":"","family":"Roncaglia de Carvalho","given":"André","non-dropping-particle":"","parse-names":false,"suffix":""},{"dropping-particle":"","family":"Ribeiro","given":"Rafael S.M.","non-dropping-particle":"","parse-names":false,"suffix":""},{"dropping-particle":"","family":"Marques","given":"André M.","non-dropping-particle":"","parse-names":false,"suffix":""}],"container-title":"International Review of Applied Economics","id":"ITEM-1","issue":"4","issued":{"date-parts":[["2018"]]},"page":"546-565","publisher":"Routledge","title":"Economic development and inflation: a theoretical and empirical analysis","type":"article-journal","volume":"32"},"uris":["http://www.mendeley.com/documents/?uuid=e4321d57-cfc1-42c1-a92a-9d0db6957f5e"]}],"mendeley":{"formattedCitation":"(Roncaglia de Carvalho et al., 2018)","manualFormatting":"Roncaglia de Carvalho et al (2018)","plainTextFormattedCitation":"(Roncaglia de Carvalho et al., 2018)","previouslyFormattedCitation":"(Roncaglia de Carvalho et al., 2018)"},"properties":{"noteIndex":0},"schema":"https://github.com/citation-style-language/schema/raw/master/csl-citation.json"}</w:instrText>
      </w:r>
      <w:r w:rsidR="006B3BF2">
        <w:rPr>
          <w:lang w:val="id-ID"/>
        </w:rPr>
        <w:fldChar w:fldCharType="separate"/>
      </w:r>
      <w:r w:rsidR="006B3BF2" w:rsidRPr="006B3BF2">
        <w:rPr>
          <w:noProof/>
          <w:lang w:val="id-ID"/>
        </w:rPr>
        <w:t xml:space="preserve">Roncaglia de Carvalho et al </w:t>
      </w:r>
      <w:r w:rsidR="006B3BF2">
        <w:rPr>
          <w:noProof/>
          <w:lang w:val="id-ID"/>
        </w:rPr>
        <w:t>(</w:t>
      </w:r>
      <w:r w:rsidR="006B3BF2" w:rsidRPr="006B3BF2">
        <w:rPr>
          <w:noProof/>
          <w:lang w:val="id-ID"/>
        </w:rPr>
        <w:t>2018)</w:t>
      </w:r>
      <w:r w:rsidR="006B3BF2">
        <w:rPr>
          <w:lang w:val="id-ID"/>
        </w:rPr>
        <w:fldChar w:fldCharType="end"/>
      </w:r>
      <w:r>
        <w:t xml:space="preserve"> states that developing countries bear higher average inflation than developed countries.</w:t>
      </w:r>
      <w:r>
        <w:rPr>
          <w:lang w:val="id-ID"/>
        </w:rPr>
        <w:t xml:space="preserve"> </w:t>
      </w:r>
      <w:r>
        <w:t>Inflation makes people harder to invest and consume</w:t>
      </w:r>
      <w:r w:rsidR="006B3BF2">
        <w:rPr>
          <w:lang w:val="id-ID"/>
        </w:rPr>
        <w:t xml:space="preserve"> </w:t>
      </w:r>
      <w:r w:rsidR="006B3BF2">
        <w:rPr>
          <w:lang w:val="id-ID"/>
        </w:rPr>
        <w:fldChar w:fldCharType="begin" w:fldLock="1"/>
      </w:r>
      <w:r w:rsidR="00D935B4">
        <w:rPr>
          <w:lang w:val="id-ID"/>
        </w:rPr>
        <w:instrText>ADDIN CSL_CITATION {"citationItems":[{"id":"ITEM-1","itemData":{"DOI":"10.1108/AEA-07-2020-0088","ISSN":"26327627","abstract":"Purpose: This study aims to examine the influence of socioeconomic development on inflation in South Asia using the foreign exchange rate and money supply as control variables. Design/methodology/approach: The study uses annual panel data for five South Asian economies, namely, Bangladesh, India, Nepal, Pakistan and Sri Lanka over the period 1990–2018, applies cointegrating regression techniques, namely, the panel dynamic ordinary least square (OLS) and fully modified OLS estimators to examine the long-run relations and conducts the Toda-Yamamoto Granger causality test to detect the direction of causality among variables. Findings: The cointegrating regression estimations have documented that the socioeconomic development proxied by the human development index (HDI) has no significant impact on inflation. Although economic development represented by gross domestic product (GDP) growth causes inflation, socioeconomic development represented by HDI has no impact on inflation and has demonstrated as a better macroeconomic indicator, and thus creates no inflationary pressure in the economy. The foreign exchange rate has a positive impact on inflation. The broad money supply has the usual positive effect on domestic inflation that endorses the monetarist view about prices. The Toda-Yamamoto Granger causality test has confirmed several unidirectional causalities: inflation causes HDI, money supply causes both inflation and HDI and the foreign exchange rate causes HDI. Practical implications: The study has practical implications for policymakers in South Asia, to improve HDI, particularly GDP per capita, education and health-care facilities to realize continuous socioeconomic development, which will take care of inflation. Moreover, these counties may follow a conservative monetary policy to control inflationary pressure in their economies. Originality/value: The study is original and claims to be the first to examine the impact of socioeconomic development on inflation. The findings have socioeconomic values regarding controlling inflation in South Asia.","author":[{"dropping-particle":"","family":"Islam","given":"Md Saiful","non-dropping-particle":"","parse-names":false,"suffix":""}],"container-title":"Applied Economic Analysis","id":"ITEM-1","issue":"88","issued":{"date-parts":[["2022"]]},"page":"38-51","title":"Impact of socioeconomic development on inflation in South Asia: evidence from panel cointegration analysis","type":"article-journal","volume":"30"},"uris":["http://www.mendeley.com/documents/?uuid=c2adc436-318f-4a08-862a-8c7bdcbd978e"]},{"id":"ITEM-2","itemData":{"DOI":"10.1177/0974910120919042","ISBN":"0974910120","ISSN":"09752730","abstract":"Investment expenditure is a major component of aggregate macroeconomic variables in any economy, irrespective of the development status. This article employed relevant econometric methodology on panel data environment to analyze the effects of foreign direct investment (FDI) inflows on economic growth of 30 leading global economies during the period between 1998 and 2017. Other variables considered in the analysis were domestic credit to private sector (DCPS), gross fixed capital formation (GFCF), inflation–consumer prices index (INFPC), trade openness (TOPNESS), and youth unemployment (UEMPYT). The results showed mixed growth effects of the variables in general. Specifically, FDI exerted positive and significant effect on economic growth of the countries during the period. Therefore, this article concluded that FDI inflows enhanced economic growth and emphasized the need to foster more FDI-attracting policies as well as adequate GFCF to complement FDIs for sustainable economic growth potentials. JEL Classification: C23, C33, C51, F21, F43, O47.","author":[{"dropping-particle":"","family":"Okwu","given":"Andy Titus","non-dropping-particle":"","parse-names":false,"suffix":""},{"dropping-particle":"","family":"Oseni","given":"Isiaq Olasunkanmi","non-dropping-particle":"","parse-names":false,"suffix":""},{"dropping-particle":"","family":"Obiakor","given":"Rowland Tochukwu","non-dropping-particle":"","parse-names":false,"suffix":""}],"container-title":"Global Journal of Emerging Market Economies","id":"ITEM-2","issue":"2","issued":{"date-parts":[["2020"]]},"page":"217-230","title":"Does Foreign Direct Investment Enhance Economic Growth? Evidence from 30 Leading Global Economies","type":"article-journal","volume":"12"},"uris":["http://www.mendeley.com/documents/?uuid=ddae7256-383d-4cf4-b74f-101c48515e0c"]},{"id":"ITEM-3","itemData":{"abstract":"This study has the objective to analyze the effect that occurs between Indonesian Bank (BI)-rate, Foreign Exchange Rates, Money Supply, oil price and gold prices on Inflation, its impact on human development Index (HDI) and poverty in Indonesia for the period 1997 up to 2016. This study used secondary data with purposive sampling method. Methods of data analysis using multiple regression analysis, Model 1: Results of this study indicate that there are significant variables simultaneously at BI Rate, Foreign Exchange Rates, Money Supply, oil price and gold prices to the level of inflation in Indonesia. The results also showed variable BI rate, money supply, oil price and gold prices partial effect on the level of inflation positively and significantly, while the exchange rate variable does not affect the rate of inflation. The results determinant coefficient of 0.9497means the ability of independent variables to explain the dependent variable of 94.97 % , while the remaining 5,03 % is influenced by other variables and are not included in this study. Model 2: inflation on HDI is significant and positif and model 3: Inflation on poverty is significant and positive.","author":[{"dropping-particle":"","family":"Yolanda Y","given":"","non-dropping-particle":"","parse-names":false,"suffix":""}],"container-title":"European Research Studies Journal","id":"ITEM-3","issue":"4","issued":{"date-parts":[["2017"]]},"page":"38-56","title":"Analysis of Factors Affecting Inflation and its Impact on Human Development Index and Poverty in Indonesia","type":"article-journal","volume":"XX"},"uris":["http://www.mendeley.com/documents/?uuid=045c9a0c-8899-4492-bbc5-e020d691c896"]}],"mendeley":{"formattedCitation":"(Islam, 2022; Okwu et al., 2020; Yolanda Y, 2017)","plainTextFormattedCitation":"(Islam, 2022; Okwu et al., 2020; Yolanda Y, 2017)","previouslyFormattedCitation":"(Islam, 2022; Okwu et al., 2020; Yolanda Y, 2017)"},"properties":{"noteIndex":0},"schema":"https://github.com/citation-style-language/schema/raw/master/csl-citation.json"}</w:instrText>
      </w:r>
      <w:r w:rsidR="006B3BF2">
        <w:rPr>
          <w:lang w:val="id-ID"/>
        </w:rPr>
        <w:fldChar w:fldCharType="separate"/>
      </w:r>
      <w:r w:rsidR="006B3BF2" w:rsidRPr="006B3BF2">
        <w:rPr>
          <w:noProof/>
          <w:lang w:val="id-ID"/>
        </w:rPr>
        <w:t>(Islam, 2022; Okwu et al., 2020; Yolanda Y, 2017)</w:t>
      </w:r>
      <w:r w:rsidR="006B3BF2">
        <w:rPr>
          <w:lang w:val="id-ID"/>
        </w:rPr>
        <w:fldChar w:fldCharType="end"/>
      </w:r>
      <w:r w:rsidR="006B3BF2">
        <w:rPr>
          <w:lang w:val="id-ID"/>
        </w:rPr>
        <w:t>.</w:t>
      </w:r>
    </w:p>
    <w:p w14:paraId="5D52DCA2" w14:textId="49D960FD" w:rsidR="00E21BA3" w:rsidRDefault="00E21BA3" w:rsidP="009A199F">
      <w:pPr>
        <w:spacing w:after="0" w:line="276" w:lineRule="auto"/>
        <w:jc w:val="both"/>
      </w:pPr>
    </w:p>
    <w:p w14:paraId="48FB4ED4" w14:textId="20E53555" w:rsidR="0061694E" w:rsidRDefault="00A85093" w:rsidP="00A94062">
      <w:pPr>
        <w:spacing w:line="276" w:lineRule="auto"/>
        <w:jc w:val="both"/>
        <w:rPr>
          <w:rFonts w:asciiTheme="minorHAnsi" w:hAnsiTheme="minorHAnsi" w:cstheme="minorHAnsi"/>
        </w:rPr>
      </w:pPr>
      <w:r w:rsidRPr="0015703E">
        <w:rPr>
          <w:rFonts w:asciiTheme="minorHAnsi" w:hAnsiTheme="minorHAnsi" w:cstheme="minorHAnsi"/>
        </w:rPr>
        <w:t xml:space="preserve">The fact that </w:t>
      </w:r>
      <w:r w:rsidRPr="00A85093">
        <w:rPr>
          <w:rFonts w:asciiTheme="minorHAnsi" w:hAnsiTheme="minorHAnsi" w:cstheme="minorHAnsi"/>
        </w:rPr>
        <w:t xml:space="preserve">inflation has a negative impact is a fundamental argument between inflation and human development. Price volatility has been shown in research to impact decision making by all </w:t>
      </w:r>
      <w:r w:rsidRPr="00A85093">
        <w:rPr>
          <w:rFonts w:asciiTheme="minorHAnsi" w:hAnsiTheme="minorHAnsi" w:cstheme="minorHAnsi"/>
        </w:rPr>
        <w:lastRenderedPageBreak/>
        <w:t xml:space="preserve">stakeholders. </w:t>
      </w:r>
      <w:r w:rsidR="0061694E" w:rsidRPr="0061694E">
        <w:rPr>
          <w:rFonts w:asciiTheme="minorHAnsi" w:hAnsiTheme="minorHAnsi" w:cstheme="minorHAnsi"/>
        </w:rPr>
        <w:t xml:space="preserve">According to research by </w:t>
      </w:r>
      <w:r w:rsidR="00DD5229">
        <w:rPr>
          <w:rFonts w:asciiTheme="minorHAnsi" w:hAnsiTheme="minorHAnsi" w:cstheme="minorHAnsi"/>
        </w:rPr>
        <w:fldChar w:fldCharType="begin" w:fldLock="1"/>
      </w:r>
      <w:r w:rsidR="003104E1">
        <w:rPr>
          <w:rFonts w:asciiTheme="minorHAnsi" w:hAnsiTheme="minorHAnsi" w:cstheme="minorHAnsi"/>
        </w:rPr>
        <w:instrText>ADDIN CSL_CITATION {"citationItems":[{"id":"ITEM-1","itemData":{"DOI":"10.1080/02692171.2017.1351531","ISSN":"14653486","abstract":"This paper studies the relation between inflation and economic development. The literature is largely silent regarding both the theoretical and empirical perspectives that undeveloped countries endure higher average inflation than developed economies. We present a simple theoretical model linking the inflation phenomenon to the tradition of development economics. Empirical evidence is garnered to test the hypothesis that economic development engenders a downward bias to inflation rates. Through the feasible-GLS estimator in a panel of 65 countries from 2001 to 2011, we aim at listing a number of variables most commonly used to explain differences in the stage of economic development across countries and identifying the most statistically relevant ones to account for differences in inflationary patterns. While our results show that inflation is inversely correlated with the level of the technological content of the economy (measured by share of high-tech exports), human capital and cyclical unemployment, it is directly related to the degree of inflation persistence and terms of trade growth. However, our findings still present an inverse and low correlation between inflation persistence and economic development, implying that development-sensitive variables allowed into the model can only partially account for the differences in inflation at different levels of economic development.","author":[{"dropping-particle":"","family":"Roncaglia de Carvalho","given":"André","non-dropping-particle":"","parse-names":false,"suffix":""},{"dropping-particle":"","family":"Ribeiro","given":"Rafael S.M.","non-dropping-particle":"","parse-names":false,"suffix":""},{"dropping-particle":"","family":"Marques","given":"André M.","non-dropping-particle":"","parse-names":false,"suffix":""}],"container-title":"International Review of Applied Economics","id":"ITEM-1","issue":"4","issued":{"date-parts":[["2018"]]},"page":"546-565","publisher":"Routledge","title":"Economic development and inflation: a theoretical and empirical analysis","type":"article-journal","volume":"32"},"uris":["http://www.mendeley.com/documents/?uuid=e4321d57-cfc1-42c1-a92a-9d0db6957f5e"]}],"mendeley":{"formattedCitation":"(Roncaglia de Carvalho et al., 2018)","plainTextFormattedCitation":"(Roncaglia de Carvalho et al., 2018)","previouslyFormattedCitation":"(Roncaglia de Carvalho et al., 2018)"},"properties":{"noteIndex":0},"schema":"https://github.com/citation-style-language/schema/raw/master/csl-citation.json"}</w:instrText>
      </w:r>
      <w:r w:rsidR="00DD5229">
        <w:rPr>
          <w:rFonts w:asciiTheme="minorHAnsi" w:hAnsiTheme="minorHAnsi" w:cstheme="minorHAnsi"/>
        </w:rPr>
        <w:fldChar w:fldCharType="separate"/>
      </w:r>
      <w:r w:rsidR="00DD5229" w:rsidRPr="00DD5229">
        <w:rPr>
          <w:rFonts w:asciiTheme="minorHAnsi" w:hAnsiTheme="minorHAnsi" w:cstheme="minorHAnsi"/>
          <w:noProof/>
        </w:rPr>
        <w:t xml:space="preserve">Roncaglia de Carvalho et al </w:t>
      </w:r>
      <w:r w:rsidR="00F54472">
        <w:rPr>
          <w:rFonts w:asciiTheme="minorHAnsi" w:hAnsiTheme="minorHAnsi" w:cstheme="minorHAnsi"/>
          <w:noProof/>
          <w:lang w:val="id-ID"/>
        </w:rPr>
        <w:t>(</w:t>
      </w:r>
      <w:r w:rsidR="00DD5229" w:rsidRPr="00DD5229">
        <w:rPr>
          <w:rFonts w:asciiTheme="minorHAnsi" w:hAnsiTheme="minorHAnsi" w:cstheme="minorHAnsi"/>
          <w:noProof/>
        </w:rPr>
        <w:t>2018)</w:t>
      </w:r>
      <w:r w:rsidR="00DD5229">
        <w:rPr>
          <w:rFonts w:asciiTheme="minorHAnsi" w:hAnsiTheme="minorHAnsi" w:cstheme="minorHAnsi"/>
        </w:rPr>
        <w:fldChar w:fldCharType="end"/>
      </w:r>
      <w:r w:rsidR="00DD5229">
        <w:rPr>
          <w:rFonts w:asciiTheme="minorHAnsi" w:hAnsiTheme="minorHAnsi" w:cstheme="minorHAnsi"/>
          <w:lang w:val="id-ID"/>
        </w:rPr>
        <w:t xml:space="preserve"> </w:t>
      </w:r>
      <w:r w:rsidR="00A94062" w:rsidRPr="0061694E">
        <w:rPr>
          <w:rFonts w:asciiTheme="minorHAnsi" w:hAnsiTheme="minorHAnsi" w:cstheme="minorHAnsi"/>
        </w:rPr>
        <w:t>that examined growth and inflation in 65 different nations, there was no statistically significant correlation between human capital and inflation.</w:t>
      </w:r>
      <w:r w:rsidRPr="00A85093">
        <w:rPr>
          <w:rFonts w:asciiTheme="minorHAnsi" w:hAnsiTheme="minorHAnsi" w:cstheme="minorHAnsi"/>
        </w:rPr>
        <w:t xml:space="preserve"> In line with </w:t>
      </w:r>
      <w:r w:rsidR="00DD5229">
        <w:rPr>
          <w:rFonts w:asciiTheme="minorHAnsi" w:hAnsiTheme="minorHAnsi" w:cstheme="minorHAnsi"/>
        </w:rPr>
        <w:fldChar w:fldCharType="begin" w:fldLock="1"/>
      </w:r>
      <w:r w:rsidR="00DD5229">
        <w:rPr>
          <w:rFonts w:asciiTheme="minorHAnsi" w:hAnsiTheme="minorHAnsi" w:cstheme="minorHAnsi"/>
        </w:rPr>
        <w:instrText>ADDIN CSL_CITATION {"citationItems":[{"id":"ITEM-1","itemData":{"DOI":"10.14445/23939125/ijems-v3i5p106","abstract":"The Human Development Index is a statistical tool used to measure countries overall achievements in its social and economic dimensions. This paper tried to find out major factors affecting Human Development Index like health index, education index and income index. The objective of this study is found out the empirical findings and trend of human development across countries, regression analysis of determinants factors and region wise analysis of human development index. Index","author":[{"dropping-particle":"","family":"Shah","given":"Smit","non-dropping-particle":"","parse-names":false,"suffix":""}],"container-title":"International Journal of Economics and Management Studies","id":"ITEM-1","issue":"5","issued":{"date-parts":[["2016"]]},"page":"43-46","title":"Determinants of Human Development Index: A Cross-Country Empirical Analysis","type":"article-journal","volume":"3"},"uris":["http://www.mendeley.com/documents/?uuid=cc94b860-b054-4d78-b390-61f248b63464"]}],"mendeley":{"formattedCitation":"(Shah, 2016)","plainTextFormattedCitation":"(Shah, 2016)","previouslyFormattedCitation":"(Shah, 2016)"},"properties":{"noteIndex":0},"schema":"https://github.com/citation-style-language/schema/raw/master/csl-citation.json"}</w:instrText>
      </w:r>
      <w:r w:rsidR="00DD5229">
        <w:rPr>
          <w:rFonts w:asciiTheme="minorHAnsi" w:hAnsiTheme="minorHAnsi" w:cstheme="minorHAnsi"/>
        </w:rPr>
        <w:fldChar w:fldCharType="separate"/>
      </w:r>
      <w:r w:rsidR="00DD5229" w:rsidRPr="00DD5229">
        <w:rPr>
          <w:rFonts w:asciiTheme="minorHAnsi" w:hAnsiTheme="minorHAnsi" w:cstheme="minorHAnsi"/>
          <w:noProof/>
        </w:rPr>
        <w:t>Shah</w:t>
      </w:r>
      <w:r w:rsidR="00F54472">
        <w:rPr>
          <w:rFonts w:asciiTheme="minorHAnsi" w:hAnsiTheme="minorHAnsi" w:cstheme="minorHAnsi"/>
          <w:noProof/>
          <w:lang w:val="id-ID"/>
        </w:rPr>
        <w:t xml:space="preserve"> (</w:t>
      </w:r>
      <w:r w:rsidR="00DD5229" w:rsidRPr="00DD5229">
        <w:rPr>
          <w:rFonts w:asciiTheme="minorHAnsi" w:hAnsiTheme="minorHAnsi" w:cstheme="minorHAnsi"/>
          <w:noProof/>
        </w:rPr>
        <w:t>2016)</w:t>
      </w:r>
      <w:r w:rsidR="00DD5229">
        <w:rPr>
          <w:rFonts w:asciiTheme="minorHAnsi" w:hAnsiTheme="minorHAnsi" w:cstheme="minorHAnsi"/>
        </w:rPr>
        <w:fldChar w:fldCharType="end"/>
      </w:r>
      <w:r w:rsidR="00DD5229">
        <w:rPr>
          <w:rFonts w:asciiTheme="minorHAnsi" w:hAnsiTheme="minorHAnsi" w:cstheme="minorHAnsi"/>
          <w:lang w:val="id-ID"/>
        </w:rPr>
        <w:t xml:space="preserve"> </w:t>
      </w:r>
      <w:r w:rsidR="00A94062" w:rsidRPr="0061694E">
        <w:rPr>
          <w:rFonts w:asciiTheme="minorHAnsi" w:hAnsiTheme="minorHAnsi" w:cstheme="minorHAnsi"/>
        </w:rPr>
        <w:t xml:space="preserve">who examined the factors influencing HDI in 188 nations and found that inflation rate had a </w:t>
      </w:r>
      <w:r w:rsidR="00A94062">
        <w:rPr>
          <w:rFonts w:asciiTheme="minorHAnsi" w:hAnsiTheme="minorHAnsi" w:cstheme="minorHAnsi"/>
          <w:lang w:val="id-ID"/>
        </w:rPr>
        <w:t>negative</w:t>
      </w:r>
      <w:r w:rsidR="00A94062" w:rsidRPr="0061694E">
        <w:rPr>
          <w:rFonts w:asciiTheme="minorHAnsi" w:hAnsiTheme="minorHAnsi" w:cstheme="minorHAnsi"/>
        </w:rPr>
        <w:t xml:space="preserve"> impact on HDI.</w:t>
      </w:r>
    </w:p>
    <w:p w14:paraId="4FF72120" w14:textId="77777777" w:rsidR="008F0A1C" w:rsidRPr="008F0A1C" w:rsidRDefault="00D7405D" w:rsidP="008F0A1C">
      <w:pPr>
        <w:spacing w:after="0"/>
        <w:jc w:val="both"/>
        <w:rPr>
          <w:rFonts w:asciiTheme="minorHAnsi" w:hAnsiTheme="minorHAnsi" w:cstheme="minorHAnsi"/>
        </w:rPr>
      </w:pPr>
      <w:r w:rsidRPr="00D7405D">
        <w:rPr>
          <w:rFonts w:asciiTheme="minorHAnsi" w:hAnsiTheme="minorHAnsi" w:cstheme="minorHAnsi"/>
        </w:rPr>
        <w:t xml:space="preserve">In line with inflation, </w:t>
      </w:r>
      <w:proofErr w:type="gramStart"/>
      <w:r w:rsidR="00823847" w:rsidRPr="00823847">
        <w:rPr>
          <w:rFonts w:asciiTheme="minorHAnsi" w:hAnsiTheme="minorHAnsi" w:cstheme="minorHAnsi"/>
        </w:rPr>
        <w:t>It</w:t>
      </w:r>
      <w:proofErr w:type="gramEnd"/>
      <w:r w:rsidR="00823847" w:rsidRPr="00823847">
        <w:rPr>
          <w:rFonts w:asciiTheme="minorHAnsi" w:hAnsiTheme="minorHAnsi" w:cstheme="minorHAnsi"/>
        </w:rPr>
        <w:t xml:space="preserve"> is generally agreed upon that unemployment has a detrimental and negligible impact on HDI </w:t>
      </w:r>
      <w:r w:rsidR="00532B3D">
        <w:rPr>
          <w:rFonts w:asciiTheme="minorHAnsi" w:hAnsiTheme="minorHAnsi" w:cstheme="minorHAnsi"/>
          <w:lang w:val="id-ID"/>
        </w:rPr>
        <w:t>according</w:t>
      </w:r>
      <w:r w:rsidR="00823847" w:rsidRPr="00823847">
        <w:rPr>
          <w:rFonts w:asciiTheme="minorHAnsi" w:hAnsiTheme="minorHAnsi" w:cstheme="minorHAnsi"/>
        </w:rPr>
        <w:t xml:space="preserve"> </w:t>
      </w:r>
      <w:r w:rsidR="00532B3D">
        <w:rPr>
          <w:rFonts w:asciiTheme="minorHAnsi" w:hAnsiTheme="minorHAnsi" w:cstheme="minorHAnsi"/>
          <w:lang w:val="id-ID"/>
        </w:rPr>
        <w:t xml:space="preserve">the research </w:t>
      </w:r>
      <w:proofErr w:type="spellStart"/>
      <w:r w:rsidR="00823847" w:rsidRPr="00823847">
        <w:rPr>
          <w:rFonts w:asciiTheme="minorHAnsi" w:hAnsiTheme="minorHAnsi" w:cstheme="minorHAnsi"/>
        </w:rPr>
        <w:t>analyzing</w:t>
      </w:r>
      <w:proofErr w:type="spellEnd"/>
      <w:r w:rsidR="00823847" w:rsidRPr="00823847">
        <w:rPr>
          <w:rFonts w:asciiTheme="minorHAnsi" w:hAnsiTheme="minorHAnsi" w:cstheme="minorHAnsi"/>
        </w:rPr>
        <w:t xml:space="preserve"> the topic. ILO data indicates that by 2020, there would be 49.3 million unemployed people in OIC countries, an increase of over 4 million. </w:t>
      </w:r>
      <w:r w:rsidR="00532B3D">
        <w:rPr>
          <w:rFonts w:asciiTheme="minorHAnsi" w:hAnsiTheme="minorHAnsi" w:cstheme="minorHAnsi"/>
          <w:lang w:val="id-ID"/>
        </w:rPr>
        <w:t>Thus</w:t>
      </w:r>
      <w:r w:rsidR="00823847" w:rsidRPr="00823847">
        <w:rPr>
          <w:rFonts w:asciiTheme="minorHAnsi" w:hAnsiTheme="minorHAnsi" w:cstheme="minorHAnsi"/>
        </w:rPr>
        <w:t xml:space="preserve">, the unemployment rate increased to 7.1% in the year, up from 6.4% in 2019 by 0.7 percentage points </w:t>
      </w:r>
      <w:r w:rsidR="008F0A1C">
        <w:rPr>
          <w:rFonts w:asciiTheme="minorHAnsi" w:hAnsiTheme="minorHAnsi" w:cstheme="minorHAnsi"/>
          <w:lang w:val="id-ID"/>
        </w:rPr>
        <w:t xml:space="preserve"> </w:t>
      </w:r>
      <w:r w:rsidR="005458E9">
        <w:rPr>
          <w:rFonts w:asciiTheme="minorHAnsi" w:hAnsiTheme="minorHAnsi" w:cstheme="minorHAnsi"/>
        </w:rPr>
        <w:fldChar w:fldCharType="begin" w:fldLock="1"/>
      </w:r>
      <w:r w:rsidR="005458E9">
        <w:rPr>
          <w:rFonts w:asciiTheme="minorHAnsi" w:hAnsiTheme="minorHAnsi" w:cstheme="minorHAnsi"/>
        </w:rPr>
        <w:instrText>ADDIN CSL_CITATION {"citationItems":[{"id":"ITEM-1","itemData":{"ISBN":"9786257162135","author":[{"dropping-particle":"","family":"OIC Outlook","given":"OIC","non-dropping-particle":"","parse-names":false,"suffix":""}],"id":"ITEM-1","issued":{"date-parts":[["2021"]]},"title":"OIC Economic Outlook","type":"book"},"uris":["http://www.mendeley.com/documents/?uuid=c13b2a08-f219-418a-81e1-1297a3855ce9"]}],"mendeley":{"formattedCitation":"(OIC Outlook, 2021)","plainTextFormattedCitation":"(OIC Outlook, 2021)","previouslyFormattedCitation":"(OIC Outlook, 2021)"},"properties":{"noteIndex":0},"schema":"https://github.com/citation-style-language/schema/raw/master/csl-citation.json"}</w:instrText>
      </w:r>
      <w:r w:rsidR="005458E9">
        <w:rPr>
          <w:rFonts w:asciiTheme="minorHAnsi" w:hAnsiTheme="minorHAnsi" w:cstheme="minorHAnsi"/>
        </w:rPr>
        <w:fldChar w:fldCharType="separate"/>
      </w:r>
      <w:r w:rsidR="005458E9" w:rsidRPr="005458E9">
        <w:rPr>
          <w:rFonts w:asciiTheme="minorHAnsi" w:hAnsiTheme="minorHAnsi" w:cstheme="minorHAnsi"/>
          <w:noProof/>
        </w:rPr>
        <w:t>(OIC Outlook, 2021)</w:t>
      </w:r>
      <w:r w:rsidR="005458E9">
        <w:rPr>
          <w:rFonts w:asciiTheme="minorHAnsi" w:hAnsiTheme="minorHAnsi" w:cstheme="minorHAnsi"/>
        </w:rPr>
        <w:fldChar w:fldCharType="end"/>
      </w:r>
      <w:r w:rsidRPr="00D7405D">
        <w:rPr>
          <w:rFonts w:asciiTheme="minorHAnsi" w:hAnsiTheme="minorHAnsi" w:cstheme="minorHAnsi"/>
        </w:rPr>
        <w:t xml:space="preserve">. </w:t>
      </w:r>
      <w:r w:rsidR="005458E9">
        <w:rPr>
          <w:rFonts w:asciiTheme="minorHAnsi" w:hAnsiTheme="minorHAnsi" w:cstheme="minorHAnsi"/>
        </w:rPr>
        <w:fldChar w:fldCharType="begin" w:fldLock="1"/>
      </w:r>
      <w:r w:rsidR="00DD5229">
        <w:rPr>
          <w:rFonts w:asciiTheme="minorHAnsi" w:hAnsiTheme="minorHAnsi" w:cstheme="minorHAnsi"/>
        </w:rPr>
        <w:instrText>ADDIN CSL_CITATION {"citationItems":[{"id":"ITEM-1","itemData":{"author":[{"dropping-particle":"","family":"Hassan, M. U. Khalid, M. W. and Kayani","given":"A.S.","non-dropping-particle":"","parse-names":false,"suffix":""}],"id":"ITEM-1","issued":{"date-parts":[["2016"]]},"page":"67-82","title":"Evaluating the Dilemma of Inflation, Poverty and Unemployment","type":"article-journal","volume":"5"},"uris":["http://www.mendeley.com/documents/?uuid=1d8b4fdb-4708-4b12-b4db-79df02ada8cb"]}],"mendeley":{"formattedCitation":"(Hassan, M. U. Khalid, M. W. and Kayani, 2016)","plainTextFormattedCitation":"(Hassan, M. U. Khalid, M. W. and Kayani, 2016)","previouslyFormattedCitation":"(Hassan, M. U. Khalid, M. W. and Kayani, 2016)"},"properties":{"noteIndex":0},"schema":"https://github.com/citation-style-language/schema/raw/master/csl-citation.json"}</w:instrText>
      </w:r>
      <w:r w:rsidR="005458E9">
        <w:rPr>
          <w:rFonts w:asciiTheme="minorHAnsi" w:hAnsiTheme="minorHAnsi" w:cstheme="minorHAnsi"/>
        </w:rPr>
        <w:fldChar w:fldCharType="separate"/>
      </w:r>
      <w:r w:rsidR="005458E9" w:rsidRPr="005458E9">
        <w:rPr>
          <w:rFonts w:asciiTheme="minorHAnsi" w:hAnsiTheme="minorHAnsi" w:cstheme="minorHAnsi"/>
          <w:noProof/>
        </w:rPr>
        <w:t>(Hassan, M. U. Khalid, M. W. and Kayani, 2016)</w:t>
      </w:r>
      <w:r w:rsidR="005458E9">
        <w:rPr>
          <w:rFonts w:asciiTheme="minorHAnsi" w:hAnsiTheme="minorHAnsi" w:cstheme="minorHAnsi"/>
        </w:rPr>
        <w:fldChar w:fldCharType="end"/>
      </w:r>
      <w:r w:rsidRPr="00D7405D">
        <w:rPr>
          <w:rFonts w:asciiTheme="minorHAnsi" w:hAnsiTheme="minorHAnsi" w:cstheme="minorHAnsi"/>
        </w:rPr>
        <w:t xml:space="preserve"> </w:t>
      </w:r>
      <w:r w:rsidR="008F0A1C" w:rsidRPr="008F0A1C">
        <w:rPr>
          <w:rFonts w:asciiTheme="minorHAnsi" w:hAnsiTheme="minorHAnsi" w:cstheme="minorHAnsi"/>
        </w:rPr>
        <w:t xml:space="preserve">(Hassan, M. U., Khalid, M. W., and </w:t>
      </w:r>
      <w:proofErr w:type="spellStart"/>
      <w:r w:rsidR="008F0A1C" w:rsidRPr="008F0A1C">
        <w:rPr>
          <w:rFonts w:asciiTheme="minorHAnsi" w:hAnsiTheme="minorHAnsi" w:cstheme="minorHAnsi"/>
        </w:rPr>
        <w:t>Kayani</w:t>
      </w:r>
      <w:proofErr w:type="spellEnd"/>
      <w:r w:rsidR="008F0A1C" w:rsidRPr="008F0A1C">
        <w:rPr>
          <w:rFonts w:asciiTheme="minorHAnsi" w:hAnsiTheme="minorHAnsi" w:cstheme="minorHAnsi"/>
        </w:rPr>
        <w:t>, 2016) uses the Human Development Index (HDI) as the inverse or proxy for multidimensional poverty with the ARDL approach to determine short-term and long-term relationships with research objects from global countries in 1975–2013 to explain that poverty, unemployment, and inflation have both short-term and long-term effects on HDI. This study also demonstrates how unemployment and inflation both increase poverty and obstruct the process of development.</w:t>
      </w:r>
    </w:p>
    <w:p w14:paraId="610C219F" w14:textId="2972A8F4" w:rsidR="00823847" w:rsidRDefault="00823847" w:rsidP="006C006F">
      <w:pPr>
        <w:spacing w:after="0"/>
        <w:jc w:val="both"/>
        <w:rPr>
          <w:rFonts w:asciiTheme="minorHAnsi" w:hAnsiTheme="minorHAnsi" w:cstheme="minorHAnsi"/>
        </w:rPr>
      </w:pPr>
    </w:p>
    <w:p w14:paraId="052F480D" w14:textId="10B25BE8" w:rsidR="00E21BA3" w:rsidRPr="003E1A8C" w:rsidRDefault="00E21BA3" w:rsidP="00910487">
      <w:pPr>
        <w:spacing w:after="0"/>
        <w:jc w:val="both"/>
        <w:rPr>
          <w:lang w:val="id-ID"/>
        </w:rPr>
      </w:pPr>
      <w:r>
        <w:rPr>
          <w:lang w:val="id-ID"/>
        </w:rPr>
        <w:t xml:space="preserve">In the last few decades </w:t>
      </w:r>
      <w:r w:rsidRPr="007F4398">
        <w:rPr>
          <w:lang w:val="id-ID"/>
        </w:rPr>
        <w:t>b</w:t>
      </w:r>
      <w:proofErr w:type="spellStart"/>
      <w:r w:rsidRPr="007F4398">
        <w:t>oth</w:t>
      </w:r>
      <w:proofErr w:type="spellEnd"/>
      <w:r w:rsidRPr="007F4398">
        <w:rPr>
          <w:lang w:val="id-ID"/>
        </w:rPr>
        <w:t xml:space="preserve"> </w:t>
      </w:r>
      <w:r w:rsidRPr="007F4398">
        <w:t xml:space="preserve">developed and developing countries have formed a way of cooperation in economic activities as </w:t>
      </w:r>
      <w:r>
        <w:rPr>
          <w:lang w:val="id-ID"/>
        </w:rPr>
        <w:t>the</w:t>
      </w:r>
      <w:r w:rsidRPr="007F4398">
        <w:t xml:space="preserve"> result of global economic globalization</w:t>
      </w:r>
      <w:r>
        <w:t xml:space="preserve">. </w:t>
      </w:r>
      <w:r w:rsidR="00910487" w:rsidRPr="00910487">
        <w:t>The vast majority agree that trade openness and foreign direct investment are the primary forces behind economic progress and human development</w:t>
      </w:r>
      <w:r w:rsidRPr="00910487">
        <w:t xml:space="preserve"> </w:t>
      </w:r>
      <w:r w:rsidR="00240BAD">
        <w:fldChar w:fldCharType="begin" w:fldLock="1"/>
      </w:r>
      <w:r w:rsidR="003E1A8C">
        <w:instrText>ADDIN CSL_CITATION {"citationItems":[{"id":"ITEM-1","itemData":{"DOI":"10.1111/twec.13167","ISSN":"14679701","abstract":"This paper employs a spatial dependency framework to examine intermediary roles played by trade, institutional quality and natural resource endowment in determining direct and indirect (spillover) effects of inbound foreign direct investment (FDI) on economic growth. We develop a number of spatial mechanisms to assess how these intermediary factors limit and/or enhance the effect of FDI on economic growth. In particular, we test whether different levels of resource rents, severity of civil conflict and openness to international trade are statistically different in attenuating direct and indirect (spillover) effects of inbound FDI on growth. Last, we conduct a test of asymmetry to investigate whether the effect of FDI on growth is statistically different from zero in three democratic (autocratic) regimes, that is, low democratic (high autocratic), moderate democratic–autocratic and high democratic (low autocratic) societies. A number of insightful contributions to the economic growth-FDI literature can be extracted from our analyses. First, results indicate that inbound FDIs on their own have positive and significant effect on economic growth. However, the positive FDI effect on growth is significantly dampened by the negative intermediary role of civil conflict. Second, we find that, the more opened sub-Saharan African economies are to international trade, the greater is the impact of FDI on growth. However, trade among African countries as a share of their economies plays insignificant intermediation role on direct and indirect effects of FDI on growth. Third, we find that an increase in resource rents as a share of the economy significantly reduces direct and spillover effects of inbound FDI on economic growth. Last, our analysis indicates that both low democratic (high autocratic) and high democratic (low autocratic) regimes do accelerate the positive impact of FDI on growth. However, results indicate a slow-down effect of FDI on growth under moderate democratic–autocratic regimes. This particular finding suggests that the intermediary role of democracy in determining the effect of FDI on economic growth is non-linear. A number of policy implications can be extrapolated from our analysis. Most importantly, trade policies, which boost integration of sub-Saharan African countries and open up the continent to the rest of the world, are likely to play major intermediation roles in accelerating the positive effect of FDI on growth.","author":[{"dropping-particle":"","family":"Chih","given":"Yao Yu","non-dropping-particle":"","parse-names":false,"suffix":""},{"dropping-particle":"","family":"Kishan","given":"Ruby P.","non-dropping-particle":"","parse-names":false,"suffix":""},{"dropping-particle":"","family":"Ojede","given":"Andrew","non-dropping-particle":"","parse-names":false,"suffix":""}],"container-title":"World Economy","id":"ITEM-1","issue":"3","issued":{"date-parts":[["2022"]]},"page":"657-701","title":"Be good to thy neighbours: A spatial analysis of foreign direct investment and economic growth in sub-Saharan Africa","type":"article-journal","volume":"45"},"uris":["http://www.mendeley.com/documents/?uuid=b1f13fc2-81c7-459b-a995-42b4dd1c5230"]},{"id":"ITEM-2","itemData":{"DOI":"10.1177/0974910120919042","ISBN":"0974910120","ISSN":"09752730","abstract":"Investment expenditure is a major component of aggregate macroeconomic variables in any economy, irrespective of the development status. This article employed relevant econometric methodology on panel data environment to analyze the effects of foreign direct investment (FDI) inflows on economic growth of 30 leading global economies during the period between 1998 and 2017. Other variables considered in the analysis were domestic credit to private sector (DCPS), gross fixed capital formation (GFCF), inflation–consumer prices index (INFPC), trade openness (TOPNESS), and youth unemployment (UEMPYT). The results showed mixed growth effects of the variables in general. Specifically, FDI exerted positive and significant effect on economic growth of the countries during the period. Therefore, this article concluded that FDI inflows enhanced economic growth and emphasized the need to foster more FDI-attracting policies as well as adequate GFCF to complement FDIs for sustainable economic growth potentials. JEL Classification: C23, C33, C51, F21, F43, O47.","author":[{"dropping-particle":"","family":"Okwu","given":"Andy Titus","non-dropping-particle":"","parse-names":false,"suffix":""},{"dropping-particle":"","family":"Oseni","given":"Isiaq Olasunkanmi","non-dropping-particle":"","parse-names":false,"suffix":""},{"dropping-particle":"","family":"Obiakor","given":"Rowland Tochukwu","non-dropping-particle":"","parse-names":false,"suffix":""}],"container-title":"Global Journal of Emerging Market Economies","id":"ITEM-2","issue":"2","issued":{"date-parts":[["2020"]]},"page":"217-230","title":"Does Foreign Direct Investment Enhance Economic Growth? Evidence from 30 Leading Global Economies","type":"article-journal","volume":"12"},"uris":["http://www.mendeley.com/documents/?uuid=ddae7256-383d-4cf4-b74f-101c48515e0c"]},{"id":"ITEM-3","itemData":{"DOI":"10.1108/JCEFTS-05-2014-0006","ISSN":"17544416","abstract":"Purpose – This paper aims to focus on the Asian developing countries to examine the impact of trade openness on economic growth. Design/methodology/approach – Empirical analysis is carried out with the help of panel econometric techniques and two-stages least squares method. Findings – The results show that trade openness has contributed significantly to the growth process of the developing countries located in the Asian region. It is also found that domestic investment has influenced economic growth for the sampled countries. Further, the results show that human capital has adversely affected economic growth despite the fact that different proxy variables are used. Research limitations/implications – No positive relationship between education and economic growth could be established despite using different measures of education. However, this issue has been brought to the attention of researchers for further investigation. Practical implications – Developing countries located in the Asian region, therefore, are suggested to speed up the process of trade liberalization and also pay favourable attention to other determinants of economic growth to accelerate long-run economic growth. Originality/value – The results presented in the paper are original. Some insights about the impact of education on economic growth have been highlighted.","author":[{"dropping-particle":"","family":"Tahir","given":"Muhammad","non-dropping-particle":"","parse-names":false,"suffix":""},{"dropping-particle":"","family":"Khan","given":"Imran","non-dropping-particle":"","parse-names":false,"suffix":""}],"container-title":"Journal of Chinese Economic and Foreign Trade Studies","id":"ITEM-3","issue":"3","issued":{"date-parts":[["2014"]]},"page":"136-152","title":"Trade openness and economic growth in the Asian region","type":"article-journal","volume":"7"},"uris":["http://www.mendeley.com/documents/?uuid=7f6ba982-16ab-4336-a38a-62d2635d471a"]}],"mendeley":{"formattedCitation":"(Chih et al., 2022; Okwu et al., 2020; Tahir &amp; Khan, 2014)","plainTextFormattedCitation":"(Chih et al., 2022; Okwu et al., 2020; Tahir &amp; Khan, 2014)","previouslyFormattedCitation":"(Chih et al., 2022; Okwu et al., 2020; Tahir &amp; Khan, 2014)"},"properties":{"noteIndex":0},"schema":"https://github.com/citation-style-language/schema/raw/master/csl-citation.json"}</w:instrText>
      </w:r>
      <w:r w:rsidR="00240BAD">
        <w:fldChar w:fldCharType="separate"/>
      </w:r>
      <w:r w:rsidR="00240BAD" w:rsidRPr="00240BAD">
        <w:rPr>
          <w:noProof/>
        </w:rPr>
        <w:t>(Chih et al., 2022; Okwu et al., 2020; Tahir &amp; Khan, 2014)</w:t>
      </w:r>
      <w:r w:rsidR="00240BAD">
        <w:fldChar w:fldCharType="end"/>
      </w:r>
      <w:r>
        <w:t xml:space="preserve">. </w:t>
      </w:r>
      <w:r w:rsidR="006F1759" w:rsidRPr="006F1759">
        <w:t xml:space="preserve">The Sustainable Development Goals (SDGs) of the United Nations aim to accelerate human development and eradicate poverty in underdeveloped nations. Most OIC nations are not progressing in the correct direction toward achieving this objective. As a result, significant capital expenditure is required to make things better. Investments can take the shape of facilities and infrastructure that promote community welfare, sources of funding for economic activities and infrastructure development, and other forms of investment </w:t>
      </w:r>
      <w:r w:rsidR="003E1A8C">
        <w:fldChar w:fldCharType="begin" w:fldLock="1"/>
      </w:r>
      <w:r w:rsidR="00185A37">
        <w:instrText>ADDIN CSL_CITATION {"citationItems":[{"id":"ITEM-1","itemData":{"DOI":"10.3390/su12072930","ISSN":"20711050","abstract":"The aim of this study is to analyze the impact of trade openness and human capital on economic growth in 19 Asian countries from 1985 to 2017. We selected two geographically distributed regions (Western and Southern Asia) based on difference in their GDP per capita. We applied the unit root tests to examine the level of stationarity and found that all variables were integrated at first difference. Kao and Fisher cointegration tests were employed and the results revealed the presence of a long-run relationship. We applied fully modified ordinary least square (FMOLS) and dynamic ordinary least square (DOLS) models to check the magnitude of the long-run coefficients among trade openness, human capital and economic growth. To investigate the direction of causality, we used a Dumitrescu and Hurlin (DH) causality test. The results indicated that trade openness and human capital have a significant and positive relationship while labor force participation has a negative effect on economic growth in Southern Asia, and in the case ofWestern Asia, the impact is positive. Foreign direct investment (FDI) has a negative and significant impact on GDP per capita (GDPPC) inWestern Asia while it is positive and significant in Southern Asia; Total population (TPOP) has a negative impact on GDPPC in both regions. Furthermore, human capital has a positive and significant impact on trade openness in both panels. Meanwhile, labor force participation (LFP) has a positive and significant impact on trade openness in Southern Asia and a negative impact in the case of Western Asia. Trade openness and economic growth have bidirectional causality in Western Asia and unidirectional causality in Southern Asia. It also shows that human capital and economic growth have unidirectional causality in both regions.","author":[{"dropping-particle":"","family":"Intisar","given":"Rabail Amna","non-dropping-particle":"","parse-names":false,"suffix":""},{"dropping-particle":"","family":"Yaseen","given":"Muhammad Rizwan","non-dropping-particle":"","parse-names":false,"suffix":""},{"dropping-particle":"","family":"Kousar","given":"Rakhshanda","non-dropping-particle":"","parse-names":false,"suffix":""},{"dropping-particle":"","family":"Usman","given":"Muhammad","non-dropping-particle":"","parse-names":false,"suffix":""},{"dropping-particle":"","family":"Amjad Makhdum","given":"Muhammad Sohail","non-dropping-particle":"","parse-names":false,"suffix":""}],"container-title":"Sustainability (Switzerland)","id":"ITEM-1","issue":"7","issued":{"date-parts":[["2020"]]},"title":"Impact of trade openness and human capital on economic growth: A comparative investigation of asian countries","type":"article-journal","volume":"12"},"uris":["http://www.mendeley.com/documents/?uuid=1b31c2a8-f614-490b-ac5c-bbb16b67ddbe"]}],"mendeley":{"formattedCitation":"(Intisar et al., 2020)","plainTextFormattedCitation":"(Intisar et al., 2020)","previouslyFormattedCitation":"(Intisar et al., 2020)"},"properties":{"noteIndex":0},"schema":"https://github.com/citation-style-language/schema/raw/master/csl-citation.json"}</w:instrText>
      </w:r>
      <w:r w:rsidR="003E1A8C">
        <w:fldChar w:fldCharType="separate"/>
      </w:r>
      <w:r w:rsidR="003E1A8C" w:rsidRPr="003E1A8C">
        <w:rPr>
          <w:noProof/>
        </w:rPr>
        <w:t>(Intisar et al., 2020)</w:t>
      </w:r>
      <w:r w:rsidR="003E1A8C">
        <w:fldChar w:fldCharType="end"/>
      </w:r>
      <w:r w:rsidR="003E1A8C">
        <w:rPr>
          <w:lang w:val="id-ID"/>
        </w:rPr>
        <w:t>.</w:t>
      </w:r>
    </w:p>
    <w:p w14:paraId="01EBBFE4" w14:textId="77777777" w:rsidR="00E21BA3" w:rsidRDefault="00E21BA3" w:rsidP="00E21BA3">
      <w:pPr>
        <w:spacing w:after="0"/>
        <w:jc w:val="both"/>
      </w:pPr>
    </w:p>
    <w:p w14:paraId="13E0D0F3" w14:textId="36B63838" w:rsidR="009A199F" w:rsidRDefault="00E223A3" w:rsidP="006577EA">
      <w:pPr>
        <w:spacing w:after="0"/>
        <w:jc w:val="both"/>
        <w:rPr>
          <w:lang w:val="id-ID"/>
        </w:rPr>
      </w:pPr>
      <w:r w:rsidRPr="00E223A3">
        <w:t>Foreign direct investment works as an accelerator for economic growth in emerging nations. Where</w:t>
      </w:r>
      <w:r>
        <w:rPr>
          <w:lang w:val="id-ID"/>
        </w:rPr>
        <w:t xml:space="preserve"> </w:t>
      </w:r>
      <w:r w:rsidRPr="00E223A3">
        <w:t>the capital contribution can help host countries—especially developing ones where the unemployment rate is high and local savings insufficient—increase their production</w:t>
      </w:r>
      <w:r w:rsidR="00E21BA3">
        <w:t xml:space="preserve"> </w:t>
      </w:r>
      <w:r w:rsidR="00185A37">
        <w:fldChar w:fldCharType="begin" w:fldLock="1"/>
      </w:r>
      <w:r w:rsidR="00EB7746">
        <w:instrText>ADDIN CSL_CITATION {"citationItems":[{"id":"ITEM-1","itemData":{"author":[{"dropping-particle":"","family":"Aditya Febriananta Putra, Suyanto","given":"Irzameingindra Putri Radjamin","non-dropping-particle":"","parse-names":false,"suffix":""}],"id":"ITEM-1","issued":{"date-parts":[["2019"]]},"page":"57-66","title":"INVESTASI ASING LANGSUNG DAN PERTUMBUHAN EKONOMI DI WILAYAH ASEAN PERIODE 2004-2016","type":"article-journal"},"uris":["http://www.mendeley.com/documents/?uuid=2d23b303-a92b-4f06-9296-956abcb1e550"]},{"id":"ITEM-2","itemData":{"DOI":"10.1080/08853908.2021.1905115","ISSN":"15210545","abstract":"This article analyzes whether trade openness and foreign direct investment are driving factors for human development in the Middle East and North African region. We used data of 13 MENA countries over the period of 2002 to 2015. We employed the panel cointegration analysis and vector error correction model to test the short- and long-run relationships as well as the causality between the variables. Findings indicate that in the long run the coefficients of trade openness and foreign direct investment are statistically significant. However, in the short run, the results show that only foreign direct investment and domestic investment exert a significant impact on human development.","author":[{"dropping-particle":"","family":"Hamdi","given":"Helmi","non-dropping-particle":"","parse-names":false,"suffix":""},{"dropping-particle":"","family":"Hakimi","given":"Abdelaziz","non-dropping-particle":"","parse-names":false,"suffix":""}],"container-title":"International Trade Journal","id":"ITEM-2","issue":"3","issued":{"date-parts":[["2022"]]},"page":"219-238","publisher":"Routledge","title":"Trade Openness, Foreign Direct Investment, and Human Development: A Panel Cointegration Analysis for MENA Countries","type":"article-journal","volume":"36"},"uris":["http://www.mendeley.com/documents/?uuid=26eacd5f-de04-427e-948d-0ebcd6906468"]},{"id":"ITEM-3","itemData":{"DOI":"10.20885/jeki.vol6.iss2.art2","ISSN":"20889968","abstract":"Purpose­­­ – This study investigates the driven factors of Foreign Direct Investment (FDI) inflow in selected OIC member countries. The selection of samples observation based on the top 10 hosts of inward FDI flows countries, includes the United Arab Emirates (UAE), Morocco, Indonesia, Turkey, Iran, Egypt, Bangladesh, Kazakhstan, Oman, and Malaysia. Methodology – The data for this study are obtained from World Bank and United Nations Development Programme (UNDP) database for the period 20012018. This study adopted panel regression analyses and utilized the Random Effect Model. Findings – This study reveals that GDP and trade openness were positive and significantly plays a vital role in driving the FDI inflow. Whereas, the exchange rate, inflation, and human development index did not have a significant impact on FDI inflow in the top 10 hosts of inward FDI flows countries. Research limitation – The main limitation of this research is the lack of a variable that represents the Islamicity index, which can differentiate the driven factors of FDI in Muslim and nonMuslim organization countries. Practical implication – This study suggests that members of OIC countries should provide a conducive investment environment which is represented by higher GDP growth and engage in various international trade agreements because those factors have higher possibilities in impacting the FDI inflow. Moreover, the rules which describe the investment priority amongst the member of OIC countries must be ratified immediately to decrease the percentage of the FDI inflows goes to nonOIC members. Social implication – The results from this study bring informative guidance for the others member of OIC countries to attract more FDI inflows as the financial resources for the development of their projects. Consequently, the national human standard of living will move in the same direction with the increasing FDI inflow. Originality – This study has advanced the knowledge by examining the driven factors of FDI in the specifically selected members of OIC countries, which based on the highest FDI inward. Thus, this study provides significant insights for policymakers for the rest of the member OIC countries to attract FDI inflows referring to the top 10 hosts of inward FDI flows countries.","author":[{"dropping-particle":"","family":"Supriani","given":"Indri","non-dropping-particle":"","parse-names":false,"suffix":""},{"dropping-particle":"","family":"Fianto","given":"Bayu Arie","non-dropping-particle":"","parse-names":false,"suffix":""}],"container-title":"Jurnal Ekonomi &amp; Keuangan Islam","id":"ITEM-3","issue":"2","issued":{"date-parts":[["2020"]]},"page":"91-105","title":"What drives the inflow of FDI in OIC countries? Evidence from Top 10 hosts of inward FDI flows","type":"article-journal","volume":"6"},"uris":["http://www.mendeley.com/documents/?uuid=015c6b9e-d3da-4251-9628-eedd980b40de"]}],"mendeley":{"formattedCitation":"(Aditya Febriananta Putra, Suyanto, 2019; Hamdi &amp; Hakimi, 2022; Supriani &amp; Fianto, 2020)","plainTextFormattedCitation":"(Aditya Febriananta Putra, Suyanto, 2019; Hamdi &amp; Hakimi, 2022; Supriani &amp; Fianto, 2020)","previouslyFormattedCitation":"(Aditya Febriananta Putra, Suyanto, 2019; Hamdi &amp; Hakimi, 2022; Supriani &amp; Fianto, 2020)"},"properties":{"noteIndex":0},"schema":"https://github.com/citation-style-language/schema/raw/master/csl-citation.json"}</w:instrText>
      </w:r>
      <w:r w:rsidR="00185A37">
        <w:fldChar w:fldCharType="separate"/>
      </w:r>
      <w:r w:rsidR="00185A37" w:rsidRPr="00185A37">
        <w:rPr>
          <w:noProof/>
        </w:rPr>
        <w:t>(Aditya Febriananta Putra, Suyanto, 2019; Hamdi &amp; Hakimi, 2022; Supriani &amp; Fianto, 2020)</w:t>
      </w:r>
      <w:r w:rsidR="00185A37">
        <w:fldChar w:fldCharType="end"/>
      </w:r>
      <w:r w:rsidR="00E21BA3">
        <w:t xml:space="preserve">. </w:t>
      </w:r>
      <w:r w:rsidR="00BA637C" w:rsidRPr="00BA637C">
        <w:t>This objective can be furthered by foreign investment by fostering job growth, local skill development, and technical advancement</w:t>
      </w:r>
      <w:r w:rsidR="00E21BA3">
        <w:t xml:space="preserve"> </w:t>
      </w:r>
      <w:r w:rsidR="00EB7746">
        <w:fldChar w:fldCharType="begin" w:fldLock="1"/>
      </w:r>
      <w:r w:rsidR="00E60364">
        <w:instrText>ADDIN CSL_CITATION {"citationItems":[{"id":"ITEM-1","itemData":{"DOI":"10.4236/ajibm.2022.121005","abstract":"The objective of this paper is to analyze the effect of net foreign direct investment revenues on human development in Cameroon through its Human Development Index (HDI). The data used are from secondary sources, ranging from 1995 to 2019, and are mainly from the 2018 World Development Indicator (WDI) and the United Nations Development Program (UNDP). For this reason, we have carried out, through the estimation of an auto-regressive distributed lagged model (ARDL), tests of the stationary (Dickey-Fuller Augmented) and of the co-integration of (Johansen), on the variables defined before appreciating the Vector Error Correction Model (VECM). The results are at two levels. In the long term, there is a positive relationship between the two variables, which is simply justified by the fact that trade opening strengthens access to larger markets and thus contributes to the HDI. This situation offers wider consumer ranges and it could likely, therefore, help to attract more multilateral companies; in the short term, however, the relationship between the two variables is negative. This may be primarily due to the fact that export revenues are not used in the context of human capital enhancement, or that the HDI is influenced by spending on education. The government’s priority should be to maintain and diversify its investments in social infrastructure and to encourage investments in labor-intensive sectors that benefit the poorest, such as agriculture, social, and infrastructure.","author":[{"dropping-particle":"","family":"Mbang","given":"Olga Marthe","non-dropping-particle":"","parse-names":false,"suffix":""}],"id":"ITEM-1","issued":{"date-parts":[["2022"]]},"page":"58-72","title":"Foreign Direct Investment and Human Development in Cameroon","type":"article-journal"},"uris":["http://www.mendeley.com/documents/?uuid=a5be9040-1d78-4203-8e96-8129939a22a9"]}],"mendeley":{"formattedCitation":"(Mbang, 2022)","plainTextFormattedCitation":"(Mbang, 2022)","previouslyFormattedCitation":"(Mbang, 2022)"},"properties":{"noteIndex":0},"schema":"https://github.com/citation-style-language/schema/raw/master/csl-citation.json"}</w:instrText>
      </w:r>
      <w:r w:rsidR="00EB7746">
        <w:fldChar w:fldCharType="separate"/>
      </w:r>
      <w:r w:rsidR="00EB7746" w:rsidRPr="00EB7746">
        <w:rPr>
          <w:noProof/>
        </w:rPr>
        <w:t>(Mbang, 2022)</w:t>
      </w:r>
      <w:r w:rsidR="00EB7746">
        <w:fldChar w:fldCharType="end"/>
      </w:r>
      <w:r w:rsidR="00EB7746">
        <w:rPr>
          <w:lang w:val="id-ID"/>
        </w:rPr>
        <w:t>.</w:t>
      </w:r>
      <w:r w:rsidR="00613B79">
        <w:rPr>
          <w:lang w:val="id-ID"/>
        </w:rPr>
        <w:t xml:space="preserve"> </w:t>
      </w:r>
    </w:p>
    <w:p w14:paraId="0E1197E1" w14:textId="77777777" w:rsidR="009A199F" w:rsidRDefault="009A199F" w:rsidP="009A199F">
      <w:pPr>
        <w:spacing w:after="0"/>
        <w:jc w:val="both"/>
        <w:rPr>
          <w:lang w:val="id-ID"/>
        </w:rPr>
      </w:pPr>
    </w:p>
    <w:p w14:paraId="6C3859F5" w14:textId="05584EE5" w:rsidR="00A9560B" w:rsidRPr="009A2A61" w:rsidRDefault="00613B79" w:rsidP="00A9560B">
      <w:pPr>
        <w:spacing w:after="0"/>
        <w:jc w:val="both"/>
        <w:rPr>
          <w:rFonts w:cstheme="minorHAnsi"/>
          <w:lang w:val="id-ID"/>
        </w:rPr>
      </w:pPr>
      <w:r w:rsidRPr="009A2A61">
        <w:rPr>
          <w:rFonts w:cstheme="minorHAnsi"/>
        </w:rPr>
        <w:t xml:space="preserve">The research </w:t>
      </w:r>
      <w:proofErr w:type="spellStart"/>
      <w:r w:rsidRPr="009A2A61">
        <w:rPr>
          <w:rFonts w:cstheme="minorHAnsi"/>
        </w:rPr>
        <w:t>analyzing</w:t>
      </w:r>
      <w:proofErr w:type="spellEnd"/>
      <w:r w:rsidRPr="009A2A61">
        <w:rPr>
          <w:rFonts w:cstheme="minorHAnsi"/>
        </w:rPr>
        <w:t xml:space="preserve"> trade openness and FDI on human development is quite </w:t>
      </w:r>
      <w:r w:rsidRPr="00BD76C3">
        <w:rPr>
          <w:rFonts w:cstheme="minorHAnsi"/>
        </w:rPr>
        <w:t xml:space="preserve">limited because </w:t>
      </w:r>
      <w:r w:rsidR="00754BE5" w:rsidRPr="00BD76C3">
        <w:rPr>
          <w:rFonts w:cstheme="minorHAnsi"/>
          <w:lang w:val="id-ID"/>
        </w:rPr>
        <w:t xml:space="preserve">indirect </w:t>
      </w:r>
      <w:r w:rsidRPr="00BD76C3">
        <w:rPr>
          <w:rFonts w:cstheme="minorHAnsi"/>
        </w:rPr>
        <w:t xml:space="preserve">relationship between these components. </w:t>
      </w:r>
      <w:r w:rsidR="00754BE5" w:rsidRPr="00BD76C3">
        <w:rPr>
          <w:rFonts w:cstheme="minorHAnsi"/>
          <w:lang w:val="id-ID"/>
        </w:rPr>
        <w:t xml:space="preserve">There are </w:t>
      </w:r>
      <w:r w:rsidR="00BD76C3" w:rsidRPr="00BD76C3">
        <w:rPr>
          <w:rFonts w:cstheme="minorHAnsi"/>
          <w:lang w:val="id-ID"/>
        </w:rPr>
        <w:t>only few</w:t>
      </w:r>
      <w:r w:rsidRPr="00BD76C3">
        <w:rPr>
          <w:rFonts w:cstheme="minorHAnsi"/>
        </w:rPr>
        <w:t xml:space="preserve"> studies have </w:t>
      </w:r>
      <w:r w:rsidR="00BD76C3" w:rsidRPr="00BD76C3">
        <w:rPr>
          <w:rFonts w:cstheme="minorHAnsi"/>
          <w:lang w:val="id-ID"/>
        </w:rPr>
        <w:t>used both</w:t>
      </w:r>
      <w:r w:rsidRPr="00BD76C3">
        <w:rPr>
          <w:rFonts w:cstheme="minorHAnsi"/>
        </w:rPr>
        <w:t xml:space="preserve"> </w:t>
      </w:r>
      <w:r w:rsidR="00BD76C3" w:rsidRPr="00BD76C3">
        <w:rPr>
          <w:rFonts w:cstheme="minorHAnsi"/>
          <w:lang w:val="id-ID"/>
        </w:rPr>
        <w:t xml:space="preserve">as </w:t>
      </w:r>
      <w:r w:rsidRPr="00BD76C3">
        <w:rPr>
          <w:rFonts w:cstheme="minorHAnsi"/>
        </w:rPr>
        <w:t>determinant</w:t>
      </w:r>
      <w:r w:rsidR="00BD76C3" w:rsidRPr="00BD76C3">
        <w:rPr>
          <w:rFonts w:cstheme="minorHAnsi"/>
          <w:lang w:val="id-ID"/>
        </w:rPr>
        <w:t xml:space="preserve">s </w:t>
      </w:r>
      <w:r w:rsidRPr="00BD76C3">
        <w:rPr>
          <w:rFonts w:cstheme="minorHAnsi"/>
        </w:rPr>
        <w:t>of human development</w:t>
      </w:r>
      <w:r w:rsidR="00BD76C3">
        <w:rPr>
          <w:rFonts w:cstheme="minorHAnsi"/>
          <w:lang w:val="id-ID"/>
        </w:rPr>
        <w:t>, including</w:t>
      </w:r>
      <w:r w:rsidRPr="00BD76C3">
        <w:rPr>
          <w:rFonts w:cstheme="minorHAnsi"/>
        </w:rPr>
        <w:t>:</w:t>
      </w:r>
      <w:r w:rsidRPr="009A2A61">
        <w:rPr>
          <w:rFonts w:cstheme="minorHAnsi"/>
        </w:rPr>
        <w:t xml:space="preserve"> </w:t>
      </w:r>
      <w:r w:rsidR="00BB2758" w:rsidRPr="009A2A61">
        <w:rPr>
          <w:rFonts w:cstheme="minorHAnsi"/>
        </w:rPr>
        <w:fldChar w:fldCharType="begin" w:fldLock="1"/>
      </w:r>
      <w:r w:rsidR="005458E9" w:rsidRPr="009A2A61">
        <w:rPr>
          <w:rFonts w:cstheme="minorHAnsi"/>
        </w:rPr>
        <w:instrText>ADDIN CSL_CITATION {"citationItems":[{"id":"ITEM-1","itemData":{"DOI":"10.1080/08853908.2021.1905115","ISSN":"15210545","abstract":"This article analyzes whether trade openness and foreign direct investment are driving factors for human development in the Middle East and North African region. We used data of 13 MENA countries over the period of 2002 to 2015. We employed the panel cointegration analysis and vector error correction model to test the short- and long-run relationships as well as the causality between the variables. Findings indicate that in the long run the coefficients of trade openness and foreign direct investment are statistically significant. However, in the short run, the results show that only foreign direct investment and domestic investment exert a significant impact on human development.","author":[{"dropping-particle":"","family":"Hamdi","given":"Helmi","non-dropping-particle":"","parse-names":false,"suffix":""},{"dropping-particle":"","family":"Hakimi","given":"Abdelaziz","non-dropping-particle":"","parse-names":false,"suffix":""}],"container-title":"International Trade Journal","id":"ITEM-1","issue":"3","issued":{"date-parts":[["2022"]]},"page":"219-238","publisher":"Routledge","title":"Trade Openness, Foreign Direct Investment, and Human Development: A Panel Cointegration Analysis for MENA Countries","type":"article-journal","volume":"36"},"uris":["http://www.mendeley.com/documents/?uuid=26eacd5f-de04-427e-948d-0ebcd6906468"]}],"mendeley":{"formattedCitation":"(Hamdi &amp; Hakimi, 2022)","plainTextFormattedCitation":"(Hamdi &amp; Hakimi, 2022)","previouslyFormattedCitation":"(Hamdi &amp; Hakimi, 2022)"},"properties":{"noteIndex":0},"schema":"https://github.com/citation-style-language/schema/raw/master/csl-citation.json"}</w:instrText>
      </w:r>
      <w:r w:rsidR="00BB2758" w:rsidRPr="009A2A61">
        <w:rPr>
          <w:rFonts w:cstheme="minorHAnsi"/>
        </w:rPr>
        <w:fldChar w:fldCharType="separate"/>
      </w:r>
      <w:r w:rsidR="00BB2758" w:rsidRPr="009A2A61">
        <w:rPr>
          <w:rFonts w:cstheme="minorHAnsi"/>
          <w:noProof/>
        </w:rPr>
        <w:t xml:space="preserve">Hamdi &amp; Hakimi </w:t>
      </w:r>
      <w:r w:rsidR="00BD76C3">
        <w:rPr>
          <w:rFonts w:cstheme="minorHAnsi"/>
          <w:noProof/>
          <w:lang w:val="id-ID"/>
        </w:rPr>
        <w:t>(</w:t>
      </w:r>
      <w:r w:rsidR="00BB2758" w:rsidRPr="009A2A61">
        <w:rPr>
          <w:rFonts w:cstheme="minorHAnsi"/>
          <w:noProof/>
        </w:rPr>
        <w:t>2022)</w:t>
      </w:r>
      <w:r w:rsidR="00BB2758" w:rsidRPr="009A2A61">
        <w:rPr>
          <w:rFonts w:cstheme="minorHAnsi"/>
        </w:rPr>
        <w:fldChar w:fldCharType="end"/>
      </w:r>
      <w:r w:rsidR="00F923B0" w:rsidRPr="009A2A61">
        <w:rPr>
          <w:rFonts w:cstheme="minorHAnsi"/>
        </w:rPr>
        <w:t xml:space="preserve"> examined into the elements influencing human development in MENA nations, including trade openness and foreign direct investment. His research demonstrates that the long-term statistical significance of the coefficients of trade openness, investment, FDI, inflation, and GDP variables. Meanwhile FDI, investment, and GDP are significant in the short term.</w:t>
      </w:r>
      <w:r w:rsidR="00443258" w:rsidRPr="009A2A61">
        <w:rPr>
          <w:rFonts w:cstheme="minorHAnsi"/>
          <w:lang w:val="id-ID"/>
        </w:rPr>
        <w:t xml:space="preserve"> </w:t>
      </w:r>
      <w:r w:rsidRPr="009A2A61">
        <w:rPr>
          <w:rFonts w:cstheme="minorHAnsi"/>
        </w:rPr>
        <w:t xml:space="preserve">Research by </w:t>
      </w:r>
      <w:r w:rsidR="00E45D97" w:rsidRPr="009A2A61">
        <w:rPr>
          <w:rFonts w:cstheme="minorHAnsi"/>
        </w:rPr>
        <w:fldChar w:fldCharType="begin" w:fldLock="1"/>
      </w:r>
      <w:r w:rsidR="00BB2758" w:rsidRPr="009A2A61">
        <w:rPr>
          <w:rFonts w:cstheme="minorHAnsi"/>
        </w:rPr>
        <w:instrText>ADDIN CSL_CITATION {"citationItems":[{"id":"ITEM-1","itemData":{"DOI":"10.1111/1467-8268.12319","ISSN":"14678268","abstract":"The linkages between international trade and economic performance has received significant attention from policymakers and researchers. There is consensus in the literature that improved trade openness corresponds to improved economic growth. In this study, we argue that trade openness has a significant impact on population health outcomes and financing. The study employed a balanced panel data for 42 sub-Saharan African (SSA) countries over the period 1995–2013. Population health status was measured by total life expectancy at birth, infant mortality rate and under-five mortality rate. Three main estimation models were used: (1) fixed effect (FE); (2) random effect (RE); and (3) the generalized method of moments (GMM) in estimating the relationships. The results showed that trade openness has a positive and significant effect on life expectancy, a negative and significant effect on the infant mortality rate and a negative impact of trade openness on the under-five mortality rate. A positive effect of trade openness on health financing was also realized. The findings of the study support international trade integration and emphasize the need for countries to be conscious of gains from trade within sub-sectors of the economy.","author":[{"dropping-particle":"","family":"Novignon","given":"Jacob","non-dropping-particle":"","parse-names":false,"suffix":""},{"dropping-particle":"","family":"Atakorah","given":"Yaw Boateng","non-dropping-particle":"","parse-names":false,"suffix":""},{"dropping-particle":"","family":"Djossou","given":"Gbetoton Nadege","non-dropping-particle":"","parse-names":false,"suffix":""}],"container-title":"African Development Review","id":"ITEM-1","issue":"2","issued":{"date-parts":[["2018"]]},"page":"135-148","title":"How Does the Health Sector Benefit from Trade Openness? Evidence from Sub-Saharan Africa","type":"article-journal","volume":"30"},"uris":["http://www.mendeley.com/documents/?uuid=ce1651fb-3fbb-40b5-b9e1-f5c8eac2e7d6"]}],"mendeley":{"formattedCitation":"(Novignon et al., 2018)","plainTextFormattedCitation":"(Novignon et al., 2018)","previouslyFormattedCitation":"(Novignon et al., 2018)"},"properties":{"noteIndex":0},"schema":"https://github.com/citation-style-language/schema/raw/master/csl-citation.json"}</w:instrText>
      </w:r>
      <w:r w:rsidR="00E45D97" w:rsidRPr="009A2A61">
        <w:rPr>
          <w:rFonts w:cstheme="minorHAnsi"/>
        </w:rPr>
        <w:fldChar w:fldCharType="separate"/>
      </w:r>
      <w:r w:rsidR="00E45D97" w:rsidRPr="009A2A61">
        <w:rPr>
          <w:rFonts w:cstheme="minorHAnsi"/>
          <w:noProof/>
        </w:rPr>
        <w:t>Novignon et al</w:t>
      </w:r>
      <w:r w:rsidR="00BD76C3">
        <w:rPr>
          <w:rFonts w:cstheme="minorHAnsi"/>
          <w:noProof/>
          <w:lang w:val="id-ID"/>
        </w:rPr>
        <w:t xml:space="preserve"> (</w:t>
      </w:r>
      <w:r w:rsidR="00E45D97" w:rsidRPr="009A2A61">
        <w:rPr>
          <w:rFonts w:cstheme="minorHAnsi"/>
          <w:noProof/>
        </w:rPr>
        <w:t>2018)</w:t>
      </w:r>
      <w:r w:rsidR="00E45D97" w:rsidRPr="009A2A61">
        <w:rPr>
          <w:rFonts w:cstheme="minorHAnsi"/>
        </w:rPr>
        <w:fldChar w:fldCharType="end"/>
      </w:r>
      <w:r w:rsidR="00E45D97" w:rsidRPr="009A2A61">
        <w:rPr>
          <w:rFonts w:cstheme="minorHAnsi"/>
          <w:lang w:val="id-ID"/>
        </w:rPr>
        <w:t xml:space="preserve"> </w:t>
      </w:r>
      <w:r w:rsidR="00A9560B" w:rsidRPr="009A2A61">
        <w:rPr>
          <w:rFonts w:cstheme="minorHAnsi"/>
          <w:lang w:val="id-ID"/>
        </w:rPr>
        <w:t xml:space="preserve">examines whether the health sector benefits from trade </w:t>
      </w:r>
      <w:r w:rsidR="00B33425" w:rsidRPr="009A2A61">
        <w:rPr>
          <w:rFonts w:cstheme="minorHAnsi"/>
          <w:lang w:val="id-ID"/>
        </w:rPr>
        <w:t>oppeness</w:t>
      </w:r>
      <w:r w:rsidR="00A9560B" w:rsidRPr="009A2A61">
        <w:rPr>
          <w:rFonts w:cstheme="minorHAnsi"/>
          <w:lang w:val="id-ID"/>
        </w:rPr>
        <w:t>. From 1995 to 2013, they used a sample of 42 Sub-Saharan African (SSA) nations. Trade has a favorable and significant impact on life expectancy. However, it has a detrimental and considerable effect on the rates of infant and under-five mortality.</w:t>
      </w:r>
    </w:p>
    <w:p w14:paraId="456A84ED" w14:textId="13B1F954" w:rsidR="00443258" w:rsidRPr="00BD76C3" w:rsidRDefault="00443258" w:rsidP="00443258">
      <w:pPr>
        <w:spacing w:after="0"/>
        <w:jc w:val="both"/>
        <w:rPr>
          <w:rFonts w:cstheme="minorHAnsi"/>
          <w:lang w:val="id-ID"/>
        </w:rPr>
      </w:pPr>
    </w:p>
    <w:p w14:paraId="7FB918CD" w14:textId="0FFB6939" w:rsidR="00E21BA3" w:rsidRPr="009A2A61" w:rsidRDefault="0017224F" w:rsidP="006C5850">
      <w:pPr>
        <w:spacing w:line="276" w:lineRule="auto"/>
        <w:jc w:val="both"/>
        <w:rPr>
          <w:rFonts w:cstheme="minorHAnsi"/>
          <w:lang w:val="id-ID"/>
        </w:rPr>
      </w:pPr>
      <w:r w:rsidRPr="009A2A61">
        <w:rPr>
          <w:rFonts w:cstheme="minorHAnsi"/>
        </w:rPr>
        <w:t>Other research explains how trade openness affects overall economic growth.</w:t>
      </w:r>
      <w:r w:rsidR="00613B79" w:rsidRPr="009A2A61">
        <w:rPr>
          <w:rFonts w:cstheme="minorHAnsi"/>
        </w:rPr>
        <w:t xml:space="preserve"> </w:t>
      </w:r>
      <w:r w:rsidRPr="009A2A61">
        <w:rPr>
          <w:rFonts w:cstheme="minorHAnsi"/>
        </w:rPr>
        <w:t xml:space="preserve">From 1985 to 2017, </w:t>
      </w:r>
      <w:r w:rsidR="00613B79" w:rsidRPr="009A2A61">
        <w:rPr>
          <w:rFonts w:cstheme="minorHAnsi"/>
        </w:rPr>
        <w:t>Intisar et al (2020)</w:t>
      </w:r>
      <w:r w:rsidRPr="009A2A61">
        <w:rPr>
          <w:rFonts w:cstheme="minorHAnsi"/>
          <w:lang w:val="id-ID"/>
        </w:rPr>
        <w:t xml:space="preserve"> </w:t>
      </w:r>
      <w:r w:rsidRPr="009A2A61">
        <w:rPr>
          <w:rFonts w:cstheme="minorHAnsi"/>
        </w:rPr>
        <w:t xml:space="preserve">examined the effects of global commerce and human capital on economic growth in 19 Asian nations. Economic growth is significantly and </w:t>
      </w:r>
      <w:r w:rsidR="006C5850" w:rsidRPr="009A2A61">
        <w:rPr>
          <w:rFonts w:cstheme="minorHAnsi"/>
          <w:lang w:val="id-ID"/>
        </w:rPr>
        <w:t>positively</w:t>
      </w:r>
      <w:r w:rsidRPr="009A2A61">
        <w:rPr>
          <w:rFonts w:cstheme="minorHAnsi"/>
        </w:rPr>
        <w:t xml:space="preserve"> influenced by </w:t>
      </w:r>
      <w:r w:rsidR="006C5850" w:rsidRPr="009A2A61">
        <w:rPr>
          <w:rFonts w:cstheme="minorHAnsi"/>
          <w:lang w:val="id-ID"/>
        </w:rPr>
        <w:t xml:space="preserve">trade </w:t>
      </w:r>
      <w:r w:rsidRPr="009A2A61">
        <w:rPr>
          <w:rFonts w:cstheme="minorHAnsi"/>
        </w:rPr>
        <w:t xml:space="preserve">and human </w:t>
      </w:r>
      <w:r w:rsidRPr="009A2A61">
        <w:rPr>
          <w:rFonts w:cstheme="minorHAnsi"/>
        </w:rPr>
        <w:lastRenderedPageBreak/>
        <w:t>capital.</w:t>
      </w:r>
      <w:r w:rsidR="006C5850" w:rsidRPr="009A2A61">
        <w:rPr>
          <w:rFonts w:cstheme="minorHAnsi"/>
          <w:lang w:val="id-ID"/>
        </w:rPr>
        <w:t xml:space="preserve"> These findings are consistent with research from </w:t>
      </w:r>
      <w:r w:rsidR="003C2919" w:rsidRPr="009A2A61">
        <w:rPr>
          <w:rFonts w:cstheme="minorHAnsi"/>
        </w:rPr>
        <w:fldChar w:fldCharType="begin" w:fldLock="1"/>
      </w:r>
      <w:r w:rsidR="00E45D97" w:rsidRPr="009A2A61">
        <w:rPr>
          <w:rFonts w:cstheme="minorHAnsi"/>
        </w:rPr>
        <w:instrText>ADDIN CSL_CITATION {"citationItems":[{"id":"ITEM-1","itemData":{"DOI":"10.1111/twec.12586","ISSN":"14679701","abstract":"Empirical results on the links between trade openness and economic growth often suggest that, in the long run, more outward-oriented countries register better economic growth. However, a similar level of trade openness can hide different types of trade structures. The aim of this paper was to enrich the way of measuring trade openness taking into account two different dimensions of countries’ integration in world trade: export quality and export variety. Based on the estimation of an endogenous growth model on a panel of 169 countries between 1988 and 2014 using a generalised method of moments estimator, our results confirm that countries exporting higher quality products and new varieties grow more rapidly. More importantly, we find a non-linear pattern between the export ratio and the quality of the export basket, suggesting that openness to trade may impact growth negatively for countries which are specialised in low-quality products. A non-linear relationship between export variety, the export ratio and growth is also found, suggesting that countries increasing their exports will grow more rapidly after reaching a certain degree of the extensive margin of exports.","author":[{"dropping-particle":"","family":"Huchet-Bourdon","given":"Marilyne","non-dropping-particle":"","parse-names":false,"suffix":""},{"dropping-particle":"","family":"Mouël","given":"Chantal","non-dropping-particle":"Le","parse-names":false,"suffix":""},{"dropping-particle":"","family":"Vijil","given":"Mariana","non-dropping-particle":"","parse-names":false,"suffix":""}],"container-title":"World Economy","id":"ITEM-1","issue":"1","issued":{"date-parts":[["2018"]]},"page":"59-76","title":"The relationship between trade openness and economic growth: Some new insights on the openness measurement issue","type":"article-journal","volume":"41"},"uris":["http://www.mendeley.com/documents/?uuid=080a9f2c-4217-41f3-ab65-8938f2fac3dc"]},{"id":"ITEM-2","itemData":{"DOI":"10.1080/23322039.2017.1332820","ISSN":"23322039","abstract":"The relationship between trade openness and economic growth has been extensively investigated yielding to mixed and inconclusive results. This might be attributed to the omission of the role of capital stock and labor in the trade-growth nexus. This paper examines the impact of trade openness on economic growth for Cote d’Ivoire over the period 1965–2014 in a multivariate framework including capital stock, labor and trade openness as regressors. It uses the Autoregressive Distributed Lag bounds test to cointegration and the Toda and Yamamoto Granger causality tests. The results show that trade openness has positive effects on economic growth both in the short and long run. Furthermore, they reveal a positive and strong complementary relationship between trade openness and capital formation in promoting economic growth.","author":[{"dropping-particle":"","family":"Keho","given":"Yaya","non-dropping-particle":"","parse-names":false,"suffix":""}],"container-title":"Cogent Economics and Finance","id":"ITEM-2","issue":"1","issued":{"date-parts":[["2017"]]},"page":"1-14","publisher":"Cogent","title":"The impact of trade openness on economic growth: The case of Cote d’Ivoire","type":"article-journal","volume":"5"},"uris":["http://www.mendeley.com/documents/?uuid=9993fde5-bee4-4860-8967-987f4edac63c"]}],"mendeley":{"formattedCitation":"(Huchet-Bourdon et al., 2018; Keho, 2017)","plainTextFormattedCitation":"(Huchet-Bourdon et al., 2018; Keho, 2017)","previouslyFormattedCitation":"(Huchet-Bourdon et al., 2018; Keho, 2017)"},"properties":{"noteIndex":0},"schema":"https://github.com/citation-style-language/schema/raw/master/csl-citation.json"}</w:instrText>
      </w:r>
      <w:r w:rsidR="003C2919" w:rsidRPr="009A2A61">
        <w:rPr>
          <w:rFonts w:cstheme="minorHAnsi"/>
        </w:rPr>
        <w:fldChar w:fldCharType="separate"/>
      </w:r>
      <w:r w:rsidR="003C2919" w:rsidRPr="009A2A61">
        <w:rPr>
          <w:rFonts w:cstheme="minorHAnsi"/>
          <w:noProof/>
        </w:rPr>
        <w:t>(Huchet-Bourdon et al., 2018; Keho, 2017)</w:t>
      </w:r>
      <w:r w:rsidR="003C2919" w:rsidRPr="009A2A61">
        <w:rPr>
          <w:rFonts w:cstheme="minorHAnsi"/>
        </w:rPr>
        <w:fldChar w:fldCharType="end"/>
      </w:r>
      <w:r w:rsidR="00613B79" w:rsidRPr="009A2A61">
        <w:rPr>
          <w:rFonts w:cstheme="minorHAnsi"/>
        </w:rPr>
        <w:t xml:space="preserve"> </w:t>
      </w:r>
      <w:r w:rsidR="006C5850" w:rsidRPr="009A2A61">
        <w:rPr>
          <w:rFonts w:cstheme="minorHAnsi"/>
          <w:lang w:val="id-ID"/>
        </w:rPr>
        <w:t>that demonstrates the benefits of trade openness for both short- and long-term economic growth.</w:t>
      </w:r>
      <w:r w:rsidR="00613B79" w:rsidRPr="009A2A61">
        <w:rPr>
          <w:rFonts w:cstheme="minorHAnsi"/>
        </w:rPr>
        <w:t xml:space="preserve"> </w:t>
      </w:r>
      <w:r w:rsidR="003C2919" w:rsidRPr="009A2A61">
        <w:rPr>
          <w:rFonts w:cstheme="minorHAnsi"/>
        </w:rPr>
        <w:fldChar w:fldCharType="begin" w:fldLock="1"/>
      </w:r>
      <w:r w:rsidR="003C2919" w:rsidRPr="009A2A61">
        <w:rPr>
          <w:rFonts w:cstheme="minorHAnsi"/>
        </w:rPr>
        <w:instrText>ADDIN CSL_CITATION {"citationItems":[{"id":"ITEM-1","itemData":{"DOI":"10.1080/23322039.2017.1332820","ISSN":"23322039","abstract":"The relationship between trade openness and economic growth has been extensively investigated yielding to mixed and inconclusive results. This might be attributed to the omission of the role of capital stock and labor in the trade-growth nexus. This paper examines the impact of trade openness on economic growth for Cote d’Ivoire over the period 1965–2014 in a multivariate framework including capital stock, labor and trade openness as regressors. It uses the Autoregressive Distributed Lag bounds test to cointegration and the Toda and Yamamoto Granger causality tests. The results show that trade openness has positive effects on economic growth both in the short and long run. Furthermore, they reveal a positive and strong complementary relationship between trade openness and capital formation in promoting economic growth.","author":[{"dropping-particle":"","family":"Keho","given":"Yaya","non-dropping-particle":"","parse-names":false,"suffix":""}],"container-title":"Cogent Economics and Finance","id":"ITEM-1","issue":"1","issued":{"date-parts":[["2017"]]},"page":"1-14","publisher":"Cogent","title":"The impact of trade openness on economic growth: The case of Cote d’Ivoire","type":"article-journal","volume":"5"},"uris":["http://www.mendeley.com/documents/?uuid=9993fde5-bee4-4860-8967-987f4edac63c"]}],"mendeley":{"formattedCitation":"(Keho, 2017)","plainTextFormattedCitation":"(Keho, 2017)","previouslyFormattedCitation":"(Keho, 2017)"},"properties":{"noteIndex":0},"schema":"https://github.com/citation-style-language/schema/raw/master/csl-citation.json"}</w:instrText>
      </w:r>
      <w:r w:rsidR="003C2919" w:rsidRPr="009A2A61">
        <w:rPr>
          <w:rFonts w:cstheme="minorHAnsi"/>
        </w:rPr>
        <w:fldChar w:fldCharType="separate"/>
      </w:r>
      <w:r w:rsidR="003C2919" w:rsidRPr="009A2A61">
        <w:rPr>
          <w:rFonts w:cstheme="minorHAnsi"/>
          <w:noProof/>
        </w:rPr>
        <w:t>(Keho, 2017)</w:t>
      </w:r>
      <w:r w:rsidR="003C2919" w:rsidRPr="009A2A61">
        <w:rPr>
          <w:rFonts w:cstheme="minorHAnsi"/>
        </w:rPr>
        <w:fldChar w:fldCharType="end"/>
      </w:r>
      <w:r w:rsidR="00613B79" w:rsidRPr="009A2A61">
        <w:rPr>
          <w:rFonts w:cstheme="minorHAnsi"/>
        </w:rPr>
        <w:t xml:space="preserve"> </w:t>
      </w:r>
      <w:r w:rsidR="006C5850" w:rsidRPr="009A2A61">
        <w:rPr>
          <w:rFonts w:cstheme="minorHAnsi"/>
          <w:lang w:val="id-ID"/>
        </w:rPr>
        <w:t>conducted research on the impact of international trade on the economic development of the Ivory Coast over the years 1965–2014 using a multivariate framework with capital and labor stocks. The research results confirm the long-term relationships between economic growth, capital stock, labor, and trade openness.</w:t>
      </w:r>
      <w:r w:rsidR="0015703E" w:rsidRPr="009A2A61">
        <w:rPr>
          <w:rFonts w:cstheme="minorHAnsi"/>
          <w:lang w:val="id-ID"/>
        </w:rPr>
        <w:t xml:space="preserve"> </w:t>
      </w:r>
    </w:p>
    <w:p w14:paraId="7AF95ADE" w14:textId="44691FF2" w:rsidR="00E21BA3" w:rsidRDefault="009A2A61" w:rsidP="000A3D4A">
      <w:pPr>
        <w:spacing w:after="0" w:line="240" w:lineRule="auto"/>
        <w:jc w:val="both"/>
      </w:pPr>
      <w:r>
        <w:rPr>
          <w:lang w:val="id-ID"/>
        </w:rPr>
        <w:t>In addition,</w:t>
      </w:r>
      <w:r w:rsidR="004E2183">
        <w:rPr>
          <w:lang w:val="id-ID"/>
        </w:rPr>
        <w:t xml:space="preserve"> </w:t>
      </w:r>
      <w:r w:rsidR="00803632" w:rsidRPr="00803632">
        <w:t>Good governance is essential for developing the economy and human development</w:t>
      </w:r>
      <w:r w:rsidR="00803632">
        <w:rPr>
          <w:lang w:val="id-ID"/>
        </w:rPr>
        <w:t xml:space="preserve"> </w:t>
      </w:r>
      <w:r w:rsidR="00E60364">
        <w:rPr>
          <w:lang w:val="id-ID"/>
        </w:rPr>
        <w:fldChar w:fldCharType="begin" w:fldLock="1"/>
      </w:r>
      <w:r w:rsidR="00181C56">
        <w:rPr>
          <w:lang w:val="id-ID"/>
        </w:rPr>
        <w:instrText>ADDIN CSL_CITATION {"citationItems":[{"id":"ITEM-1","itemData":{"DOI":"10.1080/01436597.2016.1191340","ISSN":"13602241","abstract":"Data indicate that good governance and human development continue to be major issues throughout sub-Saharan Africa. The findings show a significant relationship between the measures of good governance and human development. The findings suggest that policies and efforts aimed at improving government effectiveness and political stability would have the most significant impact on human development and poverty reduction efforts. The findings lend support to the adoption of integrated policy approaches that take into consideration political development along with economic development to reduce poverty in sub-Saharan Africa.","author":[{"dropping-particle":"","family":"Davis","given":"Theodore J.","non-dropping-particle":"","parse-names":false,"suffix":""}],"container-title":"Third World Quarterly","id":"ITEM-1","issue":"3","issued":{"date-parts":[["2017"]]},"page":"636-654","title":"Good governance as a foundation for sustainable human development in sub-Saharan Africa","type":"article-journal","volume":"38"},"uris":["http://www.mendeley.com/documents/?uuid=de06c28b-815e-4375-b233-8664c6d5cf0f"]},{"id":"ITEM-2","itemData":{"author":[{"dropping-particle":"","family":"Samarasinghe","given":"Tharanga","non-dropping-particle":"","parse-names":false,"suffix":""}],"container-title":"Munich Personal RePEc Archive","id":"ITEM-2","issue":"89834","issued":{"date-parts":[["2018"]]},"page":"1-50","title":"Impact of Governance on Economic Growth","type":"article-journal","volume":"8"},"uris":["http://www.mendeley.com/documents/?uuid=a3728b62-4971-4644-9faa-fe8850a2926c"]}],"mendeley":{"formattedCitation":"(Davis, 2017; Samarasinghe, 2018)","plainTextFormattedCitation":"(Davis, 2017; Samarasinghe, 2018)","previouslyFormattedCitation":"(Davis, 2017; Samarasinghe, 2018)"},"properties":{"noteIndex":0},"schema":"https://github.com/citation-style-language/schema/raw/master/csl-citation.json"}</w:instrText>
      </w:r>
      <w:r w:rsidR="00E60364">
        <w:rPr>
          <w:lang w:val="id-ID"/>
        </w:rPr>
        <w:fldChar w:fldCharType="separate"/>
      </w:r>
      <w:r w:rsidR="00E60364" w:rsidRPr="00E60364">
        <w:rPr>
          <w:noProof/>
          <w:lang w:val="id-ID"/>
        </w:rPr>
        <w:t>(Davis, 2017; Samarasinghe, 2018)</w:t>
      </w:r>
      <w:r w:rsidR="00E60364">
        <w:rPr>
          <w:lang w:val="id-ID"/>
        </w:rPr>
        <w:fldChar w:fldCharType="end"/>
      </w:r>
      <w:r w:rsidR="00E21BA3">
        <w:t xml:space="preserve">. </w:t>
      </w:r>
      <w:r w:rsidR="000A3D4A" w:rsidRPr="000A3D4A">
        <w:t>Political instability is one of the most significant risks to governance in OIC nations. This is due to the fact that Muslim nations are embroiled in wars, invasions by foreign powers, coups, ethnic conflicts, and sectarian violence</w:t>
      </w:r>
      <w:r w:rsidR="000A3D4A">
        <w:rPr>
          <w:lang w:val="id-ID"/>
        </w:rPr>
        <w:t xml:space="preserve"> </w:t>
      </w:r>
      <w:r w:rsidR="00A50FA8">
        <w:fldChar w:fldCharType="begin" w:fldLock="1"/>
      </w:r>
      <w:r w:rsidR="003C2919">
        <w:instrText>ADDIN CSL_CITATION {"citationItems":[{"id":"ITEM-1","itemData":{"DOI":"10.1016/j.econmod.2017.04.028","ISSN":"02649993","abstract":"This paper studies the effect of political stability on economic growth by taking 120 developing countries over the period of 1996–2014. We apply relatively advanced dynamic two step system-GMM and quantile regression. Political stability is found to be a key determinant of economic growth. More importantly, political instability (or risk) is found to be higher in the OIC countries and is a deterrent to economic growth. Also, for the lower and middle income OIC countries, political instability appears to affect economic growth more severely perhaps due to the absence of strong economic and political institutions. Moreover, political instability is also found to be significantly higher in the oil-dependent OIC countries. Notably, political instability is likely to affect growth through the channels of investment and human capital accumulation in the developing countries. Finally, the impact of political stability and political instability on growth is found to be equally distributed across the OIC countries with higher or lower growth level. Therefore, the development of political and economic institutions along with human capital development is recommended for all the developing countries in general and the OIC countries in particular.","author":[{"dropping-particle":"","family":"Uddin","given":"Md Akther","non-dropping-particle":"","parse-names":false,"suffix":""},{"dropping-particle":"","family":"Ali","given":"Md Hakim","non-dropping-particle":"","parse-names":false,"suffix":""},{"dropping-particle":"","family":"Masih","given":"Mansur","non-dropping-particle":"","parse-names":false,"suffix":""}],"container-title":"Economic Modelling","id":"ITEM-1","issue":"June 2016","issued":{"date-parts":[["2017"]]},"page":"610-625","publisher":"Elsevier","title":"Political stability and growth: An application of dynamic GMM and quantile regression","type":"article-journal","volume":"64"},"uris":["http://www.mendeley.com/documents/?uuid=81b4abac-002f-4ece-b6e3-2579b7a23d24"]}],"mendeley":{"formattedCitation":"(Uddin et al., 2017)","plainTextFormattedCitation":"(Uddin et al., 2017)","previouslyFormattedCitation":"(Uddin et al., 2017)"},"properties":{"noteIndex":0},"schema":"https://github.com/citation-style-language/schema/raw/master/csl-citation.json"}</w:instrText>
      </w:r>
      <w:r w:rsidR="00A50FA8">
        <w:fldChar w:fldCharType="separate"/>
      </w:r>
      <w:r w:rsidR="00A50FA8" w:rsidRPr="00A50FA8">
        <w:rPr>
          <w:noProof/>
        </w:rPr>
        <w:t>(Uddin et al., 2017)</w:t>
      </w:r>
      <w:r w:rsidR="00A50FA8">
        <w:fldChar w:fldCharType="end"/>
      </w:r>
      <w:r w:rsidR="00E21BA3" w:rsidRPr="004B49A0">
        <w:t>.</w:t>
      </w:r>
      <w:r w:rsidR="00E21BA3">
        <w:t xml:space="preserve"> </w:t>
      </w:r>
      <w:r w:rsidR="00F457FE">
        <w:rPr>
          <w:lang w:val="id-ID"/>
        </w:rPr>
        <w:t>T</w:t>
      </w:r>
      <w:r w:rsidR="00E21BA3">
        <w:t>he Middle East region</w:t>
      </w:r>
      <w:r w:rsidR="003C4A8C">
        <w:rPr>
          <w:lang w:val="id-ID"/>
        </w:rPr>
        <w:t>s</w:t>
      </w:r>
      <w:r w:rsidR="00E21BA3">
        <w:t xml:space="preserve"> become the most unstable region in the world, especially after the political upheaval in 2011 left challenges to unity and development. The following is the average value of the political stability of the OIC countries in recent times:</w:t>
      </w:r>
    </w:p>
    <w:p w14:paraId="4B1FF427" w14:textId="77777777" w:rsidR="00E21BA3" w:rsidRDefault="00E21BA3" w:rsidP="00E21BA3">
      <w:pPr>
        <w:spacing w:after="0"/>
        <w:jc w:val="both"/>
      </w:pPr>
    </w:p>
    <w:p w14:paraId="582BF318" w14:textId="4B69A20F" w:rsidR="007F5A90" w:rsidRPr="007F5A90" w:rsidRDefault="007F5A90" w:rsidP="007F5A90">
      <w:pPr>
        <w:spacing w:line="240" w:lineRule="auto"/>
        <w:ind w:left="426" w:firstLine="567"/>
        <w:jc w:val="center"/>
        <w:rPr>
          <w:rFonts w:asciiTheme="minorHAnsi" w:eastAsiaTheme="minorHAnsi" w:hAnsiTheme="minorHAnsi" w:cstheme="minorHAnsi"/>
          <w:b/>
          <w:bCs/>
          <w:lang w:val="id-ID" w:eastAsia="en-US"/>
        </w:rPr>
      </w:pPr>
      <w:r w:rsidRPr="007F5A90">
        <w:rPr>
          <w:rFonts w:asciiTheme="minorHAnsi" w:eastAsiaTheme="minorHAnsi" w:hAnsiTheme="minorHAnsi" w:cstheme="minorHAnsi"/>
          <w:b/>
          <w:bCs/>
          <w:lang w:val="id-ID" w:eastAsia="en-US"/>
        </w:rPr>
        <w:t xml:space="preserve">Figure </w:t>
      </w:r>
      <w:r w:rsidR="00CE2EDF">
        <w:rPr>
          <w:rFonts w:asciiTheme="minorHAnsi" w:eastAsiaTheme="minorHAnsi" w:hAnsiTheme="minorHAnsi" w:cstheme="minorHAnsi"/>
          <w:b/>
          <w:bCs/>
          <w:lang w:val="id-ID" w:eastAsia="en-US"/>
        </w:rPr>
        <w:t>1</w:t>
      </w:r>
      <w:r w:rsidRPr="007F5A90">
        <w:rPr>
          <w:rFonts w:asciiTheme="minorHAnsi" w:eastAsiaTheme="minorHAnsi" w:hAnsiTheme="minorHAnsi" w:cstheme="minorHAnsi"/>
          <w:b/>
          <w:bCs/>
          <w:lang w:val="id-ID" w:eastAsia="en-US"/>
        </w:rPr>
        <w:t>.1</w:t>
      </w:r>
    </w:p>
    <w:p w14:paraId="4CE40B88" w14:textId="77777777" w:rsidR="007F5A90" w:rsidRPr="007F5A90" w:rsidRDefault="007F5A90" w:rsidP="007F5A90">
      <w:pPr>
        <w:spacing w:line="240" w:lineRule="auto"/>
        <w:ind w:left="426" w:firstLine="567"/>
        <w:jc w:val="center"/>
        <w:rPr>
          <w:rFonts w:asciiTheme="minorHAnsi" w:eastAsiaTheme="minorHAnsi" w:hAnsiTheme="minorHAnsi" w:cstheme="minorHAnsi"/>
          <w:b/>
          <w:bCs/>
          <w:lang w:val="id-ID" w:eastAsia="en-US"/>
        </w:rPr>
      </w:pPr>
      <w:r w:rsidRPr="007F5A90">
        <w:rPr>
          <w:rFonts w:asciiTheme="minorHAnsi" w:eastAsiaTheme="minorHAnsi" w:hAnsiTheme="minorHAnsi" w:cstheme="minorHAnsi"/>
          <w:b/>
          <w:bCs/>
          <w:lang w:val="id-ID" w:eastAsia="en-US"/>
        </w:rPr>
        <w:t>Development of Political Stability of OIC Countries 2011-2021</w:t>
      </w:r>
    </w:p>
    <w:p w14:paraId="6BE08072" w14:textId="58804BAD" w:rsidR="00E21BA3" w:rsidRPr="000A099B" w:rsidRDefault="00E21BA3" w:rsidP="007F5A90">
      <w:pPr>
        <w:spacing w:line="240" w:lineRule="auto"/>
        <w:ind w:left="426" w:firstLine="567"/>
        <w:jc w:val="center"/>
        <w:rPr>
          <w:rFonts w:cstheme="minorHAnsi"/>
        </w:rPr>
      </w:pPr>
      <w:r w:rsidRPr="000A099B">
        <w:rPr>
          <w:rFonts w:cstheme="minorHAnsi"/>
          <w:noProof/>
        </w:rPr>
        <w:drawing>
          <wp:inline distT="0" distB="0" distL="0" distR="0" wp14:anchorId="3B364FCD" wp14:editId="2DA051AD">
            <wp:extent cx="4001414" cy="1872691"/>
            <wp:effectExtent l="0" t="0" r="18415" b="13335"/>
            <wp:docPr id="18" name="Chart 18">
              <a:extLst xmlns:a="http://schemas.openxmlformats.org/drawingml/2006/main">
                <a:ext uri="{FF2B5EF4-FFF2-40B4-BE49-F238E27FC236}">
                  <a16:creationId xmlns:a16="http://schemas.microsoft.com/office/drawing/2014/main" id="{D412166C-3110-4BB4-86A4-982808023C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77BCB1" w14:textId="50B9F1EB" w:rsidR="007F5A90" w:rsidRPr="007F5A90" w:rsidRDefault="007F5A90" w:rsidP="007F5A90">
      <w:pPr>
        <w:spacing w:after="0"/>
        <w:ind w:left="1440" w:firstLine="720"/>
        <w:jc w:val="both"/>
        <w:rPr>
          <w:sz w:val="20"/>
          <w:szCs w:val="20"/>
          <w:highlight w:val="yellow"/>
        </w:rPr>
      </w:pPr>
      <w:r w:rsidRPr="007F5A90">
        <w:rPr>
          <w:sz w:val="20"/>
          <w:szCs w:val="20"/>
        </w:rPr>
        <w:t>Source: World Government Index, 2021</w:t>
      </w:r>
    </w:p>
    <w:p w14:paraId="7F4B2537" w14:textId="77777777" w:rsidR="004816EF" w:rsidRDefault="004816EF" w:rsidP="00E21BA3">
      <w:pPr>
        <w:spacing w:after="0"/>
        <w:jc w:val="both"/>
        <w:rPr>
          <w:highlight w:val="yellow"/>
        </w:rPr>
      </w:pPr>
    </w:p>
    <w:p w14:paraId="75898C64" w14:textId="6DEB7684" w:rsidR="00840848" w:rsidRPr="00966535" w:rsidRDefault="00E21BA3" w:rsidP="00E21BA3">
      <w:pPr>
        <w:spacing w:after="0"/>
        <w:jc w:val="both"/>
      </w:pPr>
      <w:r w:rsidRPr="00966535">
        <w:t xml:space="preserve">From the graph </w:t>
      </w:r>
      <w:r w:rsidR="002959DE" w:rsidRPr="00966535">
        <w:rPr>
          <w:lang w:val="id-ID"/>
        </w:rPr>
        <w:t>describe</w:t>
      </w:r>
      <w:r w:rsidR="0089367A" w:rsidRPr="00966535">
        <w:rPr>
          <w:lang w:val="id-ID"/>
        </w:rPr>
        <w:t>s</w:t>
      </w:r>
      <w:r w:rsidR="00C630B6" w:rsidRPr="00966535">
        <w:rPr>
          <w:lang w:val="id-ID"/>
        </w:rPr>
        <w:t xml:space="preserve"> that</w:t>
      </w:r>
      <w:r w:rsidRPr="00966535">
        <w:t xml:space="preserve"> the value of the political stability of the majority of OIC countries</w:t>
      </w:r>
      <w:r w:rsidR="00C630B6" w:rsidRPr="00966535">
        <w:rPr>
          <w:lang w:val="id-ID"/>
        </w:rPr>
        <w:t xml:space="preserve"> is </w:t>
      </w:r>
      <w:r w:rsidRPr="00966535">
        <w:t xml:space="preserve">on the negative line. The maximum average value of 1.14 is owned by Brunei Darussalam, this value is still classified as moderate in the range of political stability values -2.50 - 2.50. While the minimum value is -2.68 in Syria. </w:t>
      </w:r>
      <w:r w:rsidR="00840848" w:rsidRPr="00966535">
        <w:t xml:space="preserve">Even though </w:t>
      </w:r>
      <w:r w:rsidR="00840848" w:rsidRPr="00966535">
        <w:rPr>
          <w:lang w:val="id-ID"/>
        </w:rPr>
        <w:t>OIC countries</w:t>
      </w:r>
      <w:r w:rsidR="00840848" w:rsidRPr="00966535">
        <w:t xml:space="preserve"> were thought to have extraordinary economic and developing prospects, Muslim countries have lost many of their growth trajectories due to the emergence of various political upheavals in the form of wars, foreign invasions, coups, ethnic rivalries, and sectarian violence.</w:t>
      </w:r>
    </w:p>
    <w:p w14:paraId="31AFF65F" w14:textId="6071ED2A" w:rsidR="00513E85" w:rsidRDefault="00513E85" w:rsidP="00513E85">
      <w:pPr>
        <w:spacing w:after="0" w:line="276" w:lineRule="auto"/>
        <w:jc w:val="both"/>
        <w:rPr>
          <w:lang w:val="id-ID"/>
        </w:rPr>
      </w:pPr>
    </w:p>
    <w:p w14:paraId="542BBDA8" w14:textId="517DF625" w:rsidR="005800DB" w:rsidRPr="005800DB" w:rsidRDefault="00513E85" w:rsidP="004A682D">
      <w:pPr>
        <w:spacing w:after="0" w:line="276" w:lineRule="auto"/>
        <w:jc w:val="both"/>
        <w:rPr>
          <w:lang w:val="id-ID"/>
        </w:rPr>
      </w:pPr>
      <w:r w:rsidRPr="00BD4424">
        <w:rPr>
          <w:rFonts w:cstheme="minorHAnsi"/>
        </w:rPr>
        <w:t xml:space="preserve">Based on the </w:t>
      </w:r>
      <w:r w:rsidR="003A53FF" w:rsidRPr="00BD4424">
        <w:rPr>
          <w:rFonts w:cstheme="minorHAnsi"/>
          <w:lang w:val="id-ID"/>
        </w:rPr>
        <w:t>dynamics outlined</w:t>
      </w:r>
      <w:r w:rsidRPr="00BD4424">
        <w:rPr>
          <w:rFonts w:cstheme="minorHAnsi"/>
        </w:rPr>
        <w:t xml:space="preserve"> above</w:t>
      </w:r>
      <w:r w:rsidR="0020700E" w:rsidRPr="00BD4424">
        <w:rPr>
          <w:rFonts w:cstheme="minorHAnsi"/>
        </w:rPr>
        <w:t>, this study aims to close the knowledge gap</w:t>
      </w:r>
      <w:r w:rsidR="000504E5" w:rsidRPr="00BD4424">
        <w:rPr>
          <w:rFonts w:cstheme="minorHAnsi"/>
          <w:lang w:val="id-ID"/>
        </w:rPr>
        <w:t xml:space="preserve"> b</w:t>
      </w:r>
      <w:r w:rsidR="000504E5" w:rsidRPr="00BD4424">
        <w:rPr>
          <w:rFonts w:cstheme="minorHAnsi"/>
        </w:rPr>
        <w:t xml:space="preserve">y concentrating on macroeconomic factors and </w:t>
      </w:r>
      <w:r w:rsidR="000504E5" w:rsidRPr="00BD4424">
        <w:rPr>
          <w:rFonts w:cstheme="minorHAnsi"/>
          <w:lang w:val="id-ID"/>
        </w:rPr>
        <w:t>human development</w:t>
      </w:r>
      <w:r w:rsidR="000504E5" w:rsidRPr="00BD4424">
        <w:rPr>
          <w:rFonts w:cstheme="minorHAnsi"/>
        </w:rPr>
        <w:t xml:space="preserve"> in Muslim nations that are OIC members</w:t>
      </w:r>
      <w:r w:rsidR="00EE53DD" w:rsidRPr="00BD4424">
        <w:rPr>
          <w:rFonts w:cstheme="minorHAnsi"/>
          <w:lang w:val="id-ID"/>
        </w:rPr>
        <w:t>, u</w:t>
      </w:r>
      <w:r w:rsidR="0020700E" w:rsidRPr="00BD4424">
        <w:rPr>
          <w:rFonts w:cstheme="minorHAnsi"/>
        </w:rPr>
        <w:t>sing political stability as a moderating variable</w:t>
      </w:r>
      <w:r w:rsidR="00EE53DD" w:rsidRPr="00BD4424">
        <w:rPr>
          <w:rFonts w:cstheme="minorHAnsi"/>
          <w:lang w:val="id-ID"/>
        </w:rPr>
        <w:t xml:space="preserve">. </w:t>
      </w:r>
      <w:r w:rsidR="00EE53DD" w:rsidRPr="00BD4424">
        <w:rPr>
          <w:rFonts w:cstheme="minorHAnsi"/>
        </w:rPr>
        <w:t>T</w:t>
      </w:r>
      <w:r w:rsidR="0020700E" w:rsidRPr="00BD4424">
        <w:rPr>
          <w:rFonts w:cstheme="minorHAnsi"/>
        </w:rPr>
        <w:t>his study examines four macroeconomic variables—inflation, unemployment, trade openness, and foreign direct investment—on the Human Development Index (IPM) to determine how much of an impact they have on the economic and social development of OIC nations between 2011 and 2020.</w:t>
      </w:r>
      <w:r w:rsidR="003B1D01" w:rsidRPr="003B1D01">
        <w:rPr>
          <w:rFonts w:cstheme="minorHAnsi"/>
          <w:lang w:val="id-ID"/>
        </w:rPr>
        <w:t xml:space="preserve"> </w:t>
      </w:r>
      <w:r w:rsidR="0020700E" w:rsidRPr="0020700E">
        <w:rPr>
          <w:lang w:val="id-ID"/>
        </w:rPr>
        <w:t>Additionally, the study makes use of dynamic panel data using the generalized method of moments (GMM) model, both with and without interaction.</w:t>
      </w:r>
      <w:r w:rsidR="005800DB" w:rsidRPr="005800DB">
        <w:rPr>
          <w:lang w:val="id-ID"/>
        </w:rPr>
        <w:t xml:space="preserve"> The model of estimations will show clearly how much political stability and </w:t>
      </w:r>
      <w:r w:rsidR="005800DB" w:rsidRPr="005800DB">
        <w:rPr>
          <w:lang w:val="id-ID"/>
        </w:rPr>
        <w:lastRenderedPageBreak/>
        <w:t xml:space="preserve">macroeconomic factors have affected human growth in OIC countries. This study is </w:t>
      </w:r>
      <w:r w:rsidR="002F5ABF" w:rsidRPr="00047BB4">
        <w:rPr>
          <w:lang w:val="id-ID"/>
        </w:rPr>
        <w:t>quiet</w:t>
      </w:r>
      <w:r w:rsidR="002F5ABF" w:rsidRPr="00047BB4">
        <w:t xml:space="preserve"> important </w:t>
      </w:r>
      <w:r w:rsidR="005800DB" w:rsidRPr="005800DB">
        <w:rPr>
          <w:lang w:val="id-ID"/>
        </w:rPr>
        <w:t xml:space="preserve">for the OIC countries, </w:t>
      </w:r>
      <w:r w:rsidR="002F5ABF" w:rsidRPr="00047BB4">
        <w:rPr>
          <w:lang w:val="id-ID"/>
        </w:rPr>
        <w:t>particularly toward</w:t>
      </w:r>
      <w:r w:rsidR="002F5ABF" w:rsidRPr="00047BB4">
        <w:t xml:space="preserve"> </w:t>
      </w:r>
      <w:r w:rsidR="005800DB" w:rsidRPr="005800DB">
        <w:rPr>
          <w:lang w:val="id-ID"/>
        </w:rPr>
        <w:t>economic, health, and post-pandemic political crises.</w:t>
      </w:r>
    </w:p>
    <w:p w14:paraId="7C5E0003" w14:textId="77777777" w:rsidR="002F5ABF" w:rsidRDefault="002F5ABF">
      <w:pPr>
        <w:spacing w:after="0"/>
        <w:jc w:val="both"/>
        <w:rPr>
          <w:b/>
          <w:sz w:val="28"/>
          <w:szCs w:val="28"/>
          <w:rtl/>
        </w:rPr>
      </w:pPr>
    </w:p>
    <w:p w14:paraId="00000024" w14:textId="1B73DA3D" w:rsidR="008213D5" w:rsidRDefault="00106630" w:rsidP="00106630">
      <w:pPr>
        <w:spacing w:after="0"/>
        <w:jc w:val="center"/>
        <w:rPr>
          <w:b/>
          <w:sz w:val="28"/>
          <w:szCs w:val="28"/>
        </w:rPr>
      </w:pPr>
      <w:r>
        <w:rPr>
          <w:b/>
          <w:sz w:val="28"/>
          <w:szCs w:val="28"/>
        </w:rPr>
        <w:t>Research method</w:t>
      </w:r>
    </w:p>
    <w:p w14:paraId="53FCE4BF" w14:textId="113FEA0E" w:rsidR="00C33F31" w:rsidRPr="00106630" w:rsidRDefault="00C33F31" w:rsidP="00C33F31">
      <w:pPr>
        <w:autoSpaceDE w:val="0"/>
        <w:autoSpaceDN w:val="0"/>
        <w:adjustRightInd w:val="0"/>
        <w:spacing w:line="240" w:lineRule="auto"/>
        <w:jc w:val="both"/>
        <w:rPr>
          <w:rFonts w:asciiTheme="minorHAnsi" w:hAnsiTheme="minorHAnsi" w:cstheme="minorHAnsi"/>
          <w:b/>
          <w:bCs/>
          <w:lang w:val="id-ID"/>
        </w:rPr>
      </w:pPr>
      <w:r w:rsidRPr="00106630">
        <w:rPr>
          <w:rFonts w:asciiTheme="minorHAnsi" w:hAnsiTheme="minorHAnsi" w:cstheme="minorHAnsi"/>
          <w:b/>
          <w:bCs/>
          <w:lang w:val="id-ID"/>
        </w:rPr>
        <w:t>Type and data resource</w:t>
      </w:r>
    </w:p>
    <w:p w14:paraId="5BF32F20" w14:textId="78E29EA3" w:rsidR="00F044F7" w:rsidRDefault="00F044F7" w:rsidP="007B3B9B">
      <w:pPr>
        <w:spacing w:after="0"/>
        <w:jc w:val="both"/>
      </w:pPr>
      <w:r>
        <w:t>Th</w:t>
      </w:r>
      <w:r>
        <w:rPr>
          <w:lang w:val="id-ID"/>
        </w:rPr>
        <w:t>e</w:t>
      </w:r>
      <w:r>
        <w:t xml:space="preserve"> descriptive-quantitative </w:t>
      </w:r>
      <w:r>
        <w:rPr>
          <w:lang w:val="id-ID"/>
        </w:rPr>
        <w:t>method</w:t>
      </w:r>
      <w:r w:rsidR="00F746D4">
        <w:rPr>
          <w:lang w:val="id-ID"/>
        </w:rPr>
        <w:t xml:space="preserve"> is</w:t>
      </w:r>
      <w:r>
        <w:t xml:space="preserve"> </w:t>
      </w:r>
      <w:r w:rsidR="00295065">
        <w:rPr>
          <w:lang w:val="id-ID"/>
        </w:rPr>
        <w:t>applie</w:t>
      </w:r>
      <w:r>
        <w:t>d in this study.</w:t>
      </w:r>
      <w:r>
        <w:rPr>
          <w:lang w:val="id-ID"/>
        </w:rPr>
        <w:t xml:space="preserve"> </w:t>
      </w:r>
      <w:r>
        <w:t xml:space="preserve">The research population consist of all OIC member countries </w:t>
      </w:r>
      <w:r>
        <w:rPr>
          <w:lang w:val="id-ID"/>
        </w:rPr>
        <w:t>which</w:t>
      </w:r>
      <w:r>
        <w:t xml:space="preserve"> had been registered until 2022. However, due to limited data from the entire population</w:t>
      </w:r>
      <w:r>
        <w:rPr>
          <w:lang w:val="id-ID"/>
        </w:rPr>
        <w:t xml:space="preserve">, the </w:t>
      </w:r>
      <w:r>
        <w:t>purposive sampling method</w:t>
      </w:r>
      <w:r>
        <w:rPr>
          <w:lang w:val="id-ID"/>
        </w:rPr>
        <w:t xml:space="preserve"> </w:t>
      </w:r>
      <w:r>
        <w:t xml:space="preserve">samples </w:t>
      </w:r>
      <w:r w:rsidR="006F1346">
        <w:rPr>
          <w:lang w:val="id-ID"/>
        </w:rPr>
        <w:t>are used</w:t>
      </w:r>
      <w:r>
        <w:rPr>
          <w:lang w:val="id-ID"/>
        </w:rPr>
        <w:t xml:space="preserve">, </w:t>
      </w:r>
      <w:r w:rsidR="00F746D4">
        <w:rPr>
          <w:lang w:val="id-ID"/>
        </w:rPr>
        <w:t>the</w:t>
      </w:r>
      <w:r>
        <w:rPr>
          <w:lang w:val="id-ID"/>
        </w:rPr>
        <w:t xml:space="preserve"> </w:t>
      </w:r>
      <w:r>
        <w:t>sample selection based on certain criteria</w:t>
      </w:r>
      <w:r w:rsidR="007B3B9B">
        <w:rPr>
          <w:lang w:val="id-ID"/>
        </w:rPr>
        <w:t>’s that the s</w:t>
      </w:r>
      <w:proofErr w:type="spellStart"/>
      <w:r>
        <w:t>amples</w:t>
      </w:r>
      <w:proofErr w:type="spellEnd"/>
      <w:r>
        <w:t xml:space="preserve"> are taken from the availability of data based on the object under study</w:t>
      </w:r>
      <w:r w:rsidR="007B3B9B">
        <w:rPr>
          <w:lang w:val="id-ID"/>
        </w:rPr>
        <w:t xml:space="preserve">, </w:t>
      </w:r>
      <w:r>
        <w:t>The countries</w:t>
      </w:r>
      <w:r w:rsidR="007B3B9B">
        <w:rPr>
          <w:lang w:val="id-ID"/>
        </w:rPr>
        <w:t xml:space="preserve"> </w:t>
      </w:r>
      <w:r>
        <w:t>actively participate in using macroeconomic indicators (inflation, unemployment, trade openness and FDI) as well as political stability in advancing their human development</w:t>
      </w:r>
      <w:r w:rsidR="007B3B9B">
        <w:rPr>
          <w:lang w:val="id-ID"/>
        </w:rPr>
        <w:t xml:space="preserve">, the </w:t>
      </w:r>
      <w:r>
        <w:t xml:space="preserve">countries data </w:t>
      </w:r>
      <w:r w:rsidR="007B3B9B">
        <w:rPr>
          <w:lang w:val="id-ID"/>
        </w:rPr>
        <w:t>are</w:t>
      </w:r>
      <w:r>
        <w:t xml:space="preserve"> available at UNDP, WGI and the World Bank within the last 10 years.</w:t>
      </w:r>
    </w:p>
    <w:p w14:paraId="1B63CD85" w14:textId="77777777" w:rsidR="00F044F7" w:rsidRDefault="00F044F7" w:rsidP="00F044F7">
      <w:pPr>
        <w:spacing w:after="0"/>
        <w:ind w:firstLine="720"/>
        <w:jc w:val="both"/>
      </w:pPr>
    </w:p>
    <w:p w14:paraId="5ED03A8F" w14:textId="4646584E" w:rsidR="00F044F7" w:rsidRDefault="00F044F7" w:rsidP="000434D1">
      <w:pPr>
        <w:spacing w:after="0"/>
        <w:jc w:val="both"/>
      </w:pPr>
      <w:r>
        <w:rPr>
          <w:lang w:val="id-ID"/>
        </w:rPr>
        <w:t xml:space="preserve">The research </w:t>
      </w:r>
      <w:r>
        <w:t>us</w:t>
      </w:r>
      <w:r>
        <w:rPr>
          <w:lang w:val="id-ID"/>
        </w:rPr>
        <w:t>e</w:t>
      </w:r>
      <w:r>
        <w:t xml:space="preserve"> a documentation approach, which requires searching directly to the website or related page in collecting the data needed for the study. Data from affiliated websites and organizations is used. HDI statistics sourced from UNDP reports. Meanwhile, inflation, trade openness and foreign direct investment are obtained from world bank data. </w:t>
      </w:r>
      <w:proofErr w:type="spellStart"/>
      <w:proofErr w:type="gramStart"/>
      <w:r>
        <w:t>Likewis</w:t>
      </w:r>
      <w:proofErr w:type="spellEnd"/>
      <w:r w:rsidR="00837921">
        <w:rPr>
          <w:lang w:val="id-ID"/>
        </w:rPr>
        <w:t>e</w:t>
      </w:r>
      <w:proofErr w:type="gramEnd"/>
      <w:r w:rsidR="00837921">
        <w:rPr>
          <w:lang w:val="id-ID"/>
        </w:rPr>
        <w:t xml:space="preserve"> </w:t>
      </w:r>
      <w:r>
        <w:t xml:space="preserve">with political stability data. </w:t>
      </w:r>
      <w:r w:rsidR="006F1346">
        <w:rPr>
          <w:lang w:val="id-ID"/>
        </w:rPr>
        <w:t>All</w:t>
      </w:r>
      <w:r>
        <w:t xml:space="preserve"> samples </w:t>
      </w:r>
      <w:r w:rsidR="006F1346">
        <w:rPr>
          <w:lang w:val="id-ID"/>
        </w:rPr>
        <w:t xml:space="preserve">are </w:t>
      </w:r>
      <w:r>
        <w:t>range</w:t>
      </w:r>
      <w:r w:rsidR="006F1346">
        <w:rPr>
          <w:lang w:val="id-ID"/>
        </w:rPr>
        <w:t>d</w:t>
      </w:r>
      <w:r>
        <w:t xml:space="preserve"> from the </w:t>
      </w:r>
      <w:r w:rsidR="00FC0862">
        <w:rPr>
          <w:lang w:val="id-ID"/>
        </w:rPr>
        <w:t xml:space="preserve">year </w:t>
      </w:r>
      <w:r>
        <w:t>2011-2020.</w:t>
      </w:r>
    </w:p>
    <w:p w14:paraId="6E3753D0" w14:textId="77777777" w:rsidR="00A73E71" w:rsidRDefault="00A73E71" w:rsidP="00C95055">
      <w:pPr>
        <w:spacing w:line="240" w:lineRule="auto"/>
        <w:jc w:val="both"/>
        <w:outlineLvl w:val="2"/>
        <w:rPr>
          <w:rFonts w:cstheme="minorHAnsi"/>
          <w:b/>
          <w:bCs/>
          <w:sz w:val="28"/>
          <w:szCs w:val="28"/>
          <w:lang w:val="id-ID"/>
        </w:rPr>
      </w:pPr>
      <w:bookmarkStart w:id="2" w:name="_Toc68590886"/>
    </w:p>
    <w:p w14:paraId="51B2D69B" w14:textId="0BB3FE10" w:rsidR="00C33F31" w:rsidRDefault="00106630" w:rsidP="00C95055">
      <w:pPr>
        <w:spacing w:line="240" w:lineRule="auto"/>
        <w:jc w:val="both"/>
        <w:outlineLvl w:val="2"/>
        <w:rPr>
          <w:rFonts w:cstheme="minorHAnsi"/>
          <w:b/>
          <w:bCs/>
          <w:lang w:val="id-ID"/>
        </w:rPr>
      </w:pPr>
      <w:r w:rsidRPr="00966535">
        <w:rPr>
          <w:rFonts w:cstheme="minorHAnsi"/>
          <w:b/>
          <w:bCs/>
          <w:lang w:val="id-ID"/>
        </w:rPr>
        <w:t>Research variabel</w:t>
      </w:r>
      <w:r w:rsidRPr="00106630">
        <w:rPr>
          <w:rFonts w:cstheme="minorHAnsi"/>
          <w:b/>
          <w:bCs/>
          <w:lang w:val="id-ID"/>
        </w:rPr>
        <w:t xml:space="preserve"> </w:t>
      </w:r>
    </w:p>
    <w:p w14:paraId="0AB23958" w14:textId="26494C85" w:rsidR="00B0187A" w:rsidRPr="006C7412" w:rsidRDefault="00B0187A" w:rsidP="00C95055">
      <w:pPr>
        <w:spacing w:line="240" w:lineRule="auto"/>
        <w:jc w:val="both"/>
        <w:outlineLvl w:val="2"/>
        <w:rPr>
          <w:lang w:val="id-ID"/>
        </w:rPr>
      </w:pPr>
      <w:r w:rsidRPr="00B0187A">
        <w:t>In this study, the Human Development Index serves as the dependent variable, and four macroeconomic indicators—inflation, unemployment, trade openness, and foreign direct investment—serve as the independent variables. Political stability as m</w:t>
      </w:r>
      <w:r w:rsidR="00966535">
        <w:rPr>
          <w:lang w:val="id-ID"/>
        </w:rPr>
        <w:t>odera</w:t>
      </w:r>
      <w:r w:rsidRPr="00B0187A">
        <w:t xml:space="preserve">ting variable between the dependent and independent variables. Table 2 </w:t>
      </w:r>
      <w:r w:rsidR="006C7412">
        <w:rPr>
          <w:lang w:val="id-ID"/>
        </w:rPr>
        <w:t xml:space="preserve">below </w:t>
      </w:r>
      <w:r w:rsidRPr="00B0187A">
        <w:t>provides an explanation of each variable</w:t>
      </w:r>
      <w:r w:rsidR="006C7412">
        <w:rPr>
          <w:lang w:val="id-ID"/>
        </w:rPr>
        <w:t>:</w:t>
      </w:r>
    </w:p>
    <w:p w14:paraId="3ED07583" w14:textId="23CCB6CC" w:rsidR="002E34CD" w:rsidRPr="00714EF2" w:rsidRDefault="00714EF2" w:rsidP="00714EF2">
      <w:pPr>
        <w:pStyle w:val="Caption"/>
        <w:jc w:val="center"/>
        <w:rPr>
          <w:rFonts w:cstheme="minorHAnsi"/>
          <w:b/>
          <w:bCs/>
          <w:i w:val="0"/>
          <w:iCs w:val="0"/>
          <w:color w:val="auto"/>
          <w:sz w:val="22"/>
          <w:szCs w:val="22"/>
        </w:rPr>
      </w:pPr>
      <w:r w:rsidRPr="007F5A90">
        <w:rPr>
          <w:rFonts w:cstheme="minorHAnsi"/>
          <w:b/>
          <w:bCs/>
          <w:i w:val="0"/>
          <w:iCs w:val="0"/>
          <w:color w:val="auto"/>
          <w:sz w:val="22"/>
          <w:szCs w:val="22"/>
        </w:rPr>
        <w:t xml:space="preserve">Table </w:t>
      </w:r>
      <w:r>
        <w:rPr>
          <w:rFonts w:cstheme="minorHAnsi"/>
          <w:b/>
          <w:bCs/>
          <w:i w:val="0"/>
          <w:iCs w:val="0"/>
          <w:color w:val="auto"/>
          <w:sz w:val="22"/>
          <w:szCs w:val="22"/>
        </w:rPr>
        <w:t>1.2</w:t>
      </w:r>
      <w:r w:rsidRPr="007F5A90">
        <w:rPr>
          <w:rFonts w:cstheme="minorHAnsi"/>
          <w:b/>
          <w:bCs/>
          <w:i w:val="0"/>
          <w:iCs w:val="0"/>
          <w:color w:val="auto"/>
          <w:sz w:val="22"/>
          <w:szCs w:val="22"/>
        </w:rPr>
        <w:t xml:space="preserve"> </w:t>
      </w:r>
      <w:r>
        <w:rPr>
          <w:rFonts w:cstheme="minorHAnsi"/>
          <w:b/>
          <w:bCs/>
          <w:i w:val="0"/>
          <w:iCs w:val="0"/>
          <w:color w:val="auto"/>
          <w:sz w:val="22"/>
          <w:szCs w:val="22"/>
        </w:rPr>
        <w:t>Variables Used In Research</w:t>
      </w:r>
    </w:p>
    <w:tbl>
      <w:tblPr>
        <w:tblStyle w:val="PlainTable2"/>
        <w:tblW w:w="9067" w:type="dxa"/>
        <w:tblLook w:val="04A0" w:firstRow="1" w:lastRow="0" w:firstColumn="1" w:lastColumn="0" w:noHBand="0" w:noVBand="1"/>
      </w:tblPr>
      <w:tblGrid>
        <w:gridCol w:w="979"/>
        <w:gridCol w:w="3269"/>
        <w:gridCol w:w="2693"/>
        <w:gridCol w:w="2126"/>
      </w:tblGrid>
      <w:tr w:rsidR="00B8136F" w14:paraId="04584944" w14:textId="6AD3E655" w:rsidTr="00010A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dxa"/>
          </w:tcPr>
          <w:p w14:paraId="1122D51B" w14:textId="4EFFEA4D" w:rsidR="00B8136F" w:rsidRDefault="00B8136F" w:rsidP="002C43E9">
            <w:pPr>
              <w:jc w:val="center"/>
              <w:outlineLvl w:val="2"/>
              <w:rPr>
                <w:rFonts w:cstheme="minorHAnsi"/>
                <w:b w:val="0"/>
                <w:bCs w:val="0"/>
                <w:lang w:val="id-ID"/>
              </w:rPr>
            </w:pPr>
            <w:r>
              <w:rPr>
                <w:rFonts w:cstheme="minorHAnsi"/>
                <w:b w:val="0"/>
                <w:bCs w:val="0"/>
                <w:lang w:val="id-ID"/>
              </w:rPr>
              <w:t>Variabel</w:t>
            </w:r>
          </w:p>
        </w:tc>
        <w:tc>
          <w:tcPr>
            <w:tcW w:w="3269" w:type="dxa"/>
          </w:tcPr>
          <w:p w14:paraId="00561C8B" w14:textId="220E0456" w:rsidR="00B8136F" w:rsidRDefault="00B8136F" w:rsidP="002C43E9">
            <w:pPr>
              <w:jc w:val="center"/>
              <w:outlineLvl w:val="2"/>
              <w:cnfStyle w:val="100000000000" w:firstRow="1" w:lastRow="0" w:firstColumn="0" w:lastColumn="0" w:oddVBand="0" w:evenVBand="0" w:oddHBand="0" w:evenHBand="0" w:firstRowFirstColumn="0" w:firstRowLastColumn="0" w:lastRowFirstColumn="0" w:lastRowLastColumn="0"/>
              <w:rPr>
                <w:rFonts w:cstheme="minorHAnsi"/>
                <w:b w:val="0"/>
                <w:bCs w:val="0"/>
                <w:lang w:val="id-ID"/>
              </w:rPr>
            </w:pPr>
            <w:r>
              <w:rPr>
                <w:rFonts w:cstheme="minorHAnsi"/>
                <w:b w:val="0"/>
                <w:bCs w:val="0"/>
                <w:lang w:val="id-ID"/>
              </w:rPr>
              <w:t>Explanation</w:t>
            </w:r>
          </w:p>
        </w:tc>
        <w:tc>
          <w:tcPr>
            <w:tcW w:w="2693" w:type="dxa"/>
          </w:tcPr>
          <w:p w14:paraId="6A50EFA8" w14:textId="42435043" w:rsidR="00B8136F" w:rsidRDefault="00B36ECF" w:rsidP="002C43E9">
            <w:pPr>
              <w:jc w:val="center"/>
              <w:outlineLvl w:val="2"/>
              <w:cnfStyle w:val="100000000000" w:firstRow="1" w:lastRow="0" w:firstColumn="0" w:lastColumn="0" w:oddVBand="0" w:evenVBand="0" w:oddHBand="0" w:evenHBand="0" w:firstRowFirstColumn="0" w:firstRowLastColumn="0" w:lastRowFirstColumn="0" w:lastRowLastColumn="0"/>
              <w:rPr>
                <w:rFonts w:cstheme="minorHAnsi"/>
                <w:b w:val="0"/>
                <w:bCs w:val="0"/>
                <w:lang w:val="id-ID"/>
              </w:rPr>
            </w:pPr>
            <w:r>
              <w:rPr>
                <w:rFonts w:cstheme="minorHAnsi"/>
                <w:b w:val="0"/>
                <w:bCs w:val="0"/>
                <w:lang w:val="id-ID"/>
              </w:rPr>
              <w:t xml:space="preserve">Unit </w:t>
            </w:r>
          </w:p>
        </w:tc>
        <w:tc>
          <w:tcPr>
            <w:tcW w:w="2126" w:type="dxa"/>
          </w:tcPr>
          <w:p w14:paraId="5E3832F4" w14:textId="70B739EB" w:rsidR="00B8136F" w:rsidRDefault="00B36ECF" w:rsidP="002C43E9">
            <w:pPr>
              <w:jc w:val="center"/>
              <w:outlineLvl w:val="2"/>
              <w:cnfStyle w:val="100000000000" w:firstRow="1" w:lastRow="0" w:firstColumn="0" w:lastColumn="0" w:oddVBand="0" w:evenVBand="0" w:oddHBand="0" w:evenHBand="0" w:firstRowFirstColumn="0" w:firstRowLastColumn="0" w:lastRowFirstColumn="0" w:lastRowLastColumn="0"/>
              <w:rPr>
                <w:rFonts w:cstheme="minorHAnsi"/>
                <w:b w:val="0"/>
                <w:bCs w:val="0"/>
                <w:lang w:val="id-ID"/>
              </w:rPr>
            </w:pPr>
            <w:r>
              <w:rPr>
                <w:rFonts w:cstheme="minorHAnsi"/>
                <w:b w:val="0"/>
                <w:bCs w:val="0"/>
                <w:lang w:val="id-ID"/>
              </w:rPr>
              <w:t>Source</w:t>
            </w:r>
          </w:p>
        </w:tc>
      </w:tr>
      <w:tr w:rsidR="00B8136F" w14:paraId="7822CDCF" w14:textId="2D07A005" w:rsidTr="00010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dxa"/>
          </w:tcPr>
          <w:p w14:paraId="49FF6D0A" w14:textId="114C867F" w:rsidR="00B8136F" w:rsidRPr="002C43E9" w:rsidRDefault="00B8136F" w:rsidP="002C43E9">
            <w:pPr>
              <w:jc w:val="center"/>
              <w:outlineLvl w:val="2"/>
              <w:rPr>
                <w:rFonts w:cstheme="minorHAnsi"/>
                <w:lang w:val="id-ID"/>
              </w:rPr>
            </w:pPr>
            <w:r>
              <w:rPr>
                <w:rFonts w:cstheme="minorHAnsi"/>
                <w:lang w:val="id-ID"/>
              </w:rPr>
              <w:t>y</w:t>
            </w:r>
          </w:p>
        </w:tc>
        <w:tc>
          <w:tcPr>
            <w:tcW w:w="3269" w:type="dxa"/>
          </w:tcPr>
          <w:p w14:paraId="6706E4B8" w14:textId="5CB42FEB" w:rsidR="00B8136F" w:rsidRPr="002C43E9" w:rsidRDefault="00B8136F" w:rsidP="007E5AEA">
            <w:pPr>
              <w:outlineLvl w:val="2"/>
              <w:cnfStyle w:val="000000100000" w:firstRow="0" w:lastRow="0" w:firstColumn="0" w:lastColumn="0" w:oddVBand="0" w:evenVBand="0" w:oddHBand="1" w:evenHBand="0" w:firstRowFirstColumn="0" w:firstRowLastColumn="0" w:lastRowFirstColumn="0" w:lastRowLastColumn="0"/>
              <w:rPr>
                <w:rFonts w:cstheme="minorHAnsi"/>
                <w:lang w:val="id-ID"/>
              </w:rPr>
            </w:pPr>
            <w:r w:rsidRPr="002C43E9">
              <w:rPr>
                <w:rFonts w:cstheme="minorHAnsi"/>
                <w:lang w:val="id-ID"/>
              </w:rPr>
              <w:t>Human Development Index</w:t>
            </w:r>
          </w:p>
        </w:tc>
        <w:tc>
          <w:tcPr>
            <w:tcW w:w="2693" w:type="dxa"/>
          </w:tcPr>
          <w:p w14:paraId="2C78BCCA" w14:textId="205DAE27" w:rsidR="00B8136F" w:rsidRPr="002C43E9" w:rsidRDefault="00B36ECF" w:rsidP="007E5AEA">
            <w:pPr>
              <w:outlineLvl w:val="2"/>
              <w:cnfStyle w:val="000000100000" w:firstRow="0" w:lastRow="0" w:firstColumn="0" w:lastColumn="0" w:oddVBand="0" w:evenVBand="0" w:oddHBand="1" w:evenHBand="0" w:firstRowFirstColumn="0" w:firstRowLastColumn="0" w:lastRowFirstColumn="0" w:lastRowLastColumn="0"/>
              <w:rPr>
                <w:rFonts w:cstheme="minorHAnsi"/>
                <w:lang w:val="id-ID"/>
              </w:rPr>
            </w:pPr>
            <w:r>
              <w:rPr>
                <w:rFonts w:cstheme="minorHAnsi"/>
                <w:lang w:val="id-ID"/>
              </w:rPr>
              <w:t>Index</w:t>
            </w:r>
          </w:p>
        </w:tc>
        <w:tc>
          <w:tcPr>
            <w:tcW w:w="2126" w:type="dxa"/>
          </w:tcPr>
          <w:p w14:paraId="1892B071" w14:textId="4839E4EF" w:rsidR="00B8136F" w:rsidRPr="002C43E9" w:rsidRDefault="007E6C21" w:rsidP="007E5AEA">
            <w:pPr>
              <w:outlineLvl w:val="2"/>
              <w:cnfStyle w:val="000000100000" w:firstRow="0" w:lastRow="0" w:firstColumn="0" w:lastColumn="0" w:oddVBand="0" w:evenVBand="0" w:oddHBand="1" w:evenHBand="0" w:firstRowFirstColumn="0" w:firstRowLastColumn="0" w:lastRowFirstColumn="0" w:lastRowLastColumn="0"/>
              <w:rPr>
                <w:rFonts w:cstheme="minorHAnsi"/>
                <w:lang w:val="id-ID"/>
              </w:rPr>
            </w:pPr>
            <w:r>
              <w:rPr>
                <w:rFonts w:cstheme="minorHAnsi"/>
                <w:lang w:val="id-ID"/>
              </w:rPr>
              <w:t>UNDP</w:t>
            </w:r>
          </w:p>
        </w:tc>
      </w:tr>
      <w:tr w:rsidR="00B8136F" w14:paraId="303E1C5D" w14:textId="4E87A39C" w:rsidTr="00010A31">
        <w:tc>
          <w:tcPr>
            <w:cnfStyle w:val="001000000000" w:firstRow="0" w:lastRow="0" w:firstColumn="1" w:lastColumn="0" w:oddVBand="0" w:evenVBand="0" w:oddHBand="0" w:evenHBand="0" w:firstRowFirstColumn="0" w:firstRowLastColumn="0" w:lastRowFirstColumn="0" w:lastRowLastColumn="0"/>
            <w:tcW w:w="979" w:type="dxa"/>
          </w:tcPr>
          <w:p w14:paraId="6A3E6A2B" w14:textId="763334D6" w:rsidR="00B8136F" w:rsidRPr="007E5AEA" w:rsidRDefault="00B8136F" w:rsidP="00F0532C">
            <w:pPr>
              <w:jc w:val="center"/>
              <w:outlineLvl w:val="2"/>
              <w:rPr>
                <w:rFonts w:cstheme="minorHAnsi"/>
                <w:lang w:val="id-ID"/>
              </w:rPr>
            </w:pPr>
            <w:r w:rsidRPr="007E5AEA">
              <w:rPr>
                <w:rFonts w:cstheme="minorHAnsi"/>
                <w:lang w:val="id-ID"/>
              </w:rPr>
              <w:t>X1</w:t>
            </w:r>
          </w:p>
        </w:tc>
        <w:tc>
          <w:tcPr>
            <w:tcW w:w="3269" w:type="dxa"/>
          </w:tcPr>
          <w:p w14:paraId="777BEA14" w14:textId="1BD56151" w:rsidR="00B8136F" w:rsidRPr="007E5AEA" w:rsidRDefault="00B8136F" w:rsidP="00C95055">
            <w:pPr>
              <w:jc w:val="both"/>
              <w:outlineLvl w:val="2"/>
              <w:cnfStyle w:val="000000000000" w:firstRow="0" w:lastRow="0" w:firstColumn="0" w:lastColumn="0" w:oddVBand="0" w:evenVBand="0" w:oddHBand="0" w:evenHBand="0" w:firstRowFirstColumn="0" w:firstRowLastColumn="0" w:lastRowFirstColumn="0" w:lastRowLastColumn="0"/>
              <w:rPr>
                <w:rFonts w:cstheme="minorHAnsi"/>
                <w:lang w:val="id-ID"/>
              </w:rPr>
            </w:pPr>
            <w:r>
              <w:rPr>
                <w:rFonts w:cstheme="minorHAnsi"/>
                <w:lang w:val="id-ID"/>
              </w:rPr>
              <w:t>Inflation Rate</w:t>
            </w:r>
          </w:p>
        </w:tc>
        <w:tc>
          <w:tcPr>
            <w:tcW w:w="2693" w:type="dxa"/>
          </w:tcPr>
          <w:p w14:paraId="323ED7E3" w14:textId="6922BE36" w:rsidR="00B8136F" w:rsidRDefault="00B36ECF" w:rsidP="00C95055">
            <w:pPr>
              <w:jc w:val="both"/>
              <w:outlineLvl w:val="2"/>
              <w:cnfStyle w:val="000000000000" w:firstRow="0" w:lastRow="0" w:firstColumn="0" w:lastColumn="0" w:oddVBand="0" w:evenVBand="0" w:oddHBand="0" w:evenHBand="0" w:firstRowFirstColumn="0" w:firstRowLastColumn="0" w:lastRowFirstColumn="0" w:lastRowLastColumn="0"/>
              <w:rPr>
                <w:rFonts w:cstheme="minorHAnsi"/>
                <w:lang w:val="id-ID"/>
              </w:rPr>
            </w:pPr>
            <w:r>
              <w:rPr>
                <w:rFonts w:cstheme="minorHAnsi"/>
                <w:lang w:val="id-ID"/>
              </w:rPr>
              <w:t>Percent</w:t>
            </w:r>
          </w:p>
        </w:tc>
        <w:tc>
          <w:tcPr>
            <w:tcW w:w="2126" w:type="dxa"/>
          </w:tcPr>
          <w:p w14:paraId="449C793B" w14:textId="1ED16F64" w:rsidR="00B8136F" w:rsidRDefault="007E6C21" w:rsidP="00C95055">
            <w:pPr>
              <w:jc w:val="both"/>
              <w:outlineLvl w:val="2"/>
              <w:cnfStyle w:val="000000000000" w:firstRow="0" w:lastRow="0" w:firstColumn="0" w:lastColumn="0" w:oddVBand="0" w:evenVBand="0" w:oddHBand="0" w:evenHBand="0" w:firstRowFirstColumn="0" w:firstRowLastColumn="0" w:lastRowFirstColumn="0" w:lastRowLastColumn="0"/>
              <w:rPr>
                <w:rFonts w:cstheme="minorHAnsi"/>
                <w:lang w:val="id-ID"/>
              </w:rPr>
            </w:pPr>
            <w:r>
              <w:rPr>
                <w:rFonts w:cstheme="minorHAnsi"/>
                <w:lang w:val="id-ID"/>
              </w:rPr>
              <w:t>World Bank</w:t>
            </w:r>
          </w:p>
        </w:tc>
      </w:tr>
      <w:tr w:rsidR="00B8136F" w:rsidRPr="00F0532C" w14:paraId="1AE77269" w14:textId="41E392F1" w:rsidTr="00010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dxa"/>
          </w:tcPr>
          <w:p w14:paraId="59D2E4FD" w14:textId="45B7F2B7" w:rsidR="00B8136F" w:rsidRPr="00F0532C" w:rsidRDefault="00B8136F" w:rsidP="00F0532C">
            <w:pPr>
              <w:jc w:val="center"/>
              <w:outlineLvl w:val="2"/>
              <w:rPr>
                <w:rFonts w:cstheme="minorHAnsi"/>
                <w:lang w:val="id-ID"/>
              </w:rPr>
            </w:pPr>
            <w:r w:rsidRPr="00F0532C">
              <w:rPr>
                <w:rFonts w:cstheme="minorHAnsi"/>
                <w:lang w:val="id-ID"/>
              </w:rPr>
              <w:t>X2</w:t>
            </w:r>
          </w:p>
        </w:tc>
        <w:tc>
          <w:tcPr>
            <w:tcW w:w="3269" w:type="dxa"/>
          </w:tcPr>
          <w:p w14:paraId="0AA7A983" w14:textId="5A1C2281" w:rsidR="00B8136F" w:rsidRPr="00F0532C" w:rsidRDefault="00B8136F" w:rsidP="00C95055">
            <w:pPr>
              <w:jc w:val="both"/>
              <w:outlineLvl w:val="2"/>
              <w:cnfStyle w:val="000000100000" w:firstRow="0" w:lastRow="0" w:firstColumn="0" w:lastColumn="0" w:oddVBand="0" w:evenVBand="0" w:oddHBand="1" w:evenHBand="0" w:firstRowFirstColumn="0" w:firstRowLastColumn="0" w:lastRowFirstColumn="0" w:lastRowLastColumn="0"/>
              <w:rPr>
                <w:rFonts w:cstheme="minorHAnsi"/>
                <w:lang w:val="id-ID"/>
              </w:rPr>
            </w:pPr>
            <w:r w:rsidRPr="00F0532C">
              <w:rPr>
                <w:rFonts w:cstheme="minorHAnsi"/>
                <w:lang w:val="id-ID"/>
              </w:rPr>
              <w:t>Unemployment</w:t>
            </w:r>
          </w:p>
        </w:tc>
        <w:tc>
          <w:tcPr>
            <w:tcW w:w="2693" w:type="dxa"/>
          </w:tcPr>
          <w:p w14:paraId="31A65130" w14:textId="22543F1D" w:rsidR="00B8136F" w:rsidRPr="00F0532C" w:rsidRDefault="007E6C21" w:rsidP="00C95055">
            <w:pPr>
              <w:jc w:val="both"/>
              <w:outlineLvl w:val="2"/>
              <w:cnfStyle w:val="000000100000" w:firstRow="0" w:lastRow="0" w:firstColumn="0" w:lastColumn="0" w:oddVBand="0" w:evenVBand="0" w:oddHBand="1" w:evenHBand="0" w:firstRowFirstColumn="0" w:firstRowLastColumn="0" w:lastRowFirstColumn="0" w:lastRowLastColumn="0"/>
              <w:rPr>
                <w:rFonts w:cstheme="minorHAnsi"/>
                <w:lang w:val="id-ID"/>
              </w:rPr>
            </w:pPr>
            <w:r>
              <w:rPr>
                <w:rFonts w:cstheme="minorHAnsi"/>
                <w:lang w:val="id-ID"/>
              </w:rPr>
              <w:t xml:space="preserve">Percent </w:t>
            </w:r>
          </w:p>
        </w:tc>
        <w:tc>
          <w:tcPr>
            <w:tcW w:w="2126" w:type="dxa"/>
          </w:tcPr>
          <w:p w14:paraId="5288FE77" w14:textId="344ED30D" w:rsidR="00B8136F" w:rsidRPr="00F0532C" w:rsidRDefault="007E6C21" w:rsidP="00C95055">
            <w:pPr>
              <w:jc w:val="both"/>
              <w:outlineLvl w:val="2"/>
              <w:cnfStyle w:val="000000100000" w:firstRow="0" w:lastRow="0" w:firstColumn="0" w:lastColumn="0" w:oddVBand="0" w:evenVBand="0" w:oddHBand="1" w:evenHBand="0" w:firstRowFirstColumn="0" w:firstRowLastColumn="0" w:lastRowFirstColumn="0" w:lastRowLastColumn="0"/>
              <w:rPr>
                <w:rFonts w:cstheme="minorHAnsi"/>
                <w:lang w:val="id-ID"/>
              </w:rPr>
            </w:pPr>
            <w:r>
              <w:rPr>
                <w:rFonts w:cstheme="minorHAnsi"/>
                <w:lang w:val="id-ID"/>
              </w:rPr>
              <w:t>World Bank</w:t>
            </w:r>
          </w:p>
        </w:tc>
      </w:tr>
      <w:tr w:rsidR="00B8136F" w:rsidRPr="00F0532C" w14:paraId="1FDCC9A2" w14:textId="6C97100B" w:rsidTr="00010A31">
        <w:tc>
          <w:tcPr>
            <w:cnfStyle w:val="001000000000" w:firstRow="0" w:lastRow="0" w:firstColumn="1" w:lastColumn="0" w:oddVBand="0" w:evenVBand="0" w:oddHBand="0" w:evenHBand="0" w:firstRowFirstColumn="0" w:firstRowLastColumn="0" w:lastRowFirstColumn="0" w:lastRowLastColumn="0"/>
            <w:tcW w:w="979" w:type="dxa"/>
          </w:tcPr>
          <w:p w14:paraId="3C1CD4FA" w14:textId="0D71BD3D" w:rsidR="00B8136F" w:rsidRPr="00F0532C" w:rsidRDefault="00B8136F" w:rsidP="00F0532C">
            <w:pPr>
              <w:jc w:val="center"/>
              <w:outlineLvl w:val="2"/>
              <w:rPr>
                <w:rFonts w:cstheme="minorHAnsi"/>
                <w:lang w:val="id-ID"/>
              </w:rPr>
            </w:pPr>
            <w:r w:rsidRPr="00F0532C">
              <w:rPr>
                <w:rFonts w:cstheme="minorHAnsi"/>
                <w:lang w:val="id-ID"/>
              </w:rPr>
              <w:t>X3</w:t>
            </w:r>
          </w:p>
        </w:tc>
        <w:tc>
          <w:tcPr>
            <w:tcW w:w="3269" w:type="dxa"/>
          </w:tcPr>
          <w:p w14:paraId="39234274" w14:textId="621E0565" w:rsidR="00B8136F" w:rsidRPr="00F0532C" w:rsidRDefault="00B8136F" w:rsidP="00C95055">
            <w:pPr>
              <w:jc w:val="both"/>
              <w:outlineLvl w:val="2"/>
              <w:cnfStyle w:val="000000000000" w:firstRow="0" w:lastRow="0" w:firstColumn="0" w:lastColumn="0" w:oddVBand="0" w:evenVBand="0" w:oddHBand="0" w:evenHBand="0" w:firstRowFirstColumn="0" w:firstRowLastColumn="0" w:lastRowFirstColumn="0" w:lastRowLastColumn="0"/>
              <w:rPr>
                <w:rFonts w:cstheme="minorHAnsi"/>
                <w:lang w:val="id-ID"/>
              </w:rPr>
            </w:pPr>
            <w:r w:rsidRPr="00F0532C">
              <w:rPr>
                <w:rFonts w:cstheme="minorHAnsi"/>
                <w:lang w:val="id-ID"/>
              </w:rPr>
              <w:t>Trade Openness</w:t>
            </w:r>
          </w:p>
        </w:tc>
        <w:tc>
          <w:tcPr>
            <w:tcW w:w="2693" w:type="dxa"/>
          </w:tcPr>
          <w:p w14:paraId="20472340" w14:textId="3BA8259C" w:rsidR="00B8136F" w:rsidRPr="00F0532C" w:rsidRDefault="007E6C21" w:rsidP="00C95055">
            <w:pPr>
              <w:jc w:val="both"/>
              <w:outlineLvl w:val="2"/>
              <w:cnfStyle w:val="000000000000" w:firstRow="0" w:lastRow="0" w:firstColumn="0" w:lastColumn="0" w:oddVBand="0" w:evenVBand="0" w:oddHBand="0" w:evenHBand="0" w:firstRowFirstColumn="0" w:firstRowLastColumn="0" w:lastRowFirstColumn="0" w:lastRowLastColumn="0"/>
              <w:rPr>
                <w:rFonts w:cstheme="minorHAnsi"/>
                <w:lang w:val="id-ID"/>
              </w:rPr>
            </w:pPr>
            <w:r>
              <w:rPr>
                <w:rFonts w:cstheme="minorHAnsi"/>
                <w:lang w:val="id-ID"/>
              </w:rPr>
              <w:t xml:space="preserve">Pencent </w:t>
            </w:r>
          </w:p>
        </w:tc>
        <w:tc>
          <w:tcPr>
            <w:tcW w:w="2126" w:type="dxa"/>
          </w:tcPr>
          <w:p w14:paraId="7A4F56A6" w14:textId="4F0367DF" w:rsidR="00B8136F" w:rsidRPr="00F0532C" w:rsidRDefault="007E6C21" w:rsidP="00C95055">
            <w:pPr>
              <w:jc w:val="both"/>
              <w:outlineLvl w:val="2"/>
              <w:cnfStyle w:val="000000000000" w:firstRow="0" w:lastRow="0" w:firstColumn="0" w:lastColumn="0" w:oddVBand="0" w:evenVBand="0" w:oddHBand="0" w:evenHBand="0" w:firstRowFirstColumn="0" w:firstRowLastColumn="0" w:lastRowFirstColumn="0" w:lastRowLastColumn="0"/>
              <w:rPr>
                <w:rFonts w:cstheme="minorHAnsi"/>
                <w:lang w:val="id-ID"/>
              </w:rPr>
            </w:pPr>
            <w:r>
              <w:rPr>
                <w:rFonts w:cstheme="minorHAnsi"/>
                <w:lang w:val="id-ID"/>
              </w:rPr>
              <w:t>World Bank</w:t>
            </w:r>
          </w:p>
        </w:tc>
      </w:tr>
      <w:tr w:rsidR="00B8136F" w:rsidRPr="00F0532C" w14:paraId="608DC399" w14:textId="50BC2ACB" w:rsidTr="00010A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9" w:type="dxa"/>
          </w:tcPr>
          <w:p w14:paraId="742FFD00" w14:textId="3AD1B382" w:rsidR="00B8136F" w:rsidRPr="00F0532C" w:rsidRDefault="00B8136F" w:rsidP="00F0532C">
            <w:pPr>
              <w:jc w:val="center"/>
              <w:outlineLvl w:val="2"/>
              <w:rPr>
                <w:rFonts w:cstheme="minorHAnsi"/>
                <w:lang w:val="id-ID"/>
              </w:rPr>
            </w:pPr>
            <w:r w:rsidRPr="00F0532C">
              <w:rPr>
                <w:rFonts w:cstheme="minorHAnsi"/>
                <w:lang w:val="id-ID"/>
              </w:rPr>
              <w:t>X4</w:t>
            </w:r>
          </w:p>
        </w:tc>
        <w:tc>
          <w:tcPr>
            <w:tcW w:w="3269" w:type="dxa"/>
          </w:tcPr>
          <w:p w14:paraId="7009EF32" w14:textId="064B5A7A" w:rsidR="00B8136F" w:rsidRPr="00F0532C" w:rsidRDefault="00B8136F" w:rsidP="00C95055">
            <w:pPr>
              <w:jc w:val="both"/>
              <w:outlineLvl w:val="2"/>
              <w:cnfStyle w:val="000000100000" w:firstRow="0" w:lastRow="0" w:firstColumn="0" w:lastColumn="0" w:oddVBand="0" w:evenVBand="0" w:oddHBand="1" w:evenHBand="0" w:firstRowFirstColumn="0" w:firstRowLastColumn="0" w:lastRowFirstColumn="0" w:lastRowLastColumn="0"/>
              <w:rPr>
                <w:rFonts w:cstheme="minorHAnsi"/>
                <w:lang w:val="id-ID"/>
              </w:rPr>
            </w:pPr>
            <w:r w:rsidRPr="00F0532C">
              <w:rPr>
                <w:rFonts w:cstheme="minorHAnsi"/>
                <w:lang w:val="id-ID"/>
              </w:rPr>
              <w:t>Foreign Direct Investment</w:t>
            </w:r>
          </w:p>
        </w:tc>
        <w:tc>
          <w:tcPr>
            <w:tcW w:w="2693" w:type="dxa"/>
          </w:tcPr>
          <w:p w14:paraId="3DD1CD02" w14:textId="36E9949C" w:rsidR="00B8136F" w:rsidRPr="007E6C21" w:rsidRDefault="007E6C21" w:rsidP="00C95055">
            <w:pPr>
              <w:jc w:val="both"/>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id-ID"/>
              </w:rPr>
            </w:pPr>
            <w:r w:rsidRPr="007E6C21">
              <w:rPr>
                <w:rFonts w:asciiTheme="minorHAnsi" w:hAnsiTheme="minorHAnsi" w:cstheme="minorHAnsi"/>
                <w:sz w:val="24"/>
                <w:szCs w:val="24"/>
              </w:rPr>
              <w:t xml:space="preserve">US </w:t>
            </w:r>
            <w:r>
              <w:rPr>
                <w:rFonts w:asciiTheme="minorHAnsi" w:hAnsiTheme="minorHAnsi" w:cstheme="minorHAnsi"/>
                <w:sz w:val="24"/>
                <w:szCs w:val="24"/>
                <w:lang w:val="id-ID"/>
              </w:rPr>
              <w:t>dollars</w:t>
            </w:r>
          </w:p>
        </w:tc>
        <w:tc>
          <w:tcPr>
            <w:tcW w:w="2126" w:type="dxa"/>
          </w:tcPr>
          <w:p w14:paraId="5DC29DC3" w14:textId="50B4C129" w:rsidR="00B8136F" w:rsidRPr="00F0532C" w:rsidRDefault="007E6C21" w:rsidP="00C95055">
            <w:pPr>
              <w:jc w:val="both"/>
              <w:outlineLvl w:val="2"/>
              <w:cnfStyle w:val="000000100000" w:firstRow="0" w:lastRow="0" w:firstColumn="0" w:lastColumn="0" w:oddVBand="0" w:evenVBand="0" w:oddHBand="1" w:evenHBand="0" w:firstRowFirstColumn="0" w:firstRowLastColumn="0" w:lastRowFirstColumn="0" w:lastRowLastColumn="0"/>
              <w:rPr>
                <w:rFonts w:cstheme="minorHAnsi"/>
                <w:lang w:val="id-ID"/>
              </w:rPr>
            </w:pPr>
            <w:r>
              <w:rPr>
                <w:rFonts w:cstheme="minorHAnsi"/>
                <w:lang w:val="id-ID"/>
              </w:rPr>
              <w:t>World Bank</w:t>
            </w:r>
          </w:p>
        </w:tc>
      </w:tr>
      <w:tr w:rsidR="00B8136F" w:rsidRPr="00F0532C" w14:paraId="2BC0DE70" w14:textId="0E2B30E3" w:rsidTr="00010A31">
        <w:tc>
          <w:tcPr>
            <w:cnfStyle w:val="001000000000" w:firstRow="0" w:lastRow="0" w:firstColumn="1" w:lastColumn="0" w:oddVBand="0" w:evenVBand="0" w:oddHBand="0" w:evenHBand="0" w:firstRowFirstColumn="0" w:firstRowLastColumn="0" w:lastRowFirstColumn="0" w:lastRowLastColumn="0"/>
            <w:tcW w:w="979" w:type="dxa"/>
          </w:tcPr>
          <w:p w14:paraId="2B4D9675" w14:textId="22562E17" w:rsidR="00B8136F" w:rsidRPr="00F0532C" w:rsidRDefault="00B8136F" w:rsidP="00F0532C">
            <w:pPr>
              <w:jc w:val="center"/>
              <w:outlineLvl w:val="2"/>
              <w:rPr>
                <w:rFonts w:cstheme="minorHAnsi"/>
                <w:lang w:val="id-ID"/>
              </w:rPr>
            </w:pPr>
            <w:r>
              <w:rPr>
                <w:rFonts w:cstheme="minorHAnsi"/>
                <w:lang w:val="id-ID"/>
              </w:rPr>
              <w:t>Z</w:t>
            </w:r>
          </w:p>
        </w:tc>
        <w:tc>
          <w:tcPr>
            <w:tcW w:w="3269" w:type="dxa"/>
          </w:tcPr>
          <w:p w14:paraId="5A91C07F" w14:textId="24450340" w:rsidR="00B8136F" w:rsidRPr="00F0532C" w:rsidRDefault="00B8136F" w:rsidP="00C95055">
            <w:pPr>
              <w:jc w:val="both"/>
              <w:outlineLvl w:val="2"/>
              <w:cnfStyle w:val="000000000000" w:firstRow="0" w:lastRow="0" w:firstColumn="0" w:lastColumn="0" w:oddVBand="0" w:evenVBand="0" w:oddHBand="0" w:evenHBand="0" w:firstRowFirstColumn="0" w:firstRowLastColumn="0" w:lastRowFirstColumn="0" w:lastRowLastColumn="0"/>
              <w:rPr>
                <w:rFonts w:cstheme="minorHAnsi"/>
                <w:lang w:val="id-ID"/>
              </w:rPr>
            </w:pPr>
            <w:r>
              <w:rPr>
                <w:rFonts w:cstheme="minorHAnsi"/>
                <w:lang w:val="id-ID"/>
              </w:rPr>
              <w:t>Political Stability</w:t>
            </w:r>
          </w:p>
        </w:tc>
        <w:tc>
          <w:tcPr>
            <w:tcW w:w="2693" w:type="dxa"/>
          </w:tcPr>
          <w:p w14:paraId="40111858" w14:textId="1D081619" w:rsidR="00B8136F" w:rsidRDefault="007E6C21" w:rsidP="00C95055">
            <w:pPr>
              <w:jc w:val="both"/>
              <w:outlineLvl w:val="2"/>
              <w:cnfStyle w:val="000000000000" w:firstRow="0" w:lastRow="0" w:firstColumn="0" w:lastColumn="0" w:oddVBand="0" w:evenVBand="0" w:oddHBand="0" w:evenHBand="0" w:firstRowFirstColumn="0" w:firstRowLastColumn="0" w:lastRowFirstColumn="0" w:lastRowLastColumn="0"/>
              <w:rPr>
                <w:rFonts w:cstheme="minorHAnsi"/>
                <w:lang w:val="id-ID"/>
              </w:rPr>
            </w:pPr>
            <w:r>
              <w:rPr>
                <w:rFonts w:cstheme="minorHAnsi"/>
                <w:lang w:val="id-ID"/>
              </w:rPr>
              <w:t xml:space="preserve">Index </w:t>
            </w:r>
          </w:p>
        </w:tc>
        <w:tc>
          <w:tcPr>
            <w:tcW w:w="2126" w:type="dxa"/>
          </w:tcPr>
          <w:p w14:paraId="29FF2F49" w14:textId="4D2BE986" w:rsidR="00B8136F" w:rsidRPr="00A009FA" w:rsidRDefault="00A009FA" w:rsidP="00C95055">
            <w:pPr>
              <w:jc w:val="both"/>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id-ID"/>
              </w:rPr>
            </w:pPr>
            <w:r w:rsidRPr="00A009FA">
              <w:rPr>
                <w:rFonts w:asciiTheme="minorHAnsi" w:hAnsiTheme="minorHAnsi" w:cstheme="minorHAnsi"/>
              </w:rPr>
              <w:t>WGI</w:t>
            </w:r>
          </w:p>
        </w:tc>
      </w:tr>
    </w:tbl>
    <w:p w14:paraId="5007C0DA" w14:textId="77777777" w:rsidR="00714E2A" w:rsidRPr="00F0532C" w:rsidRDefault="00714E2A" w:rsidP="00C95055">
      <w:pPr>
        <w:spacing w:line="240" w:lineRule="auto"/>
        <w:jc w:val="both"/>
        <w:outlineLvl w:val="2"/>
        <w:rPr>
          <w:rFonts w:cstheme="minorHAnsi"/>
          <w:lang w:val="id-ID"/>
        </w:rPr>
      </w:pPr>
    </w:p>
    <w:p w14:paraId="485EC02F" w14:textId="36CF81C9" w:rsidR="00C95055" w:rsidRPr="00106630" w:rsidRDefault="00C95055" w:rsidP="00C95055">
      <w:pPr>
        <w:spacing w:line="240" w:lineRule="auto"/>
        <w:jc w:val="both"/>
        <w:outlineLvl w:val="2"/>
        <w:rPr>
          <w:rFonts w:cstheme="minorHAnsi"/>
          <w:b/>
          <w:bCs/>
          <w:lang w:val="id-ID"/>
        </w:rPr>
      </w:pPr>
      <w:r w:rsidRPr="00C6597D">
        <w:rPr>
          <w:rFonts w:cstheme="minorHAnsi"/>
          <w:b/>
          <w:bCs/>
          <w:lang w:val="id-ID"/>
        </w:rPr>
        <w:t>Data Analysis Techniques</w:t>
      </w:r>
    </w:p>
    <w:p w14:paraId="46693E1D" w14:textId="77777777" w:rsidR="006C7412" w:rsidRDefault="006C7412" w:rsidP="00C95055">
      <w:pPr>
        <w:spacing w:line="240" w:lineRule="auto"/>
        <w:jc w:val="both"/>
        <w:outlineLvl w:val="2"/>
        <w:rPr>
          <w:rFonts w:cstheme="minorHAnsi"/>
        </w:rPr>
      </w:pPr>
      <w:r w:rsidRPr="006C7412">
        <w:rPr>
          <w:rFonts w:cstheme="minorHAnsi"/>
        </w:rPr>
        <w:t>This research will start with a descriptive statistical test to see the characteristics of each variable before moving on to the primary analysis test. Also utilized to measure the parameters was the Generalized Method of Moments (GMM) Model. Regressions using dynamic panel data necessitate adding extra lag to the dependent variable, which serves as an independent variable. The lagged endogeneity of the dependent variable was taken into account when adjusting for variable bias, unobserved panel heterogeneity, and measurement error in the dynamic panel model.</w:t>
      </w:r>
    </w:p>
    <w:p w14:paraId="1313D2A5" w14:textId="45B29248" w:rsidR="00C95055" w:rsidRPr="00875CA4" w:rsidRDefault="0061079C" w:rsidP="00C95055">
      <w:pPr>
        <w:spacing w:line="240" w:lineRule="auto"/>
        <w:jc w:val="both"/>
        <w:outlineLvl w:val="2"/>
        <w:rPr>
          <w:rFonts w:cstheme="minorHAnsi"/>
          <w:color w:val="FF0000"/>
          <w:lang w:val="id-ID"/>
        </w:rPr>
      </w:pPr>
      <w:r w:rsidRPr="0061079C">
        <w:rPr>
          <w:rFonts w:cstheme="minorHAnsi"/>
        </w:rPr>
        <w:t xml:space="preserve">A GMM, which is used for estimating the data parameters provided by the model, was initially defined by Hansen (1982). </w:t>
      </w:r>
      <w:r w:rsidR="00C95055" w:rsidRPr="00292E88">
        <w:rPr>
          <w:rFonts w:cstheme="minorHAnsi"/>
        </w:rPr>
        <w:t xml:space="preserve">Establishing a unique distribution for the residuals is one way the GMM estimation approach avoids unnecessary or unwanted assumptions </w:t>
      </w:r>
      <w:r w:rsidR="00181C56">
        <w:rPr>
          <w:rFonts w:cstheme="minorHAnsi"/>
        </w:rPr>
        <w:fldChar w:fldCharType="begin" w:fldLock="1"/>
      </w:r>
      <w:r w:rsidR="000331AC">
        <w:rPr>
          <w:rFonts w:cstheme="minorHAnsi"/>
        </w:rPr>
        <w:instrText>ADDIN CSL_CITATION {"citationItems":[{"id":"ITEM-1","itemData":{"DOI":"10.2307/2297968","ISSN":"1467937X","abstract":"This paper presents specification tests that are applicable after estimating a dynamic model from panel data by the generalized method of moments (GMM), and studies the practical performance of these procedures using both generated and real data. Our GMM estimator optimally exploits all the linear moment restrictions that follow from the assumption of no serial correlation in the errors, in an equation which contains individual effects, lagged dependent variables and no strictly exogenous variables. We propose a test of serial correlation based on the GMM residuals and compare this with Sargan tests of over-identifying restrictions and Hausman specification tests. © 1991 The Review of Economic Studies Limited.","author":[{"dropping-particle":"","family":"Bond","given":"Stephen","non-dropping-particle":"","parse-names":false,"suffix":""}],"container-title":"Review of Economic Studies","id":"ITEM-1","issue":"2","issued":{"date-parts":[["1991"]]},"page":"277-297","title":"Some tests of specification for panel data:monte carlo evidence and an application to employment equations","type":"article-journal","volume":"58"},"uris":["http://www.mendeley.com/documents/?uuid=be73bd2a-7955-4362-a7d3-c8d1ec2946cc"]}],"mendeley":{"formattedCitation":"(Bond, 1991)","plainTextFormattedCitation":"(Bond, 1991)","previouslyFormattedCitation":"(Bond, 1991)"},"properties":{"noteIndex":0},"schema":"https://github.com/citation-style-language/schema/raw/master/csl-citation.json"}</w:instrText>
      </w:r>
      <w:r w:rsidR="00181C56">
        <w:rPr>
          <w:rFonts w:cstheme="minorHAnsi"/>
        </w:rPr>
        <w:fldChar w:fldCharType="separate"/>
      </w:r>
      <w:r w:rsidR="00181C56" w:rsidRPr="00181C56">
        <w:rPr>
          <w:rFonts w:cstheme="minorHAnsi"/>
          <w:noProof/>
        </w:rPr>
        <w:t>(Bond, 1991)</w:t>
      </w:r>
      <w:r w:rsidR="00181C56">
        <w:rPr>
          <w:rFonts w:cstheme="minorHAnsi"/>
        </w:rPr>
        <w:fldChar w:fldCharType="end"/>
      </w:r>
      <w:r w:rsidR="00C95055" w:rsidRPr="00292E88">
        <w:rPr>
          <w:rFonts w:cstheme="minorHAnsi"/>
        </w:rPr>
        <w:t xml:space="preserve">. Arellano-Bond is the more popular name for the GMM forecasting technique. The difference in the GMM model that produces </w:t>
      </w:r>
      <w:r w:rsidR="00C95055" w:rsidRPr="00292E88">
        <w:rPr>
          <w:rFonts w:cstheme="minorHAnsi"/>
        </w:rPr>
        <w:lastRenderedPageBreak/>
        <w:t xml:space="preserve">objective, consistent, and effective estimates is the first model in the Arellano-Bond GMM estimation </w:t>
      </w:r>
      <w:r w:rsidR="00C95055" w:rsidRPr="008D4044">
        <w:rPr>
          <w:rFonts w:cstheme="minorHAnsi"/>
        </w:rPr>
        <w:t>technique.</w:t>
      </w:r>
      <w:r w:rsidR="008D4044" w:rsidRPr="008D4044">
        <w:rPr>
          <w:rFonts w:cstheme="minorHAnsi"/>
          <w:lang w:val="id-ID"/>
        </w:rPr>
        <w:t xml:space="preserve"> The estimation results of the GMM Arellano-Bond one step estimator are as follows:</w:t>
      </w:r>
    </w:p>
    <w:bookmarkEnd w:id="2"/>
    <w:p w14:paraId="7A84CCFE" w14:textId="77777777" w:rsidR="00C95055" w:rsidRPr="00FC7F89" w:rsidRDefault="00B20A98" w:rsidP="00C95055">
      <w:pPr>
        <w:spacing w:line="240" w:lineRule="auto"/>
        <w:ind w:left="426" w:firstLine="720"/>
        <w:rPr>
          <w:rFonts w:ascii="Times New Roman" w:hAnsi="Times New Roman" w:cs="Times New Roman"/>
          <w:lang w:bidi="en-US"/>
        </w:rPr>
      </w:pPr>
      <m:oMathPara>
        <m:oMathParaPr>
          <m:jc m:val="center"/>
        </m:oMathParaPr>
        <m:oMath>
          <m:f>
            <m:fPr>
              <m:ctrlPr>
                <w:rPr>
                  <w:rFonts w:ascii="Cambria Math" w:hAnsi="Cambria Math" w:cs="Cambria Math"/>
                  <w:b/>
                  <w:sz w:val="20"/>
                  <w:szCs w:val="20"/>
                  <w:lang w:bidi="en-US"/>
                </w:rPr>
              </m:ctrlPr>
            </m:fPr>
            <m:num>
              <m:r>
                <m:rPr>
                  <m:sty m:val="b"/>
                </m:rPr>
                <w:rPr>
                  <w:rFonts w:ascii="Cambria Math" w:hAnsi="Cambria Math" w:cs="Cambria Math"/>
                  <w:sz w:val="20"/>
                  <w:szCs w:val="20"/>
                  <w:lang w:bidi="en-US"/>
                </w:rPr>
                <m:t>δ</m:t>
              </m:r>
            </m:num>
            <m:den>
              <m:r>
                <m:rPr>
                  <m:sty m:val="b"/>
                </m:rPr>
                <w:rPr>
                  <w:rFonts w:ascii="Cambria Math" w:hAnsi="Cambria Math" w:cs="Cambria Math"/>
                  <w:sz w:val="20"/>
                  <w:szCs w:val="20"/>
                  <w:lang w:bidi="en-US"/>
                </w:rPr>
                <m:t>β</m:t>
              </m:r>
            </m:den>
          </m:f>
          <m:r>
            <w:rPr>
              <w:rFonts w:ascii="Cambria Math" w:hAnsi="Cambria Math"/>
              <w:sz w:val="20"/>
              <w:szCs w:val="20"/>
            </w:rPr>
            <m:t>=</m:t>
          </m:r>
          <m:sSup>
            <m:sSupPr>
              <m:ctrlPr>
                <w:rPr>
                  <w:rFonts w:ascii="Cambria Math" w:hAnsi="Cambria Math" w:cs="Cambria Math"/>
                  <w:i/>
                  <w:sz w:val="20"/>
                  <w:szCs w:val="20"/>
                  <w:lang w:bidi="en-US"/>
                </w:rPr>
              </m:ctrlPr>
            </m:sSupPr>
            <m:e>
              <m:d>
                <m:dPr>
                  <m:begChr m:val="["/>
                  <m:endChr m:val="]"/>
                  <m:ctrlPr>
                    <w:rPr>
                      <w:rFonts w:ascii="Cambria Math" w:hAnsi="Cambria Math"/>
                      <w:i/>
                      <w:iCs/>
                      <w:sz w:val="20"/>
                      <w:szCs w:val="20"/>
                    </w:rPr>
                  </m:ctrlPr>
                </m:dPr>
                <m:e>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N</m:t>
                          </m:r>
                        </m:e>
                        <m:sup>
                          <m:r>
                            <w:rPr>
                              <w:rFonts w:ascii="Cambria Math" w:hAnsi="Cambria Math"/>
                              <w:sz w:val="20"/>
                              <w:szCs w:val="20"/>
                            </w:rPr>
                            <m:t>-1</m:t>
                          </m:r>
                        </m:sup>
                      </m:sSup>
                      <m:nary>
                        <m:naryPr>
                          <m:chr m:val="∑"/>
                          <m:limLoc m:val="undOvr"/>
                          <m:ctrlPr>
                            <w:rPr>
                              <w:rFonts w:ascii="Cambria Math" w:hAnsi="Cambria Math"/>
                              <w:i/>
                              <w:iCs/>
                              <w:sz w:val="20"/>
                              <w:szCs w:val="20"/>
                            </w:rPr>
                          </m:ctrlPr>
                        </m:naryPr>
                        <m:sub>
                          <m:r>
                            <w:rPr>
                              <w:rFonts w:ascii="Cambria Math" w:hAnsi="Cambria Math"/>
                              <w:sz w:val="20"/>
                              <w:szCs w:val="20"/>
                            </w:rPr>
                            <m:t>i=1</m:t>
                          </m:r>
                        </m:sub>
                        <m:sup>
                          <m:r>
                            <w:rPr>
                              <w:rFonts w:ascii="Cambria Math" w:hAnsi="Cambria Math"/>
                              <w:sz w:val="20"/>
                              <w:szCs w:val="20"/>
                            </w:rPr>
                            <m:t>N</m:t>
                          </m:r>
                        </m:sup>
                        <m:e>
                          <m:d>
                            <m:dPr>
                              <m:ctrlPr>
                                <w:rPr>
                                  <w:rFonts w:ascii="Cambria Math" w:hAnsi="Cambria Math"/>
                                  <w:i/>
                                  <w:iCs/>
                                  <w:sz w:val="20"/>
                                  <w:szCs w:val="20"/>
                                </w:rPr>
                              </m:ctrlPr>
                            </m:dPr>
                            <m:e>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y</m:t>
                                  </m:r>
                                </m:e>
                                <m:sub>
                                  <m:r>
                                    <w:rPr>
                                      <w:rFonts w:ascii="Cambria Math" w:hAnsi="Cambria Math"/>
                                      <w:sz w:val="20"/>
                                      <w:szCs w:val="20"/>
                                    </w:rPr>
                                    <m:t>it</m:t>
                                  </m:r>
                                </m:sub>
                              </m:sSub>
                              <m:r>
                                <w:rPr>
                                  <w:rFonts w:ascii="Cambria Math" w:hAnsi="Cambria Math"/>
                                  <w:sz w:val="20"/>
                                  <w:szCs w:val="20"/>
                                </w:rPr>
                                <m:t>-1 ∆</m:t>
                              </m:r>
                              <m:sSub>
                                <m:sSubPr>
                                  <m:ctrlPr>
                                    <w:rPr>
                                      <w:rFonts w:ascii="Cambria Math" w:hAnsi="Cambria Math"/>
                                      <w:i/>
                                      <w:iCs/>
                                      <w:sz w:val="20"/>
                                      <w:szCs w:val="20"/>
                                    </w:rPr>
                                  </m:ctrlPr>
                                </m:sSubPr>
                                <m:e>
                                  <m:r>
                                    <w:rPr>
                                      <w:rFonts w:ascii="Cambria Math" w:hAnsi="Cambria Math"/>
                                      <w:sz w:val="20"/>
                                      <w:szCs w:val="20"/>
                                    </w:rPr>
                                    <m:t>x</m:t>
                                  </m:r>
                                </m:e>
                                <m:sub>
                                  <m:r>
                                    <w:rPr>
                                      <w:rFonts w:ascii="Cambria Math" w:hAnsi="Cambria Math"/>
                                      <w:sz w:val="20"/>
                                      <w:szCs w:val="20"/>
                                    </w:rPr>
                                    <m:t>1</m:t>
                                  </m:r>
                                </m:sub>
                              </m:sSub>
                            </m:e>
                          </m:d>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Z</m:t>
                              </m:r>
                            </m:e>
                            <m:sub>
                              <m:r>
                                <w:rPr>
                                  <w:rFonts w:ascii="Cambria Math" w:hAnsi="Cambria Math"/>
                                  <w:sz w:val="20"/>
                                  <w:szCs w:val="20"/>
                                </w:rPr>
                                <m:t>i</m:t>
                              </m:r>
                            </m:sub>
                          </m:sSub>
                        </m:e>
                      </m:nary>
                    </m:e>
                  </m:d>
                  <m:r>
                    <w:rPr>
                      <w:rFonts w:ascii="Cambria Math" w:hAnsi="Cambria Math"/>
                      <w:sz w:val="20"/>
                      <w:szCs w:val="20"/>
                    </w:rPr>
                    <m:t xml:space="preserve">w </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N</m:t>
                          </m:r>
                        </m:e>
                        <m:sup>
                          <m:r>
                            <w:rPr>
                              <w:rFonts w:ascii="Cambria Math" w:hAnsi="Cambria Math"/>
                              <w:sz w:val="20"/>
                              <w:szCs w:val="20"/>
                            </w:rPr>
                            <m:t>-1</m:t>
                          </m:r>
                        </m:sup>
                      </m:sSup>
                      <m:nary>
                        <m:naryPr>
                          <m:chr m:val="∑"/>
                          <m:limLoc m:val="undOvr"/>
                          <m:ctrlPr>
                            <w:rPr>
                              <w:rFonts w:ascii="Cambria Math" w:hAnsi="Cambria Math"/>
                              <w:i/>
                              <w:iCs/>
                              <w:sz w:val="20"/>
                              <w:szCs w:val="20"/>
                            </w:rPr>
                          </m:ctrlPr>
                        </m:naryPr>
                        <m:sub>
                          <m:r>
                            <w:rPr>
                              <w:rFonts w:ascii="Cambria Math" w:hAnsi="Cambria Math"/>
                              <w:sz w:val="20"/>
                              <w:szCs w:val="20"/>
                            </w:rPr>
                            <m:t>i=1</m:t>
                          </m:r>
                        </m:sub>
                        <m:sup>
                          <m:r>
                            <w:rPr>
                              <w:rFonts w:ascii="Cambria Math" w:hAnsi="Cambria Math"/>
                              <w:sz w:val="20"/>
                              <w:szCs w:val="20"/>
                            </w:rPr>
                            <m:t>N</m:t>
                          </m:r>
                        </m:sup>
                        <m:e>
                          <m:d>
                            <m:dPr>
                              <m:ctrlPr>
                                <w:rPr>
                                  <w:rFonts w:ascii="Cambria Math" w:hAnsi="Cambria Math"/>
                                  <w:i/>
                                  <w:iCs/>
                                  <w:sz w:val="20"/>
                                  <w:szCs w:val="20"/>
                                </w:rPr>
                              </m:ctrlPr>
                            </m:dPr>
                            <m:e>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y</m:t>
                                  </m:r>
                                </m:e>
                                <m:sub>
                                  <m:r>
                                    <w:rPr>
                                      <w:rFonts w:ascii="Cambria Math" w:hAnsi="Cambria Math"/>
                                      <w:sz w:val="20"/>
                                      <w:szCs w:val="20"/>
                                    </w:rPr>
                                    <m:t>it</m:t>
                                  </m:r>
                                </m:sub>
                              </m:sSub>
                              <m:r>
                                <w:rPr>
                                  <w:rFonts w:ascii="Cambria Math" w:hAnsi="Cambria Math"/>
                                  <w:sz w:val="20"/>
                                  <w:szCs w:val="20"/>
                                </w:rPr>
                                <m:t>-1 ∆</m:t>
                              </m:r>
                              <m:sSub>
                                <m:sSubPr>
                                  <m:ctrlPr>
                                    <w:rPr>
                                      <w:rFonts w:ascii="Cambria Math" w:hAnsi="Cambria Math"/>
                                      <w:i/>
                                      <w:iCs/>
                                      <w:sz w:val="20"/>
                                      <w:szCs w:val="20"/>
                                    </w:rPr>
                                  </m:ctrlPr>
                                </m:sSubPr>
                                <m:e>
                                  <m:r>
                                    <w:rPr>
                                      <w:rFonts w:ascii="Cambria Math" w:hAnsi="Cambria Math"/>
                                      <w:sz w:val="20"/>
                                      <w:szCs w:val="20"/>
                                    </w:rPr>
                                    <m:t>x</m:t>
                                  </m:r>
                                </m:e>
                                <m:sub>
                                  <m:r>
                                    <w:rPr>
                                      <w:rFonts w:ascii="Cambria Math" w:hAnsi="Cambria Math"/>
                                      <w:sz w:val="20"/>
                                      <w:szCs w:val="20"/>
                                    </w:rPr>
                                    <m:t>1</m:t>
                                  </m:r>
                                </m:sub>
                              </m:sSub>
                            </m:e>
                          </m:d>
                        </m:e>
                      </m:nary>
                    </m:e>
                  </m:d>
                </m:e>
              </m:d>
            </m:e>
            <m:sup>
              <m:r>
                <w:rPr>
                  <w:rFonts w:ascii="Cambria Math" w:hAnsi="Cambria Math" w:cs="Cambria Math"/>
                  <w:sz w:val="20"/>
                  <w:szCs w:val="20"/>
                  <w:lang w:bidi="en-US"/>
                </w:rPr>
                <m:t>-1</m:t>
              </m:r>
            </m:sup>
          </m:sSup>
        </m:oMath>
      </m:oMathPara>
    </w:p>
    <w:p w14:paraId="53B9304C" w14:textId="77777777" w:rsidR="00C95055" w:rsidRPr="00FC7F89" w:rsidRDefault="00B20A98" w:rsidP="00C95055">
      <w:pPr>
        <w:spacing w:line="240" w:lineRule="auto"/>
      </w:pPr>
      <m:oMathPara>
        <m:oMath>
          <m:sSup>
            <m:sSupPr>
              <m:ctrlPr>
                <w:rPr>
                  <w:rFonts w:ascii="Cambria Math" w:hAnsi="Cambria Math" w:cs="Cambria Math"/>
                  <w:i/>
                  <w:sz w:val="20"/>
                  <w:szCs w:val="20"/>
                  <w:lang w:bidi="en-US"/>
                </w:rPr>
              </m:ctrlPr>
            </m:sSupPr>
            <m:e>
              <m:d>
                <m:dPr>
                  <m:begChr m:val="["/>
                  <m:endChr m:val="]"/>
                  <m:ctrlPr>
                    <w:rPr>
                      <w:rFonts w:ascii="Cambria Math" w:hAnsi="Cambria Math"/>
                      <w:i/>
                      <w:iCs/>
                      <w:sz w:val="20"/>
                      <w:szCs w:val="20"/>
                    </w:rPr>
                  </m:ctrlPr>
                </m:dPr>
                <m:e>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N</m:t>
                          </m:r>
                        </m:e>
                        <m:sup>
                          <m:r>
                            <w:rPr>
                              <w:rFonts w:ascii="Cambria Math" w:hAnsi="Cambria Math"/>
                              <w:sz w:val="20"/>
                              <w:szCs w:val="20"/>
                            </w:rPr>
                            <m:t>-1</m:t>
                          </m:r>
                        </m:sup>
                      </m:sSup>
                      <m:nary>
                        <m:naryPr>
                          <m:chr m:val="∑"/>
                          <m:limLoc m:val="undOvr"/>
                          <m:ctrlPr>
                            <w:rPr>
                              <w:rFonts w:ascii="Cambria Math" w:hAnsi="Cambria Math"/>
                              <w:i/>
                              <w:iCs/>
                              <w:sz w:val="20"/>
                              <w:szCs w:val="20"/>
                            </w:rPr>
                          </m:ctrlPr>
                        </m:naryPr>
                        <m:sub>
                          <m:r>
                            <w:rPr>
                              <w:rFonts w:ascii="Cambria Math" w:hAnsi="Cambria Math"/>
                              <w:sz w:val="20"/>
                              <w:szCs w:val="20"/>
                            </w:rPr>
                            <m:t>i=1</m:t>
                          </m:r>
                        </m:sub>
                        <m:sup>
                          <m:r>
                            <w:rPr>
                              <w:rFonts w:ascii="Cambria Math" w:hAnsi="Cambria Math"/>
                              <w:sz w:val="20"/>
                              <w:szCs w:val="20"/>
                            </w:rPr>
                            <m:t>N</m:t>
                          </m:r>
                        </m:sup>
                        <m:e>
                          <m:d>
                            <m:dPr>
                              <m:ctrlPr>
                                <w:rPr>
                                  <w:rFonts w:ascii="Cambria Math" w:hAnsi="Cambria Math"/>
                                  <w:i/>
                                  <w:iCs/>
                                  <w:sz w:val="20"/>
                                  <w:szCs w:val="20"/>
                                </w:rPr>
                              </m:ctrlPr>
                            </m:dPr>
                            <m:e>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y</m:t>
                                  </m:r>
                                </m:e>
                                <m:sub>
                                  <m:r>
                                    <w:rPr>
                                      <w:rFonts w:ascii="Cambria Math" w:hAnsi="Cambria Math"/>
                                      <w:sz w:val="20"/>
                                      <w:szCs w:val="20"/>
                                    </w:rPr>
                                    <m:t>it</m:t>
                                  </m:r>
                                </m:sub>
                              </m:sSub>
                              <m:r>
                                <w:rPr>
                                  <w:rFonts w:ascii="Cambria Math" w:hAnsi="Cambria Math"/>
                                  <w:sz w:val="20"/>
                                  <w:szCs w:val="20"/>
                                </w:rPr>
                                <m:t>-1 ∆x1</m:t>
                              </m:r>
                            </m:e>
                          </m:d>
                          <m:r>
                            <w:rPr>
                              <w:rFonts w:ascii="Cambria Math" w:hAnsi="Cambria Math"/>
                              <w:sz w:val="20"/>
                              <w:szCs w:val="20"/>
                            </w:rPr>
                            <m:t>'Zi</m:t>
                          </m:r>
                        </m:e>
                      </m:nary>
                    </m:e>
                  </m:d>
                  <m:r>
                    <w:rPr>
                      <w:rFonts w:ascii="Cambria Math" w:hAnsi="Cambria Math"/>
                      <w:sz w:val="20"/>
                      <w:szCs w:val="20"/>
                    </w:rPr>
                    <m:t xml:space="preserve">w </m:t>
                  </m:r>
                  <m:d>
                    <m:dPr>
                      <m:ctrlPr>
                        <w:rPr>
                          <w:rFonts w:ascii="Cambria Math" w:hAnsi="Cambria Math"/>
                          <w:i/>
                          <w:iCs/>
                          <w:sz w:val="20"/>
                          <w:szCs w:val="20"/>
                        </w:rPr>
                      </m:ctrlPr>
                    </m:dPr>
                    <m:e>
                      <m:sSup>
                        <m:sSupPr>
                          <m:ctrlPr>
                            <w:rPr>
                              <w:rFonts w:ascii="Cambria Math" w:hAnsi="Cambria Math"/>
                              <w:i/>
                              <w:iCs/>
                              <w:sz w:val="20"/>
                              <w:szCs w:val="20"/>
                            </w:rPr>
                          </m:ctrlPr>
                        </m:sSupPr>
                        <m:e>
                          <m:r>
                            <w:rPr>
                              <w:rFonts w:ascii="Cambria Math" w:hAnsi="Cambria Math"/>
                              <w:sz w:val="20"/>
                              <w:szCs w:val="20"/>
                            </w:rPr>
                            <m:t>N</m:t>
                          </m:r>
                        </m:e>
                        <m:sup>
                          <m:r>
                            <w:rPr>
                              <w:rFonts w:ascii="Cambria Math" w:hAnsi="Cambria Math"/>
                              <w:sz w:val="20"/>
                              <w:szCs w:val="20"/>
                            </w:rPr>
                            <m:t>-1</m:t>
                          </m:r>
                        </m:sup>
                      </m:sSup>
                      <m:nary>
                        <m:naryPr>
                          <m:chr m:val="∑"/>
                          <m:limLoc m:val="undOvr"/>
                          <m:ctrlPr>
                            <w:rPr>
                              <w:rFonts w:ascii="Cambria Math" w:hAnsi="Cambria Math"/>
                              <w:i/>
                              <w:iCs/>
                              <w:sz w:val="20"/>
                              <w:szCs w:val="20"/>
                            </w:rPr>
                          </m:ctrlPr>
                        </m:naryPr>
                        <m:sub>
                          <m:r>
                            <w:rPr>
                              <w:rFonts w:ascii="Cambria Math" w:hAnsi="Cambria Math"/>
                              <w:sz w:val="20"/>
                              <w:szCs w:val="20"/>
                            </w:rPr>
                            <m:t>i=1</m:t>
                          </m:r>
                        </m:sub>
                        <m:sup>
                          <m:r>
                            <w:rPr>
                              <w:rFonts w:ascii="Cambria Math" w:hAnsi="Cambria Math"/>
                              <w:sz w:val="20"/>
                              <w:szCs w:val="20"/>
                            </w:rPr>
                            <m:t>N</m:t>
                          </m:r>
                        </m:sup>
                        <m:e>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Z</m:t>
                                  </m:r>
                                </m:e>
                                <m:sub>
                                  <m:r>
                                    <w:rPr>
                                      <w:rFonts w:ascii="Cambria Math" w:hAnsi="Cambria Math"/>
                                      <w:sz w:val="20"/>
                                      <w:szCs w:val="20"/>
                                    </w:rPr>
                                    <m:t>i</m:t>
                                  </m:r>
                                </m:sub>
                              </m:sSub>
                              <m:r>
                                <w:rPr>
                                  <w:rFonts w:ascii="Cambria Math" w:hAnsi="Cambria Math"/>
                                  <w:sz w:val="20"/>
                                  <w:szCs w:val="20"/>
                                </w:rPr>
                                <m:t xml:space="preserve"> '1 ∆</m:t>
                              </m:r>
                              <m:sSub>
                                <m:sSubPr>
                                  <m:ctrlPr>
                                    <w:rPr>
                                      <w:rFonts w:ascii="Cambria Math" w:hAnsi="Cambria Math"/>
                                      <w:i/>
                                      <w:iCs/>
                                      <w:sz w:val="20"/>
                                      <w:szCs w:val="20"/>
                                    </w:rPr>
                                  </m:ctrlPr>
                                </m:sSubPr>
                                <m:e>
                                  <m:r>
                                    <w:rPr>
                                      <w:rFonts w:ascii="Cambria Math" w:hAnsi="Cambria Math"/>
                                      <w:sz w:val="20"/>
                                      <w:szCs w:val="20"/>
                                    </w:rPr>
                                    <m:t xml:space="preserve"> y</m:t>
                                  </m:r>
                                </m:e>
                                <m:sub>
                                  <m:r>
                                    <w:rPr>
                                      <w:rFonts w:ascii="Cambria Math" w:hAnsi="Cambria Math"/>
                                      <w:sz w:val="20"/>
                                      <w:szCs w:val="20"/>
                                    </w:rPr>
                                    <m:t>i</m:t>
                                  </m:r>
                                </m:sub>
                              </m:sSub>
                            </m:e>
                          </m:d>
                        </m:e>
                      </m:nary>
                    </m:e>
                  </m:d>
                </m:e>
              </m:d>
            </m:e>
            <m:sup>
              <m:r>
                <w:rPr>
                  <w:rFonts w:ascii="Cambria Math" w:hAnsi="Cambria Math" w:cs="Cambria Math"/>
                  <w:sz w:val="20"/>
                  <w:szCs w:val="20"/>
                  <w:lang w:bidi="en-US"/>
                </w:rPr>
                <m:t>-1</m:t>
              </m:r>
            </m:sup>
          </m:sSup>
        </m:oMath>
      </m:oMathPara>
    </w:p>
    <w:p w14:paraId="027EAF8D" w14:textId="77777777" w:rsidR="00C95055" w:rsidRPr="00292E88" w:rsidRDefault="00C95055" w:rsidP="00C95055">
      <w:pPr>
        <w:spacing w:after="0" w:line="240" w:lineRule="auto"/>
        <w:jc w:val="both"/>
        <w:rPr>
          <w:rFonts w:cstheme="minorHAnsi"/>
        </w:rPr>
      </w:pPr>
      <w:r w:rsidRPr="00292E88">
        <w:rPr>
          <w:rFonts w:cstheme="minorHAnsi"/>
        </w:rPr>
        <w:t>Where:</w:t>
      </w:r>
    </w:p>
    <w:p w14:paraId="512162D4" w14:textId="77777777" w:rsidR="00C95055" w:rsidRPr="00292E88" w:rsidRDefault="00C95055" w:rsidP="00C95055">
      <w:pPr>
        <w:spacing w:after="0" w:line="240" w:lineRule="auto"/>
        <w:jc w:val="both"/>
        <w:rPr>
          <w:rFonts w:cstheme="minorHAnsi"/>
        </w:rPr>
      </w:pPr>
      <w:r w:rsidRPr="00292E88">
        <w:rPr>
          <w:rFonts w:cstheme="minorHAnsi"/>
        </w:rPr>
        <w:t>Zi: A valid instrument matrix</w:t>
      </w:r>
    </w:p>
    <w:p w14:paraId="08D9381D" w14:textId="6E0B9726" w:rsidR="00C95055" w:rsidRPr="00875CA4" w:rsidRDefault="00C95055" w:rsidP="00C95055">
      <w:pPr>
        <w:spacing w:after="0" w:line="240" w:lineRule="auto"/>
        <w:jc w:val="both"/>
        <w:rPr>
          <w:rFonts w:cstheme="minorHAnsi"/>
          <w:color w:val="FF0000"/>
        </w:rPr>
      </w:pPr>
      <w:r w:rsidRPr="00292E88">
        <w:rPr>
          <w:rFonts w:cstheme="minorHAnsi"/>
        </w:rPr>
        <w:t xml:space="preserve">w: </w:t>
      </w:r>
      <w:r w:rsidR="0061079C" w:rsidRPr="0061079C">
        <w:rPr>
          <w:rFonts w:cstheme="minorHAnsi"/>
        </w:rPr>
        <w:t>The y estimate for w (</w:t>
      </w:r>
      <w:proofErr w:type="spellStart"/>
      <w:r w:rsidR="0061079C" w:rsidRPr="0061079C">
        <w:rPr>
          <w:rFonts w:cstheme="minorHAnsi"/>
        </w:rPr>
        <w:t>LxL</w:t>
      </w:r>
      <w:proofErr w:type="spellEnd"/>
      <w:r w:rsidR="0061079C" w:rsidRPr="0061079C">
        <w:rPr>
          <w:rFonts w:cstheme="minorHAnsi"/>
        </w:rPr>
        <w:t xml:space="preserve">), where L is the total number of instrument variables, is </w:t>
      </w:r>
      <w:r w:rsidR="0061079C">
        <w:rPr>
          <w:rFonts w:cstheme="minorHAnsi"/>
          <w:lang w:val="id-ID"/>
        </w:rPr>
        <w:t>unbias</w:t>
      </w:r>
      <w:r w:rsidR="00036B33">
        <w:rPr>
          <w:rFonts w:cstheme="minorHAnsi"/>
          <w:lang w:val="id-ID"/>
        </w:rPr>
        <w:t>ed</w:t>
      </w:r>
      <w:r w:rsidR="0061079C" w:rsidRPr="0061079C">
        <w:rPr>
          <w:rFonts w:cstheme="minorHAnsi"/>
        </w:rPr>
        <w:t xml:space="preserve"> and consistent. To obtain the two-step estimator's results, substitute the weight w by:</w:t>
      </w:r>
    </w:p>
    <w:p w14:paraId="303783E0" w14:textId="77777777" w:rsidR="00C313E8" w:rsidRDefault="00C313E8" w:rsidP="00C95055">
      <w:pPr>
        <w:spacing w:after="0" w:line="240" w:lineRule="auto"/>
        <w:jc w:val="both"/>
        <w:rPr>
          <w:rFonts w:cstheme="minorHAnsi"/>
        </w:rPr>
      </w:pPr>
    </w:p>
    <w:p w14:paraId="104A5388" w14:textId="77777777" w:rsidR="00C95055" w:rsidRPr="00292E88" w:rsidRDefault="00B20A98" w:rsidP="00C95055">
      <w:pPr>
        <w:spacing w:after="0" w:line="240" w:lineRule="auto"/>
        <w:jc w:val="both"/>
        <w:rPr>
          <w:rFonts w:cstheme="minorHAnsi"/>
          <w:i/>
          <w:iCs/>
        </w:rPr>
      </w:pPr>
      <m:oMathPara>
        <m:oMath>
          <m:sSup>
            <m:sSupPr>
              <m:ctrlPr>
                <w:rPr>
                  <w:rFonts w:ascii="Cambria Math" w:hAnsi="Cambria Math" w:cstheme="minorHAnsi"/>
                  <w:i/>
                  <w:iCs/>
                </w:rPr>
              </m:ctrlPr>
            </m:sSupPr>
            <m:e>
              <m:r>
                <w:rPr>
                  <w:rFonts w:ascii="Cambria Math" w:hAnsi="Cambria Math" w:cstheme="minorHAnsi"/>
                </w:rPr>
                <m:t>∆</m:t>
              </m:r>
            </m:e>
            <m:sup>
              <m:r>
                <w:rPr>
                  <w:rFonts w:ascii="Cambria Math" w:hAnsi="Cambria Math" w:cstheme="minorHAnsi"/>
                </w:rPr>
                <m:t>-1</m:t>
              </m:r>
            </m:sup>
          </m:sSup>
          <m:r>
            <w:rPr>
              <w:rFonts w:ascii="Cambria Math" w:hAnsi="Cambria Math" w:cstheme="minorHAnsi"/>
            </w:rPr>
            <m:t>=</m:t>
          </m:r>
          <m:sSup>
            <m:sSupPr>
              <m:ctrlPr>
                <w:rPr>
                  <w:rFonts w:ascii="Cambria Math" w:hAnsi="Cambria Math" w:cstheme="minorHAnsi"/>
                  <w:i/>
                  <w:iCs/>
                </w:rPr>
              </m:ctrlPr>
            </m:sSupPr>
            <m:e>
              <m:r>
                <w:rPr>
                  <w:rFonts w:ascii="Cambria Math" w:hAnsi="Cambria Math" w:cstheme="minorHAnsi"/>
                </w:rPr>
                <m:t>N</m:t>
              </m:r>
            </m:e>
            <m:sup>
              <m:r>
                <w:rPr>
                  <w:rFonts w:ascii="Cambria Math" w:hAnsi="Cambria Math" w:cstheme="minorHAnsi"/>
                </w:rPr>
                <m:t>-1</m:t>
              </m:r>
            </m:sup>
          </m:sSup>
          <m:nary>
            <m:naryPr>
              <m:chr m:val="∑"/>
              <m:limLoc m:val="subSup"/>
              <m:ctrlPr>
                <w:rPr>
                  <w:rFonts w:ascii="Cambria Math" w:hAnsi="Cambria Math" w:cstheme="minorHAnsi"/>
                  <w:i/>
                  <w:iCs/>
                </w:rPr>
              </m:ctrlPr>
            </m:naryPr>
            <m:sub>
              <m:r>
                <w:rPr>
                  <w:rFonts w:ascii="Cambria Math" w:hAnsi="Cambria Math" w:cstheme="minorHAnsi"/>
                </w:rPr>
                <m:t>t-1</m:t>
              </m:r>
            </m:sub>
            <m:sup>
              <m:r>
                <w:rPr>
                  <w:rFonts w:ascii="Cambria Math" w:hAnsi="Cambria Math" w:cstheme="minorHAnsi"/>
                </w:rPr>
                <m:t>N</m:t>
              </m:r>
            </m:sup>
            <m:e>
              <m:sSubSup>
                <m:sSubSupPr>
                  <m:ctrlPr>
                    <w:rPr>
                      <w:rFonts w:ascii="Cambria Math" w:hAnsi="Cambria Math" w:cstheme="minorHAnsi"/>
                      <w:i/>
                      <w:iCs/>
                    </w:rPr>
                  </m:ctrlPr>
                </m:sSubSupPr>
                <m:e>
                  <m:r>
                    <w:rPr>
                      <w:rFonts w:ascii="Cambria Math" w:hAnsi="Cambria Math" w:cstheme="minorHAnsi"/>
                    </w:rPr>
                    <m:t>Z</m:t>
                  </m:r>
                </m:e>
                <m:sub>
                  <m:r>
                    <w:rPr>
                      <w:rFonts w:ascii="Cambria Math" w:hAnsi="Cambria Math" w:cstheme="minorHAnsi"/>
                    </w:rPr>
                    <m:t xml:space="preserve">i </m:t>
                  </m:r>
                </m:sub>
                <m:sup>
                  <m:r>
                    <w:rPr>
                      <w:rFonts w:ascii="Cambria Math" w:hAnsi="Cambria Math" w:cstheme="minorHAnsi"/>
                    </w:rPr>
                    <m:t>'</m:t>
                  </m:r>
                </m:sup>
              </m:sSubSup>
              <m:r>
                <w:rPr>
                  <w:rFonts w:ascii="Cambria Math" w:hAnsi="Cambria Math" w:cstheme="minorHAnsi"/>
                </w:rPr>
                <m:t xml:space="preserve">∆ </m:t>
              </m:r>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 xml:space="preserve">i </m:t>
                  </m:r>
                </m:sub>
              </m:sSub>
              <m:r>
                <w:rPr>
                  <w:rFonts w:ascii="Cambria Math" w:hAnsi="Cambria Math" w:cstheme="minorHAnsi"/>
                </w:rPr>
                <m:t xml:space="preserve">∆ </m:t>
              </m:r>
              <m:sSub>
                <m:sSubPr>
                  <m:ctrlPr>
                    <w:rPr>
                      <w:rFonts w:ascii="Cambria Math" w:hAnsi="Cambria Math" w:cstheme="minorHAnsi"/>
                      <w:i/>
                      <w:iCs/>
                    </w:rPr>
                  </m:ctrlPr>
                </m:sSubPr>
                <m:e>
                  <m:r>
                    <w:rPr>
                      <w:rFonts w:ascii="Cambria Math" w:hAnsi="Cambria Math" w:cstheme="minorHAnsi"/>
                    </w:rPr>
                    <m:t>V</m:t>
                  </m:r>
                </m:e>
                <m:sub>
                  <m:r>
                    <w:rPr>
                      <w:rFonts w:ascii="Cambria Math" w:hAnsi="Cambria Math" w:cstheme="minorHAnsi"/>
                    </w:rPr>
                    <m:t xml:space="preserve">i </m:t>
                  </m:r>
                </m:sub>
              </m:sSub>
              <m:sSub>
                <m:sSubPr>
                  <m:ctrlPr>
                    <w:rPr>
                      <w:rFonts w:ascii="Cambria Math" w:hAnsi="Cambria Math" w:cstheme="minorHAnsi"/>
                      <w:i/>
                      <w:iCs/>
                    </w:rPr>
                  </m:ctrlPr>
                </m:sSubPr>
                <m:e>
                  <m:r>
                    <w:rPr>
                      <w:rFonts w:ascii="Cambria Math" w:hAnsi="Cambria Math" w:cstheme="minorHAnsi"/>
                    </w:rPr>
                    <m:t>Z</m:t>
                  </m:r>
                </m:e>
                <m:sub>
                  <m:r>
                    <w:rPr>
                      <w:rFonts w:ascii="Cambria Math" w:hAnsi="Cambria Math" w:cstheme="minorHAnsi"/>
                    </w:rPr>
                    <m:t xml:space="preserve">i </m:t>
                  </m:r>
                </m:sub>
              </m:sSub>
            </m:e>
          </m:nary>
        </m:oMath>
      </m:oMathPara>
    </w:p>
    <w:p w14:paraId="0E733537" w14:textId="77777777" w:rsidR="00C95055" w:rsidRPr="00DC704E" w:rsidRDefault="00C95055" w:rsidP="00C95055">
      <w:pPr>
        <w:spacing w:line="240" w:lineRule="auto"/>
        <w:jc w:val="both"/>
        <w:rPr>
          <w:rFonts w:cstheme="minorHAnsi"/>
        </w:rPr>
      </w:pPr>
    </w:p>
    <w:p w14:paraId="74CD4A48" w14:textId="77777777" w:rsidR="00C95055" w:rsidRPr="00292E88" w:rsidRDefault="00C95055" w:rsidP="00C95055">
      <w:pPr>
        <w:spacing w:line="240" w:lineRule="auto"/>
        <w:jc w:val="both"/>
        <w:rPr>
          <w:rFonts w:cstheme="minorHAnsi"/>
        </w:rPr>
      </w:pPr>
      <w:r w:rsidRPr="00292E88">
        <w:rPr>
          <w:rFonts w:cstheme="minorHAnsi"/>
        </w:rPr>
        <w:t>However, this first model (difference GMM) has several drawbacks, including endogeneity correction by changing all regressors through differencing, eliminating the fixed effect (Bond, 1991). The first difference transformation has a weakness, namely by reducing previous observations from contemporary observations so that it enlarges the gap in the unbalanced panel. So that it is refined by using the GMM system.</w:t>
      </w:r>
    </w:p>
    <w:p w14:paraId="02A79B0E" w14:textId="12694C9A" w:rsidR="00C95055" w:rsidRPr="000331AC" w:rsidRDefault="00C95055" w:rsidP="000331AC">
      <w:pPr>
        <w:spacing w:line="240" w:lineRule="auto"/>
        <w:jc w:val="both"/>
        <w:rPr>
          <w:rFonts w:cstheme="minorHAnsi"/>
          <w:lang w:val="id-ID"/>
        </w:rPr>
      </w:pPr>
      <w:r w:rsidRPr="00292E88">
        <w:rPr>
          <w:rFonts w:cstheme="minorHAnsi"/>
        </w:rPr>
        <w:t xml:space="preserve">The GMM system (model 2) is considered more flexible because firstly, </w:t>
      </w:r>
      <w:proofErr w:type="gramStart"/>
      <w:r w:rsidR="0087056E" w:rsidRPr="0087056E">
        <w:rPr>
          <w:rFonts w:cstheme="minorHAnsi"/>
        </w:rPr>
        <w:t>In</w:t>
      </w:r>
      <w:proofErr w:type="gramEnd"/>
      <w:r w:rsidR="0087056E" w:rsidRPr="0087056E">
        <w:rPr>
          <w:rFonts w:cstheme="minorHAnsi"/>
        </w:rPr>
        <w:t xml:space="preserve"> order to significantly increase efficiency and change the instruments such that they are not linked (exogenous) with the fixed effect, endogeneity is rectified by adding new instruments. Second, combine the original equation with the modified equation to form a system of two equations. Third, the GMM approach lowers the average of all potential future observations of the variable by using orthogonal deviance rather than dividing by recent observations.</w:t>
      </w:r>
      <w:r w:rsidRPr="0087056E">
        <w:rPr>
          <w:rFonts w:cstheme="minorHAnsi"/>
        </w:rPr>
        <w:t xml:space="preserve"> </w:t>
      </w:r>
      <w:r w:rsidRPr="00292E88">
        <w:rPr>
          <w:rFonts w:cstheme="minorHAnsi"/>
        </w:rPr>
        <w:t>The GMM system can be calculated for all observations, thereby minimizing data loss</w:t>
      </w:r>
      <w:r w:rsidR="000331AC">
        <w:rPr>
          <w:rFonts w:cstheme="minorHAnsi"/>
          <w:lang w:val="id-ID"/>
        </w:rPr>
        <w:t xml:space="preserve"> </w:t>
      </w:r>
      <w:r w:rsidR="000331AC">
        <w:rPr>
          <w:rFonts w:cstheme="minorHAnsi"/>
          <w:lang w:val="id-ID"/>
        </w:rPr>
        <w:fldChar w:fldCharType="begin" w:fldLock="1"/>
      </w:r>
      <w:r w:rsidR="003B7CD1">
        <w:rPr>
          <w:rFonts w:cstheme="minorHAnsi"/>
          <w:lang w:val="id-ID"/>
        </w:rPr>
        <w:instrText>ADDIN CSL_CITATION {"citationItems":[{"id":"ITEM-1","itemData":{"ISBN":"0304407694016","abstract":"This article develops a framework for efficient IV estimators of random effects models with information in levels which can accommodate predetermined variables. Our formulation clarifies the relationship between the existing estimators and the role of transformations in panel data models. We characterize the valid transformations for relevant models and show that optimal estimators are invariant to the transformation used to remove individual effects. We present an alternative transformation for models with predetermined instruments which preserves the orthogonality among the errors. Finally, we consider models with predetermined variables that have constant correlation with the effects and illustrate their importance with simulations.","author":[{"dropping-particle":"","family":"Manuel","given":"Arellano","non-dropping-particle":"","parse-names":false,"suffix":""},{"dropping-particle":"","family":"Bover Olympia","given":"","non-dropping-particle":"","parse-names":false,"suffix":""}],"container-title":"Journal of econometrics","id":"ITEM-1","issue":"1","issued":{"date-parts":[["1995"]]},"page":"29–51","title":"Another look at the instrumental variable estimation of error-components models","type":"article-journal","volume":"68"},"uris":["http://www.mendeley.com/documents/?uuid=34bbed3b-e443-4dcf-98c3-43443f23fe56"]}],"mendeley":{"formattedCitation":"(Manuel &amp; Bover Olympia, 1995)","plainTextFormattedCitation":"(Manuel &amp; Bover Olympia, 1995)","previouslyFormattedCitation":"(Manuel &amp; Bover Olympia, 1995)"},"properties":{"noteIndex":0},"schema":"https://github.com/citation-style-language/schema/raw/master/csl-citation.json"}</w:instrText>
      </w:r>
      <w:r w:rsidR="000331AC">
        <w:rPr>
          <w:rFonts w:cstheme="minorHAnsi"/>
          <w:lang w:val="id-ID"/>
        </w:rPr>
        <w:fldChar w:fldCharType="separate"/>
      </w:r>
      <w:r w:rsidR="000331AC" w:rsidRPr="000331AC">
        <w:rPr>
          <w:rFonts w:cstheme="minorHAnsi"/>
          <w:noProof/>
          <w:lang w:val="id-ID"/>
        </w:rPr>
        <w:t>(Manuel &amp; Bover Olympia, 1995)</w:t>
      </w:r>
      <w:r w:rsidR="000331AC">
        <w:rPr>
          <w:rFonts w:cstheme="minorHAnsi"/>
          <w:lang w:val="id-ID"/>
        </w:rPr>
        <w:fldChar w:fldCharType="end"/>
      </w:r>
      <w:r w:rsidR="000331AC">
        <w:rPr>
          <w:rFonts w:cstheme="minorHAnsi"/>
          <w:lang w:val="id-ID"/>
        </w:rPr>
        <w:t>.</w:t>
      </w:r>
    </w:p>
    <w:p w14:paraId="72F414F7" w14:textId="77777777" w:rsidR="00C95055" w:rsidRDefault="00C95055" w:rsidP="00C95055">
      <w:pPr>
        <w:spacing w:line="240" w:lineRule="auto"/>
        <w:jc w:val="both"/>
        <w:rPr>
          <w:rFonts w:cstheme="minorHAnsi"/>
          <w:sz w:val="20"/>
          <w:szCs w:val="20"/>
        </w:rPr>
      </w:pPr>
      <w:r w:rsidRPr="00292E88">
        <w:rPr>
          <w:rFonts w:cstheme="minorHAnsi"/>
        </w:rPr>
        <w:t>GMM estimation is an approach used to show the direct and indirect impact of each independent variable (inflation, unemployment, trade openness, foreign direct investment) and moderating variable (political stability) on the dependent variable (IPM). The model is modified into a dynamic function, as described below:</w:t>
      </w:r>
    </w:p>
    <w:p w14:paraId="18D5405F" w14:textId="77777777" w:rsidR="00C95055" w:rsidRPr="004E5503" w:rsidRDefault="00C95055" w:rsidP="00C95055">
      <w:pPr>
        <w:spacing w:line="240" w:lineRule="auto"/>
        <w:ind w:left="393" w:firstLine="327"/>
        <w:jc w:val="center"/>
        <w:rPr>
          <w:rFonts w:cstheme="minorHAnsi"/>
          <w:sz w:val="20"/>
          <w:szCs w:val="20"/>
        </w:rPr>
      </w:pPr>
      <w:r w:rsidRPr="004E5503">
        <w:rPr>
          <w:rFonts w:cstheme="minorHAnsi"/>
          <w:sz w:val="20"/>
          <w:szCs w:val="20"/>
        </w:rPr>
        <w:t>IPM</w:t>
      </w:r>
      <w:r w:rsidRPr="004E5503">
        <w:rPr>
          <w:rFonts w:ascii="Cambria Math" w:hAnsi="Cambria Math" w:cs="Cambria Math"/>
          <w:sz w:val="20"/>
          <w:szCs w:val="20"/>
        </w:rPr>
        <w:t>𝑖𝑡</w:t>
      </w:r>
      <w:r w:rsidRPr="004E5503">
        <w:rPr>
          <w:rFonts w:cstheme="minorHAnsi"/>
          <w:sz w:val="20"/>
          <w:szCs w:val="20"/>
        </w:rPr>
        <w:t xml:space="preserve"> = </w:t>
      </w:r>
      <w:r w:rsidRPr="004E5503">
        <w:rPr>
          <w:rFonts w:ascii="Cambria Math" w:hAnsi="Cambria Math" w:cs="Cambria Math"/>
          <w:sz w:val="20"/>
          <w:szCs w:val="20"/>
        </w:rPr>
        <w:t>𝜆</w:t>
      </w:r>
      <w:r w:rsidRPr="004E5503">
        <w:rPr>
          <w:rFonts w:cstheme="minorHAnsi"/>
          <w:sz w:val="20"/>
          <w:szCs w:val="20"/>
        </w:rPr>
        <w:t>IPM</w:t>
      </w:r>
      <w:r w:rsidRPr="004E5503">
        <w:rPr>
          <w:rFonts w:ascii="Cambria Math" w:hAnsi="Cambria Math" w:cs="Cambria Math"/>
          <w:sz w:val="20"/>
          <w:szCs w:val="20"/>
        </w:rPr>
        <w:t>𝑖𝑡</w:t>
      </w:r>
      <w:r w:rsidRPr="004E5503">
        <w:rPr>
          <w:rFonts w:cstheme="minorHAnsi"/>
          <w:sz w:val="20"/>
          <w:szCs w:val="20"/>
        </w:rPr>
        <w:t xml:space="preserve">−1+ </w:t>
      </w:r>
      <w:r w:rsidRPr="004E5503">
        <w:rPr>
          <w:rFonts w:ascii="Cambria Math" w:hAnsi="Cambria Math" w:cs="Cambria Math"/>
          <w:sz w:val="20"/>
          <w:szCs w:val="20"/>
        </w:rPr>
        <w:t>𝛽</w:t>
      </w:r>
      <w:r>
        <w:rPr>
          <w:rFonts w:ascii="Cambria Math" w:hAnsi="Cambria Math" w:cs="Cambria Math"/>
          <w:sz w:val="20"/>
          <w:szCs w:val="20"/>
          <w:vertAlign w:val="subscript"/>
        </w:rPr>
        <w:t>1</w:t>
      </w:r>
      <w:r w:rsidRPr="004E5503">
        <w:rPr>
          <w:rFonts w:cstheme="minorHAnsi"/>
          <w:sz w:val="20"/>
          <w:szCs w:val="20"/>
        </w:rPr>
        <w:t>INF</w:t>
      </w:r>
      <w:r w:rsidRPr="004E5503">
        <w:rPr>
          <w:rFonts w:ascii="Cambria Math" w:hAnsi="Cambria Math" w:cs="Cambria Math"/>
          <w:sz w:val="20"/>
          <w:szCs w:val="20"/>
          <w:vertAlign w:val="subscript"/>
        </w:rPr>
        <w:t>𝑖𝑡</w:t>
      </w:r>
      <w:r w:rsidRPr="004E5503">
        <w:rPr>
          <w:rFonts w:cstheme="minorHAnsi"/>
          <w:sz w:val="20"/>
          <w:szCs w:val="20"/>
        </w:rPr>
        <w:t xml:space="preserve">+ </w:t>
      </w:r>
      <w:r w:rsidRPr="004E5503">
        <w:rPr>
          <w:rFonts w:ascii="Cambria Math" w:hAnsi="Cambria Math" w:cs="Cambria Math"/>
          <w:sz w:val="20"/>
          <w:szCs w:val="20"/>
        </w:rPr>
        <w:t>𝛽</w:t>
      </w:r>
      <w:r>
        <w:rPr>
          <w:rFonts w:ascii="Cambria Math" w:hAnsi="Cambria Math" w:cs="Cambria Math"/>
          <w:sz w:val="20"/>
          <w:szCs w:val="20"/>
          <w:vertAlign w:val="subscript"/>
        </w:rPr>
        <w:t>2</w:t>
      </w:r>
      <w:r w:rsidRPr="004E5503">
        <w:rPr>
          <w:rFonts w:cstheme="minorHAnsi"/>
          <w:sz w:val="20"/>
          <w:szCs w:val="20"/>
        </w:rPr>
        <w:t>UNEMPLY</w:t>
      </w:r>
      <w:r w:rsidRPr="004E5503">
        <w:rPr>
          <w:rFonts w:cstheme="minorHAnsi"/>
          <w:sz w:val="20"/>
          <w:szCs w:val="20"/>
          <w:vertAlign w:val="subscript"/>
        </w:rPr>
        <w:t xml:space="preserve">it </w:t>
      </w:r>
      <w:r w:rsidRPr="004E5503">
        <w:rPr>
          <w:rFonts w:cstheme="minorHAnsi"/>
          <w:sz w:val="20"/>
          <w:szCs w:val="20"/>
        </w:rPr>
        <w:t xml:space="preserve">+ </w:t>
      </w:r>
      <w:r w:rsidRPr="004E5503">
        <w:rPr>
          <w:rFonts w:ascii="Cambria Math" w:hAnsi="Cambria Math" w:cs="Cambria Math"/>
          <w:sz w:val="20"/>
          <w:szCs w:val="20"/>
        </w:rPr>
        <w:t>𝛽</w:t>
      </w:r>
      <w:r>
        <w:rPr>
          <w:rFonts w:ascii="Cambria Math" w:hAnsi="Cambria Math" w:cs="Cambria Math"/>
          <w:sz w:val="20"/>
          <w:szCs w:val="20"/>
          <w:vertAlign w:val="subscript"/>
        </w:rPr>
        <w:t>3</w:t>
      </w:r>
      <w:r w:rsidRPr="004E5503">
        <w:rPr>
          <w:rFonts w:cstheme="minorHAnsi"/>
          <w:sz w:val="20"/>
          <w:szCs w:val="20"/>
        </w:rPr>
        <w:t>TO</w:t>
      </w:r>
      <w:r w:rsidRPr="004E5503">
        <w:rPr>
          <w:rFonts w:ascii="Cambria Math" w:hAnsi="Cambria Math" w:cs="Cambria Math"/>
          <w:sz w:val="20"/>
          <w:szCs w:val="20"/>
          <w:vertAlign w:val="subscript"/>
        </w:rPr>
        <w:t>𝑖𝑡</w:t>
      </w:r>
      <w:r w:rsidRPr="004E5503">
        <w:rPr>
          <w:rFonts w:cstheme="minorHAnsi"/>
          <w:sz w:val="20"/>
          <w:szCs w:val="20"/>
        </w:rPr>
        <w:t xml:space="preserve">+ </w:t>
      </w:r>
      <w:r w:rsidRPr="004E5503">
        <w:rPr>
          <w:rFonts w:ascii="Cambria Math" w:hAnsi="Cambria Math" w:cs="Cambria Math"/>
          <w:sz w:val="20"/>
          <w:szCs w:val="20"/>
        </w:rPr>
        <w:t>𝛽</w:t>
      </w:r>
      <w:r>
        <w:rPr>
          <w:rFonts w:ascii="Cambria Math" w:hAnsi="Cambria Math" w:cs="Cambria Math"/>
          <w:sz w:val="20"/>
          <w:szCs w:val="20"/>
          <w:vertAlign w:val="subscript"/>
        </w:rPr>
        <w:t>4</w:t>
      </w:r>
      <w:r w:rsidRPr="004E5503">
        <w:rPr>
          <w:rFonts w:cstheme="minorHAnsi"/>
          <w:sz w:val="20"/>
          <w:szCs w:val="20"/>
        </w:rPr>
        <w:t>FDI</w:t>
      </w:r>
      <w:r w:rsidRPr="004E5503">
        <w:rPr>
          <w:rFonts w:ascii="Cambria Math" w:hAnsi="Cambria Math" w:cs="Cambria Math"/>
          <w:sz w:val="20"/>
          <w:szCs w:val="20"/>
          <w:vertAlign w:val="subscript"/>
        </w:rPr>
        <w:t>𝑖𝑡</w:t>
      </w:r>
      <w:r w:rsidRPr="004E5503">
        <w:rPr>
          <w:rFonts w:cstheme="minorHAnsi"/>
          <w:sz w:val="20"/>
          <w:szCs w:val="20"/>
        </w:rPr>
        <w:t xml:space="preserve"> +</w:t>
      </w:r>
      <w:r w:rsidRPr="004E5503">
        <w:rPr>
          <w:rFonts w:ascii="Cambria Math" w:hAnsi="Cambria Math" w:cs="Cambria Math"/>
          <w:sz w:val="20"/>
          <w:szCs w:val="20"/>
        </w:rPr>
        <w:t xml:space="preserve"> 𝛽</w:t>
      </w:r>
      <w:r>
        <w:rPr>
          <w:rFonts w:ascii="Cambria Math" w:hAnsi="Cambria Math" w:cs="Cambria Math"/>
          <w:sz w:val="20"/>
          <w:szCs w:val="20"/>
          <w:vertAlign w:val="subscript"/>
        </w:rPr>
        <w:t>5</w:t>
      </w:r>
      <w:r w:rsidRPr="004E5503">
        <w:rPr>
          <w:rFonts w:cstheme="minorHAnsi"/>
          <w:sz w:val="20"/>
          <w:szCs w:val="20"/>
        </w:rPr>
        <w:t>SP</w:t>
      </w:r>
      <w:r w:rsidRPr="004E5503">
        <w:rPr>
          <w:rFonts w:ascii="Cambria Math" w:hAnsi="Cambria Math" w:cs="Cambria Math"/>
          <w:sz w:val="20"/>
          <w:szCs w:val="20"/>
          <w:vertAlign w:val="subscript"/>
        </w:rPr>
        <w:t>𝑖𝑡</w:t>
      </w:r>
      <w:r w:rsidRPr="004E5503">
        <w:rPr>
          <w:rFonts w:cstheme="minorHAnsi"/>
          <w:sz w:val="20"/>
          <w:szCs w:val="20"/>
        </w:rPr>
        <w:t xml:space="preserve"> + </w:t>
      </w:r>
      <w:r w:rsidRPr="004E5503">
        <w:rPr>
          <w:rFonts w:ascii="Cambria Math" w:hAnsi="Cambria Math" w:cs="Cambria Math"/>
          <w:sz w:val="20"/>
          <w:szCs w:val="20"/>
        </w:rPr>
        <w:t>𝜀</w:t>
      </w:r>
      <w:r w:rsidRPr="004E5503">
        <w:rPr>
          <w:rFonts w:ascii="Cambria Math" w:hAnsi="Cambria Math" w:cs="Cambria Math"/>
          <w:sz w:val="20"/>
          <w:szCs w:val="20"/>
          <w:vertAlign w:val="subscript"/>
        </w:rPr>
        <w:t>𝑖</w:t>
      </w:r>
      <w:r w:rsidRPr="004E5503">
        <w:rPr>
          <w:rFonts w:cstheme="minorHAnsi"/>
          <w:sz w:val="20"/>
          <w:szCs w:val="20"/>
          <w:vertAlign w:val="subscript"/>
        </w:rPr>
        <w:t>t</w:t>
      </w:r>
    </w:p>
    <w:p w14:paraId="481331A3" w14:textId="7D3858C6" w:rsidR="00C95055" w:rsidRPr="0087056E" w:rsidRDefault="00C95055" w:rsidP="00C95055">
      <w:pPr>
        <w:spacing w:after="0" w:line="240" w:lineRule="auto"/>
        <w:jc w:val="both"/>
        <w:rPr>
          <w:rFonts w:cstheme="minorHAnsi"/>
        </w:rPr>
      </w:pPr>
      <w:r w:rsidRPr="00292E88">
        <w:rPr>
          <w:rFonts w:cstheme="minorHAnsi"/>
        </w:rPr>
        <w:t xml:space="preserve">Where HDI is constant </w:t>
      </w:r>
      <w:r w:rsidR="0087056E">
        <w:rPr>
          <w:rFonts w:cstheme="minorHAnsi"/>
          <w:lang w:val="id-ID"/>
        </w:rPr>
        <w:t>Human Development Index (</w:t>
      </w:r>
      <w:r w:rsidRPr="00292E88">
        <w:rPr>
          <w:rFonts w:cstheme="minorHAnsi"/>
        </w:rPr>
        <w:t>HDI</w:t>
      </w:r>
      <w:r w:rsidR="0087056E">
        <w:rPr>
          <w:rFonts w:cstheme="minorHAnsi"/>
          <w:lang w:val="id-ID"/>
        </w:rPr>
        <w:t>)</w:t>
      </w:r>
      <w:r w:rsidRPr="00292E88">
        <w:rPr>
          <w:rFonts w:cstheme="minorHAnsi"/>
        </w:rPr>
        <w:t xml:space="preserve"> for year t. The subscripts </w:t>
      </w:r>
      <w:proofErr w:type="spellStart"/>
      <w:r w:rsidRPr="00292E88">
        <w:rPr>
          <w:rFonts w:cstheme="minorHAnsi"/>
        </w:rPr>
        <w:t>i</w:t>
      </w:r>
      <w:proofErr w:type="spellEnd"/>
      <w:r w:rsidRPr="00292E88">
        <w:rPr>
          <w:rFonts w:cstheme="minorHAnsi"/>
        </w:rPr>
        <w:t xml:space="preserve"> and t represent the number of countries and periods covered in the study. </w:t>
      </w:r>
      <w:r w:rsidR="0087056E" w:rsidRPr="0087056E">
        <w:rPr>
          <w:rFonts w:cstheme="minorHAnsi"/>
        </w:rPr>
        <w:t xml:space="preserve">Inflation is represented by INF, unemployment by UNEMPLY, trade openness by TO, foreign direct investment by FDI, political stability by SP, and </w:t>
      </w:r>
      <w:r w:rsidRPr="0087056E">
        <w:rPr>
          <w:rFonts w:cstheme="minorHAnsi"/>
        </w:rPr>
        <w:t>ε is a random variable.</w:t>
      </w:r>
    </w:p>
    <w:p w14:paraId="6DE2F425" w14:textId="77777777" w:rsidR="00393DBB" w:rsidRPr="00FF3948" w:rsidRDefault="00393DBB" w:rsidP="00BF2F2D">
      <w:pPr>
        <w:spacing w:after="0" w:line="240" w:lineRule="auto"/>
        <w:jc w:val="both"/>
        <w:rPr>
          <w:rFonts w:cstheme="minorHAnsi"/>
        </w:rPr>
      </w:pPr>
    </w:p>
    <w:p w14:paraId="783FC95D" w14:textId="7257899A" w:rsidR="00C95055" w:rsidRPr="00BF2F2D" w:rsidRDefault="00BF2F2D" w:rsidP="00BF2F2D">
      <w:pPr>
        <w:spacing w:after="0" w:line="240" w:lineRule="auto"/>
        <w:jc w:val="both"/>
        <w:rPr>
          <w:rFonts w:cstheme="minorHAnsi"/>
          <w:lang w:val="id-ID"/>
        </w:rPr>
      </w:pPr>
      <w:r w:rsidRPr="00BF2F2D">
        <w:rPr>
          <w:rFonts w:cstheme="minorHAnsi"/>
          <w:lang w:val="id-ID"/>
        </w:rPr>
        <w:t xml:space="preserve">Moreover the </w:t>
      </w:r>
      <w:r w:rsidR="00C95055" w:rsidRPr="00BF2F2D">
        <w:rPr>
          <w:rFonts w:cstheme="minorHAnsi"/>
        </w:rPr>
        <w:t>Moderated Regression Analysis (MRA)</w:t>
      </w:r>
      <w:r w:rsidR="00C95055" w:rsidRPr="00BF2F2D">
        <w:rPr>
          <w:rFonts w:cstheme="minorHAnsi"/>
          <w:lang w:val="id-ID"/>
        </w:rPr>
        <w:t xml:space="preserve"> </w:t>
      </w:r>
      <w:r w:rsidR="00C95055" w:rsidRPr="00BF2F2D">
        <w:rPr>
          <w:rFonts w:cstheme="minorHAnsi"/>
        </w:rPr>
        <w:t>Model</w:t>
      </w:r>
      <w:r w:rsidR="00C95055" w:rsidRPr="00BF2F2D">
        <w:rPr>
          <w:rFonts w:cstheme="minorHAnsi"/>
          <w:lang w:val="id-ID"/>
        </w:rPr>
        <w:t xml:space="preserve"> </w:t>
      </w:r>
      <w:r>
        <w:rPr>
          <w:rFonts w:cstheme="minorHAnsi"/>
          <w:lang w:val="id-ID"/>
        </w:rPr>
        <w:t>is used to analize the o</w:t>
      </w:r>
      <w:r w:rsidR="00C95055" w:rsidRPr="00292E88">
        <w:rPr>
          <w:rFonts w:cstheme="minorHAnsi"/>
        </w:rPr>
        <w:t>ne component of multiple linear regression analysis is moderated regression analysis</w:t>
      </w:r>
      <w:r w:rsidR="00C95055" w:rsidRPr="0087385D">
        <w:rPr>
          <w:rFonts w:cstheme="minorHAnsi"/>
        </w:rPr>
        <w:t xml:space="preserve">. </w:t>
      </w:r>
      <w:r w:rsidR="0087385D" w:rsidRPr="0087385D">
        <w:rPr>
          <w:rFonts w:cstheme="minorHAnsi"/>
        </w:rPr>
        <w:t xml:space="preserve">The interaction between the independent variable (X) and the dependent variable (Y) can be modified using the moderating regression model equation. The relationship between </w:t>
      </w:r>
      <w:r w:rsidR="0087385D" w:rsidRPr="0087385D">
        <w:rPr>
          <w:rFonts w:cstheme="minorHAnsi"/>
          <w:lang w:val="id-ID"/>
        </w:rPr>
        <w:t>two parties</w:t>
      </w:r>
      <w:r w:rsidR="0087385D" w:rsidRPr="0087385D">
        <w:rPr>
          <w:rFonts w:cstheme="minorHAnsi"/>
        </w:rPr>
        <w:t xml:space="preserve"> may be strengthened, weakened, or unaffected by these results. The moderating variable is identified as M, and the predictor and criterion variables are identified as X and Y, respectively.</w:t>
      </w:r>
      <w:r w:rsidR="00C95055" w:rsidRPr="0087385D">
        <w:rPr>
          <w:rFonts w:cstheme="minorHAnsi"/>
        </w:rPr>
        <w:t xml:space="preserve"> </w:t>
      </w:r>
      <w:r w:rsidR="00C95055" w:rsidRPr="00292E88">
        <w:rPr>
          <w:rFonts w:cstheme="minorHAnsi"/>
        </w:rPr>
        <w:t>The equation model for GMM analysis with interaction is as follows:</w:t>
      </w:r>
      <w:r w:rsidR="00C95055" w:rsidRPr="00DC704E">
        <w:rPr>
          <w:rFonts w:cstheme="minorHAnsi"/>
        </w:rPr>
        <w:t xml:space="preserve"> </w:t>
      </w:r>
    </w:p>
    <w:p w14:paraId="421CEE3E" w14:textId="77777777" w:rsidR="00C95055" w:rsidRDefault="00C95055" w:rsidP="00C95055">
      <w:pPr>
        <w:spacing w:after="0" w:line="240" w:lineRule="auto"/>
        <w:jc w:val="both"/>
        <w:rPr>
          <w:rFonts w:cstheme="minorHAnsi"/>
          <w:i/>
          <w:iCs/>
        </w:rPr>
      </w:pPr>
    </w:p>
    <w:p w14:paraId="6AECAB4B" w14:textId="17BC43C2" w:rsidR="00C95055" w:rsidRPr="00C272CD" w:rsidRDefault="00C95055" w:rsidP="00C95055">
      <w:pPr>
        <w:spacing w:after="0" w:line="240" w:lineRule="auto"/>
        <w:ind w:firstLine="720"/>
        <w:jc w:val="both"/>
        <w:rPr>
          <w:rFonts w:asciiTheme="minorHAnsi" w:hAnsiTheme="minorHAnsi" w:cstheme="minorHAnsi"/>
          <w:b/>
          <w:bCs/>
        </w:rPr>
      </w:pPr>
      <w:proofErr w:type="spellStart"/>
      <w:r w:rsidRPr="00C272CD">
        <w:rPr>
          <w:rFonts w:asciiTheme="minorHAnsi" w:hAnsiTheme="minorHAnsi" w:cstheme="minorHAnsi"/>
          <w:i/>
          <w:iCs/>
        </w:rPr>
        <w:t>IPM</w:t>
      </w:r>
      <w:r w:rsidRPr="00C272CD">
        <w:rPr>
          <w:rFonts w:asciiTheme="minorHAnsi" w:hAnsiTheme="minorHAnsi" w:cstheme="minorHAnsi"/>
          <w:i/>
          <w:iCs/>
          <w:vertAlign w:val="subscript"/>
        </w:rPr>
        <w:t>it</w:t>
      </w:r>
      <w:proofErr w:type="spellEnd"/>
      <w:r w:rsidRPr="00C272CD">
        <w:rPr>
          <w:rFonts w:asciiTheme="minorHAnsi" w:hAnsiTheme="minorHAnsi" w:cstheme="minorHAnsi"/>
          <w:i/>
          <w:iCs/>
          <w:vertAlign w:val="subscript"/>
        </w:rPr>
        <w:t xml:space="preserve"> </w:t>
      </w:r>
      <w:r w:rsidRPr="00C272CD">
        <w:rPr>
          <w:rFonts w:asciiTheme="minorHAnsi" w:hAnsiTheme="minorHAnsi" w:cstheme="minorHAnsi"/>
          <w:i/>
          <w:iCs/>
        </w:rPr>
        <w:t>= β</w:t>
      </w:r>
      <w:r w:rsidRPr="00C272CD">
        <w:rPr>
          <w:rFonts w:asciiTheme="minorHAnsi" w:hAnsiTheme="minorHAnsi" w:cstheme="minorHAnsi"/>
          <w:i/>
          <w:iCs/>
          <w:vertAlign w:val="subscript"/>
        </w:rPr>
        <w:t>1</w:t>
      </w:r>
      <w:r w:rsidRPr="00C272CD">
        <w:rPr>
          <w:rFonts w:asciiTheme="minorHAnsi" w:hAnsiTheme="minorHAnsi" w:cstheme="minorHAnsi"/>
        </w:rPr>
        <w:t>+</w:t>
      </w:r>
      <w:r w:rsidRPr="00C272CD">
        <w:rPr>
          <w:rFonts w:ascii="Cambria Math" w:hAnsi="Cambria Math" w:cs="Cambria Math"/>
        </w:rPr>
        <w:t>𝜆</w:t>
      </w:r>
      <w:r w:rsidRPr="00C272CD">
        <w:rPr>
          <w:rFonts w:asciiTheme="minorHAnsi" w:hAnsiTheme="minorHAnsi" w:cstheme="minorHAnsi"/>
          <w:i/>
          <w:iCs/>
        </w:rPr>
        <w:t>IPM-</w:t>
      </w:r>
      <w:r w:rsidRPr="00C272CD">
        <w:rPr>
          <w:rFonts w:asciiTheme="minorHAnsi" w:hAnsiTheme="minorHAnsi" w:cstheme="minorHAnsi"/>
          <w:i/>
          <w:iCs/>
          <w:vertAlign w:val="subscript"/>
        </w:rPr>
        <w:t>1it</w:t>
      </w:r>
      <w:r w:rsidRPr="00C272CD">
        <w:rPr>
          <w:rFonts w:asciiTheme="minorHAnsi" w:hAnsiTheme="minorHAnsi" w:cstheme="minorHAnsi"/>
          <w:i/>
          <w:iCs/>
        </w:rPr>
        <w:t xml:space="preserve"> + β</w:t>
      </w:r>
      <w:r w:rsidRPr="00C272CD">
        <w:rPr>
          <w:rFonts w:asciiTheme="minorHAnsi" w:hAnsiTheme="minorHAnsi" w:cstheme="minorHAnsi"/>
          <w:i/>
          <w:iCs/>
          <w:vertAlign w:val="subscript"/>
        </w:rPr>
        <w:t>2</w:t>
      </w:r>
      <w:r w:rsidRPr="00C272CD">
        <w:rPr>
          <w:rFonts w:asciiTheme="minorHAnsi" w:hAnsiTheme="minorHAnsi" w:cstheme="minorHAnsi"/>
          <w:i/>
          <w:iCs/>
        </w:rPr>
        <w:t>INF</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3</w:t>
      </w:r>
      <w:r w:rsidRPr="00C272CD">
        <w:rPr>
          <w:rFonts w:asciiTheme="minorHAnsi" w:hAnsiTheme="minorHAnsi" w:cstheme="minorHAnsi"/>
          <w:i/>
          <w:iCs/>
        </w:rPr>
        <w:t>UNEMPLY</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3</w:t>
      </w:r>
      <w:r w:rsidRPr="00C272CD">
        <w:rPr>
          <w:rFonts w:asciiTheme="minorHAnsi" w:hAnsiTheme="minorHAnsi" w:cstheme="minorHAnsi"/>
          <w:i/>
          <w:iCs/>
        </w:rPr>
        <w:t>TO</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4</w:t>
      </w:r>
      <w:r w:rsidRPr="00C272CD">
        <w:rPr>
          <w:rFonts w:asciiTheme="minorHAnsi" w:hAnsiTheme="minorHAnsi" w:cstheme="minorHAnsi"/>
          <w:i/>
          <w:iCs/>
        </w:rPr>
        <w:t>FDI</w:t>
      </w:r>
      <w:r w:rsidRPr="00C272CD">
        <w:rPr>
          <w:rFonts w:asciiTheme="minorHAnsi" w:hAnsiTheme="minorHAnsi" w:cstheme="minorHAnsi"/>
          <w:i/>
          <w:iCs/>
          <w:vertAlign w:val="subscript"/>
        </w:rPr>
        <w:t xml:space="preserve">it </w:t>
      </w:r>
      <w:r w:rsidRPr="00C272CD">
        <w:rPr>
          <w:rFonts w:asciiTheme="minorHAnsi" w:hAnsiTheme="minorHAnsi" w:cstheme="minorHAnsi"/>
        </w:rPr>
        <w:t xml:space="preserve">+ </w:t>
      </w:r>
      <w:r w:rsidRPr="00C272CD">
        <w:rPr>
          <w:rFonts w:asciiTheme="minorHAnsi" w:hAnsiTheme="minorHAnsi" w:cstheme="minorHAnsi"/>
          <w:i/>
          <w:iCs/>
        </w:rPr>
        <w:t>β</w:t>
      </w:r>
      <w:r w:rsidRPr="00C272CD">
        <w:rPr>
          <w:rFonts w:asciiTheme="minorHAnsi" w:hAnsiTheme="minorHAnsi" w:cstheme="minorHAnsi"/>
          <w:i/>
          <w:iCs/>
          <w:vertAlign w:val="subscript"/>
        </w:rPr>
        <w:t>5</w:t>
      </w:r>
      <w:r w:rsidRPr="00C272CD">
        <w:rPr>
          <w:rFonts w:asciiTheme="minorHAnsi" w:hAnsiTheme="minorHAnsi" w:cstheme="minorHAnsi"/>
          <w:i/>
          <w:iCs/>
        </w:rPr>
        <w:t>SP</w:t>
      </w:r>
      <w:r w:rsidRPr="00C272CD">
        <w:rPr>
          <w:rFonts w:asciiTheme="minorHAnsi" w:hAnsiTheme="minorHAnsi" w:cstheme="minorHAnsi"/>
          <w:i/>
          <w:iCs/>
          <w:vertAlign w:val="subscript"/>
        </w:rPr>
        <w:t>it</w:t>
      </w:r>
      <w:r w:rsidRPr="00C272CD">
        <w:rPr>
          <w:rFonts w:asciiTheme="minorHAnsi" w:hAnsiTheme="minorHAnsi" w:cstheme="minorHAnsi"/>
          <w:i/>
          <w:iCs/>
        </w:rPr>
        <w:t xml:space="preserve"> + β</w:t>
      </w:r>
      <w:r w:rsidRPr="00C272CD">
        <w:rPr>
          <w:rFonts w:asciiTheme="minorHAnsi" w:hAnsiTheme="minorHAnsi" w:cstheme="minorHAnsi"/>
          <w:i/>
          <w:iCs/>
          <w:vertAlign w:val="subscript"/>
        </w:rPr>
        <w:t>6</w:t>
      </w:r>
      <w:r w:rsidRPr="00C272CD">
        <w:rPr>
          <w:rFonts w:asciiTheme="minorHAnsi" w:hAnsiTheme="minorHAnsi" w:cstheme="minorHAnsi"/>
          <w:i/>
          <w:iCs/>
        </w:rPr>
        <w:t>SP*</w:t>
      </w:r>
      <w:proofErr w:type="spellStart"/>
      <w:r w:rsidRPr="00C272CD">
        <w:rPr>
          <w:rFonts w:asciiTheme="minorHAnsi" w:hAnsiTheme="minorHAnsi" w:cstheme="minorHAnsi"/>
          <w:i/>
          <w:iCs/>
        </w:rPr>
        <w:t>INF</w:t>
      </w:r>
      <w:r w:rsidRPr="00C272CD">
        <w:rPr>
          <w:rFonts w:asciiTheme="minorHAnsi" w:hAnsiTheme="minorHAnsi" w:cstheme="minorHAnsi"/>
          <w:i/>
          <w:iCs/>
          <w:vertAlign w:val="subscript"/>
        </w:rPr>
        <w:t>it</w:t>
      </w:r>
      <w:proofErr w:type="spellEnd"/>
      <w:r w:rsidRPr="00C272CD">
        <w:rPr>
          <w:rFonts w:asciiTheme="minorHAnsi" w:hAnsiTheme="minorHAnsi" w:cstheme="minorHAnsi"/>
          <w:i/>
          <w:iCs/>
          <w:vertAlign w:val="subscript"/>
        </w:rPr>
        <w:t xml:space="preserve"> </w:t>
      </w:r>
      <w:r w:rsidRPr="00C272CD">
        <w:rPr>
          <w:rFonts w:asciiTheme="minorHAnsi" w:hAnsiTheme="minorHAnsi" w:cstheme="minorHAnsi"/>
          <w:i/>
          <w:iCs/>
        </w:rPr>
        <w:t>+ ε</w:t>
      </w:r>
      <w:r w:rsidRPr="00C272CD">
        <w:rPr>
          <w:rFonts w:asciiTheme="minorHAnsi" w:hAnsiTheme="minorHAnsi" w:cstheme="minorHAnsi"/>
          <w:i/>
          <w:iCs/>
        </w:rPr>
        <w:tab/>
      </w:r>
    </w:p>
    <w:p w14:paraId="1474563B" w14:textId="107159D5" w:rsidR="00C95055" w:rsidRPr="00C272CD" w:rsidRDefault="00C95055" w:rsidP="00C95055">
      <w:pPr>
        <w:spacing w:after="0" w:line="240" w:lineRule="auto"/>
        <w:ind w:left="720"/>
        <w:jc w:val="both"/>
        <w:rPr>
          <w:rFonts w:asciiTheme="minorHAnsi" w:hAnsiTheme="minorHAnsi" w:cstheme="minorHAnsi"/>
          <w:b/>
          <w:bCs/>
        </w:rPr>
      </w:pPr>
      <w:proofErr w:type="spellStart"/>
      <w:r w:rsidRPr="00C272CD">
        <w:rPr>
          <w:rFonts w:asciiTheme="minorHAnsi" w:hAnsiTheme="minorHAnsi" w:cstheme="minorHAnsi"/>
          <w:i/>
          <w:iCs/>
        </w:rPr>
        <w:lastRenderedPageBreak/>
        <w:t>IPM</w:t>
      </w:r>
      <w:r w:rsidRPr="00C272CD">
        <w:rPr>
          <w:rFonts w:asciiTheme="minorHAnsi" w:hAnsiTheme="minorHAnsi" w:cstheme="minorHAnsi"/>
          <w:i/>
          <w:iCs/>
          <w:vertAlign w:val="subscript"/>
        </w:rPr>
        <w:t>it</w:t>
      </w:r>
      <w:proofErr w:type="spellEnd"/>
      <w:r w:rsidRPr="00C272CD">
        <w:rPr>
          <w:rFonts w:asciiTheme="minorHAnsi" w:hAnsiTheme="minorHAnsi" w:cstheme="minorHAnsi"/>
          <w:i/>
          <w:iCs/>
          <w:vertAlign w:val="subscript"/>
        </w:rPr>
        <w:t xml:space="preserve"> </w:t>
      </w:r>
      <w:r w:rsidRPr="00C272CD">
        <w:rPr>
          <w:rFonts w:asciiTheme="minorHAnsi" w:hAnsiTheme="minorHAnsi" w:cstheme="minorHAnsi"/>
          <w:i/>
          <w:iCs/>
        </w:rPr>
        <w:t>= β</w:t>
      </w:r>
      <w:r w:rsidRPr="00C272CD">
        <w:rPr>
          <w:rFonts w:asciiTheme="minorHAnsi" w:hAnsiTheme="minorHAnsi" w:cstheme="minorHAnsi"/>
          <w:i/>
          <w:iCs/>
          <w:vertAlign w:val="subscript"/>
        </w:rPr>
        <w:t>1</w:t>
      </w:r>
      <w:r w:rsidRPr="00C272CD">
        <w:rPr>
          <w:rFonts w:asciiTheme="minorHAnsi" w:hAnsiTheme="minorHAnsi" w:cstheme="minorHAnsi"/>
        </w:rPr>
        <w:t>+</w:t>
      </w:r>
      <w:r w:rsidRPr="00C272CD">
        <w:rPr>
          <w:rFonts w:ascii="Cambria Math" w:hAnsi="Cambria Math" w:cs="Cambria Math"/>
        </w:rPr>
        <w:t>𝜆</w:t>
      </w:r>
      <w:r w:rsidRPr="00C272CD">
        <w:rPr>
          <w:rFonts w:asciiTheme="minorHAnsi" w:hAnsiTheme="minorHAnsi" w:cstheme="minorHAnsi"/>
          <w:i/>
          <w:iCs/>
        </w:rPr>
        <w:t>IPM-</w:t>
      </w:r>
      <w:r w:rsidRPr="00C272CD">
        <w:rPr>
          <w:rFonts w:asciiTheme="minorHAnsi" w:hAnsiTheme="minorHAnsi" w:cstheme="minorHAnsi"/>
          <w:i/>
          <w:iCs/>
          <w:vertAlign w:val="subscript"/>
        </w:rPr>
        <w:t>1it</w:t>
      </w:r>
      <w:r w:rsidRPr="00C272CD">
        <w:rPr>
          <w:rFonts w:asciiTheme="minorHAnsi" w:hAnsiTheme="minorHAnsi" w:cstheme="minorHAnsi"/>
          <w:i/>
          <w:iCs/>
        </w:rPr>
        <w:t xml:space="preserve"> + β</w:t>
      </w:r>
      <w:r w:rsidRPr="00C272CD">
        <w:rPr>
          <w:rFonts w:asciiTheme="minorHAnsi" w:hAnsiTheme="minorHAnsi" w:cstheme="minorHAnsi"/>
          <w:i/>
          <w:iCs/>
          <w:vertAlign w:val="subscript"/>
        </w:rPr>
        <w:t>2</w:t>
      </w:r>
      <w:r w:rsidRPr="00C272CD">
        <w:rPr>
          <w:rFonts w:asciiTheme="minorHAnsi" w:hAnsiTheme="minorHAnsi" w:cstheme="minorHAnsi"/>
          <w:i/>
          <w:iCs/>
        </w:rPr>
        <w:t>INF</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3</w:t>
      </w:r>
      <w:r w:rsidRPr="00C272CD">
        <w:rPr>
          <w:rFonts w:asciiTheme="minorHAnsi" w:hAnsiTheme="minorHAnsi" w:cstheme="minorHAnsi"/>
          <w:i/>
          <w:iCs/>
        </w:rPr>
        <w:t>UNEMPLY</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3</w:t>
      </w:r>
      <w:r w:rsidRPr="00C272CD">
        <w:rPr>
          <w:rFonts w:asciiTheme="minorHAnsi" w:hAnsiTheme="minorHAnsi" w:cstheme="minorHAnsi"/>
          <w:i/>
          <w:iCs/>
        </w:rPr>
        <w:t>TO</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4</w:t>
      </w:r>
      <w:r w:rsidRPr="00C272CD">
        <w:rPr>
          <w:rFonts w:asciiTheme="minorHAnsi" w:hAnsiTheme="minorHAnsi" w:cstheme="minorHAnsi"/>
          <w:i/>
          <w:iCs/>
        </w:rPr>
        <w:t>FDI</w:t>
      </w:r>
      <w:r w:rsidRPr="00C272CD">
        <w:rPr>
          <w:rFonts w:asciiTheme="minorHAnsi" w:hAnsiTheme="minorHAnsi" w:cstheme="minorHAnsi"/>
          <w:i/>
          <w:iCs/>
          <w:vertAlign w:val="subscript"/>
        </w:rPr>
        <w:t xml:space="preserve">it </w:t>
      </w:r>
      <w:r w:rsidRPr="00C272CD">
        <w:rPr>
          <w:rFonts w:asciiTheme="minorHAnsi" w:hAnsiTheme="minorHAnsi" w:cstheme="minorHAnsi"/>
        </w:rPr>
        <w:t xml:space="preserve">+ </w:t>
      </w:r>
      <w:r w:rsidRPr="00C272CD">
        <w:rPr>
          <w:rFonts w:asciiTheme="minorHAnsi" w:hAnsiTheme="minorHAnsi" w:cstheme="minorHAnsi"/>
          <w:i/>
          <w:iCs/>
        </w:rPr>
        <w:t>β</w:t>
      </w:r>
      <w:r w:rsidRPr="00C272CD">
        <w:rPr>
          <w:rFonts w:asciiTheme="minorHAnsi" w:hAnsiTheme="minorHAnsi" w:cstheme="minorHAnsi"/>
          <w:i/>
          <w:iCs/>
          <w:vertAlign w:val="subscript"/>
        </w:rPr>
        <w:t>5</w:t>
      </w:r>
      <w:r w:rsidRPr="00C272CD">
        <w:rPr>
          <w:rFonts w:asciiTheme="minorHAnsi" w:hAnsiTheme="minorHAnsi" w:cstheme="minorHAnsi"/>
          <w:i/>
          <w:iCs/>
        </w:rPr>
        <w:t>SP</w:t>
      </w:r>
      <w:r w:rsidRPr="00C272CD">
        <w:rPr>
          <w:rFonts w:asciiTheme="minorHAnsi" w:hAnsiTheme="minorHAnsi" w:cstheme="minorHAnsi"/>
          <w:i/>
          <w:iCs/>
          <w:vertAlign w:val="subscript"/>
        </w:rPr>
        <w:t>it</w:t>
      </w:r>
      <w:r w:rsidRPr="00C272CD">
        <w:rPr>
          <w:rFonts w:asciiTheme="minorHAnsi" w:hAnsiTheme="minorHAnsi" w:cstheme="minorHAnsi"/>
          <w:i/>
          <w:iCs/>
        </w:rPr>
        <w:t xml:space="preserve"> + β</w:t>
      </w:r>
      <w:r w:rsidRPr="00C272CD">
        <w:rPr>
          <w:rFonts w:asciiTheme="minorHAnsi" w:hAnsiTheme="minorHAnsi" w:cstheme="minorHAnsi"/>
          <w:i/>
          <w:iCs/>
          <w:vertAlign w:val="subscript"/>
        </w:rPr>
        <w:t>6</w:t>
      </w:r>
      <w:r w:rsidRPr="00C272CD">
        <w:rPr>
          <w:rFonts w:asciiTheme="minorHAnsi" w:hAnsiTheme="minorHAnsi" w:cstheme="minorHAnsi"/>
          <w:i/>
          <w:iCs/>
        </w:rPr>
        <w:t>SP*</w:t>
      </w:r>
      <w:proofErr w:type="spellStart"/>
      <w:r w:rsidRPr="00C272CD">
        <w:rPr>
          <w:rFonts w:asciiTheme="minorHAnsi" w:hAnsiTheme="minorHAnsi" w:cstheme="minorHAnsi"/>
          <w:i/>
          <w:iCs/>
        </w:rPr>
        <w:t>UNEMPLY</w:t>
      </w:r>
      <w:r w:rsidRPr="00C272CD">
        <w:rPr>
          <w:rFonts w:asciiTheme="minorHAnsi" w:hAnsiTheme="minorHAnsi" w:cstheme="minorHAnsi"/>
          <w:i/>
          <w:iCs/>
          <w:vertAlign w:val="subscript"/>
        </w:rPr>
        <w:t>it</w:t>
      </w:r>
      <w:proofErr w:type="spellEnd"/>
      <w:r w:rsidRPr="00C272CD">
        <w:rPr>
          <w:rFonts w:asciiTheme="minorHAnsi" w:hAnsiTheme="minorHAnsi" w:cstheme="minorHAnsi"/>
          <w:i/>
          <w:iCs/>
          <w:vertAlign w:val="subscript"/>
        </w:rPr>
        <w:t xml:space="preserve"> </w:t>
      </w:r>
      <w:r w:rsidRPr="00C272CD">
        <w:rPr>
          <w:rFonts w:asciiTheme="minorHAnsi" w:hAnsiTheme="minorHAnsi" w:cstheme="minorHAnsi"/>
          <w:i/>
          <w:iCs/>
        </w:rPr>
        <w:t>+ ε</w:t>
      </w:r>
      <w:r w:rsidRPr="00C272CD">
        <w:rPr>
          <w:rFonts w:asciiTheme="minorHAnsi" w:hAnsiTheme="minorHAnsi" w:cstheme="minorHAnsi"/>
          <w:i/>
          <w:iCs/>
        </w:rPr>
        <w:tab/>
      </w:r>
    </w:p>
    <w:p w14:paraId="4E1CE42F" w14:textId="10A838A7" w:rsidR="00C95055" w:rsidRPr="00C272CD" w:rsidRDefault="00C95055" w:rsidP="00C95055">
      <w:pPr>
        <w:spacing w:after="0" w:line="240" w:lineRule="auto"/>
        <w:ind w:firstLine="720"/>
        <w:jc w:val="both"/>
        <w:rPr>
          <w:rFonts w:asciiTheme="minorHAnsi" w:hAnsiTheme="minorHAnsi" w:cstheme="minorHAnsi"/>
          <w:b/>
          <w:bCs/>
        </w:rPr>
      </w:pPr>
      <w:proofErr w:type="spellStart"/>
      <w:r w:rsidRPr="00C272CD">
        <w:rPr>
          <w:rFonts w:asciiTheme="minorHAnsi" w:hAnsiTheme="minorHAnsi" w:cstheme="minorHAnsi"/>
          <w:i/>
          <w:iCs/>
        </w:rPr>
        <w:t>IPM</w:t>
      </w:r>
      <w:r w:rsidRPr="00C272CD">
        <w:rPr>
          <w:rFonts w:asciiTheme="minorHAnsi" w:hAnsiTheme="minorHAnsi" w:cstheme="minorHAnsi"/>
          <w:i/>
          <w:iCs/>
          <w:vertAlign w:val="subscript"/>
        </w:rPr>
        <w:t>it</w:t>
      </w:r>
      <w:proofErr w:type="spellEnd"/>
      <w:r w:rsidRPr="00C272CD">
        <w:rPr>
          <w:rFonts w:asciiTheme="minorHAnsi" w:hAnsiTheme="minorHAnsi" w:cstheme="minorHAnsi"/>
          <w:i/>
          <w:iCs/>
          <w:vertAlign w:val="subscript"/>
        </w:rPr>
        <w:t xml:space="preserve"> </w:t>
      </w:r>
      <w:r w:rsidRPr="00C272CD">
        <w:rPr>
          <w:rFonts w:asciiTheme="minorHAnsi" w:hAnsiTheme="minorHAnsi" w:cstheme="minorHAnsi"/>
          <w:i/>
          <w:iCs/>
        </w:rPr>
        <w:t>= β</w:t>
      </w:r>
      <w:r w:rsidRPr="00C272CD">
        <w:rPr>
          <w:rFonts w:asciiTheme="minorHAnsi" w:hAnsiTheme="minorHAnsi" w:cstheme="minorHAnsi"/>
          <w:i/>
          <w:iCs/>
          <w:vertAlign w:val="subscript"/>
        </w:rPr>
        <w:t>1</w:t>
      </w:r>
      <w:r w:rsidRPr="00C272CD">
        <w:rPr>
          <w:rFonts w:asciiTheme="minorHAnsi" w:hAnsiTheme="minorHAnsi" w:cstheme="minorHAnsi"/>
        </w:rPr>
        <w:t>+</w:t>
      </w:r>
      <w:r w:rsidRPr="00C272CD">
        <w:rPr>
          <w:rFonts w:ascii="Cambria Math" w:hAnsi="Cambria Math" w:cs="Cambria Math"/>
        </w:rPr>
        <w:t>𝜆</w:t>
      </w:r>
      <w:r w:rsidRPr="00C272CD">
        <w:rPr>
          <w:rFonts w:asciiTheme="minorHAnsi" w:hAnsiTheme="minorHAnsi" w:cstheme="minorHAnsi"/>
          <w:i/>
          <w:iCs/>
        </w:rPr>
        <w:t>IPM-</w:t>
      </w:r>
      <w:r w:rsidRPr="00C272CD">
        <w:rPr>
          <w:rFonts w:asciiTheme="minorHAnsi" w:hAnsiTheme="minorHAnsi" w:cstheme="minorHAnsi"/>
          <w:i/>
          <w:iCs/>
          <w:vertAlign w:val="subscript"/>
        </w:rPr>
        <w:t>1it</w:t>
      </w:r>
      <w:r w:rsidRPr="00C272CD">
        <w:rPr>
          <w:rFonts w:asciiTheme="minorHAnsi" w:hAnsiTheme="minorHAnsi" w:cstheme="minorHAnsi"/>
          <w:i/>
          <w:iCs/>
        </w:rPr>
        <w:t xml:space="preserve"> + β</w:t>
      </w:r>
      <w:r w:rsidRPr="00C272CD">
        <w:rPr>
          <w:rFonts w:asciiTheme="minorHAnsi" w:hAnsiTheme="minorHAnsi" w:cstheme="minorHAnsi"/>
          <w:i/>
          <w:iCs/>
          <w:vertAlign w:val="subscript"/>
        </w:rPr>
        <w:t>2</w:t>
      </w:r>
      <w:r w:rsidRPr="00C272CD">
        <w:rPr>
          <w:rFonts w:asciiTheme="minorHAnsi" w:hAnsiTheme="minorHAnsi" w:cstheme="minorHAnsi"/>
          <w:i/>
          <w:iCs/>
        </w:rPr>
        <w:t>INF</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3</w:t>
      </w:r>
      <w:r w:rsidRPr="00C272CD">
        <w:rPr>
          <w:rFonts w:asciiTheme="minorHAnsi" w:hAnsiTheme="minorHAnsi" w:cstheme="minorHAnsi"/>
          <w:i/>
          <w:iCs/>
        </w:rPr>
        <w:t>UNEMPLY</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3</w:t>
      </w:r>
      <w:r w:rsidRPr="00C272CD">
        <w:rPr>
          <w:rFonts w:asciiTheme="minorHAnsi" w:hAnsiTheme="minorHAnsi" w:cstheme="minorHAnsi"/>
          <w:i/>
          <w:iCs/>
        </w:rPr>
        <w:t>TO</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4</w:t>
      </w:r>
      <w:r w:rsidRPr="00C272CD">
        <w:rPr>
          <w:rFonts w:asciiTheme="minorHAnsi" w:hAnsiTheme="minorHAnsi" w:cstheme="minorHAnsi"/>
          <w:i/>
          <w:iCs/>
        </w:rPr>
        <w:t>FDI</w:t>
      </w:r>
      <w:r w:rsidRPr="00C272CD">
        <w:rPr>
          <w:rFonts w:asciiTheme="minorHAnsi" w:hAnsiTheme="minorHAnsi" w:cstheme="minorHAnsi"/>
          <w:i/>
          <w:iCs/>
          <w:vertAlign w:val="subscript"/>
        </w:rPr>
        <w:t xml:space="preserve">it </w:t>
      </w:r>
      <w:r w:rsidRPr="00C272CD">
        <w:rPr>
          <w:rFonts w:asciiTheme="minorHAnsi" w:hAnsiTheme="minorHAnsi" w:cstheme="minorHAnsi"/>
        </w:rPr>
        <w:t xml:space="preserve">+ </w:t>
      </w:r>
      <w:r w:rsidRPr="00C272CD">
        <w:rPr>
          <w:rFonts w:asciiTheme="minorHAnsi" w:hAnsiTheme="minorHAnsi" w:cstheme="minorHAnsi"/>
          <w:i/>
          <w:iCs/>
        </w:rPr>
        <w:t>β</w:t>
      </w:r>
      <w:r w:rsidRPr="00C272CD">
        <w:rPr>
          <w:rFonts w:asciiTheme="minorHAnsi" w:hAnsiTheme="minorHAnsi" w:cstheme="minorHAnsi"/>
          <w:i/>
          <w:iCs/>
          <w:vertAlign w:val="subscript"/>
        </w:rPr>
        <w:t>5</w:t>
      </w:r>
      <w:r w:rsidRPr="00C272CD">
        <w:rPr>
          <w:rFonts w:asciiTheme="minorHAnsi" w:hAnsiTheme="minorHAnsi" w:cstheme="minorHAnsi"/>
          <w:i/>
          <w:iCs/>
        </w:rPr>
        <w:t>SP</w:t>
      </w:r>
      <w:r w:rsidRPr="00C272CD">
        <w:rPr>
          <w:rFonts w:asciiTheme="minorHAnsi" w:hAnsiTheme="minorHAnsi" w:cstheme="minorHAnsi"/>
          <w:i/>
          <w:iCs/>
          <w:vertAlign w:val="subscript"/>
        </w:rPr>
        <w:t>it</w:t>
      </w:r>
      <w:r w:rsidRPr="00C272CD">
        <w:rPr>
          <w:rFonts w:asciiTheme="minorHAnsi" w:hAnsiTheme="minorHAnsi" w:cstheme="minorHAnsi"/>
          <w:i/>
          <w:iCs/>
        </w:rPr>
        <w:t xml:space="preserve"> + β</w:t>
      </w:r>
      <w:r w:rsidRPr="00C272CD">
        <w:rPr>
          <w:rFonts w:asciiTheme="minorHAnsi" w:hAnsiTheme="minorHAnsi" w:cstheme="minorHAnsi"/>
          <w:i/>
          <w:iCs/>
          <w:vertAlign w:val="subscript"/>
        </w:rPr>
        <w:t>6</w:t>
      </w:r>
      <w:r w:rsidRPr="00C272CD">
        <w:rPr>
          <w:rFonts w:asciiTheme="minorHAnsi" w:hAnsiTheme="minorHAnsi" w:cstheme="minorHAnsi"/>
          <w:i/>
          <w:iCs/>
        </w:rPr>
        <w:t>SP*</w:t>
      </w:r>
      <w:proofErr w:type="spellStart"/>
      <w:r w:rsidRPr="00C272CD">
        <w:rPr>
          <w:rFonts w:asciiTheme="minorHAnsi" w:hAnsiTheme="minorHAnsi" w:cstheme="minorHAnsi"/>
          <w:i/>
          <w:iCs/>
        </w:rPr>
        <w:t>TO</w:t>
      </w:r>
      <w:r w:rsidRPr="00C272CD">
        <w:rPr>
          <w:rFonts w:asciiTheme="minorHAnsi" w:hAnsiTheme="minorHAnsi" w:cstheme="minorHAnsi"/>
          <w:i/>
          <w:iCs/>
          <w:vertAlign w:val="subscript"/>
        </w:rPr>
        <w:t>it</w:t>
      </w:r>
      <w:proofErr w:type="spellEnd"/>
      <w:r w:rsidRPr="00C272CD">
        <w:rPr>
          <w:rFonts w:asciiTheme="minorHAnsi" w:hAnsiTheme="minorHAnsi" w:cstheme="minorHAnsi"/>
          <w:i/>
          <w:iCs/>
          <w:vertAlign w:val="subscript"/>
        </w:rPr>
        <w:t xml:space="preserve"> </w:t>
      </w:r>
      <w:r w:rsidRPr="00C272CD">
        <w:rPr>
          <w:rFonts w:asciiTheme="minorHAnsi" w:hAnsiTheme="minorHAnsi" w:cstheme="minorHAnsi"/>
          <w:i/>
          <w:iCs/>
        </w:rPr>
        <w:t>+ ε</w:t>
      </w:r>
      <w:r w:rsidRPr="00C272CD">
        <w:rPr>
          <w:rFonts w:asciiTheme="minorHAnsi" w:hAnsiTheme="minorHAnsi" w:cstheme="minorHAnsi"/>
          <w:i/>
          <w:iCs/>
        </w:rPr>
        <w:tab/>
      </w:r>
    </w:p>
    <w:p w14:paraId="456AB53E" w14:textId="68946506" w:rsidR="00C95055" w:rsidRPr="00C272CD" w:rsidRDefault="00C95055" w:rsidP="00C95055">
      <w:pPr>
        <w:spacing w:after="0" w:line="240" w:lineRule="auto"/>
        <w:ind w:firstLine="720"/>
        <w:jc w:val="both"/>
        <w:rPr>
          <w:rFonts w:asciiTheme="minorHAnsi" w:hAnsiTheme="minorHAnsi" w:cstheme="minorHAnsi"/>
          <w:b/>
          <w:bCs/>
        </w:rPr>
      </w:pPr>
      <w:proofErr w:type="spellStart"/>
      <w:r w:rsidRPr="00C272CD">
        <w:rPr>
          <w:rFonts w:asciiTheme="minorHAnsi" w:hAnsiTheme="minorHAnsi" w:cstheme="minorHAnsi"/>
          <w:i/>
          <w:iCs/>
        </w:rPr>
        <w:t>IPM</w:t>
      </w:r>
      <w:r w:rsidRPr="00C272CD">
        <w:rPr>
          <w:rFonts w:asciiTheme="minorHAnsi" w:hAnsiTheme="minorHAnsi" w:cstheme="minorHAnsi"/>
          <w:i/>
          <w:iCs/>
          <w:vertAlign w:val="subscript"/>
        </w:rPr>
        <w:t>it</w:t>
      </w:r>
      <w:proofErr w:type="spellEnd"/>
      <w:r w:rsidRPr="00C272CD">
        <w:rPr>
          <w:rFonts w:asciiTheme="minorHAnsi" w:hAnsiTheme="minorHAnsi" w:cstheme="minorHAnsi"/>
          <w:i/>
          <w:iCs/>
          <w:vertAlign w:val="subscript"/>
        </w:rPr>
        <w:t xml:space="preserve"> </w:t>
      </w:r>
      <w:r w:rsidRPr="00C272CD">
        <w:rPr>
          <w:rFonts w:asciiTheme="minorHAnsi" w:hAnsiTheme="minorHAnsi" w:cstheme="minorHAnsi"/>
          <w:i/>
          <w:iCs/>
        </w:rPr>
        <w:t>= β</w:t>
      </w:r>
      <w:r w:rsidRPr="00C272CD">
        <w:rPr>
          <w:rFonts w:asciiTheme="minorHAnsi" w:hAnsiTheme="minorHAnsi" w:cstheme="minorHAnsi"/>
          <w:i/>
          <w:iCs/>
          <w:vertAlign w:val="subscript"/>
        </w:rPr>
        <w:t>1</w:t>
      </w:r>
      <w:r w:rsidRPr="00C272CD">
        <w:rPr>
          <w:rFonts w:asciiTheme="minorHAnsi" w:hAnsiTheme="minorHAnsi" w:cstheme="minorHAnsi"/>
        </w:rPr>
        <w:t>+</w:t>
      </w:r>
      <w:r w:rsidRPr="00C272CD">
        <w:rPr>
          <w:rFonts w:ascii="Cambria Math" w:hAnsi="Cambria Math" w:cs="Cambria Math"/>
        </w:rPr>
        <w:t>𝜆</w:t>
      </w:r>
      <w:r w:rsidRPr="00C272CD">
        <w:rPr>
          <w:rFonts w:asciiTheme="minorHAnsi" w:hAnsiTheme="minorHAnsi" w:cstheme="minorHAnsi"/>
          <w:i/>
          <w:iCs/>
        </w:rPr>
        <w:t>IPM-</w:t>
      </w:r>
      <w:r w:rsidRPr="00C272CD">
        <w:rPr>
          <w:rFonts w:asciiTheme="minorHAnsi" w:hAnsiTheme="minorHAnsi" w:cstheme="minorHAnsi"/>
          <w:i/>
          <w:iCs/>
          <w:vertAlign w:val="subscript"/>
        </w:rPr>
        <w:t>1it</w:t>
      </w:r>
      <w:r w:rsidRPr="00C272CD">
        <w:rPr>
          <w:rFonts w:asciiTheme="minorHAnsi" w:hAnsiTheme="minorHAnsi" w:cstheme="minorHAnsi"/>
          <w:i/>
          <w:iCs/>
        </w:rPr>
        <w:t xml:space="preserve"> + β</w:t>
      </w:r>
      <w:r w:rsidRPr="00C272CD">
        <w:rPr>
          <w:rFonts w:asciiTheme="minorHAnsi" w:hAnsiTheme="minorHAnsi" w:cstheme="minorHAnsi"/>
          <w:i/>
          <w:iCs/>
          <w:vertAlign w:val="subscript"/>
        </w:rPr>
        <w:t>2</w:t>
      </w:r>
      <w:r w:rsidRPr="00C272CD">
        <w:rPr>
          <w:rFonts w:asciiTheme="minorHAnsi" w:hAnsiTheme="minorHAnsi" w:cstheme="minorHAnsi"/>
          <w:i/>
          <w:iCs/>
        </w:rPr>
        <w:t>INF</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3</w:t>
      </w:r>
      <w:r w:rsidRPr="00C272CD">
        <w:rPr>
          <w:rFonts w:asciiTheme="minorHAnsi" w:hAnsiTheme="minorHAnsi" w:cstheme="minorHAnsi"/>
          <w:i/>
          <w:iCs/>
        </w:rPr>
        <w:t>UNEMPLY</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3</w:t>
      </w:r>
      <w:r w:rsidRPr="00C272CD">
        <w:rPr>
          <w:rFonts w:asciiTheme="minorHAnsi" w:hAnsiTheme="minorHAnsi" w:cstheme="minorHAnsi"/>
          <w:i/>
          <w:iCs/>
        </w:rPr>
        <w:t>TO</w:t>
      </w:r>
      <w:r w:rsidRPr="00C272CD">
        <w:rPr>
          <w:rFonts w:asciiTheme="minorHAnsi" w:hAnsiTheme="minorHAnsi" w:cstheme="minorHAnsi"/>
          <w:i/>
          <w:iCs/>
          <w:vertAlign w:val="subscript"/>
        </w:rPr>
        <w:t xml:space="preserve">it </w:t>
      </w:r>
      <w:r w:rsidRPr="00C272CD">
        <w:rPr>
          <w:rFonts w:asciiTheme="minorHAnsi" w:hAnsiTheme="minorHAnsi" w:cstheme="minorHAnsi"/>
          <w:i/>
          <w:iCs/>
        </w:rPr>
        <w:t>+ β</w:t>
      </w:r>
      <w:r w:rsidRPr="00C272CD">
        <w:rPr>
          <w:rFonts w:asciiTheme="minorHAnsi" w:hAnsiTheme="minorHAnsi" w:cstheme="minorHAnsi"/>
          <w:i/>
          <w:iCs/>
          <w:vertAlign w:val="subscript"/>
        </w:rPr>
        <w:t>4</w:t>
      </w:r>
      <w:r w:rsidRPr="00C272CD">
        <w:rPr>
          <w:rFonts w:asciiTheme="minorHAnsi" w:hAnsiTheme="minorHAnsi" w:cstheme="minorHAnsi"/>
          <w:i/>
          <w:iCs/>
        </w:rPr>
        <w:t>FDI</w:t>
      </w:r>
      <w:r w:rsidRPr="00C272CD">
        <w:rPr>
          <w:rFonts w:asciiTheme="minorHAnsi" w:hAnsiTheme="minorHAnsi" w:cstheme="minorHAnsi"/>
          <w:i/>
          <w:iCs/>
          <w:vertAlign w:val="subscript"/>
        </w:rPr>
        <w:t xml:space="preserve">it </w:t>
      </w:r>
      <w:r w:rsidRPr="00C272CD">
        <w:rPr>
          <w:rFonts w:asciiTheme="minorHAnsi" w:hAnsiTheme="minorHAnsi" w:cstheme="minorHAnsi"/>
        </w:rPr>
        <w:t xml:space="preserve">+ </w:t>
      </w:r>
      <w:r w:rsidRPr="00C272CD">
        <w:rPr>
          <w:rFonts w:asciiTheme="minorHAnsi" w:hAnsiTheme="minorHAnsi" w:cstheme="minorHAnsi"/>
          <w:i/>
          <w:iCs/>
        </w:rPr>
        <w:t>β</w:t>
      </w:r>
      <w:r w:rsidRPr="00C272CD">
        <w:rPr>
          <w:rFonts w:asciiTheme="minorHAnsi" w:hAnsiTheme="minorHAnsi" w:cstheme="minorHAnsi"/>
          <w:i/>
          <w:iCs/>
          <w:vertAlign w:val="subscript"/>
        </w:rPr>
        <w:t>5</w:t>
      </w:r>
      <w:r w:rsidRPr="00C272CD">
        <w:rPr>
          <w:rFonts w:asciiTheme="minorHAnsi" w:hAnsiTheme="minorHAnsi" w:cstheme="minorHAnsi"/>
          <w:i/>
          <w:iCs/>
        </w:rPr>
        <w:t>SP</w:t>
      </w:r>
      <w:r w:rsidRPr="00C272CD">
        <w:rPr>
          <w:rFonts w:asciiTheme="minorHAnsi" w:hAnsiTheme="minorHAnsi" w:cstheme="minorHAnsi"/>
          <w:i/>
          <w:iCs/>
          <w:vertAlign w:val="subscript"/>
        </w:rPr>
        <w:t>it</w:t>
      </w:r>
      <w:r w:rsidRPr="00C272CD">
        <w:rPr>
          <w:rFonts w:asciiTheme="minorHAnsi" w:hAnsiTheme="minorHAnsi" w:cstheme="minorHAnsi"/>
          <w:i/>
          <w:iCs/>
        </w:rPr>
        <w:t xml:space="preserve"> + β</w:t>
      </w:r>
      <w:r w:rsidRPr="00C272CD">
        <w:rPr>
          <w:rFonts w:asciiTheme="minorHAnsi" w:hAnsiTheme="minorHAnsi" w:cstheme="minorHAnsi"/>
          <w:i/>
          <w:iCs/>
          <w:vertAlign w:val="subscript"/>
        </w:rPr>
        <w:t>6</w:t>
      </w:r>
      <w:r w:rsidRPr="00C272CD">
        <w:rPr>
          <w:rFonts w:asciiTheme="minorHAnsi" w:hAnsiTheme="minorHAnsi" w:cstheme="minorHAnsi"/>
          <w:i/>
          <w:iCs/>
        </w:rPr>
        <w:t>SP*</w:t>
      </w:r>
      <w:proofErr w:type="spellStart"/>
      <w:r w:rsidRPr="00C272CD">
        <w:rPr>
          <w:rFonts w:asciiTheme="minorHAnsi" w:hAnsiTheme="minorHAnsi" w:cstheme="minorHAnsi"/>
          <w:i/>
          <w:iCs/>
        </w:rPr>
        <w:t>FDI</w:t>
      </w:r>
      <w:r w:rsidRPr="00C272CD">
        <w:rPr>
          <w:rFonts w:asciiTheme="minorHAnsi" w:hAnsiTheme="minorHAnsi" w:cstheme="minorHAnsi"/>
          <w:i/>
          <w:iCs/>
          <w:vertAlign w:val="subscript"/>
        </w:rPr>
        <w:t>it</w:t>
      </w:r>
      <w:proofErr w:type="spellEnd"/>
      <w:r w:rsidRPr="00C272CD">
        <w:rPr>
          <w:rFonts w:asciiTheme="minorHAnsi" w:hAnsiTheme="minorHAnsi" w:cstheme="minorHAnsi"/>
          <w:i/>
          <w:iCs/>
          <w:vertAlign w:val="subscript"/>
        </w:rPr>
        <w:t xml:space="preserve"> </w:t>
      </w:r>
      <w:r w:rsidRPr="00C272CD">
        <w:rPr>
          <w:rFonts w:asciiTheme="minorHAnsi" w:hAnsiTheme="minorHAnsi" w:cstheme="minorHAnsi"/>
          <w:i/>
          <w:iCs/>
        </w:rPr>
        <w:t>+ ε</w:t>
      </w:r>
      <w:r w:rsidRPr="00C272CD">
        <w:rPr>
          <w:rFonts w:asciiTheme="minorHAnsi" w:hAnsiTheme="minorHAnsi" w:cstheme="minorHAnsi"/>
          <w:i/>
          <w:iCs/>
        </w:rPr>
        <w:tab/>
      </w:r>
    </w:p>
    <w:p w14:paraId="29B7E105" w14:textId="77777777" w:rsidR="00C95055" w:rsidRPr="00C272CD" w:rsidRDefault="00C95055" w:rsidP="00C95055">
      <w:pPr>
        <w:spacing w:after="0" w:line="240" w:lineRule="auto"/>
        <w:jc w:val="both"/>
        <w:outlineLvl w:val="2"/>
        <w:rPr>
          <w:rFonts w:asciiTheme="minorHAnsi" w:hAnsiTheme="minorHAnsi" w:cstheme="minorHAnsi"/>
        </w:rPr>
      </w:pPr>
    </w:p>
    <w:p w14:paraId="39AC0EE2" w14:textId="2F9AD502" w:rsidR="00C95055" w:rsidRPr="00292E88" w:rsidRDefault="00C95055" w:rsidP="009938BC">
      <w:pPr>
        <w:spacing w:after="0" w:line="240" w:lineRule="auto"/>
        <w:outlineLvl w:val="2"/>
        <w:rPr>
          <w:rFonts w:eastAsia="Times" w:cstheme="minorHAnsi"/>
        </w:rPr>
      </w:pPr>
      <w:r w:rsidRPr="00292E88">
        <w:rPr>
          <w:rFonts w:eastAsia="Times" w:cstheme="minorHAnsi"/>
        </w:rPr>
        <w:t>Where</w:t>
      </w:r>
      <w:r w:rsidR="000A0DC0">
        <w:rPr>
          <w:rFonts w:eastAsia="Times" w:cstheme="minorHAnsi"/>
          <w:lang w:val="id-ID"/>
        </w:rPr>
        <w:t xml:space="preserve"> the notation means:</w:t>
      </w:r>
      <w:r w:rsidR="00C32B62">
        <w:rPr>
          <w:rFonts w:eastAsia="Times" w:cstheme="minorHAnsi"/>
          <w:lang w:val="id-ID"/>
        </w:rPr>
        <w:t xml:space="preserve"> </w:t>
      </w:r>
      <w:r w:rsidRPr="00292E88">
        <w:rPr>
          <w:rFonts w:eastAsia="Times" w:cstheme="minorHAnsi"/>
        </w:rPr>
        <w:t>HDI</w:t>
      </w:r>
      <w:r w:rsidR="000A0DC0">
        <w:rPr>
          <w:rFonts w:eastAsia="Times" w:cstheme="minorHAnsi"/>
          <w:lang w:val="id-ID"/>
        </w:rPr>
        <w:t xml:space="preserve">: </w:t>
      </w:r>
      <w:r w:rsidRPr="00292E88">
        <w:rPr>
          <w:rFonts w:eastAsia="Times" w:cstheme="minorHAnsi"/>
        </w:rPr>
        <w:t>Human Development Index</w:t>
      </w:r>
      <w:r w:rsidR="00C32B62">
        <w:rPr>
          <w:rFonts w:eastAsia="Times" w:cstheme="minorHAnsi"/>
          <w:lang w:val="id-ID"/>
        </w:rPr>
        <w:t xml:space="preserve">, </w:t>
      </w:r>
      <w:r w:rsidRPr="00292E88">
        <w:rPr>
          <w:rFonts w:eastAsia="Times" w:cstheme="minorHAnsi"/>
        </w:rPr>
        <w:t>UNEMPL</w:t>
      </w:r>
      <w:r w:rsidR="000A0DC0">
        <w:rPr>
          <w:rFonts w:eastAsia="Times" w:cstheme="minorHAnsi"/>
          <w:lang w:val="id-ID"/>
        </w:rPr>
        <w:t>:</w:t>
      </w:r>
      <w:r w:rsidR="00C32B62">
        <w:rPr>
          <w:rFonts w:eastAsia="Times" w:cstheme="minorHAnsi"/>
          <w:lang w:val="id-ID"/>
        </w:rPr>
        <w:t xml:space="preserve"> </w:t>
      </w:r>
      <w:r w:rsidRPr="00292E88">
        <w:rPr>
          <w:rFonts w:eastAsia="Times" w:cstheme="minorHAnsi"/>
        </w:rPr>
        <w:t>Unemployment</w:t>
      </w:r>
      <w:r w:rsidR="00C32B62">
        <w:rPr>
          <w:rFonts w:eastAsia="Times" w:cstheme="minorHAnsi"/>
          <w:lang w:val="id-ID"/>
        </w:rPr>
        <w:t xml:space="preserve">, </w:t>
      </w:r>
      <w:r w:rsidRPr="00292E88">
        <w:rPr>
          <w:rFonts w:eastAsia="Times" w:cstheme="minorHAnsi"/>
        </w:rPr>
        <w:t>TO</w:t>
      </w:r>
      <w:r w:rsidR="000A0DC0">
        <w:rPr>
          <w:rFonts w:eastAsia="Times" w:cstheme="minorHAnsi"/>
          <w:lang w:val="id-ID"/>
        </w:rPr>
        <w:t>:</w:t>
      </w:r>
      <w:r w:rsidR="00C32B62">
        <w:rPr>
          <w:rFonts w:eastAsia="Times" w:cstheme="minorHAnsi"/>
          <w:lang w:val="id-ID"/>
        </w:rPr>
        <w:t xml:space="preserve"> </w:t>
      </w:r>
      <w:r w:rsidRPr="00292E88">
        <w:rPr>
          <w:rFonts w:eastAsia="Times" w:cstheme="minorHAnsi"/>
        </w:rPr>
        <w:t>Trade Openness</w:t>
      </w:r>
      <w:r w:rsidR="009938BC">
        <w:rPr>
          <w:rFonts w:eastAsia="Times" w:cstheme="minorHAnsi"/>
          <w:lang w:val="id-ID"/>
        </w:rPr>
        <w:t xml:space="preserve">, </w:t>
      </w:r>
      <w:r w:rsidRPr="00292E88">
        <w:rPr>
          <w:rFonts w:eastAsia="Times" w:cstheme="minorHAnsi"/>
        </w:rPr>
        <w:t>FDI</w:t>
      </w:r>
      <w:r w:rsidR="000A0DC0">
        <w:rPr>
          <w:rFonts w:eastAsia="Times" w:cstheme="minorHAnsi"/>
          <w:lang w:val="id-ID"/>
        </w:rPr>
        <w:t>:</w:t>
      </w:r>
      <w:r w:rsidR="00F0165F">
        <w:rPr>
          <w:rFonts w:eastAsia="Times" w:cstheme="minorHAnsi"/>
          <w:lang w:val="id-ID"/>
        </w:rPr>
        <w:t xml:space="preserve"> </w:t>
      </w:r>
      <w:r w:rsidRPr="00292E88">
        <w:rPr>
          <w:rFonts w:eastAsia="Times" w:cstheme="minorHAnsi"/>
        </w:rPr>
        <w:t>Foreign Direct Investment</w:t>
      </w:r>
      <w:r w:rsidR="00F0165F">
        <w:rPr>
          <w:rFonts w:eastAsia="Times" w:cstheme="minorHAnsi"/>
          <w:lang w:val="id-ID"/>
        </w:rPr>
        <w:t xml:space="preserve">, </w:t>
      </w:r>
      <w:r w:rsidRPr="00292E88">
        <w:rPr>
          <w:rFonts w:eastAsia="Times" w:cstheme="minorHAnsi"/>
        </w:rPr>
        <w:t>SP</w:t>
      </w:r>
      <w:r w:rsidR="000A0DC0">
        <w:rPr>
          <w:rFonts w:eastAsia="Times" w:cstheme="minorHAnsi"/>
          <w:lang w:val="id-ID"/>
        </w:rPr>
        <w:t>:</w:t>
      </w:r>
      <w:r w:rsidR="00F0165F">
        <w:rPr>
          <w:rFonts w:eastAsia="Times" w:cstheme="minorHAnsi"/>
          <w:lang w:val="id-ID"/>
        </w:rPr>
        <w:t xml:space="preserve"> </w:t>
      </w:r>
      <w:r w:rsidRPr="00292E88">
        <w:rPr>
          <w:rFonts w:eastAsia="Times" w:cstheme="minorHAnsi"/>
        </w:rPr>
        <w:t>Political Stability</w:t>
      </w:r>
      <w:r w:rsidR="00F0165F" w:rsidRPr="009938BC">
        <w:rPr>
          <w:rFonts w:eastAsia="Times" w:cstheme="minorHAnsi"/>
          <w:lang w:val="id-ID"/>
        </w:rPr>
        <w:t xml:space="preserve">, </w:t>
      </w:r>
      <w:r w:rsidRPr="009938BC">
        <w:rPr>
          <w:rFonts w:eastAsia="Times" w:cstheme="minorHAnsi"/>
        </w:rPr>
        <w:t>ε</w:t>
      </w:r>
      <w:r w:rsidR="000A0DC0">
        <w:rPr>
          <w:rFonts w:eastAsia="Times" w:cstheme="minorHAnsi"/>
          <w:lang w:val="id-ID"/>
        </w:rPr>
        <w:t xml:space="preserve">: </w:t>
      </w:r>
      <w:r w:rsidRPr="009938BC">
        <w:rPr>
          <w:rFonts w:eastAsia="Times" w:cstheme="minorHAnsi"/>
        </w:rPr>
        <w:t>Errors</w:t>
      </w:r>
      <w:r w:rsidR="00C843EB" w:rsidRPr="009938BC">
        <w:rPr>
          <w:rFonts w:eastAsia="Times" w:cstheme="minorHAnsi"/>
          <w:lang w:val="id-ID"/>
        </w:rPr>
        <w:t>,</w:t>
      </w:r>
      <w:r w:rsidR="00C843EB">
        <w:rPr>
          <w:rFonts w:eastAsia="Times" w:cstheme="minorHAnsi"/>
          <w:lang w:val="id-ID"/>
        </w:rPr>
        <w:t xml:space="preserve"> </w:t>
      </w:r>
      <w:r>
        <w:rPr>
          <w:rFonts w:eastAsia="Times" w:cstheme="minorHAnsi"/>
        </w:rPr>
        <w:t>I</w:t>
      </w:r>
      <w:r w:rsidR="000A0DC0">
        <w:rPr>
          <w:rFonts w:eastAsia="Times" w:cstheme="minorHAnsi"/>
          <w:lang w:val="id-ID"/>
        </w:rPr>
        <w:t xml:space="preserve">: </w:t>
      </w:r>
      <w:r w:rsidRPr="00292E88">
        <w:rPr>
          <w:rFonts w:eastAsia="Times" w:cstheme="minorHAnsi"/>
        </w:rPr>
        <w:t>Country</w:t>
      </w:r>
      <w:r w:rsidR="008E0719">
        <w:rPr>
          <w:rFonts w:eastAsia="Times" w:cstheme="minorHAnsi"/>
          <w:lang w:val="id-ID"/>
        </w:rPr>
        <w:t xml:space="preserve">, and </w:t>
      </w:r>
      <w:r w:rsidRPr="00292E88">
        <w:rPr>
          <w:rFonts w:eastAsia="Times" w:cstheme="minorHAnsi"/>
        </w:rPr>
        <w:t>t</w:t>
      </w:r>
      <w:r w:rsidR="000A0DC0">
        <w:rPr>
          <w:rFonts w:eastAsia="Times" w:cstheme="minorHAnsi"/>
          <w:lang w:val="id-ID"/>
        </w:rPr>
        <w:t>:</w:t>
      </w:r>
      <w:r w:rsidR="00CC71A5">
        <w:rPr>
          <w:rFonts w:eastAsia="Times" w:cstheme="minorHAnsi"/>
          <w:lang w:val="id-ID"/>
        </w:rPr>
        <w:t xml:space="preserve"> </w:t>
      </w:r>
      <w:r w:rsidRPr="00292E88">
        <w:rPr>
          <w:rFonts w:eastAsia="Times" w:cstheme="minorHAnsi"/>
        </w:rPr>
        <w:t>Year</w:t>
      </w:r>
    </w:p>
    <w:p w14:paraId="28C591C3" w14:textId="1CF51B7D" w:rsidR="00BF2F2D" w:rsidRDefault="00BF2F2D" w:rsidP="00EF5BF4">
      <w:pPr>
        <w:spacing w:after="0" w:line="240" w:lineRule="auto"/>
        <w:jc w:val="both"/>
        <w:outlineLvl w:val="2"/>
        <w:rPr>
          <w:rFonts w:eastAsia="Times" w:cstheme="minorHAnsi"/>
          <w:b/>
          <w:bCs/>
        </w:rPr>
      </w:pPr>
    </w:p>
    <w:p w14:paraId="0E214226" w14:textId="100128F0" w:rsidR="00C95055" w:rsidRPr="00C469FE" w:rsidRDefault="00B325A1" w:rsidP="00B325A1">
      <w:pPr>
        <w:spacing w:after="0" w:line="240" w:lineRule="auto"/>
        <w:jc w:val="both"/>
        <w:outlineLvl w:val="2"/>
        <w:rPr>
          <w:rFonts w:eastAsia="Times" w:cstheme="minorHAnsi"/>
          <w:b/>
          <w:bCs/>
        </w:rPr>
      </w:pPr>
      <w:r w:rsidRPr="00C469FE">
        <w:rPr>
          <w:rFonts w:eastAsia="Times" w:cstheme="minorHAnsi"/>
          <w:b/>
          <w:bCs/>
        </w:rPr>
        <w:t>HYPOTHESIS ANALYSIS AND TESTING</w:t>
      </w:r>
    </w:p>
    <w:p w14:paraId="2CF355B1" w14:textId="77777777" w:rsidR="00C95055" w:rsidRPr="00C469FE" w:rsidRDefault="00C95055" w:rsidP="00C95055">
      <w:pPr>
        <w:spacing w:after="0" w:line="240" w:lineRule="auto"/>
        <w:jc w:val="both"/>
        <w:outlineLvl w:val="2"/>
        <w:rPr>
          <w:rFonts w:eastAsia="Times" w:cstheme="minorHAnsi"/>
          <w:b/>
          <w:bCs/>
        </w:rPr>
      </w:pPr>
      <w:r w:rsidRPr="00C469FE">
        <w:rPr>
          <w:rFonts w:eastAsia="Times" w:cstheme="minorHAnsi"/>
          <w:b/>
          <w:bCs/>
        </w:rPr>
        <w:t>Model Specification Test</w:t>
      </w:r>
    </w:p>
    <w:p w14:paraId="02ECA7D2" w14:textId="77777777" w:rsidR="00B325A1" w:rsidRDefault="00B325A1" w:rsidP="00C95055">
      <w:pPr>
        <w:spacing w:after="0" w:line="240" w:lineRule="auto"/>
        <w:jc w:val="both"/>
        <w:outlineLvl w:val="2"/>
        <w:rPr>
          <w:rFonts w:eastAsia="Times" w:cstheme="minorHAnsi"/>
        </w:rPr>
      </w:pPr>
    </w:p>
    <w:p w14:paraId="0E2B2F63" w14:textId="590F0AC6" w:rsidR="00C95055" w:rsidRPr="003B7CD1" w:rsidRDefault="00801F94" w:rsidP="00C95055">
      <w:pPr>
        <w:spacing w:after="0" w:line="240" w:lineRule="auto"/>
        <w:jc w:val="both"/>
        <w:outlineLvl w:val="2"/>
        <w:rPr>
          <w:rFonts w:eastAsia="Times" w:cstheme="minorHAnsi"/>
          <w:lang w:val="id-ID"/>
        </w:rPr>
      </w:pPr>
      <w:r w:rsidRPr="00801F94">
        <w:rPr>
          <w:rFonts w:eastAsia="Times" w:cstheme="minorHAnsi"/>
        </w:rPr>
        <w:t xml:space="preserve">In order to evaluate the validity of utilizing instrument variables that's number exceeds the number of suspected parameters (overidentifying restriction constraints), the model specification test, also known as the </w:t>
      </w:r>
      <w:proofErr w:type="spellStart"/>
      <w:r w:rsidRPr="00801F94">
        <w:rPr>
          <w:rFonts w:eastAsia="Times" w:cstheme="minorHAnsi"/>
        </w:rPr>
        <w:t>Sargan</w:t>
      </w:r>
      <w:proofErr w:type="spellEnd"/>
      <w:r w:rsidRPr="00801F94">
        <w:rPr>
          <w:rFonts w:eastAsia="Times" w:cstheme="minorHAnsi"/>
        </w:rPr>
        <w:t xml:space="preserve"> test, is utilized. Instrumental variables are required to solve the GMM Equation's endogeneity and estimator consistency issues. The differential GMM technique (Arellano &amp; Bond, 1991) and the GMM system method are the two approaches to the GMM method.</w:t>
      </w:r>
      <w:r w:rsidR="00C95055" w:rsidRPr="00800C8D">
        <w:rPr>
          <w:rFonts w:eastAsia="Times" w:cstheme="minorHAnsi"/>
          <w:color w:val="FF0000"/>
        </w:rPr>
        <w:t xml:space="preserve"> </w:t>
      </w:r>
      <w:r w:rsidR="003B7CD1">
        <w:rPr>
          <w:rFonts w:eastAsia="Times" w:cstheme="minorHAnsi"/>
        </w:rPr>
        <w:fldChar w:fldCharType="begin" w:fldLock="1"/>
      </w:r>
      <w:r w:rsidR="00566F5E">
        <w:rPr>
          <w:rFonts w:eastAsia="Times" w:cstheme="minorHAnsi"/>
        </w:rPr>
        <w:instrText>ADDIN CSL_CITATION {"citationItems":[{"id":"ITEM-1","itemData":{"ISBN":"0304407694016","abstract":"This article develops a framework for efficient IV estimators of random effects models with information in levels which can accommodate predetermined variables. Our formulation clarifies the relationship between the existing estimators and the role of transformations in panel data models. We characterize the valid transformations for relevant models and show that optimal estimators are invariant to the transformation used to remove individual effects. We present an alternative transformation for models with predetermined instruments which preserves the orthogonality among the errors. Finally, we consider models with predetermined variables that have constant correlation with the effects and illustrate their importance with simulations.","author":[{"dropping-particle":"","family":"Manuel","given":"Arellano","non-dropping-particle":"","parse-names":false,"suffix":""},{"dropping-particle":"","family":"Bover Olympia","given":"","non-dropping-particle":"","parse-names":false,"suffix":""}],"container-title":"Journal of econometrics","id":"ITEM-1","issue":"1","issued":{"date-parts":[["1995"]]},"page":"29–51","title":"Another look at the instrumental variable estimation of error-components models","type":"article-journal","volume":"68"},"uris":["http://www.mendeley.com/documents/?uuid=34bbed3b-e443-4dcf-98c3-43443f23fe56"]}],"mendeley":{"formattedCitation":"(Manuel &amp; Bover Olympia, 1995)","plainTextFormattedCitation":"(Manuel &amp; Bover Olympia, 1995)","previouslyFormattedCitation":"(Manuel &amp; Bover Olympia, 1995)"},"properties":{"noteIndex":0},"schema":"https://github.com/citation-style-language/schema/raw/master/csl-citation.json"}</w:instrText>
      </w:r>
      <w:r w:rsidR="003B7CD1">
        <w:rPr>
          <w:rFonts w:eastAsia="Times" w:cstheme="minorHAnsi"/>
        </w:rPr>
        <w:fldChar w:fldCharType="separate"/>
      </w:r>
      <w:r w:rsidR="003B7CD1" w:rsidRPr="003B7CD1">
        <w:rPr>
          <w:rFonts w:eastAsia="Times" w:cstheme="minorHAnsi"/>
          <w:noProof/>
        </w:rPr>
        <w:t>(Manuel &amp; Bover Olympia, 1995)</w:t>
      </w:r>
      <w:r w:rsidR="003B7CD1">
        <w:rPr>
          <w:rFonts w:eastAsia="Times" w:cstheme="minorHAnsi"/>
        </w:rPr>
        <w:fldChar w:fldCharType="end"/>
      </w:r>
      <w:r w:rsidR="003B7CD1">
        <w:rPr>
          <w:rFonts w:eastAsia="Times" w:cstheme="minorHAnsi"/>
          <w:lang w:val="id-ID"/>
        </w:rPr>
        <w:t>.</w:t>
      </w:r>
    </w:p>
    <w:p w14:paraId="29C59267" w14:textId="77777777" w:rsidR="00C95055" w:rsidRDefault="00C95055" w:rsidP="00C95055">
      <w:pPr>
        <w:spacing w:after="0" w:line="240" w:lineRule="auto"/>
        <w:jc w:val="both"/>
        <w:outlineLvl w:val="2"/>
        <w:rPr>
          <w:rFonts w:eastAsia="Times" w:cstheme="minorHAnsi"/>
        </w:rPr>
      </w:pPr>
    </w:p>
    <w:p w14:paraId="1B8E3E0E" w14:textId="0C1D7736" w:rsidR="00C95055" w:rsidRDefault="00C95055" w:rsidP="00C95055">
      <w:pPr>
        <w:spacing w:after="0" w:line="240" w:lineRule="auto"/>
        <w:jc w:val="both"/>
        <w:outlineLvl w:val="2"/>
        <w:rPr>
          <w:rFonts w:eastAsia="Times" w:cstheme="minorHAnsi"/>
        </w:rPr>
      </w:pPr>
      <w:r w:rsidRPr="00292E88">
        <w:rPr>
          <w:rFonts w:eastAsia="Times" w:cstheme="minorHAnsi"/>
        </w:rPr>
        <w:t xml:space="preserve">According to </w:t>
      </w:r>
      <w:proofErr w:type="spellStart"/>
      <w:r w:rsidRPr="00292E88">
        <w:rPr>
          <w:rFonts w:eastAsia="Times" w:cstheme="minorHAnsi"/>
        </w:rPr>
        <w:t>Sargan's</w:t>
      </w:r>
      <w:proofErr w:type="spellEnd"/>
      <w:r w:rsidRPr="00292E88">
        <w:rPr>
          <w:rFonts w:eastAsia="Times" w:cstheme="minorHAnsi"/>
        </w:rPr>
        <w:t xml:space="preserve"> test criteria, an instrument variable is considered valid if it is not associated with errors. The mathematical operations of the </w:t>
      </w:r>
      <w:proofErr w:type="spellStart"/>
      <w:r w:rsidRPr="00292E88">
        <w:rPr>
          <w:rFonts w:eastAsia="Times" w:cstheme="minorHAnsi"/>
        </w:rPr>
        <w:t>Sargan</w:t>
      </w:r>
      <w:proofErr w:type="spellEnd"/>
      <w:r w:rsidRPr="00292E88">
        <w:rPr>
          <w:rFonts w:eastAsia="Times" w:cstheme="minorHAnsi"/>
        </w:rPr>
        <w:t xml:space="preserve"> test can be described as follows:</w:t>
      </w:r>
    </w:p>
    <w:p w14:paraId="61731261" w14:textId="77777777" w:rsidR="00BA5424" w:rsidRDefault="00BA5424" w:rsidP="00C95055">
      <w:pPr>
        <w:spacing w:after="0" w:line="240" w:lineRule="auto"/>
        <w:jc w:val="both"/>
        <w:outlineLvl w:val="2"/>
        <w:rPr>
          <w:rFonts w:eastAsia="Times" w:cstheme="minorHAnsi"/>
        </w:rPr>
      </w:pPr>
    </w:p>
    <w:p w14:paraId="3AEF6140" w14:textId="1CCA9E6C" w:rsidR="00C95055" w:rsidRPr="00D944B9" w:rsidRDefault="00B20A98" w:rsidP="00C95055">
      <w:pPr>
        <w:spacing w:line="240" w:lineRule="auto"/>
        <w:rPr>
          <w:rFonts w:cstheme="minorHAnsi"/>
          <w:iCs/>
        </w:rPr>
      </w:pPr>
      <m:oMathPara>
        <m:oMathParaPr>
          <m:jc m:val="center"/>
        </m:oMathParaPr>
        <m:oMath>
          <m:func>
            <m:funcPr>
              <m:ctrlPr>
                <w:rPr>
                  <w:rFonts w:ascii="Cambria Math" w:hAnsi="Cambria Math" w:cstheme="minorHAnsi"/>
                  <w:i/>
                </w:rPr>
              </m:ctrlPr>
            </m:funcPr>
            <m:fName>
              <m:r>
                <w:rPr>
                  <w:rFonts w:ascii="Cambria Math" w:hAnsi="Cambria Math" w:cstheme="minorHAnsi"/>
                </w:rPr>
                <m:t>S=ṽ'Z</m:t>
              </m:r>
            </m:fName>
            <m:e>
              <m:sSup>
                <m:sSupPr>
                  <m:ctrlPr>
                    <w:rPr>
                      <w:rFonts w:ascii="Cambria Math" w:hAnsi="Cambria Math" w:cstheme="minorHAnsi"/>
                      <w:i/>
                    </w:rPr>
                  </m:ctrlPr>
                </m:sSupPr>
                <m:e>
                  <m:d>
                    <m:dPr>
                      <m:ctrlPr>
                        <w:rPr>
                          <w:rFonts w:ascii="Cambria Math" w:hAnsi="Cambria Math" w:cstheme="minorHAnsi"/>
                          <w:i/>
                        </w:rPr>
                      </m:ctrlPr>
                    </m:dPr>
                    <m:e>
                      <m:nary>
                        <m:naryPr>
                          <m:chr m:val="∑"/>
                          <m:limLoc m:val="undOvr"/>
                          <m:ctrlPr>
                            <w:rPr>
                              <w:rFonts w:ascii="Cambria Math" w:hAnsi="Cambria Math" w:cstheme="minorHAnsi"/>
                              <w:iCs/>
                            </w:rPr>
                          </m:ctrlPr>
                        </m:naryPr>
                        <m:sub>
                          <m:r>
                            <m:rPr>
                              <m:sty m:val="p"/>
                            </m:rPr>
                            <w:rPr>
                              <w:rFonts w:ascii="Cambria Math" w:hAnsi="Cambria Math" w:cstheme="minorHAnsi"/>
                            </w:rPr>
                            <m:t>i=1</m:t>
                          </m:r>
                        </m:sub>
                        <m:sup>
                          <m:r>
                            <m:rPr>
                              <m:sty m:val="p"/>
                            </m:rPr>
                            <w:rPr>
                              <w:rFonts w:ascii="Cambria Math" w:hAnsi="Cambria Math" w:cstheme="minorHAnsi"/>
                            </w:rPr>
                            <m:t>N</m:t>
                          </m:r>
                        </m:sup>
                        <m:e>
                          <m:sSup>
                            <m:sSupPr>
                              <m:ctrlPr>
                                <w:rPr>
                                  <w:rFonts w:ascii="Cambria Math" w:hAnsi="Cambria Math" w:cstheme="minorHAnsi"/>
                                  <w:iCs/>
                                </w:rPr>
                              </m:ctrlPr>
                            </m:sSupPr>
                            <m:e>
                              <m:r>
                                <m:rPr>
                                  <m:sty m:val="p"/>
                                </m:rPr>
                                <w:rPr>
                                  <w:rFonts w:ascii="Cambria Math" w:hAnsi="Cambria Math" w:cstheme="minorHAnsi"/>
                                </w:rPr>
                                <m:t>Z</m:t>
                              </m:r>
                            </m:e>
                            <m:sup>
                              <m:r>
                                <m:rPr>
                                  <m:sty m:val="p"/>
                                </m:rPr>
                                <w:rPr>
                                  <w:rFonts w:ascii="Cambria Math" w:hAnsi="Cambria Math" w:cstheme="minorHAnsi"/>
                                </w:rPr>
                                <m:t>'</m:t>
                              </m:r>
                            </m:sup>
                          </m:sSup>
                          <m:r>
                            <m:rPr>
                              <m:sty m:val="p"/>
                            </m:rPr>
                            <w:rPr>
                              <w:rFonts w:ascii="Cambria Math" w:hAnsi="Cambria Math" w:cstheme="minorHAnsi"/>
                            </w:rPr>
                            <m:t>ṽi ṽi'Zi</m:t>
                          </m:r>
                        </m:e>
                      </m:nary>
                    </m:e>
                  </m:d>
                </m:e>
                <m:sup>
                  <m:r>
                    <w:rPr>
                      <w:rFonts w:ascii="Cambria Math" w:hAnsi="Cambria Math" w:cstheme="minorHAnsi"/>
                    </w:rPr>
                    <m:t>n-1</m:t>
                  </m:r>
                </m:sup>
              </m:sSup>
            </m:e>
          </m:func>
          <m:sSup>
            <m:sSupPr>
              <m:ctrlPr>
                <w:rPr>
                  <w:rFonts w:ascii="Cambria Math" w:hAnsi="Cambria Math" w:cstheme="minorHAnsi"/>
                  <w:iCs/>
                </w:rPr>
              </m:ctrlPr>
            </m:sSupPr>
            <m:e>
              <m:r>
                <m:rPr>
                  <m:sty m:val="p"/>
                </m:rPr>
                <w:rPr>
                  <w:rFonts w:ascii="Cambria Math" w:hAnsi="Cambria Math" w:cstheme="minorHAnsi"/>
                </w:rPr>
                <m:t>Z</m:t>
              </m:r>
            </m:e>
            <m:sup>
              <m:r>
                <m:rPr>
                  <m:sty m:val="p"/>
                </m:rPr>
                <w:rPr>
                  <w:rFonts w:ascii="Cambria Math" w:hAnsi="Cambria Math" w:cstheme="minorHAnsi"/>
                </w:rPr>
                <m:t>'</m:t>
              </m:r>
            </m:sup>
          </m:sSup>
          <m:r>
            <m:rPr>
              <m:sty m:val="p"/>
            </m:rPr>
            <w:rPr>
              <w:rFonts w:ascii="Cambria Math" w:hAnsi="Cambria Math" w:cstheme="minorHAnsi"/>
            </w:rPr>
            <m:t>ṽ∼</m:t>
          </m:r>
          <m:sSubSup>
            <m:sSubSupPr>
              <m:ctrlPr>
                <w:rPr>
                  <w:rFonts w:ascii="Cambria Math" w:hAnsi="Cambria Math" w:cstheme="minorHAnsi"/>
                  <w:i/>
                  <w:iCs/>
                </w:rPr>
              </m:ctrlPr>
            </m:sSubSupPr>
            <m:e>
              <m:r>
                <w:rPr>
                  <w:rFonts w:ascii="Cambria Math" w:hAnsi="Cambria Math" w:cstheme="minorHAnsi"/>
                </w:rPr>
                <m:t>X</m:t>
              </m:r>
            </m:e>
            <m:sub>
              <m:r>
                <w:rPr>
                  <w:rFonts w:ascii="Cambria Math" w:hAnsi="Cambria Math" w:cstheme="minorHAnsi"/>
                </w:rPr>
                <m:t>L-</m:t>
              </m:r>
              <m:d>
                <m:dPr>
                  <m:ctrlPr>
                    <w:rPr>
                      <w:rFonts w:ascii="Cambria Math" w:hAnsi="Cambria Math" w:cstheme="minorHAnsi"/>
                      <w:i/>
                      <w:iCs/>
                    </w:rPr>
                  </m:ctrlPr>
                </m:dPr>
                <m:e>
                  <m:r>
                    <w:rPr>
                      <w:rFonts w:ascii="Cambria Math" w:hAnsi="Cambria Math" w:cstheme="minorHAnsi"/>
                    </w:rPr>
                    <m:t>k+1</m:t>
                  </m:r>
                </m:e>
              </m:d>
            </m:sub>
            <m:sup>
              <m:r>
                <w:rPr>
                  <w:rFonts w:ascii="Cambria Math" w:hAnsi="Cambria Math" w:cstheme="minorHAnsi"/>
                </w:rPr>
                <m:t>2</m:t>
              </m:r>
            </m:sup>
          </m:sSubSup>
          <m:r>
            <w:rPr>
              <w:rFonts w:ascii="Cambria Math" w:hAnsi="Cambria Math" w:cstheme="minorHAnsi"/>
            </w:rPr>
            <m:t>………………………….</m:t>
          </m:r>
        </m:oMath>
      </m:oMathPara>
    </w:p>
    <w:p w14:paraId="0C7296A4" w14:textId="77777777" w:rsidR="00C95055" w:rsidRPr="00F158BC" w:rsidRDefault="00C95055" w:rsidP="00C95055">
      <w:pPr>
        <w:spacing w:after="0" w:line="240" w:lineRule="auto"/>
        <w:jc w:val="both"/>
        <w:outlineLvl w:val="2"/>
        <w:rPr>
          <w:rFonts w:eastAsia="Times" w:cstheme="minorHAnsi"/>
        </w:rPr>
      </w:pPr>
      <w:bookmarkStart w:id="3" w:name="_Toc68590891"/>
      <w:r w:rsidRPr="00F158BC">
        <w:rPr>
          <w:rFonts w:eastAsia="Times" w:cstheme="minorHAnsi"/>
        </w:rPr>
        <w:t>Where:</w:t>
      </w:r>
    </w:p>
    <w:p w14:paraId="2309C282" w14:textId="77777777" w:rsidR="00C95055" w:rsidRPr="00F158BC" w:rsidRDefault="00C95055" w:rsidP="00C95055">
      <w:pPr>
        <w:spacing w:after="0" w:line="240" w:lineRule="auto"/>
        <w:jc w:val="both"/>
        <w:outlineLvl w:val="2"/>
        <w:rPr>
          <w:rFonts w:eastAsia="Times" w:cstheme="minorHAnsi"/>
        </w:rPr>
      </w:pPr>
      <w:r w:rsidRPr="00F158BC">
        <w:rPr>
          <w:rFonts w:eastAsia="Times" w:cstheme="minorHAnsi"/>
        </w:rPr>
        <w:t>Z: Instrument variable matrix</w:t>
      </w:r>
    </w:p>
    <w:p w14:paraId="4877C028" w14:textId="77777777" w:rsidR="00C95055" w:rsidRPr="00F158BC" w:rsidRDefault="00C95055" w:rsidP="00C95055">
      <w:pPr>
        <w:spacing w:after="0" w:line="240" w:lineRule="auto"/>
        <w:jc w:val="both"/>
        <w:outlineLvl w:val="2"/>
        <w:rPr>
          <w:rFonts w:eastAsia="Times" w:cstheme="minorHAnsi"/>
        </w:rPr>
      </w:pPr>
      <w:r w:rsidRPr="00F158BC">
        <w:rPr>
          <w:rFonts w:eastAsia="Times" w:cstheme="minorHAnsi"/>
        </w:rPr>
        <w:t>ṽ: The error component of the model estimate</w:t>
      </w:r>
    </w:p>
    <w:p w14:paraId="35138A96" w14:textId="77777777" w:rsidR="00C95055" w:rsidRPr="00042BF4" w:rsidRDefault="00C95055" w:rsidP="00C95055">
      <w:pPr>
        <w:pStyle w:val="ListParagraph"/>
        <w:spacing w:after="0" w:line="240" w:lineRule="auto"/>
        <w:jc w:val="both"/>
        <w:outlineLvl w:val="2"/>
        <w:rPr>
          <w:rFonts w:eastAsia="Times" w:cstheme="minorHAnsi"/>
        </w:rPr>
      </w:pPr>
    </w:p>
    <w:p w14:paraId="49B85DFB" w14:textId="5CDF0AB4" w:rsidR="00C95055" w:rsidRPr="005A2E74" w:rsidRDefault="00C95055" w:rsidP="00C95055">
      <w:pPr>
        <w:spacing w:after="0" w:line="240" w:lineRule="auto"/>
        <w:jc w:val="both"/>
        <w:outlineLvl w:val="2"/>
        <w:rPr>
          <w:rFonts w:eastAsia="Times" w:cstheme="minorHAnsi"/>
          <w:lang w:val="id-ID"/>
        </w:rPr>
      </w:pPr>
      <w:r w:rsidRPr="00F158BC">
        <w:rPr>
          <w:rFonts w:eastAsia="Times" w:cstheme="minorHAnsi"/>
        </w:rPr>
        <w:t xml:space="preserve">The provisions of the </w:t>
      </w:r>
      <w:proofErr w:type="spellStart"/>
      <w:r w:rsidRPr="00F158BC">
        <w:rPr>
          <w:rFonts w:eastAsia="Times" w:cstheme="minorHAnsi"/>
        </w:rPr>
        <w:t>Sargan</w:t>
      </w:r>
      <w:proofErr w:type="spellEnd"/>
      <w:r w:rsidRPr="00F158BC">
        <w:rPr>
          <w:rFonts w:eastAsia="Times" w:cstheme="minorHAnsi"/>
        </w:rPr>
        <w:t xml:space="preserve"> test results are when the p-value is &gt; α 5%. In this study the </w:t>
      </w:r>
      <w:proofErr w:type="spellStart"/>
      <w:r w:rsidRPr="00F158BC">
        <w:rPr>
          <w:rFonts w:eastAsia="Times" w:cstheme="minorHAnsi"/>
        </w:rPr>
        <w:t>sargan</w:t>
      </w:r>
      <w:proofErr w:type="spellEnd"/>
      <w:r w:rsidRPr="00F158BC">
        <w:rPr>
          <w:rFonts w:eastAsia="Times" w:cstheme="minorHAnsi"/>
        </w:rPr>
        <w:t xml:space="preserve"> test was attached to the results of the GMM test as indicated by the J-Statistics Prob </w:t>
      </w:r>
      <w:r w:rsidR="00566F5E">
        <w:rPr>
          <w:rFonts w:eastAsia="Times" w:cstheme="minorHAnsi"/>
        </w:rPr>
        <w:fldChar w:fldCharType="begin" w:fldLock="1"/>
      </w:r>
      <w:r w:rsidR="00D228A8">
        <w:rPr>
          <w:rFonts w:eastAsia="Times" w:cstheme="minorHAnsi"/>
        </w:rPr>
        <w:instrText>ADDIN CSL_CITATION {"citationItems":[{"id":"ITEM-1","itemData":{"abstract":"Pertumbuhan ekonomi merupakan perubahan aktivitas perekonomian dalam menghasilkan tambahan pendapatan masyarakat suatu negara dalam periode tertentu. Variabel-variabel ekonomi bersifat dinamis sehingga pada penelitian ini digunakan pemodelan menggunakan metode regresi data panel dinamis. Metode regresi data panel dinamis tidak hanya untuk mengetahui efek jangka pendek (short-run effect), namun juga efek jangka panjang (long-run effect). Faktor-faktor yang diduga mempengaruhi pertumbuhan ekonomi di Indonesia adalah investasi luar negeri, pengeluaran pemerintah dan penyerapan tenaga kerja. Berdasarkan hasil analisis estimasi Generalized Method of Moment (GMM) Arellano-Bond, variabel yang berpengaruh signifikan terhadap pertumbuhan ekonomi adalah investasi luar negeri dan pengeluaran pemerintah. Selanjutnya mendapatkan pemodelan dan mengetahui elastisitas jangka pendek dan jangka panjang. Elastisitas jangka pendek investasi luar negeri sebesar 0,00269 dan jangka panjang sebesar 0,08661. Hal ini menunjukkan bahwa setiap peningkatan 10 persen investasi luar negeri suatu provinsi, maka akan meningkatkan Produk Domestik Regional Bruto (PDRB) secara jangka pendek sebesar 0,0269 persen dan jangka panjang sebesar 0,8661 persen. Elastisitas jangka pendek pengeluaran pemerintah sebesar 0,00198 dan jangka panjang sebesar 0,06384. Hal ini menunjukkan bahwa setiap peningkatan 10 persen pengeluaran pemerintah suatu provinsi, maka akan meningkatkan PDRB secara jangka pendek sebesar 0,0198 persen dan jangka panjang sebesar 0,6384 persen.","author":[{"dropping-particle":"","family":"Nabilah","given":"Dessy","non-dropping-particle":"","parse-names":false,"suffix":""},{"dropping-particle":"","family":"Setiawan","given":"","non-dropping-particle":"","parse-names":false,"suffix":""}],"container-title":"Jurnal Sains dan Seni ITS","id":"ITEM-1","issue":"2","issued":{"date-parts":[["2016"]]},"page":"205-210","title":"Menggunakan Data Panel Dinamis dengan Pendekatan Generalized Method of Moment Arellano-Bond","type":"article-journal","volume":"5"},"uris":["http://www.mendeley.com/documents/?uuid=c33b6d6a-1bf1-4c26-b21e-29576a447ec2"]}],"mendeley":{"formattedCitation":"(Nabilah &amp; Setiawan, 2016)","plainTextFormattedCitation":"(Nabilah &amp; Setiawan, 2016)","previouslyFormattedCitation":"(Nabilah &amp; Setiawan, 2016)"},"properties":{"noteIndex":0},"schema":"https://github.com/citation-style-language/schema/raw/master/csl-citation.json"}</w:instrText>
      </w:r>
      <w:r w:rsidR="00566F5E">
        <w:rPr>
          <w:rFonts w:eastAsia="Times" w:cstheme="minorHAnsi"/>
        </w:rPr>
        <w:fldChar w:fldCharType="separate"/>
      </w:r>
      <w:r w:rsidR="00566F5E" w:rsidRPr="00566F5E">
        <w:rPr>
          <w:rFonts w:eastAsia="Times" w:cstheme="minorHAnsi"/>
          <w:noProof/>
        </w:rPr>
        <w:t>(Nabilah &amp; Setiawan, 2016)</w:t>
      </w:r>
      <w:r w:rsidR="00566F5E">
        <w:rPr>
          <w:rFonts w:eastAsia="Times" w:cstheme="minorHAnsi"/>
        </w:rPr>
        <w:fldChar w:fldCharType="end"/>
      </w:r>
      <w:r w:rsidR="005A2E74">
        <w:rPr>
          <w:rFonts w:eastAsia="Times" w:cstheme="minorHAnsi"/>
          <w:lang w:val="id-ID"/>
        </w:rPr>
        <w:t>.</w:t>
      </w:r>
    </w:p>
    <w:p w14:paraId="40FA3695" w14:textId="77777777" w:rsidR="00C95055" w:rsidRPr="00042BF4" w:rsidRDefault="00C95055" w:rsidP="00C95055">
      <w:pPr>
        <w:pStyle w:val="ListParagraph"/>
        <w:spacing w:after="0" w:line="240" w:lineRule="auto"/>
        <w:jc w:val="both"/>
        <w:outlineLvl w:val="2"/>
        <w:rPr>
          <w:rFonts w:eastAsia="Times" w:cstheme="minorHAnsi"/>
        </w:rPr>
      </w:pPr>
    </w:p>
    <w:p w14:paraId="5A0CC825" w14:textId="77777777" w:rsidR="00C95055" w:rsidRPr="00F158BC" w:rsidRDefault="00C95055" w:rsidP="00C95055">
      <w:pPr>
        <w:spacing w:after="0" w:line="240" w:lineRule="auto"/>
        <w:jc w:val="both"/>
        <w:outlineLvl w:val="2"/>
        <w:rPr>
          <w:rFonts w:eastAsia="Times" w:cstheme="minorHAnsi"/>
          <w:b/>
          <w:bCs/>
        </w:rPr>
      </w:pPr>
      <w:r w:rsidRPr="00F158BC">
        <w:rPr>
          <w:rFonts w:eastAsia="Times" w:cstheme="minorHAnsi"/>
          <w:b/>
          <w:bCs/>
        </w:rPr>
        <w:t>Arellano-Bond test</w:t>
      </w:r>
    </w:p>
    <w:p w14:paraId="3767215D" w14:textId="2DF8EDE1" w:rsidR="00C95055" w:rsidRPr="00627551" w:rsidRDefault="00627551" w:rsidP="00C95055">
      <w:pPr>
        <w:spacing w:after="0" w:line="240" w:lineRule="auto"/>
        <w:jc w:val="both"/>
        <w:outlineLvl w:val="2"/>
        <w:rPr>
          <w:rFonts w:eastAsia="Times" w:cstheme="minorHAnsi"/>
        </w:rPr>
      </w:pPr>
      <w:r w:rsidRPr="00627551">
        <w:rPr>
          <w:rFonts w:eastAsia="Times" w:cstheme="minorHAnsi"/>
        </w:rPr>
        <w:t xml:space="preserve">The consistency of the estimations derived from the GMM method is examined using the </w:t>
      </w:r>
      <w:proofErr w:type="spellStart"/>
      <w:r w:rsidRPr="00627551">
        <w:rPr>
          <w:rFonts w:eastAsia="Times" w:cstheme="minorHAnsi"/>
        </w:rPr>
        <w:t>Arelano</w:t>
      </w:r>
      <w:proofErr w:type="spellEnd"/>
      <w:r w:rsidRPr="00627551">
        <w:rPr>
          <w:rFonts w:eastAsia="Times" w:cstheme="minorHAnsi"/>
        </w:rPr>
        <w:t xml:space="preserve">-Bond test. The </w:t>
      </w:r>
      <w:proofErr w:type="spellStart"/>
      <w:r w:rsidRPr="00627551">
        <w:rPr>
          <w:rFonts w:eastAsia="Times" w:cstheme="minorHAnsi"/>
        </w:rPr>
        <w:t>arellano</w:t>
      </w:r>
      <w:proofErr w:type="spellEnd"/>
      <w:r w:rsidRPr="00627551">
        <w:rPr>
          <w:rFonts w:eastAsia="Times" w:cstheme="minorHAnsi"/>
        </w:rPr>
        <w:t xml:space="preserve">-bond test's criterion states that an instrument variable is valid if it does not exhibit autocorrelation at the </w:t>
      </w:r>
      <w:proofErr w:type="spellStart"/>
      <w:r w:rsidRPr="0058664A">
        <w:rPr>
          <w:rFonts w:eastAsia="Times" w:cstheme="minorHAnsi"/>
        </w:rPr>
        <w:t>i-th</w:t>
      </w:r>
      <w:proofErr w:type="spellEnd"/>
      <w:r w:rsidRPr="0058664A">
        <w:rPr>
          <w:rFonts w:eastAsia="Times" w:cstheme="minorHAnsi"/>
        </w:rPr>
        <w:t xml:space="preserve"> order</w:t>
      </w:r>
      <w:r w:rsidRPr="00627551">
        <w:rPr>
          <w:rFonts w:eastAsia="Times" w:cstheme="minorHAnsi"/>
        </w:rPr>
        <w:t xml:space="preserve"> initial difference. The </w:t>
      </w:r>
      <w:proofErr w:type="spellStart"/>
      <w:r w:rsidRPr="00627551">
        <w:rPr>
          <w:rFonts w:eastAsia="Times" w:cstheme="minorHAnsi"/>
        </w:rPr>
        <w:t>Arelano</w:t>
      </w:r>
      <w:proofErr w:type="spellEnd"/>
      <w:r w:rsidRPr="00627551">
        <w:rPr>
          <w:rFonts w:eastAsia="Times" w:cstheme="minorHAnsi"/>
        </w:rPr>
        <w:t>-Bond test's mathematical operation is represented by the following formula</w:t>
      </w:r>
      <w:r w:rsidR="00C95055" w:rsidRPr="00627551">
        <w:rPr>
          <w:rFonts w:eastAsia="Times" w:cstheme="minorHAnsi"/>
        </w:rPr>
        <w:t>:</w:t>
      </w:r>
    </w:p>
    <w:p w14:paraId="18BFA678" w14:textId="77777777" w:rsidR="00FF3948" w:rsidRPr="00627551" w:rsidRDefault="00FF3948" w:rsidP="00C95055">
      <w:pPr>
        <w:spacing w:after="0" w:line="240" w:lineRule="auto"/>
        <w:jc w:val="both"/>
        <w:outlineLvl w:val="2"/>
        <w:rPr>
          <w:rFonts w:eastAsia="Times" w:cstheme="minorHAnsi"/>
        </w:rPr>
      </w:pPr>
    </w:p>
    <w:p w14:paraId="0A77B22C" w14:textId="3F35BFA6" w:rsidR="00C95055" w:rsidRPr="00FF3948" w:rsidRDefault="00C95055" w:rsidP="00C95055">
      <w:pPr>
        <w:pStyle w:val="ListParagraph"/>
        <w:spacing w:after="0" w:line="240" w:lineRule="auto"/>
        <w:ind w:left="1134"/>
        <w:jc w:val="both"/>
        <w:rPr>
          <w:rFonts w:eastAsia="Times" w:cstheme="minorHAnsi"/>
          <w:b/>
          <w:color w:val="000000"/>
        </w:rPr>
      </w:pPr>
      <m:oMathPara>
        <m:oMath>
          <m:r>
            <w:rPr>
              <w:rFonts w:ascii="Cambria Math" w:eastAsia="Times" w:hAnsi="Cambria Math" w:cstheme="minorHAnsi"/>
              <w:color w:val="000000"/>
            </w:rPr>
            <m:t>m</m:t>
          </m:r>
          <m:d>
            <m:dPr>
              <m:ctrlPr>
                <w:rPr>
                  <w:rFonts w:ascii="Cambria Math" w:eastAsia="Times" w:hAnsi="Cambria Math" w:cstheme="minorHAnsi"/>
                  <w:i/>
                  <w:color w:val="000000"/>
                </w:rPr>
              </m:ctrlPr>
            </m:dPr>
            <m:e>
              <m:r>
                <w:rPr>
                  <w:rFonts w:ascii="Cambria Math" w:eastAsia="Times" w:hAnsi="Cambria Math" w:cstheme="minorHAnsi"/>
                  <w:color w:val="000000"/>
                </w:rPr>
                <m:t>2</m:t>
              </m:r>
            </m:e>
          </m:d>
          <m:r>
            <w:rPr>
              <w:rFonts w:ascii="Cambria Math" w:eastAsia="Times" w:hAnsi="Cambria Math" w:cstheme="minorHAnsi"/>
              <w:color w:val="000000"/>
            </w:rPr>
            <m:t>=</m:t>
          </m:r>
          <m:f>
            <m:fPr>
              <m:ctrlPr>
                <w:rPr>
                  <w:rFonts w:ascii="Cambria Math" w:eastAsia="Times" w:hAnsi="Cambria Math" w:cstheme="minorHAnsi"/>
                  <w:color w:val="000000"/>
                </w:rPr>
              </m:ctrlPr>
            </m:fPr>
            <m:num>
              <m:r>
                <w:rPr>
                  <w:rFonts w:ascii="Cambria Math" w:eastAsia="Times" w:hAnsi="Cambria Math" w:cstheme="minorHAnsi"/>
                  <w:color w:val="000000"/>
                </w:rPr>
                <m:t xml:space="preserve">ΔṼi,t-2 ΔṼ* </m:t>
              </m:r>
            </m:num>
            <m:den>
              <m:d>
                <m:dPr>
                  <m:ctrlPr>
                    <w:rPr>
                      <w:rFonts w:ascii="Cambria Math" w:eastAsia="Times" w:hAnsi="Cambria Math" w:cstheme="minorHAnsi"/>
                      <w:i/>
                      <w:color w:val="000000"/>
                    </w:rPr>
                  </m:ctrlPr>
                </m:dPr>
                <m:e>
                  <m:r>
                    <w:rPr>
                      <w:rFonts w:ascii="Cambria Math" w:eastAsia="Times" w:hAnsi="Cambria Math" w:cstheme="minorHAnsi"/>
                      <w:color w:val="000000"/>
                    </w:rPr>
                    <m:t>ΔṼ</m:t>
                  </m:r>
                </m:e>
              </m:d>
              <m:f>
                <m:fPr>
                  <m:ctrlPr>
                    <w:rPr>
                      <w:rFonts w:ascii="Cambria Math" w:eastAsia="Times" w:hAnsi="Cambria Math" w:cstheme="minorHAnsi"/>
                      <w:i/>
                      <w:color w:val="000000"/>
                    </w:rPr>
                  </m:ctrlPr>
                </m:fPr>
                <m:num>
                  <m:r>
                    <w:rPr>
                      <w:rFonts w:ascii="Cambria Math" w:eastAsia="Times" w:hAnsi="Cambria Math" w:cstheme="minorHAnsi"/>
                      <w:color w:val="000000"/>
                    </w:rPr>
                    <m:t>1</m:t>
                  </m:r>
                </m:num>
                <m:den>
                  <m:r>
                    <w:rPr>
                      <w:rFonts w:ascii="Cambria Math" w:eastAsia="Times" w:hAnsi="Cambria Math" w:cstheme="minorHAnsi"/>
                      <w:color w:val="000000"/>
                    </w:rPr>
                    <m:t>2</m:t>
                  </m:r>
                </m:den>
              </m:f>
            </m:den>
          </m:f>
          <m:r>
            <w:rPr>
              <w:rFonts w:ascii="Cambria Math" w:eastAsia="Times" w:hAnsi="Cambria Math" w:cstheme="minorHAnsi"/>
              <w:color w:val="000000"/>
            </w:rPr>
            <m:t>……………………………………</m:t>
          </m:r>
        </m:oMath>
      </m:oMathPara>
    </w:p>
    <w:p w14:paraId="35806F4B" w14:textId="77777777" w:rsidR="00FF3948" w:rsidRPr="00FF3948" w:rsidRDefault="00FF3948" w:rsidP="00FF3948">
      <w:pPr>
        <w:spacing w:after="0" w:line="240" w:lineRule="auto"/>
        <w:jc w:val="both"/>
        <w:rPr>
          <w:rFonts w:eastAsia="Times" w:cstheme="minorHAnsi"/>
          <w:color w:val="000000"/>
        </w:rPr>
      </w:pPr>
    </w:p>
    <w:p w14:paraId="2CFAFD1B" w14:textId="77777777" w:rsidR="00C95055" w:rsidRPr="008B7187" w:rsidRDefault="00C95055" w:rsidP="00C95055">
      <w:pPr>
        <w:spacing w:line="240" w:lineRule="auto"/>
        <w:jc w:val="both"/>
        <w:rPr>
          <w:rFonts w:eastAsia="Times" w:cstheme="minorHAnsi"/>
          <w:color w:val="000000"/>
        </w:rPr>
      </w:pPr>
      <w:r>
        <w:rPr>
          <w:rFonts w:eastAsia="Times" w:cstheme="minorHAnsi"/>
          <w:color w:val="000000"/>
          <w:lang w:val="id-ID"/>
        </w:rPr>
        <w:t>Where</w:t>
      </w:r>
      <w:r w:rsidRPr="008B7187">
        <w:rPr>
          <w:rFonts w:eastAsia="Times" w:cstheme="minorHAnsi"/>
          <w:color w:val="000000"/>
        </w:rPr>
        <w:t>:</w:t>
      </w:r>
    </w:p>
    <w:bookmarkEnd w:id="3"/>
    <w:p w14:paraId="33CCB459" w14:textId="77777777" w:rsidR="00C95055" w:rsidRPr="00FF3948" w:rsidRDefault="00C95055" w:rsidP="00C95055">
      <w:pPr>
        <w:spacing w:after="0"/>
        <w:jc w:val="both"/>
      </w:pPr>
      <w:r w:rsidRPr="00FF3948">
        <w:t>Δ</w:t>
      </w:r>
      <w:proofErr w:type="gramStart"/>
      <w:r w:rsidRPr="00FF3948">
        <w:t>Ṽi,t</w:t>
      </w:r>
      <w:proofErr w:type="gramEnd"/>
      <w:r w:rsidRPr="00FF3948">
        <w:t>-2 : Error vector in the 2nd lag with order q = ∑_(</w:t>
      </w:r>
      <w:proofErr w:type="spellStart"/>
      <w:r w:rsidRPr="00FF3948">
        <w:t>i</w:t>
      </w:r>
      <w:proofErr w:type="spellEnd"/>
      <w:r w:rsidRPr="00FF3948">
        <w:t>=1)^n</w:t>
      </w:r>
      <w:r w:rsidRPr="00FF3948">
        <w:rPr>
          <w:rFonts w:ascii="Arial" w:hAnsi="Arial" w:cs="Arial"/>
        </w:rPr>
        <w:t>▒</w:t>
      </w:r>
      <w:r w:rsidRPr="00FF3948">
        <w:rPr>
          <w:rFonts w:ascii="Cambria Math" w:eastAsia="Cambria Math" w:hAnsi="Cambria Math" w:cs="Cambria Math" w:hint="eastAsia"/>
        </w:rPr>
        <w:t>〖</w:t>
      </w:r>
      <w:r w:rsidRPr="00FF3948">
        <w:t>T1-4</w:t>
      </w:r>
      <w:r w:rsidRPr="00FF3948">
        <w:rPr>
          <w:rFonts w:ascii="Cambria Math" w:eastAsia="Cambria Math" w:hAnsi="Cambria Math" w:cs="Cambria Math" w:hint="eastAsia"/>
        </w:rPr>
        <w:t>〗</w:t>
      </w:r>
    </w:p>
    <w:p w14:paraId="4F2F955F" w14:textId="77777777" w:rsidR="00C95055" w:rsidRDefault="00C95055" w:rsidP="00C95055">
      <w:pPr>
        <w:spacing w:after="0"/>
        <w:jc w:val="both"/>
      </w:pPr>
      <w:r w:rsidRPr="00FF3948">
        <w:rPr>
          <w:rFonts w:hint="eastAsia"/>
        </w:rPr>
        <w:t>Δ</w:t>
      </w:r>
      <w:r w:rsidRPr="00FF3948">
        <w:t>Ṽ* : Error vector cut to fit ΔṼi,t-2 with size q x 1</w:t>
      </w:r>
    </w:p>
    <w:p w14:paraId="6F822B96" w14:textId="77777777" w:rsidR="00C95055" w:rsidRDefault="00C95055" w:rsidP="00C95055">
      <w:pPr>
        <w:spacing w:after="0"/>
        <w:jc w:val="both"/>
      </w:pPr>
    </w:p>
    <w:p w14:paraId="72E683C7" w14:textId="7895A2CC" w:rsidR="00C95055" w:rsidRDefault="00C95055" w:rsidP="008D4044">
      <w:pPr>
        <w:spacing w:after="0"/>
        <w:jc w:val="both"/>
      </w:pPr>
      <w:r>
        <w:t xml:space="preserve">As for the decision making from the test above, if the AR value is greater than α 5% (&gt; 0.05), </w:t>
      </w:r>
      <w:r w:rsidR="008D4044">
        <w:rPr>
          <w:lang w:val="id-ID"/>
        </w:rPr>
        <w:t>a</w:t>
      </w:r>
      <w:r w:rsidR="008D4044" w:rsidRPr="008D4044">
        <w:t xml:space="preserve"> statistical value that is not significant at m2 describes the consistency value of the GMM results.</w:t>
      </w:r>
    </w:p>
    <w:p w14:paraId="750D04CE" w14:textId="4331A6EA" w:rsidR="008D4044" w:rsidRDefault="008D4044" w:rsidP="008D4044">
      <w:pPr>
        <w:spacing w:after="0"/>
        <w:jc w:val="both"/>
      </w:pPr>
    </w:p>
    <w:p w14:paraId="62DD3E64" w14:textId="4EF84585" w:rsidR="00B10EA3" w:rsidRDefault="00B10EA3" w:rsidP="008D4044">
      <w:pPr>
        <w:spacing w:after="0"/>
        <w:jc w:val="both"/>
      </w:pPr>
    </w:p>
    <w:p w14:paraId="258FDD6E" w14:textId="77777777" w:rsidR="004C4762" w:rsidRPr="008D4044" w:rsidRDefault="004C4762" w:rsidP="008D4044">
      <w:pPr>
        <w:spacing w:after="0"/>
        <w:jc w:val="both"/>
      </w:pPr>
    </w:p>
    <w:p w14:paraId="105A5079" w14:textId="77777777" w:rsidR="00C95055" w:rsidRPr="00F158BC" w:rsidRDefault="00C95055" w:rsidP="00C95055">
      <w:pPr>
        <w:spacing w:after="0"/>
        <w:ind w:left="1440" w:hanging="1440"/>
        <w:jc w:val="both"/>
        <w:rPr>
          <w:b/>
          <w:bCs/>
        </w:rPr>
      </w:pPr>
      <w:r>
        <w:rPr>
          <w:b/>
          <w:bCs/>
          <w:lang w:val="id-ID"/>
        </w:rPr>
        <w:lastRenderedPageBreak/>
        <w:t>T-</w:t>
      </w:r>
      <w:r w:rsidRPr="00F158BC">
        <w:rPr>
          <w:b/>
          <w:bCs/>
        </w:rPr>
        <w:t>test</w:t>
      </w:r>
    </w:p>
    <w:p w14:paraId="3D99DCFA" w14:textId="69808AA8" w:rsidR="00C95055" w:rsidRPr="00B10EA3" w:rsidRDefault="00170D17" w:rsidP="00C95055">
      <w:pPr>
        <w:spacing w:after="0"/>
        <w:jc w:val="both"/>
      </w:pPr>
      <w:r w:rsidRPr="00B10EA3">
        <w:t xml:space="preserve">The t-test tries to estimate the influence of independent variables (inflation, unemployment, trade openness, and foreign direct investment) </w:t>
      </w:r>
      <w:r w:rsidR="0058664A" w:rsidRPr="00B10EA3">
        <w:t xml:space="preserve">and moderating variable (political stability) </w:t>
      </w:r>
      <w:r w:rsidRPr="00B10EA3">
        <w:t xml:space="preserve">on dependent variable (IPM). </w:t>
      </w:r>
      <w:r w:rsidR="00514483" w:rsidRPr="00B10EA3">
        <w:rPr>
          <w:lang w:val="id-ID"/>
        </w:rPr>
        <w:t>T</w:t>
      </w:r>
      <w:r w:rsidRPr="00B10EA3">
        <w:t>he t test hypothesis</w:t>
      </w:r>
      <w:r w:rsidR="00514483" w:rsidRPr="00B10EA3">
        <w:rPr>
          <w:lang w:val="id-ID"/>
        </w:rPr>
        <w:t xml:space="preserve"> is as follow</w:t>
      </w:r>
      <w:r w:rsidRPr="00B10EA3">
        <w:t>:</w:t>
      </w:r>
    </w:p>
    <w:p w14:paraId="0A1B6142" w14:textId="77777777" w:rsidR="00170D17" w:rsidRPr="00B10EA3" w:rsidRDefault="00170D17" w:rsidP="00C95055">
      <w:pPr>
        <w:spacing w:after="0"/>
        <w:jc w:val="both"/>
      </w:pPr>
    </w:p>
    <w:p w14:paraId="6658B731" w14:textId="18E52173" w:rsidR="002A0CB8" w:rsidRPr="00B10EA3" w:rsidRDefault="002A0CB8" w:rsidP="002A0CB8">
      <w:pPr>
        <w:spacing w:after="0"/>
        <w:jc w:val="both"/>
      </w:pPr>
      <w:r w:rsidRPr="00B10EA3">
        <w:t>H0: If the significance level approaches 0.05 (or 5%)</w:t>
      </w:r>
      <w:r w:rsidRPr="00B10EA3">
        <w:rPr>
          <w:lang w:val="id-ID"/>
        </w:rPr>
        <w:t xml:space="preserve"> or more</w:t>
      </w:r>
      <w:r w:rsidRPr="00B10EA3">
        <w:t>,</w:t>
      </w:r>
    </w:p>
    <w:p w14:paraId="7478CF41" w14:textId="38A43858" w:rsidR="002A0CB8" w:rsidRPr="00B10EA3" w:rsidRDefault="002A0CB8" w:rsidP="002A0CB8">
      <w:pPr>
        <w:spacing w:after="0"/>
        <w:jc w:val="both"/>
      </w:pPr>
      <w:r w:rsidRPr="00B10EA3">
        <w:t xml:space="preserve">H1: If the significance level is less </w:t>
      </w:r>
      <w:r w:rsidRPr="00B10EA3">
        <w:rPr>
          <w:lang w:val="id-ID"/>
        </w:rPr>
        <w:t xml:space="preserve">than </w:t>
      </w:r>
      <w:r w:rsidRPr="00B10EA3">
        <w:t>0.05 (5%)</w:t>
      </w:r>
    </w:p>
    <w:p w14:paraId="59B3E580" w14:textId="77777777" w:rsidR="002A0CB8" w:rsidRPr="002A0CB8" w:rsidRDefault="002A0CB8" w:rsidP="002A0CB8">
      <w:pPr>
        <w:spacing w:after="0"/>
        <w:jc w:val="both"/>
        <w:rPr>
          <w:color w:val="FF0000"/>
        </w:rPr>
      </w:pPr>
    </w:p>
    <w:p w14:paraId="27B5A2A0" w14:textId="77777777" w:rsidR="00BF2F2D" w:rsidRDefault="00BF2F2D" w:rsidP="00C95055">
      <w:pPr>
        <w:spacing w:after="0"/>
        <w:jc w:val="both"/>
        <w:rPr>
          <w:b/>
          <w:sz w:val="28"/>
          <w:szCs w:val="28"/>
        </w:rPr>
      </w:pPr>
    </w:p>
    <w:p w14:paraId="31E74C59" w14:textId="0B61FA87" w:rsidR="00775ACA" w:rsidRPr="00FF3948" w:rsidRDefault="003141C6" w:rsidP="00106630">
      <w:pPr>
        <w:spacing w:after="0"/>
        <w:jc w:val="center"/>
        <w:rPr>
          <w:b/>
          <w:sz w:val="28"/>
          <w:szCs w:val="28"/>
        </w:rPr>
      </w:pPr>
      <w:r>
        <w:rPr>
          <w:b/>
          <w:sz w:val="28"/>
          <w:szCs w:val="28"/>
        </w:rPr>
        <w:t>Result and Discussion</w:t>
      </w:r>
    </w:p>
    <w:p w14:paraId="556E9194" w14:textId="77777777" w:rsidR="00775ACA" w:rsidRPr="00352C3F" w:rsidRDefault="00775ACA" w:rsidP="00775ACA">
      <w:pPr>
        <w:spacing w:line="240" w:lineRule="auto"/>
        <w:jc w:val="both"/>
        <w:outlineLvl w:val="1"/>
        <w:rPr>
          <w:rFonts w:cstheme="minorHAnsi"/>
          <w:b/>
          <w:bCs/>
        </w:rPr>
      </w:pPr>
      <w:bookmarkStart w:id="4" w:name="_Toc124100846"/>
      <w:r w:rsidRPr="00352C3F">
        <w:rPr>
          <w:rFonts w:cstheme="minorHAnsi"/>
          <w:b/>
          <w:bCs/>
        </w:rPr>
        <w:t>Descriptive Analysis</w:t>
      </w:r>
    </w:p>
    <w:p w14:paraId="74D52F24" w14:textId="77777777" w:rsidR="00170D17" w:rsidRPr="00B10EA3" w:rsidRDefault="00775ACA" w:rsidP="00170D17">
      <w:pPr>
        <w:spacing w:line="240" w:lineRule="auto"/>
        <w:jc w:val="both"/>
        <w:outlineLvl w:val="1"/>
        <w:rPr>
          <w:rFonts w:cstheme="minorHAnsi"/>
        </w:rPr>
      </w:pPr>
      <w:r w:rsidRPr="00352C3F">
        <w:rPr>
          <w:rFonts w:cstheme="minorHAnsi"/>
        </w:rPr>
        <w:t xml:space="preserve">The lowest, maximum, average, and standard deviation values of each research variable are displayed or described using descriptive statistics. The broad description given in the descriptive statistical analysis includes all features of the two components because </w:t>
      </w:r>
      <w:bookmarkEnd w:id="4"/>
      <w:r w:rsidR="00170D17" w:rsidRPr="00B10EA3">
        <w:rPr>
          <w:rFonts w:cstheme="minorHAnsi"/>
          <w:lang w:val="id-ID"/>
        </w:rPr>
        <w:t>c</w:t>
      </w:r>
      <w:r w:rsidR="00170D17" w:rsidRPr="00B10EA3">
        <w:rPr>
          <w:rFonts w:cstheme="minorHAnsi"/>
        </w:rPr>
        <w:t xml:space="preserve">ross-sectional and time series data are both present in the panel data. The output of processing descriptive statistics with the </w:t>
      </w:r>
      <w:proofErr w:type="spellStart"/>
      <w:r w:rsidR="00170D17" w:rsidRPr="00B10EA3">
        <w:rPr>
          <w:rFonts w:cstheme="minorHAnsi"/>
        </w:rPr>
        <w:t>eviews</w:t>
      </w:r>
      <w:proofErr w:type="spellEnd"/>
      <w:r w:rsidR="00170D17" w:rsidRPr="00B10EA3">
        <w:rPr>
          <w:rFonts w:cstheme="minorHAnsi"/>
        </w:rPr>
        <w:t xml:space="preserve"> 10.0 application is as follows:</w:t>
      </w:r>
    </w:p>
    <w:p w14:paraId="111749B4" w14:textId="06FB616C" w:rsidR="00775ACA" w:rsidRPr="00170D17" w:rsidRDefault="007F5A90" w:rsidP="00170D17">
      <w:pPr>
        <w:spacing w:line="240" w:lineRule="auto"/>
        <w:ind w:left="2880"/>
        <w:jc w:val="both"/>
        <w:outlineLvl w:val="1"/>
        <w:rPr>
          <w:rFonts w:cstheme="minorHAnsi"/>
          <w:b/>
          <w:bCs/>
        </w:rPr>
      </w:pPr>
      <w:r w:rsidRPr="00170D17">
        <w:rPr>
          <w:rFonts w:cstheme="minorHAnsi"/>
          <w:b/>
          <w:bCs/>
        </w:rPr>
        <w:t xml:space="preserve">Table </w:t>
      </w:r>
      <w:r w:rsidR="009B6C01" w:rsidRPr="00170D17">
        <w:rPr>
          <w:rFonts w:cstheme="minorHAnsi"/>
          <w:b/>
          <w:bCs/>
        </w:rPr>
        <w:t>1.</w:t>
      </w:r>
      <w:r w:rsidR="00EF7F13" w:rsidRPr="00170D17">
        <w:rPr>
          <w:rFonts w:cstheme="minorHAnsi"/>
          <w:b/>
          <w:bCs/>
        </w:rPr>
        <w:t>3</w:t>
      </w:r>
      <w:r w:rsidRPr="00170D17">
        <w:rPr>
          <w:rFonts w:cstheme="minorHAnsi"/>
          <w:b/>
          <w:bCs/>
        </w:rPr>
        <w:t xml:space="preserve"> Descriptive Statistics</w:t>
      </w:r>
    </w:p>
    <w:p w14:paraId="45733936" w14:textId="77777777" w:rsidR="00775ACA" w:rsidRDefault="00775ACA" w:rsidP="00775ACA">
      <w:pPr>
        <w:autoSpaceDE w:val="0"/>
        <w:autoSpaceDN w:val="0"/>
        <w:adjustRightInd w:val="0"/>
        <w:spacing w:after="0" w:line="240" w:lineRule="auto"/>
        <w:ind w:firstLine="720"/>
        <w:rPr>
          <w:rFonts w:asciiTheme="majorBidi" w:hAnsiTheme="majorBidi" w:cstheme="majorBidi"/>
          <w:sz w:val="20"/>
          <w:szCs w:val="20"/>
        </w:rPr>
      </w:pPr>
    </w:p>
    <w:tbl>
      <w:tblPr>
        <w:tblpPr w:leftFromText="180" w:rightFromText="180" w:vertAnchor="text" w:horzAnchor="margin" w:tblpXSpec="center" w:tblpY="38"/>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855"/>
        <w:gridCol w:w="992"/>
        <w:gridCol w:w="1134"/>
        <w:gridCol w:w="993"/>
        <w:gridCol w:w="1134"/>
        <w:gridCol w:w="1129"/>
      </w:tblGrid>
      <w:tr w:rsidR="00775ACA" w:rsidRPr="00082BA4" w14:paraId="284D4C9E" w14:textId="77777777" w:rsidTr="009B1F6F">
        <w:trPr>
          <w:trHeight w:val="225"/>
        </w:trPr>
        <w:tc>
          <w:tcPr>
            <w:tcW w:w="1134" w:type="dxa"/>
            <w:vAlign w:val="bottom"/>
          </w:tcPr>
          <w:p w14:paraId="706696A5"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p>
        </w:tc>
        <w:tc>
          <w:tcPr>
            <w:tcW w:w="855" w:type="dxa"/>
            <w:vAlign w:val="bottom"/>
          </w:tcPr>
          <w:p w14:paraId="2AAE2377" w14:textId="77777777" w:rsidR="00775ACA" w:rsidRPr="00082BA4"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IPM</w:t>
            </w:r>
          </w:p>
        </w:tc>
        <w:tc>
          <w:tcPr>
            <w:tcW w:w="992" w:type="dxa"/>
            <w:vAlign w:val="bottom"/>
          </w:tcPr>
          <w:p w14:paraId="759358E1" w14:textId="77777777" w:rsidR="00775ACA" w:rsidRPr="00082BA4"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INF</w:t>
            </w:r>
          </w:p>
        </w:tc>
        <w:tc>
          <w:tcPr>
            <w:tcW w:w="1134" w:type="dxa"/>
            <w:vAlign w:val="bottom"/>
          </w:tcPr>
          <w:p w14:paraId="30C5A8F9" w14:textId="77777777" w:rsidR="00775ACA" w:rsidRPr="00082BA4"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UNEMPL</w:t>
            </w:r>
          </w:p>
        </w:tc>
        <w:tc>
          <w:tcPr>
            <w:tcW w:w="993" w:type="dxa"/>
            <w:vAlign w:val="bottom"/>
          </w:tcPr>
          <w:p w14:paraId="29F02E67" w14:textId="77777777" w:rsidR="00775ACA" w:rsidRPr="00082BA4"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TO</w:t>
            </w:r>
          </w:p>
        </w:tc>
        <w:tc>
          <w:tcPr>
            <w:tcW w:w="1134" w:type="dxa"/>
            <w:vAlign w:val="bottom"/>
          </w:tcPr>
          <w:p w14:paraId="7E30E601" w14:textId="77777777" w:rsidR="00775ACA" w:rsidRPr="00082BA4"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FDI</w:t>
            </w:r>
          </w:p>
        </w:tc>
        <w:tc>
          <w:tcPr>
            <w:tcW w:w="1129" w:type="dxa"/>
            <w:vAlign w:val="bottom"/>
          </w:tcPr>
          <w:p w14:paraId="34F4A43B" w14:textId="77777777" w:rsidR="00775ACA" w:rsidRPr="00082BA4"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SP</w:t>
            </w:r>
          </w:p>
        </w:tc>
      </w:tr>
      <w:tr w:rsidR="00775ACA" w:rsidRPr="005260EB" w14:paraId="5BFF3D81" w14:textId="77777777" w:rsidTr="009B1F6F">
        <w:trPr>
          <w:trHeight w:val="225"/>
        </w:trPr>
        <w:tc>
          <w:tcPr>
            <w:tcW w:w="1134" w:type="dxa"/>
            <w:vAlign w:val="bottom"/>
          </w:tcPr>
          <w:p w14:paraId="3881136E"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Mean</w:t>
            </w:r>
          </w:p>
        </w:tc>
        <w:tc>
          <w:tcPr>
            <w:tcW w:w="855" w:type="dxa"/>
            <w:vAlign w:val="bottom"/>
          </w:tcPr>
          <w:p w14:paraId="4AD3281F"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0.651222</w:t>
            </w:r>
          </w:p>
        </w:tc>
        <w:tc>
          <w:tcPr>
            <w:tcW w:w="992" w:type="dxa"/>
            <w:vAlign w:val="bottom"/>
          </w:tcPr>
          <w:p w14:paraId="21B6F9D7"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4.565844</w:t>
            </w:r>
          </w:p>
        </w:tc>
        <w:tc>
          <w:tcPr>
            <w:tcW w:w="1134" w:type="dxa"/>
            <w:vAlign w:val="bottom"/>
          </w:tcPr>
          <w:p w14:paraId="039B7903"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7.449566</w:t>
            </w:r>
          </w:p>
        </w:tc>
        <w:tc>
          <w:tcPr>
            <w:tcW w:w="993" w:type="dxa"/>
            <w:vAlign w:val="bottom"/>
          </w:tcPr>
          <w:p w14:paraId="7E7E1BA3"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38.46584</w:t>
            </w:r>
          </w:p>
        </w:tc>
        <w:tc>
          <w:tcPr>
            <w:tcW w:w="1134" w:type="dxa"/>
            <w:vAlign w:val="bottom"/>
          </w:tcPr>
          <w:p w14:paraId="46F73B38"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3.998031</w:t>
            </w:r>
          </w:p>
        </w:tc>
        <w:tc>
          <w:tcPr>
            <w:tcW w:w="1129" w:type="dxa"/>
            <w:vAlign w:val="bottom"/>
          </w:tcPr>
          <w:p w14:paraId="15A7A8B1"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-0.528969</w:t>
            </w:r>
          </w:p>
        </w:tc>
      </w:tr>
      <w:tr w:rsidR="00775ACA" w:rsidRPr="005260EB" w14:paraId="3A33B778" w14:textId="77777777" w:rsidTr="009B1F6F">
        <w:trPr>
          <w:trHeight w:val="225"/>
        </w:trPr>
        <w:tc>
          <w:tcPr>
            <w:tcW w:w="1134" w:type="dxa"/>
            <w:vAlign w:val="bottom"/>
          </w:tcPr>
          <w:p w14:paraId="69E76856"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Median</w:t>
            </w:r>
          </w:p>
        </w:tc>
        <w:tc>
          <w:tcPr>
            <w:tcW w:w="855" w:type="dxa"/>
            <w:vAlign w:val="bottom"/>
          </w:tcPr>
          <w:p w14:paraId="6D9A895A"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0.690500</w:t>
            </w:r>
          </w:p>
        </w:tc>
        <w:tc>
          <w:tcPr>
            <w:tcW w:w="992" w:type="dxa"/>
            <w:vAlign w:val="bottom"/>
          </w:tcPr>
          <w:p w14:paraId="5C9420EE"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3.680000</w:t>
            </w:r>
          </w:p>
        </w:tc>
        <w:tc>
          <w:tcPr>
            <w:tcW w:w="1134" w:type="dxa"/>
            <w:vAlign w:val="bottom"/>
          </w:tcPr>
          <w:p w14:paraId="39C01F35"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5.982000</w:t>
            </w:r>
          </w:p>
        </w:tc>
        <w:tc>
          <w:tcPr>
            <w:tcW w:w="993" w:type="dxa"/>
            <w:vAlign w:val="bottom"/>
          </w:tcPr>
          <w:p w14:paraId="1A79F871"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36.37500</w:t>
            </w:r>
          </w:p>
        </w:tc>
        <w:tc>
          <w:tcPr>
            <w:tcW w:w="1134" w:type="dxa"/>
            <w:vAlign w:val="bottom"/>
          </w:tcPr>
          <w:p w14:paraId="543CC5C4"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2.300000</w:t>
            </w:r>
          </w:p>
        </w:tc>
        <w:tc>
          <w:tcPr>
            <w:tcW w:w="1129" w:type="dxa"/>
            <w:vAlign w:val="bottom"/>
          </w:tcPr>
          <w:p w14:paraId="3A7BCB51"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-0.520000</w:t>
            </w:r>
          </w:p>
        </w:tc>
      </w:tr>
      <w:tr w:rsidR="00775ACA" w:rsidRPr="005260EB" w14:paraId="1A2B829C" w14:textId="77777777" w:rsidTr="009B1F6F">
        <w:trPr>
          <w:trHeight w:val="225"/>
        </w:trPr>
        <w:tc>
          <w:tcPr>
            <w:tcW w:w="1134" w:type="dxa"/>
            <w:vAlign w:val="bottom"/>
          </w:tcPr>
          <w:p w14:paraId="6D1256A6"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Maximum</w:t>
            </w:r>
          </w:p>
        </w:tc>
        <w:tc>
          <w:tcPr>
            <w:tcW w:w="855" w:type="dxa"/>
            <w:vAlign w:val="bottom"/>
          </w:tcPr>
          <w:p w14:paraId="73931942"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0.912000</w:t>
            </w:r>
          </w:p>
        </w:tc>
        <w:tc>
          <w:tcPr>
            <w:tcW w:w="992" w:type="dxa"/>
            <w:vAlign w:val="bottom"/>
          </w:tcPr>
          <w:p w14:paraId="6D3CFC06"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84.59000</w:t>
            </w:r>
          </w:p>
        </w:tc>
        <w:tc>
          <w:tcPr>
            <w:tcW w:w="1134" w:type="dxa"/>
            <w:vAlign w:val="bottom"/>
          </w:tcPr>
          <w:p w14:paraId="579D668B"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21.97200</w:t>
            </w:r>
          </w:p>
        </w:tc>
        <w:tc>
          <w:tcPr>
            <w:tcW w:w="993" w:type="dxa"/>
            <w:vAlign w:val="bottom"/>
          </w:tcPr>
          <w:p w14:paraId="4C73BFC8"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859.8200</w:t>
            </w:r>
          </w:p>
        </w:tc>
        <w:tc>
          <w:tcPr>
            <w:tcW w:w="1134" w:type="dxa"/>
            <w:vAlign w:val="bottom"/>
          </w:tcPr>
          <w:p w14:paraId="0F913AF8"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39.46000</w:t>
            </w:r>
          </w:p>
        </w:tc>
        <w:tc>
          <w:tcPr>
            <w:tcW w:w="1129" w:type="dxa"/>
            <w:vAlign w:val="bottom"/>
          </w:tcPr>
          <w:p w14:paraId="518FF15E"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1.260000</w:t>
            </w:r>
          </w:p>
        </w:tc>
      </w:tr>
      <w:tr w:rsidR="00775ACA" w:rsidRPr="005260EB" w14:paraId="55A9E19D" w14:textId="77777777" w:rsidTr="009B1F6F">
        <w:trPr>
          <w:trHeight w:val="225"/>
        </w:trPr>
        <w:tc>
          <w:tcPr>
            <w:tcW w:w="1134" w:type="dxa"/>
            <w:vAlign w:val="bottom"/>
          </w:tcPr>
          <w:p w14:paraId="123E5DE3"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Minimum</w:t>
            </w:r>
          </w:p>
        </w:tc>
        <w:tc>
          <w:tcPr>
            <w:tcW w:w="855" w:type="dxa"/>
            <w:vAlign w:val="bottom"/>
          </w:tcPr>
          <w:p w14:paraId="7DA47E51"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0.360000</w:t>
            </w:r>
          </w:p>
        </w:tc>
        <w:tc>
          <w:tcPr>
            <w:tcW w:w="992" w:type="dxa"/>
            <w:vAlign w:val="bottom"/>
          </w:tcPr>
          <w:p w14:paraId="2A8ED3C0"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-25.13000</w:t>
            </w:r>
          </w:p>
        </w:tc>
        <w:tc>
          <w:tcPr>
            <w:tcW w:w="1134" w:type="dxa"/>
            <w:vAlign w:val="bottom"/>
          </w:tcPr>
          <w:p w14:paraId="445E3D00"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0.100000</w:t>
            </w:r>
          </w:p>
        </w:tc>
        <w:tc>
          <w:tcPr>
            <w:tcW w:w="993" w:type="dxa"/>
            <w:vAlign w:val="bottom"/>
          </w:tcPr>
          <w:p w14:paraId="6E56F114"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-1241.030</w:t>
            </w:r>
          </w:p>
        </w:tc>
        <w:tc>
          <w:tcPr>
            <w:tcW w:w="1134" w:type="dxa"/>
            <w:vAlign w:val="bottom"/>
          </w:tcPr>
          <w:p w14:paraId="186B826E"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-11.20000</w:t>
            </w:r>
          </w:p>
        </w:tc>
        <w:tc>
          <w:tcPr>
            <w:tcW w:w="1129" w:type="dxa"/>
            <w:vAlign w:val="bottom"/>
          </w:tcPr>
          <w:p w14:paraId="6F777AAB"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-2.810000</w:t>
            </w:r>
          </w:p>
        </w:tc>
      </w:tr>
      <w:tr w:rsidR="00775ACA" w:rsidRPr="005260EB" w14:paraId="5CBE62E3" w14:textId="77777777" w:rsidTr="009B1F6F">
        <w:trPr>
          <w:trHeight w:val="225"/>
        </w:trPr>
        <w:tc>
          <w:tcPr>
            <w:tcW w:w="1134" w:type="dxa"/>
            <w:vAlign w:val="bottom"/>
          </w:tcPr>
          <w:p w14:paraId="714128A9"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Std. Dev.</w:t>
            </w:r>
          </w:p>
        </w:tc>
        <w:tc>
          <w:tcPr>
            <w:tcW w:w="855" w:type="dxa"/>
            <w:vAlign w:val="bottom"/>
          </w:tcPr>
          <w:p w14:paraId="6BC1D96C"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0.142840</w:t>
            </w:r>
          </w:p>
        </w:tc>
        <w:tc>
          <w:tcPr>
            <w:tcW w:w="992" w:type="dxa"/>
            <w:vAlign w:val="bottom"/>
          </w:tcPr>
          <w:p w14:paraId="06BEF228"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8.925618</w:t>
            </w:r>
          </w:p>
        </w:tc>
        <w:tc>
          <w:tcPr>
            <w:tcW w:w="1134" w:type="dxa"/>
            <w:vAlign w:val="bottom"/>
          </w:tcPr>
          <w:p w14:paraId="665CADFD"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4.655698</w:t>
            </w:r>
          </w:p>
        </w:tc>
        <w:tc>
          <w:tcPr>
            <w:tcW w:w="993" w:type="dxa"/>
            <w:vAlign w:val="bottom"/>
          </w:tcPr>
          <w:p w14:paraId="0C8BAB5D"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107.1379</w:t>
            </w:r>
          </w:p>
        </w:tc>
        <w:tc>
          <w:tcPr>
            <w:tcW w:w="1134" w:type="dxa"/>
            <w:vAlign w:val="bottom"/>
          </w:tcPr>
          <w:p w14:paraId="6539CA34"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5.530253</w:t>
            </w:r>
          </w:p>
        </w:tc>
        <w:tc>
          <w:tcPr>
            <w:tcW w:w="1129" w:type="dxa"/>
            <w:vAlign w:val="bottom"/>
          </w:tcPr>
          <w:p w14:paraId="750F084D"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0.813759</w:t>
            </w:r>
          </w:p>
        </w:tc>
      </w:tr>
      <w:tr w:rsidR="00775ACA" w:rsidRPr="005260EB" w14:paraId="01C14078" w14:textId="77777777" w:rsidTr="009B1F6F">
        <w:trPr>
          <w:trHeight w:val="225"/>
        </w:trPr>
        <w:tc>
          <w:tcPr>
            <w:tcW w:w="1134" w:type="dxa"/>
            <w:vAlign w:val="bottom"/>
          </w:tcPr>
          <w:p w14:paraId="0EE4947B"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Skewness</w:t>
            </w:r>
          </w:p>
        </w:tc>
        <w:tc>
          <w:tcPr>
            <w:tcW w:w="855" w:type="dxa"/>
            <w:vAlign w:val="bottom"/>
          </w:tcPr>
          <w:p w14:paraId="7220E961"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-0.215229</w:t>
            </w:r>
          </w:p>
        </w:tc>
        <w:tc>
          <w:tcPr>
            <w:tcW w:w="992" w:type="dxa"/>
            <w:vAlign w:val="bottom"/>
          </w:tcPr>
          <w:p w14:paraId="73A61F01"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2.628742</w:t>
            </w:r>
          </w:p>
        </w:tc>
        <w:tc>
          <w:tcPr>
            <w:tcW w:w="1134" w:type="dxa"/>
            <w:vAlign w:val="bottom"/>
          </w:tcPr>
          <w:p w14:paraId="47005170"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0.998001</w:t>
            </w:r>
          </w:p>
        </w:tc>
        <w:tc>
          <w:tcPr>
            <w:tcW w:w="993" w:type="dxa"/>
            <w:vAlign w:val="bottom"/>
          </w:tcPr>
          <w:p w14:paraId="72411B10"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-3.565731</w:t>
            </w:r>
          </w:p>
        </w:tc>
        <w:tc>
          <w:tcPr>
            <w:tcW w:w="1134" w:type="dxa"/>
            <w:vAlign w:val="bottom"/>
          </w:tcPr>
          <w:p w14:paraId="46B82BCC"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3.002004</w:t>
            </w:r>
          </w:p>
        </w:tc>
        <w:tc>
          <w:tcPr>
            <w:tcW w:w="1129" w:type="dxa"/>
            <w:vAlign w:val="bottom"/>
          </w:tcPr>
          <w:p w14:paraId="22751C09"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-0.077569</w:t>
            </w:r>
          </w:p>
        </w:tc>
      </w:tr>
      <w:tr w:rsidR="00775ACA" w:rsidRPr="005260EB" w14:paraId="544090E8" w14:textId="77777777" w:rsidTr="009B1F6F">
        <w:trPr>
          <w:trHeight w:val="225"/>
        </w:trPr>
        <w:tc>
          <w:tcPr>
            <w:tcW w:w="1134" w:type="dxa"/>
            <w:vAlign w:val="bottom"/>
          </w:tcPr>
          <w:p w14:paraId="6DD2DBBC"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Kurtosis</w:t>
            </w:r>
          </w:p>
        </w:tc>
        <w:tc>
          <w:tcPr>
            <w:tcW w:w="855" w:type="dxa"/>
            <w:vAlign w:val="bottom"/>
          </w:tcPr>
          <w:p w14:paraId="4D44B894"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1.754780</w:t>
            </w:r>
          </w:p>
        </w:tc>
        <w:tc>
          <w:tcPr>
            <w:tcW w:w="992" w:type="dxa"/>
            <w:vAlign w:val="bottom"/>
          </w:tcPr>
          <w:p w14:paraId="6069EB4B"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24.18866</w:t>
            </w:r>
          </w:p>
        </w:tc>
        <w:tc>
          <w:tcPr>
            <w:tcW w:w="1134" w:type="dxa"/>
            <w:vAlign w:val="bottom"/>
          </w:tcPr>
          <w:p w14:paraId="5A747ACE"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3.646903</w:t>
            </w:r>
          </w:p>
        </w:tc>
        <w:tc>
          <w:tcPr>
            <w:tcW w:w="993" w:type="dxa"/>
            <w:vAlign w:val="bottom"/>
          </w:tcPr>
          <w:p w14:paraId="41981384"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78.87831</w:t>
            </w:r>
          </w:p>
        </w:tc>
        <w:tc>
          <w:tcPr>
            <w:tcW w:w="1134" w:type="dxa"/>
            <w:vAlign w:val="bottom"/>
          </w:tcPr>
          <w:p w14:paraId="02319143"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15.37488</w:t>
            </w:r>
          </w:p>
        </w:tc>
        <w:tc>
          <w:tcPr>
            <w:tcW w:w="1129" w:type="dxa"/>
            <w:vAlign w:val="bottom"/>
          </w:tcPr>
          <w:p w14:paraId="429E76CE"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2.979106</w:t>
            </w:r>
          </w:p>
        </w:tc>
      </w:tr>
      <w:tr w:rsidR="00775ACA" w:rsidRPr="005260EB" w14:paraId="72181063" w14:textId="77777777" w:rsidTr="009B1F6F">
        <w:trPr>
          <w:trHeight w:val="225"/>
        </w:trPr>
        <w:tc>
          <w:tcPr>
            <w:tcW w:w="1134" w:type="dxa"/>
            <w:vAlign w:val="bottom"/>
          </w:tcPr>
          <w:p w14:paraId="4C03FD7B"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p>
        </w:tc>
        <w:tc>
          <w:tcPr>
            <w:tcW w:w="855" w:type="dxa"/>
            <w:vAlign w:val="bottom"/>
          </w:tcPr>
          <w:p w14:paraId="5020326C"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992" w:type="dxa"/>
            <w:vAlign w:val="bottom"/>
          </w:tcPr>
          <w:p w14:paraId="7E3B31CC"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1134" w:type="dxa"/>
            <w:vAlign w:val="bottom"/>
          </w:tcPr>
          <w:p w14:paraId="3FF253C6"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993" w:type="dxa"/>
            <w:vAlign w:val="bottom"/>
          </w:tcPr>
          <w:p w14:paraId="4E84A5BA"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1134" w:type="dxa"/>
            <w:vAlign w:val="bottom"/>
          </w:tcPr>
          <w:p w14:paraId="51D69F65"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1129" w:type="dxa"/>
            <w:vAlign w:val="bottom"/>
          </w:tcPr>
          <w:p w14:paraId="31ADC2D4"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r>
      <w:tr w:rsidR="00775ACA" w:rsidRPr="005260EB" w14:paraId="67617F27" w14:textId="77777777" w:rsidTr="009B1F6F">
        <w:trPr>
          <w:trHeight w:val="225"/>
        </w:trPr>
        <w:tc>
          <w:tcPr>
            <w:tcW w:w="1134" w:type="dxa"/>
            <w:vAlign w:val="bottom"/>
          </w:tcPr>
          <w:p w14:paraId="203989D9"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proofErr w:type="spellStart"/>
            <w:r w:rsidRPr="00082BA4">
              <w:rPr>
                <w:rFonts w:asciiTheme="majorBidi" w:hAnsiTheme="majorBidi" w:cstheme="majorBidi"/>
                <w:color w:val="000000"/>
                <w:sz w:val="20"/>
                <w:szCs w:val="20"/>
              </w:rPr>
              <w:t>Jarque-Bera</w:t>
            </w:r>
            <w:proofErr w:type="spellEnd"/>
          </w:p>
        </w:tc>
        <w:tc>
          <w:tcPr>
            <w:tcW w:w="855" w:type="dxa"/>
            <w:vAlign w:val="bottom"/>
          </w:tcPr>
          <w:p w14:paraId="5A6A0240"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23.14488</w:t>
            </w:r>
          </w:p>
        </w:tc>
        <w:tc>
          <w:tcPr>
            <w:tcW w:w="992" w:type="dxa"/>
            <w:vAlign w:val="bottom"/>
          </w:tcPr>
          <w:p w14:paraId="2FE548D6"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6354.670</w:t>
            </w:r>
          </w:p>
        </w:tc>
        <w:tc>
          <w:tcPr>
            <w:tcW w:w="1134" w:type="dxa"/>
            <w:vAlign w:val="bottom"/>
          </w:tcPr>
          <w:p w14:paraId="0A280FB0"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58.70007</w:t>
            </w:r>
          </w:p>
        </w:tc>
        <w:tc>
          <w:tcPr>
            <w:tcW w:w="993" w:type="dxa"/>
            <w:vAlign w:val="bottom"/>
          </w:tcPr>
          <w:p w14:paraId="3DEE9387"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77445.01</w:t>
            </w:r>
          </w:p>
        </w:tc>
        <w:tc>
          <w:tcPr>
            <w:tcW w:w="1134" w:type="dxa"/>
            <w:vAlign w:val="bottom"/>
          </w:tcPr>
          <w:p w14:paraId="049E6B8D"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2522.476</w:t>
            </w:r>
          </w:p>
        </w:tc>
        <w:tc>
          <w:tcPr>
            <w:tcW w:w="1129" w:type="dxa"/>
            <w:vAlign w:val="bottom"/>
          </w:tcPr>
          <w:p w14:paraId="4C90BAF7"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0.326722</w:t>
            </w:r>
          </w:p>
        </w:tc>
      </w:tr>
      <w:tr w:rsidR="00775ACA" w:rsidRPr="005260EB" w14:paraId="6EFE2565" w14:textId="77777777" w:rsidTr="009B1F6F">
        <w:trPr>
          <w:trHeight w:val="225"/>
        </w:trPr>
        <w:tc>
          <w:tcPr>
            <w:tcW w:w="1134" w:type="dxa"/>
            <w:vAlign w:val="bottom"/>
          </w:tcPr>
          <w:p w14:paraId="2257EAD0"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Probability</w:t>
            </w:r>
          </w:p>
        </w:tc>
        <w:tc>
          <w:tcPr>
            <w:tcW w:w="855" w:type="dxa"/>
            <w:vAlign w:val="bottom"/>
          </w:tcPr>
          <w:p w14:paraId="21D7F9C4"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0.000009</w:t>
            </w:r>
          </w:p>
        </w:tc>
        <w:tc>
          <w:tcPr>
            <w:tcW w:w="992" w:type="dxa"/>
            <w:vAlign w:val="bottom"/>
          </w:tcPr>
          <w:p w14:paraId="7595A3A0"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0.000000</w:t>
            </w:r>
          </w:p>
        </w:tc>
        <w:tc>
          <w:tcPr>
            <w:tcW w:w="1134" w:type="dxa"/>
            <w:vAlign w:val="bottom"/>
          </w:tcPr>
          <w:p w14:paraId="08B31FA6"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0.000000</w:t>
            </w:r>
          </w:p>
        </w:tc>
        <w:tc>
          <w:tcPr>
            <w:tcW w:w="993" w:type="dxa"/>
            <w:vAlign w:val="bottom"/>
          </w:tcPr>
          <w:p w14:paraId="5AD1D3C8"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0.000000</w:t>
            </w:r>
          </w:p>
        </w:tc>
        <w:tc>
          <w:tcPr>
            <w:tcW w:w="1134" w:type="dxa"/>
            <w:vAlign w:val="bottom"/>
          </w:tcPr>
          <w:p w14:paraId="3EB68D80"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0.000000</w:t>
            </w:r>
          </w:p>
        </w:tc>
        <w:tc>
          <w:tcPr>
            <w:tcW w:w="1129" w:type="dxa"/>
            <w:vAlign w:val="bottom"/>
          </w:tcPr>
          <w:p w14:paraId="7C5F4C46"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0.849284</w:t>
            </w:r>
          </w:p>
        </w:tc>
      </w:tr>
      <w:tr w:rsidR="00775ACA" w:rsidRPr="005260EB" w14:paraId="221AF076" w14:textId="77777777" w:rsidTr="009B1F6F">
        <w:trPr>
          <w:trHeight w:val="225"/>
        </w:trPr>
        <w:tc>
          <w:tcPr>
            <w:tcW w:w="1134" w:type="dxa"/>
            <w:vAlign w:val="bottom"/>
          </w:tcPr>
          <w:p w14:paraId="26ED7939"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p>
        </w:tc>
        <w:tc>
          <w:tcPr>
            <w:tcW w:w="855" w:type="dxa"/>
            <w:vAlign w:val="bottom"/>
          </w:tcPr>
          <w:p w14:paraId="7F5037FA"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992" w:type="dxa"/>
            <w:vAlign w:val="bottom"/>
          </w:tcPr>
          <w:p w14:paraId="43805B78"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1134" w:type="dxa"/>
            <w:vAlign w:val="bottom"/>
          </w:tcPr>
          <w:p w14:paraId="2E41E8EE"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993" w:type="dxa"/>
            <w:vAlign w:val="bottom"/>
          </w:tcPr>
          <w:p w14:paraId="3191C03D"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1134" w:type="dxa"/>
            <w:vAlign w:val="bottom"/>
          </w:tcPr>
          <w:p w14:paraId="3F88AC77"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c>
          <w:tcPr>
            <w:tcW w:w="1129" w:type="dxa"/>
            <w:vAlign w:val="bottom"/>
          </w:tcPr>
          <w:p w14:paraId="794D35EE"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p>
        </w:tc>
      </w:tr>
      <w:tr w:rsidR="00775ACA" w:rsidRPr="005260EB" w14:paraId="1598B08B" w14:textId="77777777" w:rsidTr="009B1F6F">
        <w:trPr>
          <w:trHeight w:val="225"/>
        </w:trPr>
        <w:tc>
          <w:tcPr>
            <w:tcW w:w="1134" w:type="dxa"/>
            <w:vAlign w:val="bottom"/>
          </w:tcPr>
          <w:p w14:paraId="7E87A239"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Sum</w:t>
            </w:r>
          </w:p>
        </w:tc>
        <w:tc>
          <w:tcPr>
            <w:tcW w:w="855" w:type="dxa"/>
            <w:vAlign w:val="bottom"/>
          </w:tcPr>
          <w:p w14:paraId="34677039"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208.3910</w:t>
            </w:r>
          </w:p>
        </w:tc>
        <w:tc>
          <w:tcPr>
            <w:tcW w:w="992" w:type="dxa"/>
            <w:vAlign w:val="bottom"/>
          </w:tcPr>
          <w:p w14:paraId="7F491CEF"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1461.070</w:t>
            </w:r>
          </w:p>
        </w:tc>
        <w:tc>
          <w:tcPr>
            <w:tcW w:w="1134" w:type="dxa"/>
            <w:vAlign w:val="bottom"/>
          </w:tcPr>
          <w:p w14:paraId="32E8020C"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2383.861</w:t>
            </w:r>
          </w:p>
        </w:tc>
        <w:tc>
          <w:tcPr>
            <w:tcW w:w="993" w:type="dxa"/>
            <w:vAlign w:val="bottom"/>
          </w:tcPr>
          <w:p w14:paraId="09A35EB4"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12309.07</w:t>
            </w:r>
          </w:p>
        </w:tc>
        <w:tc>
          <w:tcPr>
            <w:tcW w:w="1134" w:type="dxa"/>
            <w:vAlign w:val="bottom"/>
          </w:tcPr>
          <w:p w14:paraId="5B74D8C9"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1279.370</w:t>
            </w:r>
          </w:p>
        </w:tc>
        <w:tc>
          <w:tcPr>
            <w:tcW w:w="1129" w:type="dxa"/>
            <w:vAlign w:val="bottom"/>
          </w:tcPr>
          <w:p w14:paraId="2CAD761B"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-169.2700</w:t>
            </w:r>
          </w:p>
        </w:tc>
      </w:tr>
      <w:tr w:rsidR="00775ACA" w:rsidRPr="005260EB" w14:paraId="48FFD0BF" w14:textId="77777777" w:rsidTr="009B1F6F">
        <w:trPr>
          <w:trHeight w:val="225"/>
        </w:trPr>
        <w:tc>
          <w:tcPr>
            <w:tcW w:w="1134" w:type="dxa"/>
            <w:vAlign w:val="bottom"/>
          </w:tcPr>
          <w:p w14:paraId="1DB989F5"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Sum Sq. Dev.</w:t>
            </w:r>
          </w:p>
        </w:tc>
        <w:tc>
          <w:tcPr>
            <w:tcW w:w="855" w:type="dxa"/>
            <w:vAlign w:val="bottom"/>
          </w:tcPr>
          <w:p w14:paraId="71EE3E17"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6.508663</w:t>
            </w:r>
          </w:p>
        </w:tc>
        <w:tc>
          <w:tcPr>
            <w:tcW w:w="992" w:type="dxa"/>
            <w:vAlign w:val="bottom"/>
          </w:tcPr>
          <w:p w14:paraId="5BD0DA23"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25413.66</w:t>
            </w:r>
          </w:p>
        </w:tc>
        <w:tc>
          <w:tcPr>
            <w:tcW w:w="1134" w:type="dxa"/>
            <w:vAlign w:val="bottom"/>
          </w:tcPr>
          <w:p w14:paraId="764D4C33"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6914.494</w:t>
            </w:r>
          </w:p>
        </w:tc>
        <w:tc>
          <w:tcPr>
            <w:tcW w:w="993" w:type="dxa"/>
            <w:vAlign w:val="bottom"/>
          </w:tcPr>
          <w:p w14:paraId="0E71386A"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3661654.</w:t>
            </w:r>
          </w:p>
        </w:tc>
        <w:tc>
          <w:tcPr>
            <w:tcW w:w="1134" w:type="dxa"/>
            <w:vAlign w:val="bottom"/>
          </w:tcPr>
          <w:p w14:paraId="288E05F6"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9756.200</w:t>
            </w:r>
          </w:p>
        </w:tc>
        <w:tc>
          <w:tcPr>
            <w:tcW w:w="1129" w:type="dxa"/>
            <w:vAlign w:val="bottom"/>
          </w:tcPr>
          <w:p w14:paraId="6B8784D5"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sidRPr="005260EB">
              <w:rPr>
                <w:rFonts w:asciiTheme="majorBidi" w:hAnsiTheme="majorBidi" w:cstheme="majorBidi"/>
                <w:color w:val="000000"/>
                <w:sz w:val="20"/>
                <w:szCs w:val="20"/>
              </w:rPr>
              <w:t> 211.2432</w:t>
            </w:r>
          </w:p>
        </w:tc>
      </w:tr>
      <w:tr w:rsidR="00775ACA" w:rsidRPr="005260EB" w14:paraId="7B3FE173" w14:textId="77777777" w:rsidTr="009B1F6F">
        <w:trPr>
          <w:trHeight w:val="225"/>
        </w:trPr>
        <w:tc>
          <w:tcPr>
            <w:tcW w:w="1134" w:type="dxa"/>
            <w:vAlign w:val="bottom"/>
          </w:tcPr>
          <w:p w14:paraId="18F8027C" w14:textId="77777777" w:rsidR="00775ACA" w:rsidRPr="00082BA4" w:rsidRDefault="00775ACA" w:rsidP="009B1F6F">
            <w:pPr>
              <w:autoSpaceDE w:val="0"/>
              <w:autoSpaceDN w:val="0"/>
              <w:adjustRightInd w:val="0"/>
              <w:spacing w:after="0" w:line="240" w:lineRule="auto"/>
              <w:ind w:left="567" w:hanging="567"/>
              <w:jc w:val="center"/>
              <w:rPr>
                <w:rFonts w:asciiTheme="majorBidi" w:hAnsiTheme="majorBidi" w:cstheme="majorBidi"/>
                <w:color w:val="000000"/>
                <w:sz w:val="20"/>
                <w:szCs w:val="20"/>
              </w:rPr>
            </w:pPr>
            <w:r w:rsidRPr="00082BA4">
              <w:rPr>
                <w:rFonts w:asciiTheme="majorBidi" w:hAnsiTheme="majorBidi" w:cstheme="majorBidi"/>
                <w:color w:val="000000"/>
                <w:sz w:val="20"/>
                <w:szCs w:val="20"/>
              </w:rPr>
              <w:t>Observations</w:t>
            </w:r>
          </w:p>
        </w:tc>
        <w:tc>
          <w:tcPr>
            <w:tcW w:w="855" w:type="dxa"/>
            <w:vAlign w:val="bottom"/>
          </w:tcPr>
          <w:p w14:paraId="7D841361"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320</w:t>
            </w:r>
          </w:p>
        </w:tc>
        <w:tc>
          <w:tcPr>
            <w:tcW w:w="992" w:type="dxa"/>
            <w:vAlign w:val="bottom"/>
          </w:tcPr>
          <w:p w14:paraId="4EE86341"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320</w:t>
            </w:r>
          </w:p>
        </w:tc>
        <w:tc>
          <w:tcPr>
            <w:tcW w:w="1134" w:type="dxa"/>
            <w:vAlign w:val="bottom"/>
          </w:tcPr>
          <w:p w14:paraId="4434878F"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320</w:t>
            </w:r>
          </w:p>
        </w:tc>
        <w:tc>
          <w:tcPr>
            <w:tcW w:w="993" w:type="dxa"/>
            <w:vAlign w:val="bottom"/>
          </w:tcPr>
          <w:p w14:paraId="2E4155B6"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320</w:t>
            </w:r>
          </w:p>
        </w:tc>
        <w:tc>
          <w:tcPr>
            <w:tcW w:w="1134" w:type="dxa"/>
            <w:vAlign w:val="bottom"/>
          </w:tcPr>
          <w:p w14:paraId="1B81FC03"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320</w:t>
            </w:r>
          </w:p>
        </w:tc>
        <w:tc>
          <w:tcPr>
            <w:tcW w:w="1129" w:type="dxa"/>
            <w:vAlign w:val="bottom"/>
          </w:tcPr>
          <w:p w14:paraId="64ADD136" w14:textId="77777777" w:rsidR="00775ACA" w:rsidRPr="005260EB" w:rsidRDefault="00775ACA" w:rsidP="009B1F6F">
            <w:pPr>
              <w:autoSpaceDE w:val="0"/>
              <w:autoSpaceDN w:val="0"/>
              <w:adjustRightInd w:val="0"/>
              <w:spacing w:after="0" w:line="240" w:lineRule="auto"/>
              <w:jc w:val="center"/>
              <w:rPr>
                <w:rFonts w:asciiTheme="majorBidi" w:hAnsiTheme="majorBidi" w:cstheme="majorBidi"/>
                <w:color w:val="000000"/>
                <w:sz w:val="20"/>
                <w:szCs w:val="20"/>
              </w:rPr>
            </w:pPr>
            <w:r>
              <w:rPr>
                <w:rFonts w:asciiTheme="majorBidi" w:hAnsiTheme="majorBidi" w:cstheme="majorBidi"/>
                <w:color w:val="000000"/>
                <w:sz w:val="20"/>
                <w:szCs w:val="20"/>
              </w:rPr>
              <w:t>320</w:t>
            </w:r>
          </w:p>
        </w:tc>
      </w:tr>
    </w:tbl>
    <w:p w14:paraId="5CB8FB00" w14:textId="77777777" w:rsidR="00775ACA" w:rsidRDefault="00775ACA" w:rsidP="00775ACA">
      <w:pPr>
        <w:autoSpaceDE w:val="0"/>
        <w:autoSpaceDN w:val="0"/>
        <w:adjustRightInd w:val="0"/>
        <w:spacing w:after="0" w:line="240" w:lineRule="auto"/>
        <w:rPr>
          <w:rFonts w:asciiTheme="majorBidi" w:hAnsiTheme="majorBidi" w:cstheme="majorBidi"/>
          <w:sz w:val="20"/>
          <w:szCs w:val="20"/>
        </w:rPr>
      </w:pPr>
    </w:p>
    <w:p w14:paraId="3F822384" w14:textId="0869B5EF" w:rsidR="00775ACA" w:rsidRPr="00CE2EDF" w:rsidRDefault="002E768D" w:rsidP="002E768D">
      <w:pPr>
        <w:autoSpaceDE w:val="0"/>
        <w:autoSpaceDN w:val="0"/>
        <w:adjustRightInd w:val="0"/>
        <w:spacing w:after="0" w:line="240" w:lineRule="auto"/>
        <w:ind w:left="720" w:firstLine="720"/>
        <w:rPr>
          <w:rFonts w:asciiTheme="minorHAnsi" w:hAnsiTheme="minorHAnsi" w:cstheme="minorHAnsi"/>
          <w:sz w:val="20"/>
          <w:szCs w:val="20"/>
          <w:lang w:val="id-ID"/>
        </w:rPr>
      </w:pPr>
      <w:r w:rsidRPr="00CE2EDF">
        <w:rPr>
          <w:rFonts w:asciiTheme="minorHAnsi" w:hAnsiTheme="minorHAnsi" w:cstheme="minorHAnsi"/>
          <w:sz w:val="20"/>
          <w:szCs w:val="20"/>
          <w:lang w:val="id-ID"/>
        </w:rPr>
        <w:t xml:space="preserve">Source: processed data </w:t>
      </w:r>
    </w:p>
    <w:p w14:paraId="7E9943BC" w14:textId="77777777" w:rsidR="00775ACA" w:rsidRDefault="00775ACA" w:rsidP="00775ACA">
      <w:pPr>
        <w:autoSpaceDE w:val="0"/>
        <w:autoSpaceDN w:val="0"/>
        <w:adjustRightInd w:val="0"/>
        <w:spacing w:after="0" w:line="240" w:lineRule="auto"/>
        <w:jc w:val="both"/>
        <w:rPr>
          <w:rFonts w:cstheme="minorHAnsi"/>
        </w:rPr>
      </w:pPr>
    </w:p>
    <w:p w14:paraId="4E094898" w14:textId="77777777" w:rsidR="00170D17" w:rsidRPr="00C201A7" w:rsidRDefault="002623D4" w:rsidP="00170D17">
      <w:pPr>
        <w:spacing w:line="240" w:lineRule="auto"/>
        <w:jc w:val="both"/>
        <w:outlineLvl w:val="1"/>
        <w:rPr>
          <w:rFonts w:cstheme="minorHAnsi"/>
        </w:rPr>
      </w:pPr>
      <w:bookmarkStart w:id="5" w:name="_Toc124100847"/>
      <w:r w:rsidRPr="002623D4">
        <w:rPr>
          <w:rFonts w:cstheme="minorHAnsi"/>
          <w:lang w:val="id-ID"/>
        </w:rPr>
        <w:t xml:space="preserve">The mean HDI is 0.65, the median is 0.69, the maximum value is -0.912, and the minimum value is 0.36, as shown in table 1.2. </w:t>
      </w:r>
      <w:r w:rsidR="00775ACA" w:rsidRPr="006F28D9">
        <w:rPr>
          <w:rFonts w:cstheme="minorHAnsi"/>
        </w:rPr>
        <w:t xml:space="preserve"> With a standard deviation of 0.14 and a probability of 0.00, it means that most of the character differences in the HDI data have a significant or dissimilar effect.</w:t>
      </w:r>
      <w:r w:rsidR="0030346A">
        <w:rPr>
          <w:rFonts w:cstheme="minorHAnsi"/>
          <w:lang w:val="id-ID"/>
        </w:rPr>
        <w:t xml:space="preserve"> </w:t>
      </w:r>
      <w:r w:rsidR="00775ACA" w:rsidRPr="00D30BB6">
        <w:rPr>
          <w:rFonts w:cstheme="minorHAnsi"/>
        </w:rPr>
        <w:t xml:space="preserve">Furthermore, for the first independent variable is inflation. Inflation obtained a mean value of 4.56, a median of 3.68, a maximum value of 84.59, and a minimum value of -25.13. With a standard deviation of 8.93 and a probability of 0.00, it means that most of the character differences in the inflation data have a significant or dissimilar effect. </w:t>
      </w:r>
      <w:r w:rsidR="00170D17" w:rsidRPr="00C201A7">
        <w:rPr>
          <w:rFonts w:cstheme="minorHAnsi"/>
        </w:rPr>
        <w:t>The unemployment variable, with a mean value of 7.45, median value of 5.99, highest value of 21.97, and minimum value of 0.10, is the second. The probability value is 0.00 and the standard deviation is 4.66, indicating that the majority of character changes in the unemployment data have a substantial or dissimilar impact.</w:t>
      </w:r>
    </w:p>
    <w:p w14:paraId="3F500D6A" w14:textId="36767833" w:rsidR="00621092" w:rsidRPr="00C201A7" w:rsidRDefault="00775ACA" w:rsidP="00170D17">
      <w:pPr>
        <w:spacing w:line="240" w:lineRule="auto"/>
        <w:jc w:val="both"/>
        <w:outlineLvl w:val="1"/>
        <w:rPr>
          <w:rFonts w:cstheme="minorHAnsi"/>
        </w:rPr>
      </w:pPr>
      <w:r w:rsidRPr="00C201A7">
        <w:rPr>
          <w:rFonts w:cstheme="minorHAnsi"/>
        </w:rPr>
        <w:t>Third</w:t>
      </w:r>
      <w:r w:rsidR="00864A0B" w:rsidRPr="00C201A7">
        <w:rPr>
          <w:rFonts w:cstheme="minorHAnsi"/>
          <w:lang w:val="id-ID"/>
        </w:rPr>
        <w:t>ly</w:t>
      </w:r>
      <w:r w:rsidRPr="00C201A7">
        <w:rPr>
          <w:rFonts w:cstheme="minorHAnsi"/>
        </w:rPr>
        <w:t xml:space="preserve">, Trade Openness (TO) has </w:t>
      </w:r>
      <w:r w:rsidR="00170D17" w:rsidRPr="00C201A7">
        <w:rPr>
          <w:rFonts w:cstheme="minorHAnsi"/>
        </w:rPr>
        <w:t xml:space="preserve">a probability of 0.00, a mean value of 38.47, a median value of 36.38, a range of 859.82 to -1241.03, a standard deviation of 107.13, and a range of -1241.03 to 859.82. </w:t>
      </w:r>
      <w:r w:rsidRPr="00C201A7">
        <w:rPr>
          <w:rFonts w:cstheme="minorHAnsi"/>
        </w:rPr>
        <w:t xml:space="preserve">which indicates that most of the differences in the character of TO data values have a significant or not the same effect. </w:t>
      </w:r>
      <w:r w:rsidR="00621092" w:rsidRPr="00C201A7">
        <w:rPr>
          <w:rFonts w:cstheme="minorHAnsi"/>
        </w:rPr>
        <w:t xml:space="preserve">The Foreign Direct Investment (FDI) data has a mean value of 3.1, a median value </w:t>
      </w:r>
      <w:r w:rsidR="00621092" w:rsidRPr="00C201A7">
        <w:rPr>
          <w:rFonts w:cstheme="minorHAnsi"/>
        </w:rPr>
        <w:lastRenderedPageBreak/>
        <w:t>of 2.3, a maximum value of 39.46, a minimum value of -11.20, a standard deviation of 5.53, and a probability of 0.00, indicating that the majority of character value differences in the FDI data have a significant or unequal effect.</w:t>
      </w:r>
    </w:p>
    <w:p w14:paraId="6974A8AF" w14:textId="55BEB141" w:rsidR="00F14584" w:rsidRPr="00C76C5F" w:rsidRDefault="00621092" w:rsidP="00C76C5F">
      <w:pPr>
        <w:spacing w:line="240" w:lineRule="auto"/>
        <w:jc w:val="both"/>
        <w:outlineLvl w:val="1"/>
        <w:rPr>
          <w:rFonts w:cstheme="minorHAnsi"/>
        </w:rPr>
      </w:pPr>
      <w:r w:rsidRPr="00C201A7">
        <w:rPr>
          <w:rFonts w:cstheme="minorHAnsi"/>
        </w:rPr>
        <w:t>The moderating variable known as political stability (PS) has a mean value of -0.53, a median value of -0.52, a maximum value of 1.26, a minimum value of -2.81, and a standard deviation of 0.81. The probability value obtained is 0.85</w:t>
      </w:r>
      <w:r w:rsidR="00775ACA" w:rsidRPr="00C201A7">
        <w:rPr>
          <w:rFonts w:cstheme="minorHAnsi"/>
        </w:rPr>
        <w:t>, which means that almost the large difference in characters in the political stability data has no significant effect or is almost the same. In addition, the country's political stability is quite low in terms of maximum and minimum values.</w:t>
      </w:r>
      <w:bookmarkStart w:id="6" w:name="_Toc124139720"/>
      <w:bookmarkEnd w:id="5"/>
    </w:p>
    <w:p w14:paraId="1E8F1C6F" w14:textId="6D762BA1" w:rsidR="00775ACA" w:rsidRPr="00CC7034" w:rsidRDefault="00775ACA" w:rsidP="00775ACA">
      <w:pPr>
        <w:spacing w:line="240" w:lineRule="auto"/>
        <w:jc w:val="both"/>
        <w:outlineLvl w:val="1"/>
        <w:rPr>
          <w:rFonts w:cstheme="minorHAnsi"/>
          <w:b/>
          <w:bCs/>
        </w:rPr>
      </w:pPr>
      <w:r w:rsidRPr="00CC7034">
        <w:rPr>
          <w:rFonts w:cstheme="minorHAnsi"/>
          <w:b/>
          <w:bCs/>
        </w:rPr>
        <w:t>Analysis of Dynamic Panel Data Regression Estimation (GMM Model)</w:t>
      </w:r>
    </w:p>
    <w:p w14:paraId="142FA102" w14:textId="77777777" w:rsidR="0096555C" w:rsidRPr="00D721DF" w:rsidRDefault="00775ACA" w:rsidP="0096555C">
      <w:pPr>
        <w:spacing w:line="240" w:lineRule="auto"/>
        <w:jc w:val="both"/>
        <w:outlineLvl w:val="1"/>
        <w:rPr>
          <w:rFonts w:cstheme="minorHAnsi"/>
        </w:rPr>
      </w:pPr>
      <w:r w:rsidRPr="00D721DF">
        <w:rPr>
          <w:rFonts w:cstheme="minorHAnsi"/>
        </w:rPr>
        <w:t xml:space="preserve">The GMM regression estimation results include two stages of testing. </w:t>
      </w:r>
      <w:bookmarkEnd w:id="6"/>
      <w:r w:rsidR="0096555C" w:rsidRPr="00D721DF">
        <w:rPr>
          <w:rFonts w:cstheme="minorHAnsi"/>
        </w:rPr>
        <w:t>The first is a direct comparison of the human development index's variables for inflation, unemployment, trade openness, foreign direct investment, and political stability. The second is how the variables of inflation, unemployment, trade openness, and foreign direct investment interact with political stability in OIC countries' human development indices.</w:t>
      </w:r>
    </w:p>
    <w:p w14:paraId="2696EC7F" w14:textId="43BBBC32" w:rsidR="007F5A90" w:rsidRPr="0096555C" w:rsidRDefault="007F5A90" w:rsidP="0096555C">
      <w:pPr>
        <w:spacing w:line="240" w:lineRule="auto"/>
        <w:ind w:left="3600" w:firstLine="720"/>
        <w:jc w:val="both"/>
        <w:outlineLvl w:val="1"/>
        <w:rPr>
          <w:rFonts w:cstheme="minorHAnsi"/>
          <w:b/>
          <w:bCs/>
        </w:rPr>
      </w:pPr>
      <w:r w:rsidRPr="0096555C">
        <w:rPr>
          <w:rFonts w:cstheme="minorHAnsi"/>
          <w:b/>
          <w:bCs/>
        </w:rPr>
        <w:t xml:space="preserve">Table </w:t>
      </w:r>
      <w:r w:rsidR="009B6C01" w:rsidRPr="0096555C">
        <w:rPr>
          <w:rFonts w:cstheme="minorHAnsi"/>
          <w:b/>
          <w:bCs/>
        </w:rPr>
        <w:t>1.</w:t>
      </w:r>
      <w:r w:rsidR="00EF7F13" w:rsidRPr="0096555C">
        <w:rPr>
          <w:rFonts w:cstheme="minorHAnsi"/>
          <w:b/>
          <w:bCs/>
        </w:rPr>
        <w:t>4</w:t>
      </w:r>
    </w:p>
    <w:p w14:paraId="2016670F" w14:textId="57E73846" w:rsidR="00775ACA" w:rsidRPr="008B7187" w:rsidRDefault="007F5A90" w:rsidP="007F5A90">
      <w:pPr>
        <w:pStyle w:val="Caption"/>
        <w:ind w:firstLine="720"/>
        <w:jc w:val="center"/>
        <w:rPr>
          <w:rFonts w:cstheme="minorHAnsi"/>
          <w:b/>
          <w:bCs/>
          <w:i w:val="0"/>
          <w:iCs w:val="0"/>
          <w:color w:val="auto"/>
          <w:sz w:val="22"/>
          <w:szCs w:val="22"/>
        </w:rPr>
      </w:pPr>
      <w:r w:rsidRPr="007F5A90">
        <w:rPr>
          <w:rFonts w:cstheme="minorHAnsi"/>
          <w:b/>
          <w:bCs/>
          <w:i w:val="0"/>
          <w:iCs w:val="0"/>
          <w:color w:val="auto"/>
          <w:sz w:val="22"/>
          <w:szCs w:val="22"/>
        </w:rPr>
        <w:t>Test Results of Dynamic Panel Regression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1701"/>
      </w:tblGrid>
      <w:tr w:rsidR="00775ACA" w:rsidRPr="00BF2F2D" w14:paraId="1BAFE29D" w14:textId="77777777" w:rsidTr="007F5A90">
        <w:trPr>
          <w:jc w:val="center"/>
        </w:trPr>
        <w:tc>
          <w:tcPr>
            <w:tcW w:w="2405" w:type="dxa"/>
            <w:shd w:val="clear" w:color="auto" w:fill="auto"/>
          </w:tcPr>
          <w:p w14:paraId="167C7322" w14:textId="18E0808F" w:rsidR="00775ACA" w:rsidRPr="00BF2F2D" w:rsidRDefault="00775ACA" w:rsidP="009B1F6F">
            <w:pPr>
              <w:jc w:val="center"/>
              <w:rPr>
                <w:rFonts w:asciiTheme="minorHAnsi" w:hAnsiTheme="minorHAnsi" w:cstheme="minorHAnsi"/>
                <w:b/>
                <w:bCs/>
                <w:sz w:val="20"/>
                <w:szCs w:val="20"/>
                <w:lang w:val="id-ID"/>
              </w:rPr>
            </w:pPr>
            <w:proofErr w:type="spellStart"/>
            <w:r w:rsidRPr="00BF2F2D">
              <w:rPr>
                <w:rFonts w:asciiTheme="minorHAnsi" w:hAnsiTheme="minorHAnsi" w:cstheme="minorHAnsi"/>
                <w:b/>
                <w:bCs/>
                <w:sz w:val="20"/>
                <w:szCs w:val="20"/>
              </w:rPr>
              <w:t>Variab</w:t>
            </w:r>
            <w:proofErr w:type="spellEnd"/>
            <w:r w:rsidR="007F5A90" w:rsidRPr="00BF2F2D">
              <w:rPr>
                <w:rFonts w:asciiTheme="minorHAnsi" w:hAnsiTheme="minorHAnsi" w:cstheme="minorHAnsi"/>
                <w:b/>
                <w:bCs/>
                <w:sz w:val="20"/>
                <w:szCs w:val="20"/>
                <w:lang w:val="id-ID"/>
              </w:rPr>
              <w:t>le</w:t>
            </w:r>
          </w:p>
        </w:tc>
        <w:tc>
          <w:tcPr>
            <w:tcW w:w="2126" w:type="dxa"/>
            <w:shd w:val="clear" w:color="auto" w:fill="auto"/>
          </w:tcPr>
          <w:p w14:paraId="3F599A2C" w14:textId="77777777" w:rsidR="00775ACA" w:rsidRPr="00BF2F2D" w:rsidRDefault="00775ACA" w:rsidP="009B1F6F">
            <w:pPr>
              <w:jc w:val="center"/>
              <w:rPr>
                <w:rFonts w:asciiTheme="minorHAnsi" w:hAnsiTheme="minorHAnsi" w:cstheme="minorHAnsi"/>
                <w:b/>
                <w:bCs/>
                <w:sz w:val="20"/>
                <w:szCs w:val="20"/>
              </w:rPr>
            </w:pPr>
            <w:r w:rsidRPr="00BF2F2D">
              <w:rPr>
                <w:rFonts w:asciiTheme="minorHAnsi" w:hAnsiTheme="minorHAnsi" w:cstheme="minorHAnsi"/>
                <w:b/>
                <w:bCs/>
                <w:sz w:val="20"/>
                <w:szCs w:val="20"/>
              </w:rPr>
              <w:t>Difference GMM</w:t>
            </w:r>
          </w:p>
        </w:tc>
        <w:tc>
          <w:tcPr>
            <w:tcW w:w="1701" w:type="dxa"/>
            <w:shd w:val="clear" w:color="auto" w:fill="auto"/>
          </w:tcPr>
          <w:p w14:paraId="6B7C5403" w14:textId="77777777" w:rsidR="00775ACA" w:rsidRPr="00BF2F2D" w:rsidRDefault="00775ACA" w:rsidP="009B1F6F">
            <w:pPr>
              <w:jc w:val="center"/>
              <w:rPr>
                <w:rFonts w:asciiTheme="minorHAnsi" w:hAnsiTheme="minorHAnsi" w:cstheme="minorHAnsi"/>
                <w:b/>
                <w:bCs/>
                <w:sz w:val="20"/>
                <w:szCs w:val="20"/>
              </w:rPr>
            </w:pPr>
            <w:r w:rsidRPr="00BF2F2D">
              <w:rPr>
                <w:rFonts w:asciiTheme="minorHAnsi" w:hAnsiTheme="minorHAnsi" w:cstheme="minorHAnsi"/>
                <w:b/>
                <w:bCs/>
                <w:sz w:val="20"/>
                <w:szCs w:val="20"/>
              </w:rPr>
              <w:t>System GMM</w:t>
            </w:r>
          </w:p>
        </w:tc>
      </w:tr>
      <w:tr w:rsidR="00775ACA" w:rsidRPr="00BF2F2D" w14:paraId="2CED36EC" w14:textId="77777777" w:rsidTr="007F5A90">
        <w:trPr>
          <w:jc w:val="center"/>
        </w:trPr>
        <w:tc>
          <w:tcPr>
            <w:tcW w:w="2405" w:type="dxa"/>
          </w:tcPr>
          <w:p w14:paraId="45956DB0" w14:textId="77777777" w:rsidR="00775ACA" w:rsidRPr="00BF2F2D" w:rsidRDefault="00775ACA" w:rsidP="009B1F6F">
            <w:pPr>
              <w:autoSpaceDE w:val="0"/>
              <w:autoSpaceDN w:val="0"/>
              <w:adjustRightInd w:val="0"/>
              <w:jc w:val="center"/>
              <w:rPr>
                <w:rFonts w:asciiTheme="minorHAnsi" w:hAnsiTheme="minorHAnsi" w:cstheme="minorHAnsi"/>
                <w:color w:val="000000"/>
                <w:sz w:val="20"/>
                <w:szCs w:val="20"/>
              </w:rPr>
            </w:pPr>
            <w:proofErr w:type="gramStart"/>
            <w:r w:rsidRPr="00BF2F2D">
              <w:rPr>
                <w:rFonts w:asciiTheme="minorHAnsi" w:hAnsiTheme="minorHAnsi" w:cstheme="minorHAnsi"/>
                <w:b/>
                <w:bCs/>
                <w:color w:val="000000"/>
                <w:sz w:val="20"/>
                <w:szCs w:val="20"/>
              </w:rPr>
              <w:t>IPM(</w:t>
            </w:r>
            <w:proofErr w:type="gramEnd"/>
            <w:r w:rsidRPr="00BF2F2D">
              <w:rPr>
                <w:rFonts w:asciiTheme="minorHAnsi" w:hAnsiTheme="minorHAnsi" w:cstheme="minorHAnsi"/>
                <w:b/>
                <w:bCs/>
                <w:color w:val="000000"/>
                <w:sz w:val="20"/>
                <w:szCs w:val="20"/>
              </w:rPr>
              <w:t>-1)</w:t>
            </w:r>
          </w:p>
        </w:tc>
        <w:tc>
          <w:tcPr>
            <w:tcW w:w="2126" w:type="dxa"/>
          </w:tcPr>
          <w:p w14:paraId="109DCBD0"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0.0000</w:t>
            </w:r>
          </w:p>
          <w:p w14:paraId="10A099FF"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(0.592122)</w:t>
            </w:r>
          </w:p>
        </w:tc>
        <w:tc>
          <w:tcPr>
            <w:tcW w:w="1701" w:type="dxa"/>
            <w:vAlign w:val="bottom"/>
          </w:tcPr>
          <w:p w14:paraId="7C407E49"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0.0000</w:t>
            </w:r>
          </w:p>
          <w:p w14:paraId="5139AEA1"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(0.598030)</w:t>
            </w:r>
          </w:p>
        </w:tc>
      </w:tr>
      <w:tr w:rsidR="00775ACA" w:rsidRPr="00BF2F2D" w14:paraId="2109EDEA" w14:textId="77777777" w:rsidTr="007F5A90">
        <w:trPr>
          <w:jc w:val="center"/>
        </w:trPr>
        <w:tc>
          <w:tcPr>
            <w:tcW w:w="2405" w:type="dxa"/>
          </w:tcPr>
          <w:p w14:paraId="2360CCCF" w14:textId="0BE99700" w:rsidR="00775ACA" w:rsidRPr="00BF2F2D" w:rsidRDefault="00775ACA" w:rsidP="009B1F6F">
            <w:pPr>
              <w:autoSpaceDE w:val="0"/>
              <w:autoSpaceDN w:val="0"/>
              <w:adjustRightInd w:val="0"/>
              <w:jc w:val="center"/>
              <w:rPr>
                <w:rFonts w:asciiTheme="minorHAnsi" w:hAnsiTheme="minorHAnsi" w:cstheme="minorHAnsi"/>
                <w:b/>
                <w:bCs/>
                <w:color w:val="000000"/>
                <w:sz w:val="20"/>
                <w:szCs w:val="20"/>
                <w:lang w:val="id-ID"/>
              </w:rPr>
            </w:pPr>
            <w:r w:rsidRPr="00BF2F2D">
              <w:rPr>
                <w:rFonts w:asciiTheme="minorHAnsi" w:hAnsiTheme="minorHAnsi" w:cstheme="minorHAnsi"/>
                <w:b/>
                <w:bCs/>
                <w:color w:val="000000"/>
                <w:sz w:val="20"/>
                <w:szCs w:val="20"/>
              </w:rPr>
              <w:t>INFLASI</w:t>
            </w:r>
            <w:r w:rsidR="007F5A90" w:rsidRPr="00BF2F2D">
              <w:rPr>
                <w:rFonts w:asciiTheme="minorHAnsi" w:hAnsiTheme="minorHAnsi" w:cstheme="minorHAnsi"/>
                <w:b/>
                <w:bCs/>
                <w:color w:val="000000"/>
                <w:sz w:val="20"/>
                <w:szCs w:val="20"/>
                <w:lang w:val="id-ID"/>
              </w:rPr>
              <w:t>ON</w:t>
            </w:r>
          </w:p>
        </w:tc>
        <w:tc>
          <w:tcPr>
            <w:tcW w:w="2126" w:type="dxa"/>
          </w:tcPr>
          <w:p w14:paraId="539DE934"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0.0000</w:t>
            </w:r>
          </w:p>
          <w:p w14:paraId="6C085F15"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(-0.000319)</w:t>
            </w:r>
          </w:p>
        </w:tc>
        <w:tc>
          <w:tcPr>
            <w:tcW w:w="1701" w:type="dxa"/>
            <w:vAlign w:val="bottom"/>
          </w:tcPr>
          <w:p w14:paraId="183497C0"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0.0796</w:t>
            </w:r>
          </w:p>
          <w:p w14:paraId="34AE629D"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(-0.000290)</w:t>
            </w:r>
          </w:p>
        </w:tc>
      </w:tr>
      <w:tr w:rsidR="00775ACA" w:rsidRPr="00BF2F2D" w14:paraId="2AFCAD7A" w14:textId="77777777" w:rsidTr="007F5A90">
        <w:trPr>
          <w:jc w:val="center"/>
        </w:trPr>
        <w:tc>
          <w:tcPr>
            <w:tcW w:w="2405" w:type="dxa"/>
          </w:tcPr>
          <w:p w14:paraId="14F8EB6C" w14:textId="68E6854C" w:rsidR="00775ACA" w:rsidRPr="00BF2F2D" w:rsidRDefault="007F5A90" w:rsidP="009B1F6F">
            <w:pPr>
              <w:autoSpaceDE w:val="0"/>
              <w:autoSpaceDN w:val="0"/>
              <w:adjustRightInd w:val="0"/>
              <w:jc w:val="center"/>
              <w:rPr>
                <w:rFonts w:asciiTheme="minorHAnsi" w:hAnsiTheme="minorHAnsi" w:cstheme="minorHAnsi"/>
                <w:b/>
                <w:bCs/>
                <w:color w:val="000000"/>
                <w:sz w:val="20"/>
                <w:szCs w:val="20"/>
                <w:lang w:val="id-ID"/>
              </w:rPr>
            </w:pPr>
            <w:r w:rsidRPr="00BF2F2D">
              <w:rPr>
                <w:rFonts w:asciiTheme="minorHAnsi" w:hAnsiTheme="minorHAnsi" w:cstheme="minorHAnsi"/>
                <w:b/>
                <w:bCs/>
                <w:color w:val="000000"/>
                <w:sz w:val="20"/>
                <w:szCs w:val="20"/>
                <w:lang w:val="id-ID"/>
              </w:rPr>
              <w:t>UNEMPLOYMENT</w:t>
            </w:r>
          </w:p>
        </w:tc>
        <w:tc>
          <w:tcPr>
            <w:tcW w:w="2126" w:type="dxa"/>
          </w:tcPr>
          <w:p w14:paraId="2C6C57AA"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0.3837</w:t>
            </w:r>
          </w:p>
          <w:p w14:paraId="536BEEE5"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(0.000725)</w:t>
            </w:r>
          </w:p>
        </w:tc>
        <w:tc>
          <w:tcPr>
            <w:tcW w:w="1701" w:type="dxa"/>
            <w:vAlign w:val="bottom"/>
          </w:tcPr>
          <w:p w14:paraId="6EB8B4BC"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0.6786</w:t>
            </w:r>
          </w:p>
          <w:p w14:paraId="3EFA7F91"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(0.000578)</w:t>
            </w:r>
          </w:p>
        </w:tc>
      </w:tr>
      <w:tr w:rsidR="00775ACA" w:rsidRPr="00BF2F2D" w14:paraId="2AE07339" w14:textId="77777777" w:rsidTr="007F5A90">
        <w:trPr>
          <w:jc w:val="center"/>
        </w:trPr>
        <w:tc>
          <w:tcPr>
            <w:tcW w:w="2405" w:type="dxa"/>
          </w:tcPr>
          <w:p w14:paraId="3A97E5F5" w14:textId="77777777" w:rsidR="00775ACA" w:rsidRPr="00BF2F2D" w:rsidRDefault="00775ACA" w:rsidP="009B1F6F">
            <w:pPr>
              <w:autoSpaceDE w:val="0"/>
              <w:autoSpaceDN w:val="0"/>
              <w:adjustRightInd w:val="0"/>
              <w:jc w:val="center"/>
              <w:rPr>
                <w:rFonts w:asciiTheme="minorHAnsi" w:hAnsiTheme="minorHAnsi" w:cstheme="minorHAnsi"/>
                <w:b/>
                <w:bCs/>
                <w:color w:val="000000"/>
                <w:sz w:val="20"/>
                <w:szCs w:val="20"/>
              </w:rPr>
            </w:pPr>
            <w:r w:rsidRPr="00BF2F2D">
              <w:rPr>
                <w:rFonts w:asciiTheme="minorHAnsi" w:hAnsiTheme="minorHAnsi" w:cstheme="minorHAnsi"/>
                <w:b/>
                <w:bCs/>
                <w:color w:val="000000"/>
                <w:sz w:val="20"/>
                <w:szCs w:val="20"/>
              </w:rPr>
              <w:t>TO</w:t>
            </w:r>
          </w:p>
        </w:tc>
        <w:tc>
          <w:tcPr>
            <w:tcW w:w="2126" w:type="dxa"/>
          </w:tcPr>
          <w:p w14:paraId="705DAA2A"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0.0000</w:t>
            </w:r>
          </w:p>
          <w:p w14:paraId="5455F602"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(0.000158)</w:t>
            </w:r>
          </w:p>
        </w:tc>
        <w:tc>
          <w:tcPr>
            <w:tcW w:w="1701" w:type="dxa"/>
            <w:vAlign w:val="bottom"/>
          </w:tcPr>
          <w:p w14:paraId="00CB822C"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0.0000**</w:t>
            </w:r>
          </w:p>
          <w:p w14:paraId="1A4D847D"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(0.000123)</w:t>
            </w:r>
          </w:p>
        </w:tc>
      </w:tr>
      <w:tr w:rsidR="00775ACA" w:rsidRPr="00BF2F2D" w14:paraId="6DF35887" w14:textId="77777777" w:rsidTr="007F5A90">
        <w:trPr>
          <w:jc w:val="center"/>
        </w:trPr>
        <w:tc>
          <w:tcPr>
            <w:tcW w:w="2405" w:type="dxa"/>
          </w:tcPr>
          <w:p w14:paraId="7FB11F71" w14:textId="77777777" w:rsidR="00775ACA" w:rsidRPr="00BF2F2D" w:rsidRDefault="00775ACA" w:rsidP="009B1F6F">
            <w:pPr>
              <w:autoSpaceDE w:val="0"/>
              <w:autoSpaceDN w:val="0"/>
              <w:adjustRightInd w:val="0"/>
              <w:jc w:val="center"/>
              <w:rPr>
                <w:rFonts w:asciiTheme="minorHAnsi" w:hAnsiTheme="minorHAnsi" w:cstheme="minorHAnsi"/>
                <w:b/>
                <w:bCs/>
                <w:color w:val="000000"/>
                <w:sz w:val="20"/>
                <w:szCs w:val="20"/>
              </w:rPr>
            </w:pPr>
            <w:r w:rsidRPr="00BF2F2D">
              <w:rPr>
                <w:rFonts w:asciiTheme="minorHAnsi" w:hAnsiTheme="minorHAnsi" w:cstheme="minorHAnsi"/>
                <w:b/>
                <w:bCs/>
                <w:color w:val="000000"/>
                <w:sz w:val="20"/>
                <w:szCs w:val="20"/>
              </w:rPr>
              <w:t>FDI</w:t>
            </w:r>
          </w:p>
        </w:tc>
        <w:tc>
          <w:tcPr>
            <w:tcW w:w="2126" w:type="dxa"/>
          </w:tcPr>
          <w:p w14:paraId="4910306B"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0.0000</w:t>
            </w:r>
          </w:p>
          <w:p w14:paraId="0D1E4C92"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(-0.003485)</w:t>
            </w:r>
          </w:p>
        </w:tc>
        <w:tc>
          <w:tcPr>
            <w:tcW w:w="1701" w:type="dxa"/>
            <w:vAlign w:val="bottom"/>
          </w:tcPr>
          <w:p w14:paraId="5E6C2C64"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0.0000**</w:t>
            </w:r>
          </w:p>
          <w:p w14:paraId="76EFF0BC"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(-0.003370)</w:t>
            </w:r>
          </w:p>
        </w:tc>
      </w:tr>
      <w:tr w:rsidR="00775ACA" w:rsidRPr="00BF2F2D" w14:paraId="4E60A5BE" w14:textId="77777777" w:rsidTr="007F5A90">
        <w:trPr>
          <w:jc w:val="center"/>
        </w:trPr>
        <w:tc>
          <w:tcPr>
            <w:tcW w:w="2405" w:type="dxa"/>
          </w:tcPr>
          <w:p w14:paraId="2B98132D" w14:textId="0620400D" w:rsidR="00775ACA" w:rsidRPr="00BF2F2D" w:rsidRDefault="007F5A90" w:rsidP="009B1F6F">
            <w:pPr>
              <w:autoSpaceDE w:val="0"/>
              <w:autoSpaceDN w:val="0"/>
              <w:adjustRightInd w:val="0"/>
              <w:jc w:val="center"/>
              <w:rPr>
                <w:rFonts w:asciiTheme="minorHAnsi" w:hAnsiTheme="minorHAnsi" w:cstheme="minorHAnsi"/>
                <w:b/>
                <w:bCs/>
                <w:color w:val="000000"/>
                <w:sz w:val="20"/>
                <w:szCs w:val="20"/>
                <w:lang w:val="id-ID"/>
              </w:rPr>
            </w:pPr>
            <w:r w:rsidRPr="00BF2F2D">
              <w:rPr>
                <w:rFonts w:asciiTheme="minorHAnsi" w:hAnsiTheme="minorHAnsi" w:cstheme="minorHAnsi"/>
                <w:b/>
                <w:bCs/>
                <w:color w:val="000000"/>
                <w:sz w:val="20"/>
                <w:szCs w:val="20"/>
                <w:lang w:val="id-ID"/>
              </w:rPr>
              <w:t>PS</w:t>
            </w:r>
          </w:p>
        </w:tc>
        <w:tc>
          <w:tcPr>
            <w:tcW w:w="2126" w:type="dxa"/>
          </w:tcPr>
          <w:p w14:paraId="042480FD"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0.0000</w:t>
            </w:r>
          </w:p>
          <w:p w14:paraId="07752302"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(0.008217)</w:t>
            </w:r>
          </w:p>
        </w:tc>
        <w:tc>
          <w:tcPr>
            <w:tcW w:w="1701" w:type="dxa"/>
            <w:vAlign w:val="bottom"/>
          </w:tcPr>
          <w:p w14:paraId="33CCC6F0"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0.0006**</w:t>
            </w:r>
          </w:p>
          <w:p w14:paraId="51F8BC67" w14:textId="77777777" w:rsidR="00775ACA" w:rsidRPr="00BF2F2D" w:rsidRDefault="00775ACA" w:rsidP="009B1F6F">
            <w:pPr>
              <w:autoSpaceDE w:val="0"/>
              <w:autoSpaceDN w:val="0"/>
              <w:adjustRightInd w:val="0"/>
              <w:ind w:right="10"/>
              <w:jc w:val="center"/>
              <w:rPr>
                <w:rFonts w:asciiTheme="minorHAnsi" w:hAnsiTheme="minorHAnsi" w:cstheme="minorHAnsi"/>
                <w:color w:val="000000"/>
                <w:sz w:val="20"/>
                <w:szCs w:val="20"/>
              </w:rPr>
            </w:pPr>
            <w:r w:rsidRPr="00BF2F2D">
              <w:rPr>
                <w:rFonts w:asciiTheme="minorHAnsi" w:hAnsiTheme="minorHAnsi" w:cstheme="minorHAnsi"/>
                <w:color w:val="000000"/>
                <w:sz w:val="20"/>
                <w:szCs w:val="20"/>
              </w:rPr>
              <w:t>(0.013164)</w:t>
            </w:r>
          </w:p>
        </w:tc>
      </w:tr>
      <w:tr w:rsidR="00775ACA" w:rsidRPr="00BF2F2D" w14:paraId="24B7ACA2" w14:textId="77777777" w:rsidTr="007F5A90">
        <w:trPr>
          <w:jc w:val="center"/>
        </w:trPr>
        <w:tc>
          <w:tcPr>
            <w:tcW w:w="2405" w:type="dxa"/>
          </w:tcPr>
          <w:p w14:paraId="6CC33A32" w14:textId="441DAF65" w:rsidR="00775ACA" w:rsidRPr="00BF2F2D" w:rsidRDefault="00775ACA" w:rsidP="009B1F6F">
            <w:pPr>
              <w:jc w:val="center"/>
              <w:rPr>
                <w:rFonts w:asciiTheme="minorHAnsi" w:hAnsiTheme="minorHAnsi" w:cstheme="minorHAnsi"/>
                <w:b/>
                <w:bCs/>
                <w:sz w:val="20"/>
                <w:szCs w:val="20"/>
                <w:lang w:val="id-ID"/>
              </w:rPr>
            </w:pPr>
            <w:r w:rsidRPr="00BF2F2D">
              <w:rPr>
                <w:rFonts w:asciiTheme="minorHAnsi" w:hAnsiTheme="minorHAnsi" w:cstheme="minorHAnsi"/>
                <w:b/>
                <w:bCs/>
                <w:sz w:val="20"/>
                <w:szCs w:val="20"/>
              </w:rPr>
              <w:t>SARGAN</w:t>
            </w:r>
            <w:r w:rsidR="007F5A90" w:rsidRPr="00BF2F2D">
              <w:rPr>
                <w:rFonts w:asciiTheme="minorHAnsi" w:hAnsiTheme="minorHAnsi" w:cstheme="minorHAnsi"/>
                <w:b/>
                <w:bCs/>
                <w:sz w:val="20"/>
                <w:szCs w:val="20"/>
                <w:lang w:val="id-ID"/>
              </w:rPr>
              <w:t xml:space="preserve"> TEST</w:t>
            </w:r>
          </w:p>
        </w:tc>
        <w:tc>
          <w:tcPr>
            <w:tcW w:w="2126" w:type="dxa"/>
          </w:tcPr>
          <w:p w14:paraId="189C77A5" w14:textId="77777777" w:rsidR="00775ACA" w:rsidRPr="00BF2F2D" w:rsidRDefault="00775ACA" w:rsidP="009B1F6F">
            <w:pPr>
              <w:jc w:val="center"/>
              <w:rPr>
                <w:rFonts w:asciiTheme="minorHAnsi" w:hAnsiTheme="minorHAnsi" w:cstheme="minorHAnsi"/>
                <w:sz w:val="20"/>
                <w:szCs w:val="20"/>
              </w:rPr>
            </w:pPr>
            <w:r w:rsidRPr="00BF2F2D">
              <w:rPr>
                <w:rFonts w:asciiTheme="minorHAnsi" w:hAnsiTheme="minorHAnsi" w:cstheme="minorHAnsi"/>
                <w:color w:val="000000"/>
                <w:sz w:val="20"/>
                <w:szCs w:val="20"/>
              </w:rPr>
              <w:t>0.350245</w:t>
            </w:r>
          </w:p>
        </w:tc>
        <w:tc>
          <w:tcPr>
            <w:tcW w:w="1701" w:type="dxa"/>
          </w:tcPr>
          <w:p w14:paraId="45A6A293" w14:textId="77777777" w:rsidR="00775ACA" w:rsidRPr="00BF2F2D" w:rsidRDefault="00775ACA" w:rsidP="009B1F6F">
            <w:pPr>
              <w:jc w:val="center"/>
              <w:rPr>
                <w:rFonts w:asciiTheme="minorHAnsi" w:hAnsiTheme="minorHAnsi" w:cstheme="minorHAnsi"/>
                <w:sz w:val="20"/>
                <w:szCs w:val="20"/>
              </w:rPr>
            </w:pPr>
            <w:r w:rsidRPr="00BF2F2D">
              <w:rPr>
                <w:rFonts w:asciiTheme="minorHAnsi" w:hAnsiTheme="minorHAnsi" w:cstheme="minorHAnsi"/>
                <w:color w:val="000000"/>
                <w:sz w:val="20"/>
                <w:szCs w:val="20"/>
              </w:rPr>
              <w:t>0.445425</w:t>
            </w:r>
          </w:p>
        </w:tc>
      </w:tr>
      <w:tr w:rsidR="00775ACA" w:rsidRPr="00BF2F2D" w14:paraId="50E6115C" w14:textId="77777777" w:rsidTr="007F5A90">
        <w:trPr>
          <w:jc w:val="center"/>
        </w:trPr>
        <w:tc>
          <w:tcPr>
            <w:tcW w:w="2405" w:type="dxa"/>
          </w:tcPr>
          <w:p w14:paraId="3566846A" w14:textId="1C1DE842" w:rsidR="00775ACA" w:rsidRPr="00BF2F2D" w:rsidRDefault="00775ACA" w:rsidP="009B1F6F">
            <w:pPr>
              <w:jc w:val="center"/>
              <w:rPr>
                <w:rFonts w:asciiTheme="minorHAnsi" w:hAnsiTheme="minorHAnsi" w:cstheme="minorHAnsi"/>
                <w:b/>
                <w:bCs/>
                <w:sz w:val="20"/>
                <w:szCs w:val="20"/>
                <w:lang w:val="id-ID"/>
              </w:rPr>
            </w:pPr>
            <w:r w:rsidRPr="00BF2F2D">
              <w:rPr>
                <w:rFonts w:asciiTheme="minorHAnsi" w:hAnsiTheme="minorHAnsi" w:cstheme="minorHAnsi"/>
                <w:b/>
                <w:bCs/>
                <w:sz w:val="20"/>
                <w:szCs w:val="20"/>
              </w:rPr>
              <w:t>ARELANO BOND</w:t>
            </w:r>
            <w:r w:rsidR="007F5A90" w:rsidRPr="00BF2F2D">
              <w:rPr>
                <w:rFonts w:asciiTheme="minorHAnsi" w:hAnsiTheme="minorHAnsi" w:cstheme="minorHAnsi"/>
                <w:b/>
                <w:bCs/>
                <w:sz w:val="20"/>
                <w:szCs w:val="20"/>
                <w:lang w:val="id-ID"/>
              </w:rPr>
              <w:t xml:space="preserve"> TEST</w:t>
            </w:r>
          </w:p>
        </w:tc>
        <w:tc>
          <w:tcPr>
            <w:tcW w:w="2126" w:type="dxa"/>
          </w:tcPr>
          <w:p w14:paraId="38F2ADE0" w14:textId="77777777" w:rsidR="00775ACA" w:rsidRPr="00BF2F2D" w:rsidRDefault="00775ACA" w:rsidP="009B1F6F">
            <w:pPr>
              <w:jc w:val="center"/>
              <w:rPr>
                <w:rFonts w:asciiTheme="minorHAnsi" w:hAnsiTheme="minorHAnsi" w:cstheme="minorHAnsi"/>
                <w:sz w:val="20"/>
                <w:szCs w:val="20"/>
              </w:rPr>
            </w:pPr>
            <w:r w:rsidRPr="00BF2F2D">
              <w:rPr>
                <w:rFonts w:asciiTheme="minorHAnsi" w:hAnsiTheme="minorHAnsi" w:cstheme="minorHAnsi"/>
                <w:color w:val="000000"/>
                <w:sz w:val="20"/>
                <w:szCs w:val="20"/>
              </w:rPr>
              <w:t>0.0038</w:t>
            </w:r>
          </w:p>
        </w:tc>
        <w:tc>
          <w:tcPr>
            <w:tcW w:w="1701" w:type="dxa"/>
          </w:tcPr>
          <w:p w14:paraId="51053C45" w14:textId="77777777" w:rsidR="00775ACA" w:rsidRPr="00BF2F2D" w:rsidRDefault="00775ACA" w:rsidP="009B1F6F">
            <w:pPr>
              <w:jc w:val="center"/>
              <w:rPr>
                <w:rFonts w:asciiTheme="minorHAnsi" w:hAnsiTheme="minorHAnsi" w:cstheme="minorHAnsi"/>
                <w:sz w:val="20"/>
                <w:szCs w:val="20"/>
              </w:rPr>
            </w:pPr>
            <w:r w:rsidRPr="00BF2F2D">
              <w:rPr>
                <w:rFonts w:asciiTheme="minorHAnsi" w:hAnsiTheme="minorHAnsi" w:cstheme="minorHAnsi"/>
                <w:sz w:val="20"/>
                <w:szCs w:val="20"/>
              </w:rPr>
              <w:t>-</w:t>
            </w:r>
          </w:p>
        </w:tc>
      </w:tr>
      <w:tr w:rsidR="00775ACA" w:rsidRPr="00BF2F2D" w14:paraId="175ECBEB" w14:textId="77777777" w:rsidTr="007F5A90">
        <w:trPr>
          <w:jc w:val="center"/>
        </w:trPr>
        <w:tc>
          <w:tcPr>
            <w:tcW w:w="2405" w:type="dxa"/>
          </w:tcPr>
          <w:p w14:paraId="2534DEA6" w14:textId="30B3BF01" w:rsidR="00775ACA" w:rsidRPr="00BF2F2D" w:rsidRDefault="007F5A90" w:rsidP="009B1F6F">
            <w:pPr>
              <w:jc w:val="center"/>
              <w:rPr>
                <w:rFonts w:asciiTheme="minorHAnsi" w:hAnsiTheme="minorHAnsi" w:cstheme="minorHAnsi"/>
                <w:sz w:val="20"/>
                <w:szCs w:val="20"/>
                <w:lang w:val="id-ID"/>
              </w:rPr>
            </w:pPr>
            <w:r w:rsidRPr="00BF2F2D">
              <w:rPr>
                <w:rFonts w:asciiTheme="minorHAnsi" w:hAnsiTheme="minorHAnsi" w:cstheme="minorHAnsi"/>
                <w:sz w:val="20"/>
                <w:szCs w:val="20"/>
                <w:lang w:val="id-ID"/>
              </w:rPr>
              <w:t>OBSERVATION</w:t>
            </w:r>
          </w:p>
        </w:tc>
        <w:tc>
          <w:tcPr>
            <w:tcW w:w="2126" w:type="dxa"/>
          </w:tcPr>
          <w:p w14:paraId="784E532E" w14:textId="77777777" w:rsidR="00775ACA" w:rsidRPr="00BF2F2D" w:rsidRDefault="00775ACA" w:rsidP="009B1F6F">
            <w:pPr>
              <w:jc w:val="center"/>
              <w:rPr>
                <w:rFonts w:asciiTheme="minorHAnsi" w:hAnsiTheme="minorHAnsi" w:cstheme="minorHAnsi"/>
                <w:sz w:val="20"/>
                <w:szCs w:val="20"/>
              </w:rPr>
            </w:pPr>
            <w:r w:rsidRPr="00BF2F2D">
              <w:rPr>
                <w:rFonts w:asciiTheme="minorHAnsi" w:hAnsiTheme="minorHAnsi" w:cstheme="minorHAnsi"/>
                <w:sz w:val="20"/>
                <w:szCs w:val="20"/>
              </w:rPr>
              <w:t>320</w:t>
            </w:r>
          </w:p>
        </w:tc>
        <w:tc>
          <w:tcPr>
            <w:tcW w:w="1701" w:type="dxa"/>
          </w:tcPr>
          <w:p w14:paraId="6FD9F37C" w14:textId="77777777" w:rsidR="00775ACA" w:rsidRPr="00BF2F2D" w:rsidRDefault="00775ACA" w:rsidP="009B1F6F">
            <w:pPr>
              <w:jc w:val="center"/>
              <w:rPr>
                <w:rFonts w:asciiTheme="minorHAnsi" w:hAnsiTheme="minorHAnsi" w:cstheme="minorHAnsi"/>
                <w:sz w:val="20"/>
                <w:szCs w:val="20"/>
              </w:rPr>
            </w:pPr>
            <w:r w:rsidRPr="00BF2F2D">
              <w:rPr>
                <w:rFonts w:asciiTheme="minorHAnsi" w:hAnsiTheme="minorHAnsi" w:cstheme="minorHAnsi"/>
                <w:sz w:val="20"/>
                <w:szCs w:val="20"/>
              </w:rPr>
              <w:t>320</w:t>
            </w:r>
          </w:p>
        </w:tc>
      </w:tr>
      <w:tr w:rsidR="00775ACA" w:rsidRPr="00BF2F2D" w14:paraId="65B8C8B5" w14:textId="77777777" w:rsidTr="007F5A90">
        <w:trPr>
          <w:jc w:val="center"/>
        </w:trPr>
        <w:tc>
          <w:tcPr>
            <w:tcW w:w="2405" w:type="dxa"/>
          </w:tcPr>
          <w:p w14:paraId="2AC1B131" w14:textId="16B1791C" w:rsidR="00775ACA" w:rsidRPr="00BF2F2D" w:rsidRDefault="002003C1" w:rsidP="009B1F6F">
            <w:pPr>
              <w:jc w:val="center"/>
              <w:rPr>
                <w:rFonts w:asciiTheme="minorHAnsi" w:hAnsiTheme="minorHAnsi" w:cstheme="minorHAnsi"/>
                <w:sz w:val="20"/>
                <w:szCs w:val="20"/>
                <w:lang w:val="id-ID"/>
              </w:rPr>
            </w:pPr>
            <w:r w:rsidRPr="00BF2F2D">
              <w:rPr>
                <w:rFonts w:asciiTheme="minorHAnsi" w:hAnsiTheme="minorHAnsi" w:cstheme="minorHAnsi"/>
                <w:sz w:val="20"/>
                <w:szCs w:val="20"/>
                <w:lang w:val="id-ID"/>
              </w:rPr>
              <w:t>INSTRUMENT</w:t>
            </w:r>
          </w:p>
        </w:tc>
        <w:tc>
          <w:tcPr>
            <w:tcW w:w="2126" w:type="dxa"/>
          </w:tcPr>
          <w:p w14:paraId="63B76ED4" w14:textId="77777777" w:rsidR="00775ACA" w:rsidRPr="00BF2F2D" w:rsidRDefault="00775ACA" w:rsidP="009B1F6F">
            <w:pPr>
              <w:jc w:val="center"/>
              <w:rPr>
                <w:rFonts w:asciiTheme="minorHAnsi" w:hAnsiTheme="minorHAnsi" w:cstheme="minorHAnsi"/>
                <w:sz w:val="20"/>
                <w:szCs w:val="20"/>
              </w:rPr>
            </w:pPr>
            <w:r w:rsidRPr="00BF2F2D">
              <w:rPr>
                <w:rFonts w:asciiTheme="minorHAnsi" w:hAnsiTheme="minorHAnsi" w:cstheme="minorHAnsi"/>
                <w:sz w:val="20"/>
                <w:szCs w:val="20"/>
              </w:rPr>
              <w:t>32</w:t>
            </w:r>
          </w:p>
        </w:tc>
        <w:tc>
          <w:tcPr>
            <w:tcW w:w="1701" w:type="dxa"/>
          </w:tcPr>
          <w:p w14:paraId="0F23A68B" w14:textId="77777777" w:rsidR="00775ACA" w:rsidRPr="00BF2F2D" w:rsidRDefault="00775ACA" w:rsidP="009B1F6F">
            <w:pPr>
              <w:jc w:val="center"/>
              <w:rPr>
                <w:rFonts w:asciiTheme="minorHAnsi" w:hAnsiTheme="minorHAnsi" w:cstheme="minorHAnsi"/>
                <w:sz w:val="20"/>
                <w:szCs w:val="20"/>
              </w:rPr>
            </w:pPr>
            <w:r w:rsidRPr="00BF2F2D">
              <w:rPr>
                <w:rFonts w:asciiTheme="minorHAnsi" w:hAnsiTheme="minorHAnsi" w:cstheme="minorHAnsi"/>
                <w:sz w:val="20"/>
                <w:szCs w:val="20"/>
              </w:rPr>
              <w:t>32</w:t>
            </w:r>
          </w:p>
        </w:tc>
      </w:tr>
    </w:tbl>
    <w:p w14:paraId="16894ED2" w14:textId="60A029E7" w:rsidR="0052230F" w:rsidRPr="0052230F" w:rsidRDefault="002E768D" w:rsidP="0052230F">
      <w:pPr>
        <w:autoSpaceDE w:val="0"/>
        <w:autoSpaceDN w:val="0"/>
        <w:adjustRightInd w:val="0"/>
        <w:spacing w:after="0" w:line="240" w:lineRule="auto"/>
        <w:ind w:left="720" w:firstLine="720"/>
        <w:jc w:val="both"/>
        <w:rPr>
          <w:rFonts w:asciiTheme="majorBidi" w:hAnsiTheme="majorBidi" w:cstheme="majorBidi"/>
          <w:sz w:val="20"/>
          <w:szCs w:val="20"/>
        </w:rPr>
      </w:pPr>
      <w:r w:rsidRPr="002E768D">
        <w:rPr>
          <w:rFonts w:asciiTheme="majorBidi" w:hAnsiTheme="majorBidi" w:cstheme="majorBidi"/>
          <w:sz w:val="20"/>
          <w:szCs w:val="20"/>
        </w:rPr>
        <w:t>Source: processed data **significant at α 5%</w:t>
      </w:r>
    </w:p>
    <w:p w14:paraId="5E92E80B" w14:textId="77777777" w:rsidR="00091B0B" w:rsidRDefault="00091B0B" w:rsidP="00BF2F2D">
      <w:pPr>
        <w:autoSpaceDE w:val="0"/>
        <w:autoSpaceDN w:val="0"/>
        <w:adjustRightInd w:val="0"/>
        <w:spacing w:after="0" w:line="240" w:lineRule="auto"/>
        <w:jc w:val="both"/>
        <w:rPr>
          <w:rFonts w:asciiTheme="minorHAnsi" w:hAnsiTheme="minorHAnsi" w:cstheme="minorHAnsi"/>
          <w:lang w:val="en-US"/>
        </w:rPr>
      </w:pPr>
    </w:p>
    <w:p w14:paraId="08BD45C0" w14:textId="2412C829" w:rsidR="00775ACA" w:rsidRDefault="0096555C" w:rsidP="00CA717D">
      <w:pPr>
        <w:autoSpaceDE w:val="0"/>
        <w:autoSpaceDN w:val="0"/>
        <w:adjustRightInd w:val="0"/>
        <w:spacing w:after="0" w:line="240" w:lineRule="auto"/>
        <w:jc w:val="both"/>
        <w:rPr>
          <w:rFonts w:asciiTheme="minorHAnsi" w:hAnsiTheme="minorHAnsi" w:cstheme="minorHAnsi"/>
          <w:lang w:val="id-ID"/>
        </w:rPr>
      </w:pPr>
      <w:r w:rsidRPr="00D721DF">
        <w:rPr>
          <w:rFonts w:asciiTheme="minorHAnsi" w:hAnsiTheme="minorHAnsi" w:cstheme="minorHAnsi"/>
          <w:lang w:val="en-US"/>
        </w:rPr>
        <w:t>Political stability and the independent variables' impact on the dependent variable are shown in Table 1.4. This study employs dynamic panel regression of two-step GMM differences (method 1) and a two-step system (method 2) from the given estimated models.</w:t>
      </w:r>
      <w:r w:rsidR="00775ACA" w:rsidRPr="0096555C">
        <w:rPr>
          <w:rFonts w:asciiTheme="minorHAnsi" w:hAnsiTheme="minorHAnsi" w:cstheme="minorHAnsi"/>
          <w:color w:val="4472C4" w:themeColor="accent1"/>
          <w:lang w:val="en-US"/>
        </w:rPr>
        <w:t xml:space="preserve"> </w:t>
      </w:r>
      <w:r w:rsidR="009A2E85" w:rsidRPr="009A2E85">
        <w:rPr>
          <w:rFonts w:asciiTheme="minorHAnsi" w:hAnsiTheme="minorHAnsi" w:cstheme="minorHAnsi"/>
          <w:lang w:val="en-US"/>
        </w:rPr>
        <w:t xml:space="preserve">Model </w:t>
      </w:r>
      <w:r w:rsidR="009A2E85">
        <w:rPr>
          <w:rFonts w:asciiTheme="minorHAnsi" w:hAnsiTheme="minorHAnsi" w:cstheme="minorHAnsi"/>
          <w:lang w:val="id-ID"/>
        </w:rPr>
        <w:t>two</w:t>
      </w:r>
      <w:r w:rsidR="009A2E85" w:rsidRPr="009A2E85">
        <w:rPr>
          <w:rFonts w:asciiTheme="minorHAnsi" w:hAnsiTheme="minorHAnsi" w:cstheme="minorHAnsi"/>
          <w:lang w:val="en-US"/>
        </w:rPr>
        <w:t xml:space="preserve"> is the most accurate estimation </w:t>
      </w:r>
      <w:r w:rsidR="009A2E85" w:rsidRPr="009A2E85">
        <w:rPr>
          <w:rFonts w:asciiTheme="minorHAnsi" w:hAnsiTheme="minorHAnsi" w:cstheme="minorHAnsi"/>
          <w:lang w:val="en-US"/>
        </w:rPr>
        <w:lastRenderedPageBreak/>
        <w:t xml:space="preserve">model </w:t>
      </w:r>
      <w:r w:rsidR="009A2E85">
        <w:rPr>
          <w:rFonts w:asciiTheme="minorHAnsi" w:hAnsiTheme="minorHAnsi" w:cstheme="minorHAnsi"/>
          <w:lang w:val="id-ID"/>
        </w:rPr>
        <w:t>a</w:t>
      </w:r>
      <w:proofErr w:type="spellStart"/>
      <w:r w:rsidR="009A2E85" w:rsidRPr="009A2E85">
        <w:rPr>
          <w:rFonts w:asciiTheme="minorHAnsi" w:hAnsiTheme="minorHAnsi" w:cstheme="minorHAnsi"/>
          <w:lang w:val="en-US"/>
        </w:rPr>
        <w:t>mong</w:t>
      </w:r>
      <w:proofErr w:type="spellEnd"/>
      <w:r w:rsidR="009A2E85" w:rsidRPr="009A2E85">
        <w:rPr>
          <w:rFonts w:asciiTheme="minorHAnsi" w:hAnsiTheme="minorHAnsi" w:cstheme="minorHAnsi"/>
          <w:lang w:val="en-US"/>
        </w:rPr>
        <w:t xml:space="preserve"> the two, with J-Statistic probability of 0.445425, which is higher than the J-Statistics probability value of 0.350245</w:t>
      </w:r>
      <w:r w:rsidR="00775ACA" w:rsidRPr="00A62CBF">
        <w:rPr>
          <w:rFonts w:asciiTheme="minorHAnsi" w:hAnsiTheme="minorHAnsi" w:cstheme="minorHAnsi"/>
          <w:lang w:val="en-US"/>
        </w:rPr>
        <w:t xml:space="preserve"> </w:t>
      </w:r>
      <w:r w:rsidR="00F87F34">
        <w:rPr>
          <w:rFonts w:asciiTheme="minorHAnsi" w:hAnsiTheme="minorHAnsi" w:cstheme="minorHAnsi"/>
          <w:lang w:val="id-ID"/>
        </w:rPr>
        <w:t xml:space="preserve">and </w:t>
      </w:r>
      <w:r w:rsidR="00775ACA" w:rsidRPr="00A62CBF">
        <w:rPr>
          <w:rFonts w:asciiTheme="minorHAnsi" w:hAnsiTheme="minorHAnsi" w:cstheme="minorHAnsi"/>
          <w:lang w:val="en-US"/>
        </w:rPr>
        <w:t xml:space="preserve">both </w:t>
      </w:r>
      <w:r w:rsidR="00D247B1">
        <w:rPr>
          <w:rFonts w:asciiTheme="minorHAnsi" w:hAnsiTheme="minorHAnsi" w:cstheme="minorHAnsi"/>
          <w:lang w:val="id-ID"/>
        </w:rPr>
        <w:t>more</w:t>
      </w:r>
      <w:r w:rsidR="00775ACA" w:rsidRPr="00A62CBF">
        <w:rPr>
          <w:rFonts w:asciiTheme="minorHAnsi" w:hAnsiTheme="minorHAnsi" w:cstheme="minorHAnsi"/>
          <w:lang w:val="en-US"/>
        </w:rPr>
        <w:t xml:space="preserve"> than α 5%. This shows that there is no evidence of excessive and valid identification restrictions </w:t>
      </w:r>
      <w:r w:rsidR="00D228A8">
        <w:rPr>
          <w:rFonts w:asciiTheme="minorHAnsi" w:hAnsiTheme="minorHAnsi" w:cstheme="minorHAnsi"/>
          <w:lang w:val="en-US"/>
        </w:rPr>
        <w:fldChar w:fldCharType="begin" w:fldLock="1"/>
      </w:r>
      <w:r w:rsidR="00E205CC">
        <w:rPr>
          <w:rFonts w:asciiTheme="minorHAnsi" w:hAnsiTheme="minorHAnsi" w:cstheme="minorHAnsi"/>
          <w:lang w:val="en-US"/>
        </w:rPr>
        <w:instrText>ADDIN CSL_CITATION {"citationItems":[{"id":"ITEM-1","itemData":{"DOI":"10.26905/jkdp.v24i4.4810","ISSN":"1410-8089","author":[{"dropping-particle":"","family":"Widarjono","given":"Agus","non-dropping-particle":"","parse-names":false,"suffix":""},{"dropping-particle":"","family":"Anto","given":"M. B. Hendrie","non-dropping-particle":"","parse-names":false,"suffix":""}],"container-title":"Jurnal Keuangan dan Perbankan","id":"ITEM-1","issue":"4","issued":{"date-parts":[["2020"]]},"page":"393-406","title":"Does market structure matter for Islamic rural banks' profitability?","type":"article-journal","volume":"24"},"uris":["http://www.mendeley.com/documents/?uuid=e9e26a10-8cd2-424b-9136-5cafe888053f"]}],"mendeley":{"formattedCitation":"(Widarjono &amp; Anto, 2020)","plainTextFormattedCitation":"(Widarjono &amp; Anto, 2020)","previouslyFormattedCitation":"(Widarjono &amp; Anto, 2020)"},"properties":{"noteIndex":0},"schema":"https://github.com/citation-style-language/schema/raw/master/csl-citation.json"}</w:instrText>
      </w:r>
      <w:r w:rsidR="00D228A8">
        <w:rPr>
          <w:rFonts w:asciiTheme="minorHAnsi" w:hAnsiTheme="minorHAnsi" w:cstheme="minorHAnsi"/>
          <w:lang w:val="en-US"/>
        </w:rPr>
        <w:fldChar w:fldCharType="separate"/>
      </w:r>
      <w:r w:rsidR="00D228A8" w:rsidRPr="00D228A8">
        <w:rPr>
          <w:rFonts w:asciiTheme="minorHAnsi" w:hAnsiTheme="minorHAnsi" w:cstheme="minorHAnsi"/>
          <w:noProof/>
          <w:lang w:val="en-US"/>
        </w:rPr>
        <w:t>(Widarjono &amp; Anto, 2020</w:t>
      </w:r>
      <w:r>
        <w:rPr>
          <w:rFonts w:asciiTheme="minorHAnsi" w:hAnsiTheme="minorHAnsi" w:cstheme="minorHAnsi"/>
          <w:noProof/>
          <w:lang w:val="id-ID"/>
        </w:rPr>
        <w:t>s</w:t>
      </w:r>
      <w:r w:rsidR="00D228A8" w:rsidRPr="00D228A8">
        <w:rPr>
          <w:rFonts w:asciiTheme="minorHAnsi" w:hAnsiTheme="minorHAnsi" w:cstheme="minorHAnsi"/>
          <w:noProof/>
          <w:lang w:val="en-US"/>
        </w:rPr>
        <w:t>)</w:t>
      </w:r>
      <w:r w:rsidR="00D228A8">
        <w:rPr>
          <w:rFonts w:asciiTheme="minorHAnsi" w:hAnsiTheme="minorHAnsi" w:cstheme="minorHAnsi"/>
          <w:lang w:val="en-US"/>
        </w:rPr>
        <w:fldChar w:fldCharType="end"/>
      </w:r>
      <w:r w:rsidR="00D228A8">
        <w:rPr>
          <w:rFonts w:asciiTheme="minorHAnsi" w:hAnsiTheme="minorHAnsi" w:cstheme="minorHAnsi"/>
          <w:lang w:val="id-ID"/>
        </w:rPr>
        <w:t>.</w:t>
      </w:r>
    </w:p>
    <w:p w14:paraId="34A5B7BE" w14:textId="5486BD27" w:rsidR="00D1406C" w:rsidRDefault="00D1406C" w:rsidP="00EF7F13">
      <w:pPr>
        <w:autoSpaceDE w:val="0"/>
        <w:autoSpaceDN w:val="0"/>
        <w:adjustRightInd w:val="0"/>
        <w:spacing w:after="0" w:line="240" w:lineRule="auto"/>
        <w:jc w:val="both"/>
        <w:rPr>
          <w:rFonts w:asciiTheme="minorHAnsi" w:hAnsiTheme="minorHAnsi" w:cstheme="minorHAnsi"/>
          <w:lang w:val="id-ID"/>
        </w:rPr>
      </w:pPr>
    </w:p>
    <w:p w14:paraId="1329C085" w14:textId="703D3185" w:rsidR="005D0DD8" w:rsidRPr="00D721DF" w:rsidRDefault="00D1406C" w:rsidP="005D0DD8">
      <w:pPr>
        <w:autoSpaceDE w:val="0"/>
        <w:autoSpaceDN w:val="0"/>
        <w:adjustRightInd w:val="0"/>
        <w:spacing w:after="0" w:line="240" w:lineRule="auto"/>
        <w:jc w:val="both"/>
        <w:rPr>
          <w:rFonts w:asciiTheme="minorHAnsi" w:hAnsiTheme="minorHAnsi" w:cstheme="minorHAnsi"/>
          <w:lang w:val="en-US"/>
        </w:rPr>
      </w:pPr>
      <w:r w:rsidRPr="00D721DF">
        <w:rPr>
          <w:rFonts w:asciiTheme="minorHAnsi" w:hAnsiTheme="minorHAnsi" w:cstheme="minorHAnsi"/>
          <w:lang w:val="en-US"/>
        </w:rPr>
        <w:t>In the GMM test without interaction</w:t>
      </w:r>
      <w:r w:rsidRPr="00D721DF">
        <w:rPr>
          <w:rFonts w:asciiTheme="minorHAnsi" w:hAnsiTheme="minorHAnsi" w:cstheme="minorHAnsi"/>
          <w:lang w:val="id-ID"/>
        </w:rPr>
        <w:t xml:space="preserve">, </w:t>
      </w:r>
      <w:r w:rsidR="005D0DD8" w:rsidRPr="00D721DF">
        <w:rPr>
          <w:rFonts w:asciiTheme="minorHAnsi" w:hAnsiTheme="minorHAnsi" w:cstheme="minorHAnsi"/>
          <w:lang w:val="id-ID"/>
        </w:rPr>
        <w:t>w</w:t>
      </w:r>
      <w:proofErr w:type="spellStart"/>
      <w:r w:rsidR="005D0DD8" w:rsidRPr="00D721DF">
        <w:rPr>
          <w:rFonts w:asciiTheme="minorHAnsi" w:hAnsiTheme="minorHAnsi" w:cstheme="minorHAnsi"/>
          <w:lang w:val="en-US"/>
        </w:rPr>
        <w:t>ith</w:t>
      </w:r>
      <w:proofErr w:type="spellEnd"/>
      <w:r w:rsidR="005D0DD8" w:rsidRPr="00D721DF">
        <w:rPr>
          <w:rFonts w:asciiTheme="minorHAnsi" w:hAnsiTheme="minorHAnsi" w:cstheme="minorHAnsi"/>
          <w:lang w:val="en-US"/>
        </w:rPr>
        <w:t xml:space="preserve"> significance values of 0.0000, 0.0000, and 0.0006 (less than 5%), trade openness, foreign direct investment, and political stability </w:t>
      </w:r>
      <w:r w:rsidR="00D721DF" w:rsidRPr="00D721DF">
        <w:rPr>
          <w:rFonts w:asciiTheme="minorHAnsi" w:hAnsiTheme="minorHAnsi" w:cstheme="minorHAnsi"/>
          <w:lang w:val="id-ID"/>
        </w:rPr>
        <w:t>are</w:t>
      </w:r>
      <w:r w:rsidR="005D0DD8" w:rsidRPr="00D721DF">
        <w:rPr>
          <w:rFonts w:asciiTheme="minorHAnsi" w:hAnsiTheme="minorHAnsi" w:cstheme="minorHAnsi"/>
          <w:lang w:val="en-US"/>
        </w:rPr>
        <w:t xml:space="preserve"> significantly </w:t>
      </w:r>
      <w:proofErr w:type="gramStart"/>
      <w:r w:rsidR="005D0DD8" w:rsidRPr="00D721DF">
        <w:rPr>
          <w:rFonts w:asciiTheme="minorHAnsi" w:hAnsiTheme="minorHAnsi" w:cstheme="minorHAnsi"/>
          <w:lang w:val="en-US"/>
        </w:rPr>
        <w:t>affect</w:t>
      </w:r>
      <w:proofErr w:type="gramEnd"/>
      <w:r w:rsidR="005D0DD8" w:rsidRPr="00D721DF">
        <w:rPr>
          <w:rFonts w:asciiTheme="minorHAnsi" w:hAnsiTheme="minorHAnsi" w:cstheme="minorHAnsi"/>
          <w:lang w:val="en-US"/>
        </w:rPr>
        <w:t xml:space="preserve"> HDI, whereas inflation significantly affects alpha 10% with a significance value of 0.0796. Foreign direct investment has a substantial negative influence, measured by a coefficient value of 0.003370, whereas political stability has a large positive effect, measured by a coefficient value of 0.0013164. Trade openness has a considerable positive effect, measured by a coefficient value of 0.000123. There is a negligible effect of unemployment on HDI.</w:t>
      </w:r>
    </w:p>
    <w:p w14:paraId="28E13991" w14:textId="2D904813" w:rsidR="00EF7F13" w:rsidRDefault="00EF7F13" w:rsidP="005D0DD8">
      <w:pPr>
        <w:autoSpaceDE w:val="0"/>
        <w:autoSpaceDN w:val="0"/>
        <w:adjustRightInd w:val="0"/>
        <w:spacing w:after="0" w:line="240" w:lineRule="auto"/>
        <w:jc w:val="both"/>
        <w:rPr>
          <w:rFonts w:asciiTheme="minorHAnsi" w:hAnsiTheme="minorHAnsi" w:cstheme="minorHAnsi"/>
          <w:lang w:val="id-ID"/>
        </w:rPr>
      </w:pPr>
    </w:p>
    <w:p w14:paraId="3CECCCEB" w14:textId="77777777" w:rsidR="00EF7F13" w:rsidRPr="00934645" w:rsidRDefault="00EF7F13" w:rsidP="00EF7F13">
      <w:pPr>
        <w:autoSpaceDE w:val="0"/>
        <w:autoSpaceDN w:val="0"/>
        <w:adjustRightInd w:val="0"/>
        <w:spacing w:after="0" w:line="240" w:lineRule="auto"/>
        <w:jc w:val="center"/>
        <w:rPr>
          <w:rFonts w:asciiTheme="minorHAnsi" w:hAnsiTheme="minorHAnsi" w:cstheme="minorHAnsi"/>
          <w:b/>
          <w:bCs/>
          <w:lang w:val="id-ID"/>
        </w:rPr>
      </w:pPr>
      <w:r w:rsidRPr="000008D1">
        <w:rPr>
          <w:rFonts w:asciiTheme="minorHAnsi" w:hAnsiTheme="minorHAnsi" w:cstheme="minorHAnsi"/>
          <w:b/>
          <w:bCs/>
        </w:rPr>
        <w:t xml:space="preserve">Table </w:t>
      </w:r>
      <w:r>
        <w:rPr>
          <w:rFonts w:asciiTheme="minorHAnsi" w:hAnsiTheme="minorHAnsi" w:cstheme="minorHAnsi"/>
          <w:b/>
          <w:bCs/>
          <w:lang w:val="id-ID"/>
        </w:rPr>
        <w:t>1.5</w:t>
      </w:r>
    </w:p>
    <w:p w14:paraId="1932217F" w14:textId="333BB8D7" w:rsidR="00634BE2" w:rsidRDefault="00EF7F13" w:rsidP="00634BE2">
      <w:pPr>
        <w:autoSpaceDE w:val="0"/>
        <w:autoSpaceDN w:val="0"/>
        <w:adjustRightInd w:val="0"/>
        <w:spacing w:after="0" w:line="240" w:lineRule="auto"/>
        <w:jc w:val="center"/>
        <w:rPr>
          <w:rFonts w:asciiTheme="minorHAnsi" w:hAnsiTheme="minorHAnsi" w:cstheme="minorHAnsi"/>
          <w:b/>
          <w:bCs/>
        </w:rPr>
      </w:pPr>
      <w:r w:rsidRPr="000008D1">
        <w:rPr>
          <w:rFonts w:asciiTheme="minorHAnsi" w:hAnsiTheme="minorHAnsi" w:cstheme="minorHAnsi"/>
          <w:b/>
          <w:bCs/>
        </w:rPr>
        <w:t>Test Results with the Interaction of Political Stability</w:t>
      </w:r>
    </w:p>
    <w:tbl>
      <w:tblPr>
        <w:tblStyle w:val="PlainTable3"/>
        <w:tblpPr w:leftFromText="180" w:rightFromText="180" w:vertAnchor="page" w:horzAnchor="margin" w:tblpY="5335"/>
        <w:tblW w:w="5000" w:type="pct"/>
        <w:tblLook w:val="04A0" w:firstRow="1" w:lastRow="0" w:firstColumn="1" w:lastColumn="0" w:noHBand="0" w:noVBand="1"/>
      </w:tblPr>
      <w:tblGrid>
        <w:gridCol w:w="2532"/>
        <w:gridCol w:w="1621"/>
        <w:gridCol w:w="1621"/>
        <w:gridCol w:w="1621"/>
        <w:gridCol w:w="1621"/>
      </w:tblGrid>
      <w:tr w:rsidR="00634BE2" w:rsidRPr="0052230F" w14:paraId="1F256EED" w14:textId="77777777" w:rsidTr="00634B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04" w:type="pct"/>
            <w:tcBorders>
              <w:top w:val="single" w:sz="4" w:space="0" w:color="auto"/>
              <w:left w:val="single" w:sz="4" w:space="0" w:color="auto"/>
              <w:bottom w:val="single" w:sz="4" w:space="0" w:color="auto"/>
              <w:right w:val="single" w:sz="4" w:space="0" w:color="auto"/>
            </w:tcBorders>
          </w:tcPr>
          <w:p w14:paraId="07E3C48F" w14:textId="77777777" w:rsidR="00634BE2" w:rsidRPr="0052230F" w:rsidRDefault="00634BE2" w:rsidP="00634BE2">
            <w:pPr>
              <w:jc w:val="center"/>
              <w:rPr>
                <w:rFonts w:cstheme="minorHAnsi"/>
                <w:b w:val="0"/>
                <w:bCs w:val="0"/>
                <w:sz w:val="20"/>
                <w:szCs w:val="20"/>
              </w:rPr>
            </w:pPr>
            <w:r w:rsidRPr="0052230F">
              <w:rPr>
                <w:rFonts w:cstheme="minorHAnsi"/>
                <w:sz w:val="20"/>
                <w:szCs w:val="20"/>
              </w:rPr>
              <w:t>VARIABEL</w:t>
            </w:r>
          </w:p>
        </w:tc>
        <w:tc>
          <w:tcPr>
            <w:tcW w:w="3596" w:type="pct"/>
            <w:gridSpan w:val="4"/>
            <w:tcBorders>
              <w:top w:val="single" w:sz="4" w:space="0" w:color="auto"/>
              <w:left w:val="single" w:sz="4" w:space="0" w:color="auto"/>
              <w:bottom w:val="single" w:sz="4" w:space="0" w:color="auto"/>
              <w:right w:val="single" w:sz="4" w:space="0" w:color="auto"/>
            </w:tcBorders>
          </w:tcPr>
          <w:p w14:paraId="47F8641C" w14:textId="77777777" w:rsidR="00634BE2" w:rsidRPr="0052230F" w:rsidRDefault="00634BE2" w:rsidP="00634BE2">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52230F">
              <w:rPr>
                <w:rFonts w:cstheme="minorHAnsi"/>
                <w:sz w:val="20"/>
                <w:szCs w:val="20"/>
              </w:rPr>
              <w:t>system gmm</w:t>
            </w:r>
          </w:p>
        </w:tc>
      </w:tr>
      <w:tr w:rsidR="00634BE2" w:rsidRPr="0052230F" w14:paraId="0731F705" w14:textId="77777777" w:rsidTr="00634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Borders>
              <w:top w:val="single" w:sz="4" w:space="0" w:color="auto"/>
              <w:left w:val="single" w:sz="4" w:space="0" w:color="auto"/>
              <w:bottom w:val="single" w:sz="4" w:space="0" w:color="auto"/>
              <w:right w:val="single" w:sz="4" w:space="0" w:color="auto"/>
            </w:tcBorders>
          </w:tcPr>
          <w:p w14:paraId="7A1D2B06" w14:textId="77777777" w:rsidR="00634BE2" w:rsidRPr="0052230F" w:rsidRDefault="00634BE2" w:rsidP="00634BE2">
            <w:pPr>
              <w:jc w:val="center"/>
              <w:rPr>
                <w:rFonts w:cstheme="minorHAnsi"/>
                <w:sz w:val="20"/>
                <w:szCs w:val="20"/>
              </w:rPr>
            </w:pPr>
            <w:r w:rsidRPr="0052230F">
              <w:rPr>
                <w:rFonts w:cstheme="minorHAnsi"/>
                <w:sz w:val="20"/>
                <w:szCs w:val="20"/>
              </w:rPr>
              <w:t>Model</w:t>
            </w:r>
          </w:p>
        </w:tc>
        <w:tc>
          <w:tcPr>
            <w:tcW w:w="899" w:type="pct"/>
            <w:tcBorders>
              <w:top w:val="single" w:sz="4" w:space="0" w:color="auto"/>
              <w:left w:val="single" w:sz="4" w:space="0" w:color="auto"/>
              <w:bottom w:val="single" w:sz="4" w:space="0" w:color="auto"/>
              <w:right w:val="single" w:sz="4" w:space="0" w:color="auto"/>
            </w:tcBorders>
          </w:tcPr>
          <w:p w14:paraId="4C087679"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30F">
              <w:rPr>
                <w:rFonts w:cstheme="minorHAnsi"/>
                <w:sz w:val="20"/>
                <w:szCs w:val="20"/>
              </w:rPr>
              <w:t>1</w:t>
            </w:r>
          </w:p>
        </w:tc>
        <w:tc>
          <w:tcPr>
            <w:tcW w:w="899" w:type="pct"/>
            <w:tcBorders>
              <w:top w:val="single" w:sz="4" w:space="0" w:color="auto"/>
              <w:left w:val="single" w:sz="4" w:space="0" w:color="auto"/>
              <w:bottom w:val="single" w:sz="4" w:space="0" w:color="auto"/>
              <w:right w:val="single" w:sz="4" w:space="0" w:color="auto"/>
            </w:tcBorders>
          </w:tcPr>
          <w:p w14:paraId="7BB5CC02"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30F">
              <w:rPr>
                <w:rFonts w:cstheme="minorHAnsi"/>
                <w:sz w:val="20"/>
                <w:szCs w:val="20"/>
              </w:rPr>
              <w:t>2</w:t>
            </w:r>
          </w:p>
        </w:tc>
        <w:tc>
          <w:tcPr>
            <w:tcW w:w="899" w:type="pct"/>
            <w:tcBorders>
              <w:top w:val="single" w:sz="4" w:space="0" w:color="auto"/>
              <w:left w:val="single" w:sz="4" w:space="0" w:color="auto"/>
              <w:bottom w:val="single" w:sz="4" w:space="0" w:color="auto"/>
              <w:right w:val="single" w:sz="4" w:space="0" w:color="auto"/>
            </w:tcBorders>
          </w:tcPr>
          <w:p w14:paraId="08605095"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30F">
              <w:rPr>
                <w:rFonts w:cstheme="minorHAnsi"/>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72000E50"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30F">
              <w:rPr>
                <w:rFonts w:cstheme="minorHAnsi"/>
                <w:sz w:val="20"/>
                <w:szCs w:val="20"/>
              </w:rPr>
              <w:t>4</w:t>
            </w:r>
          </w:p>
        </w:tc>
      </w:tr>
      <w:tr w:rsidR="00634BE2" w:rsidRPr="0052230F" w14:paraId="71F0435C" w14:textId="77777777" w:rsidTr="00634BE2">
        <w:tc>
          <w:tcPr>
            <w:cnfStyle w:val="001000000000" w:firstRow="0" w:lastRow="0" w:firstColumn="1" w:lastColumn="0" w:oddVBand="0" w:evenVBand="0" w:oddHBand="0" w:evenHBand="0" w:firstRowFirstColumn="0" w:firstRowLastColumn="0" w:lastRowFirstColumn="0" w:lastRowLastColumn="0"/>
            <w:tcW w:w="1404" w:type="pct"/>
            <w:tcBorders>
              <w:top w:val="single" w:sz="4" w:space="0" w:color="auto"/>
              <w:left w:val="single" w:sz="4" w:space="0" w:color="auto"/>
            </w:tcBorders>
          </w:tcPr>
          <w:p w14:paraId="22DE3A48"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Inflasi</w:t>
            </w:r>
          </w:p>
        </w:tc>
        <w:tc>
          <w:tcPr>
            <w:tcW w:w="899" w:type="pct"/>
            <w:tcBorders>
              <w:top w:val="single" w:sz="4" w:space="0" w:color="auto"/>
            </w:tcBorders>
          </w:tcPr>
          <w:p w14:paraId="426EB03A"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0.0004</w:t>
            </w:r>
          </w:p>
          <w:p w14:paraId="2B6B7345"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(-0.000352)</w:t>
            </w:r>
          </w:p>
        </w:tc>
        <w:tc>
          <w:tcPr>
            <w:tcW w:w="899" w:type="pct"/>
            <w:tcBorders>
              <w:top w:val="single" w:sz="4" w:space="0" w:color="auto"/>
            </w:tcBorders>
          </w:tcPr>
          <w:p w14:paraId="5431DB82"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0.0003</w:t>
            </w:r>
          </w:p>
          <w:p w14:paraId="17BEE1F8"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(-0.000655)</w:t>
            </w:r>
          </w:p>
        </w:tc>
        <w:tc>
          <w:tcPr>
            <w:tcW w:w="899" w:type="pct"/>
            <w:tcBorders>
              <w:top w:val="single" w:sz="4" w:space="0" w:color="auto"/>
            </w:tcBorders>
          </w:tcPr>
          <w:p w14:paraId="10EFB579"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0.0219</w:t>
            </w:r>
          </w:p>
          <w:p w14:paraId="57119648"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(-0.000242)</w:t>
            </w:r>
          </w:p>
        </w:tc>
        <w:tc>
          <w:tcPr>
            <w:tcW w:w="899" w:type="pct"/>
            <w:tcBorders>
              <w:top w:val="single" w:sz="4" w:space="0" w:color="auto"/>
              <w:right w:val="single" w:sz="4" w:space="0" w:color="auto"/>
            </w:tcBorders>
          </w:tcPr>
          <w:p w14:paraId="58BF3241"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0.1242</w:t>
            </w:r>
          </w:p>
          <w:p w14:paraId="39F7C93F"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(-0.000259)</w:t>
            </w:r>
          </w:p>
        </w:tc>
      </w:tr>
      <w:tr w:rsidR="00634BE2" w:rsidRPr="0052230F" w14:paraId="549613E9" w14:textId="77777777" w:rsidTr="00634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tcBorders>
          </w:tcPr>
          <w:p w14:paraId="29551995"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Unemploy</w:t>
            </w:r>
          </w:p>
        </w:tc>
        <w:tc>
          <w:tcPr>
            <w:tcW w:w="899" w:type="pct"/>
          </w:tcPr>
          <w:p w14:paraId="40C33807"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0.4915</w:t>
            </w:r>
          </w:p>
          <w:p w14:paraId="1C4948A6"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(0.000684)</w:t>
            </w:r>
          </w:p>
        </w:tc>
        <w:tc>
          <w:tcPr>
            <w:tcW w:w="899" w:type="pct"/>
          </w:tcPr>
          <w:p w14:paraId="4274D58E"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0.0932*</w:t>
            </w:r>
          </w:p>
          <w:p w14:paraId="17318CD8"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(-0.003181)</w:t>
            </w:r>
          </w:p>
        </w:tc>
        <w:tc>
          <w:tcPr>
            <w:tcW w:w="899" w:type="pct"/>
          </w:tcPr>
          <w:p w14:paraId="62F4EF4B"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0.0690</w:t>
            </w:r>
          </w:p>
          <w:p w14:paraId="698CEC41"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(0.001907)</w:t>
            </w:r>
          </w:p>
        </w:tc>
        <w:tc>
          <w:tcPr>
            <w:tcW w:w="899" w:type="pct"/>
            <w:tcBorders>
              <w:right w:val="single" w:sz="4" w:space="0" w:color="auto"/>
            </w:tcBorders>
          </w:tcPr>
          <w:p w14:paraId="5E507BE9"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0.7544</w:t>
            </w:r>
          </w:p>
          <w:p w14:paraId="50AE94FA"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(0.000650)</w:t>
            </w:r>
          </w:p>
        </w:tc>
      </w:tr>
      <w:tr w:rsidR="00634BE2" w:rsidRPr="0052230F" w14:paraId="054E3568" w14:textId="77777777" w:rsidTr="00634BE2">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tcBorders>
          </w:tcPr>
          <w:p w14:paraId="1C86AA5D"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To</w:t>
            </w:r>
          </w:p>
        </w:tc>
        <w:tc>
          <w:tcPr>
            <w:tcW w:w="899" w:type="pct"/>
          </w:tcPr>
          <w:p w14:paraId="754267A8"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0.0006</w:t>
            </w:r>
          </w:p>
          <w:p w14:paraId="0F8F88E0"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(0.000112)</w:t>
            </w:r>
          </w:p>
        </w:tc>
        <w:tc>
          <w:tcPr>
            <w:tcW w:w="899" w:type="pct"/>
          </w:tcPr>
          <w:p w14:paraId="1082C222"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0.0000</w:t>
            </w:r>
          </w:p>
          <w:p w14:paraId="035E5425"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(0.000148)</w:t>
            </w:r>
          </w:p>
        </w:tc>
        <w:tc>
          <w:tcPr>
            <w:tcW w:w="899" w:type="pct"/>
          </w:tcPr>
          <w:p w14:paraId="54CEAEFC"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0.0000</w:t>
            </w:r>
          </w:p>
          <w:p w14:paraId="181BE572"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(0.000110)</w:t>
            </w:r>
          </w:p>
        </w:tc>
        <w:tc>
          <w:tcPr>
            <w:tcW w:w="899" w:type="pct"/>
            <w:tcBorders>
              <w:right w:val="single" w:sz="4" w:space="0" w:color="auto"/>
            </w:tcBorders>
          </w:tcPr>
          <w:p w14:paraId="013E0F79"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0.0092</w:t>
            </w:r>
          </w:p>
          <w:p w14:paraId="44E44C41"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(0.000125)</w:t>
            </w:r>
          </w:p>
        </w:tc>
      </w:tr>
      <w:tr w:rsidR="00634BE2" w:rsidRPr="0052230F" w14:paraId="2701C050" w14:textId="77777777" w:rsidTr="00634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tcBorders>
          </w:tcPr>
          <w:p w14:paraId="246382EB"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Fdi</w:t>
            </w:r>
          </w:p>
        </w:tc>
        <w:tc>
          <w:tcPr>
            <w:tcW w:w="899" w:type="pct"/>
          </w:tcPr>
          <w:p w14:paraId="18A22453"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0.0000</w:t>
            </w:r>
          </w:p>
          <w:p w14:paraId="1F584B69"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(-0.003279)</w:t>
            </w:r>
          </w:p>
        </w:tc>
        <w:tc>
          <w:tcPr>
            <w:tcW w:w="899" w:type="pct"/>
          </w:tcPr>
          <w:p w14:paraId="1951CB05"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0.0000</w:t>
            </w:r>
          </w:p>
          <w:p w14:paraId="71E64A6B"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(-0.002727)</w:t>
            </w:r>
          </w:p>
        </w:tc>
        <w:tc>
          <w:tcPr>
            <w:tcW w:w="899" w:type="pct"/>
          </w:tcPr>
          <w:p w14:paraId="2AC1CF47"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0.0000</w:t>
            </w:r>
          </w:p>
          <w:p w14:paraId="6839998D"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(-0.003060)</w:t>
            </w:r>
          </w:p>
        </w:tc>
        <w:tc>
          <w:tcPr>
            <w:tcW w:w="899" w:type="pct"/>
            <w:tcBorders>
              <w:right w:val="single" w:sz="4" w:space="0" w:color="auto"/>
            </w:tcBorders>
          </w:tcPr>
          <w:p w14:paraId="04C4B05C"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0.0000</w:t>
            </w:r>
          </w:p>
          <w:p w14:paraId="08AE6FC0"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(-0.003717)</w:t>
            </w:r>
          </w:p>
        </w:tc>
      </w:tr>
      <w:tr w:rsidR="00634BE2" w:rsidRPr="0052230F" w14:paraId="69685B7E" w14:textId="77777777" w:rsidTr="00634BE2">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tcBorders>
          </w:tcPr>
          <w:p w14:paraId="093B934F"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Sp</w:t>
            </w:r>
          </w:p>
        </w:tc>
        <w:tc>
          <w:tcPr>
            <w:tcW w:w="899" w:type="pct"/>
          </w:tcPr>
          <w:p w14:paraId="4D8EF3CC"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0.0650</w:t>
            </w:r>
          </w:p>
          <w:p w14:paraId="002BB87F"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(0.007807)</w:t>
            </w:r>
          </w:p>
        </w:tc>
        <w:tc>
          <w:tcPr>
            <w:tcW w:w="899" w:type="pct"/>
          </w:tcPr>
          <w:p w14:paraId="28519C61"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0.0000**</w:t>
            </w:r>
          </w:p>
          <w:p w14:paraId="5DE91093"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(0.083403)</w:t>
            </w:r>
          </w:p>
        </w:tc>
        <w:tc>
          <w:tcPr>
            <w:tcW w:w="899" w:type="pct"/>
          </w:tcPr>
          <w:p w14:paraId="512DCFBD"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0.0005**</w:t>
            </w:r>
          </w:p>
          <w:p w14:paraId="6587548F"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(0.010150)</w:t>
            </w:r>
          </w:p>
        </w:tc>
        <w:tc>
          <w:tcPr>
            <w:tcW w:w="899" w:type="pct"/>
            <w:tcBorders>
              <w:right w:val="single" w:sz="4" w:space="0" w:color="auto"/>
            </w:tcBorders>
          </w:tcPr>
          <w:p w14:paraId="13C3D60E"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0.0000**</w:t>
            </w:r>
          </w:p>
          <w:p w14:paraId="5AF7A456"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(0.016880)</w:t>
            </w:r>
          </w:p>
        </w:tc>
      </w:tr>
      <w:tr w:rsidR="00634BE2" w:rsidRPr="0052230F" w14:paraId="36140739" w14:textId="77777777" w:rsidTr="00634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tcBorders>
          </w:tcPr>
          <w:p w14:paraId="638AF253"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Sp_Inflasi</w:t>
            </w:r>
          </w:p>
        </w:tc>
        <w:tc>
          <w:tcPr>
            <w:tcW w:w="899" w:type="pct"/>
          </w:tcPr>
          <w:p w14:paraId="647F362A"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0.9633</w:t>
            </w:r>
          </w:p>
          <w:p w14:paraId="7F4DC531"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(-4.90E-06)</w:t>
            </w:r>
          </w:p>
        </w:tc>
        <w:tc>
          <w:tcPr>
            <w:tcW w:w="899" w:type="pct"/>
          </w:tcPr>
          <w:p w14:paraId="6592E421"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899" w:type="pct"/>
          </w:tcPr>
          <w:p w14:paraId="4F46C597"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c>
          <w:tcPr>
            <w:tcW w:w="899" w:type="pct"/>
            <w:tcBorders>
              <w:right w:val="single" w:sz="4" w:space="0" w:color="auto"/>
            </w:tcBorders>
          </w:tcPr>
          <w:p w14:paraId="69171881" w14:textId="77777777" w:rsidR="00634BE2" w:rsidRPr="0052230F" w:rsidRDefault="00634BE2" w:rsidP="00634BE2">
            <w:pPr>
              <w:autoSpaceDE w:val="0"/>
              <w:autoSpaceDN w:val="0"/>
              <w:adjustRightInd w:val="0"/>
              <w:ind w:right="10"/>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634BE2" w:rsidRPr="0052230F" w14:paraId="5C56CECC" w14:textId="77777777" w:rsidTr="00634BE2">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tcBorders>
          </w:tcPr>
          <w:p w14:paraId="3965E0F0"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Sp_ Unemploy</w:t>
            </w:r>
          </w:p>
        </w:tc>
        <w:tc>
          <w:tcPr>
            <w:tcW w:w="899" w:type="pct"/>
          </w:tcPr>
          <w:p w14:paraId="147318C1"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99" w:type="pct"/>
          </w:tcPr>
          <w:p w14:paraId="1E89551E"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0.0000**</w:t>
            </w:r>
          </w:p>
          <w:p w14:paraId="159331CC"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(-0.009481)</w:t>
            </w:r>
          </w:p>
        </w:tc>
        <w:tc>
          <w:tcPr>
            <w:tcW w:w="899" w:type="pct"/>
          </w:tcPr>
          <w:p w14:paraId="4AEA270A" w14:textId="77777777" w:rsidR="00634BE2" w:rsidRPr="0052230F" w:rsidRDefault="00634BE2" w:rsidP="00634BE2">
            <w:pPr>
              <w:autoSpaceDE w:val="0"/>
              <w:autoSpaceDN w:val="0"/>
              <w:adjustRightInd w:val="0"/>
              <w:ind w:right="10"/>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c>
          <w:tcPr>
            <w:tcW w:w="899" w:type="pct"/>
            <w:tcBorders>
              <w:right w:val="single" w:sz="4" w:space="0" w:color="auto"/>
            </w:tcBorders>
          </w:tcPr>
          <w:p w14:paraId="13E892DC"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634BE2" w:rsidRPr="0052230F" w14:paraId="1DC985B5" w14:textId="77777777" w:rsidTr="00634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tcBorders>
          </w:tcPr>
          <w:p w14:paraId="09484FE4"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Sp_To</w:t>
            </w:r>
          </w:p>
        </w:tc>
        <w:tc>
          <w:tcPr>
            <w:tcW w:w="899" w:type="pct"/>
          </w:tcPr>
          <w:p w14:paraId="362D80E5"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99" w:type="pct"/>
          </w:tcPr>
          <w:p w14:paraId="0AB6AB55"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899" w:type="pct"/>
          </w:tcPr>
          <w:p w14:paraId="1CD7A310"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0.1774</w:t>
            </w:r>
          </w:p>
          <w:p w14:paraId="179765B8"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30F">
              <w:rPr>
                <w:rFonts w:cstheme="minorHAnsi"/>
                <w:color w:val="000000"/>
                <w:sz w:val="20"/>
                <w:szCs w:val="20"/>
              </w:rPr>
              <w:t>(-5.41E-05)</w:t>
            </w:r>
          </w:p>
        </w:tc>
        <w:tc>
          <w:tcPr>
            <w:tcW w:w="899" w:type="pct"/>
            <w:tcBorders>
              <w:right w:val="single" w:sz="4" w:space="0" w:color="auto"/>
            </w:tcBorders>
          </w:tcPr>
          <w:p w14:paraId="26261392"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634BE2" w:rsidRPr="0052230F" w14:paraId="3EE8E8C7" w14:textId="77777777" w:rsidTr="00634BE2">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tcBorders>
          </w:tcPr>
          <w:p w14:paraId="571B3709"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Sp_Fdi</w:t>
            </w:r>
          </w:p>
        </w:tc>
        <w:tc>
          <w:tcPr>
            <w:tcW w:w="899" w:type="pct"/>
          </w:tcPr>
          <w:p w14:paraId="4A1B3CA5"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99" w:type="pct"/>
          </w:tcPr>
          <w:p w14:paraId="11F260C2"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99" w:type="pct"/>
          </w:tcPr>
          <w:p w14:paraId="1A76ABA6"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899" w:type="pct"/>
            <w:tcBorders>
              <w:right w:val="single" w:sz="4" w:space="0" w:color="auto"/>
            </w:tcBorders>
          </w:tcPr>
          <w:p w14:paraId="55A3C97C"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52230F">
              <w:rPr>
                <w:rFonts w:cstheme="minorHAnsi"/>
                <w:color w:val="000000"/>
                <w:sz w:val="20"/>
                <w:szCs w:val="20"/>
              </w:rPr>
              <w:t>0.3070</w:t>
            </w:r>
          </w:p>
          <w:p w14:paraId="07756D25"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230F">
              <w:rPr>
                <w:rFonts w:cstheme="minorHAnsi"/>
                <w:color w:val="000000"/>
                <w:sz w:val="20"/>
                <w:szCs w:val="20"/>
              </w:rPr>
              <w:t>(-0.001071)</w:t>
            </w:r>
          </w:p>
        </w:tc>
      </w:tr>
      <w:tr w:rsidR="00634BE2" w:rsidRPr="0052230F" w14:paraId="1E52F106" w14:textId="77777777" w:rsidTr="00634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tcBorders>
          </w:tcPr>
          <w:p w14:paraId="0836E6F3"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Uji Sargan</w:t>
            </w:r>
          </w:p>
        </w:tc>
        <w:tc>
          <w:tcPr>
            <w:tcW w:w="899" w:type="pct"/>
          </w:tcPr>
          <w:p w14:paraId="3D46A4C9"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30F">
              <w:rPr>
                <w:rFonts w:cstheme="minorHAnsi"/>
                <w:color w:val="000000"/>
                <w:sz w:val="20"/>
                <w:szCs w:val="20"/>
              </w:rPr>
              <w:t>0.450214</w:t>
            </w:r>
          </w:p>
        </w:tc>
        <w:tc>
          <w:tcPr>
            <w:tcW w:w="899" w:type="pct"/>
          </w:tcPr>
          <w:p w14:paraId="5A2C88D0"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30F">
              <w:rPr>
                <w:rFonts w:cstheme="minorHAnsi"/>
                <w:color w:val="000000"/>
                <w:sz w:val="20"/>
                <w:szCs w:val="20"/>
              </w:rPr>
              <w:t>0.693765</w:t>
            </w:r>
          </w:p>
        </w:tc>
        <w:tc>
          <w:tcPr>
            <w:tcW w:w="899" w:type="pct"/>
          </w:tcPr>
          <w:p w14:paraId="79896C93"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30F">
              <w:rPr>
                <w:rFonts w:cstheme="minorHAnsi"/>
                <w:color w:val="000000"/>
                <w:sz w:val="20"/>
                <w:szCs w:val="20"/>
              </w:rPr>
              <w:t>0.324146</w:t>
            </w:r>
          </w:p>
        </w:tc>
        <w:tc>
          <w:tcPr>
            <w:tcW w:w="899" w:type="pct"/>
            <w:tcBorders>
              <w:right w:val="single" w:sz="4" w:space="0" w:color="auto"/>
            </w:tcBorders>
          </w:tcPr>
          <w:p w14:paraId="28173B84" w14:textId="77777777" w:rsidR="00634BE2" w:rsidRPr="0052230F" w:rsidRDefault="00634BE2" w:rsidP="00634B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2230F">
              <w:rPr>
                <w:rFonts w:cstheme="minorHAnsi"/>
                <w:color w:val="000000"/>
                <w:sz w:val="20"/>
                <w:szCs w:val="20"/>
              </w:rPr>
              <w:t>0.390518</w:t>
            </w:r>
          </w:p>
        </w:tc>
      </w:tr>
      <w:tr w:rsidR="00634BE2" w:rsidRPr="0052230F" w14:paraId="45F9AAC8" w14:textId="77777777" w:rsidTr="00634BE2">
        <w:tc>
          <w:tcPr>
            <w:cnfStyle w:val="001000000000" w:firstRow="0" w:lastRow="0" w:firstColumn="1" w:lastColumn="0" w:oddVBand="0" w:evenVBand="0" w:oddHBand="0" w:evenHBand="0" w:firstRowFirstColumn="0" w:firstRowLastColumn="0" w:lastRowFirstColumn="0" w:lastRowLastColumn="0"/>
            <w:tcW w:w="1404" w:type="pct"/>
            <w:tcBorders>
              <w:left w:val="single" w:sz="4" w:space="0" w:color="auto"/>
              <w:bottom w:val="single" w:sz="4" w:space="0" w:color="auto"/>
            </w:tcBorders>
          </w:tcPr>
          <w:p w14:paraId="6EF54440" w14:textId="77777777" w:rsidR="00634BE2" w:rsidRPr="0052230F" w:rsidRDefault="00634BE2" w:rsidP="00634BE2">
            <w:pPr>
              <w:rPr>
                <w:rFonts w:cstheme="minorHAnsi"/>
                <w:b w:val="0"/>
                <w:bCs w:val="0"/>
                <w:sz w:val="20"/>
                <w:szCs w:val="20"/>
              </w:rPr>
            </w:pPr>
            <w:r w:rsidRPr="0052230F">
              <w:rPr>
                <w:rFonts w:cstheme="minorHAnsi"/>
                <w:b w:val="0"/>
                <w:bCs w:val="0"/>
                <w:sz w:val="20"/>
                <w:szCs w:val="20"/>
              </w:rPr>
              <w:t xml:space="preserve">Uji Arelano Bond </w:t>
            </w:r>
          </w:p>
        </w:tc>
        <w:tc>
          <w:tcPr>
            <w:tcW w:w="899" w:type="pct"/>
            <w:tcBorders>
              <w:bottom w:val="single" w:sz="4" w:space="0" w:color="auto"/>
            </w:tcBorders>
          </w:tcPr>
          <w:p w14:paraId="5248399E"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230F">
              <w:rPr>
                <w:rFonts w:cstheme="minorHAnsi"/>
                <w:sz w:val="20"/>
                <w:szCs w:val="20"/>
              </w:rPr>
              <w:t>-</w:t>
            </w:r>
          </w:p>
        </w:tc>
        <w:tc>
          <w:tcPr>
            <w:tcW w:w="899" w:type="pct"/>
            <w:tcBorders>
              <w:bottom w:val="single" w:sz="4" w:space="0" w:color="auto"/>
            </w:tcBorders>
          </w:tcPr>
          <w:p w14:paraId="37D751AB"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230F">
              <w:rPr>
                <w:rFonts w:cstheme="minorHAnsi"/>
                <w:sz w:val="20"/>
                <w:szCs w:val="20"/>
              </w:rPr>
              <w:t>-</w:t>
            </w:r>
          </w:p>
        </w:tc>
        <w:tc>
          <w:tcPr>
            <w:tcW w:w="899" w:type="pct"/>
            <w:tcBorders>
              <w:bottom w:val="single" w:sz="4" w:space="0" w:color="auto"/>
            </w:tcBorders>
          </w:tcPr>
          <w:p w14:paraId="5A64DCD8"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230F">
              <w:rPr>
                <w:rFonts w:cstheme="minorHAnsi"/>
                <w:sz w:val="20"/>
                <w:szCs w:val="20"/>
              </w:rPr>
              <w:t>-</w:t>
            </w:r>
          </w:p>
        </w:tc>
        <w:tc>
          <w:tcPr>
            <w:tcW w:w="899" w:type="pct"/>
            <w:tcBorders>
              <w:bottom w:val="single" w:sz="4" w:space="0" w:color="auto"/>
              <w:right w:val="single" w:sz="4" w:space="0" w:color="auto"/>
            </w:tcBorders>
          </w:tcPr>
          <w:p w14:paraId="6A792E7F" w14:textId="77777777" w:rsidR="00634BE2" w:rsidRPr="0052230F" w:rsidRDefault="00634BE2" w:rsidP="00634B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2230F">
              <w:rPr>
                <w:rFonts w:cstheme="minorHAnsi"/>
                <w:sz w:val="20"/>
                <w:szCs w:val="20"/>
              </w:rPr>
              <w:t>-</w:t>
            </w:r>
          </w:p>
        </w:tc>
      </w:tr>
    </w:tbl>
    <w:p w14:paraId="137A0BFE" w14:textId="1619A309" w:rsidR="00EF7F13" w:rsidRPr="00634BE2" w:rsidRDefault="00EF7F13" w:rsidP="00EF7F13">
      <w:pPr>
        <w:autoSpaceDE w:val="0"/>
        <w:autoSpaceDN w:val="0"/>
        <w:adjustRightInd w:val="0"/>
        <w:spacing w:after="0" w:line="240" w:lineRule="auto"/>
        <w:jc w:val="both"/>
        <w:rPr>
          <w:rFonts w:asciiTheme="minorHAnsi" w:hAnsiTheme="minorHAnsi" w:cstheme="minorHAnsi"/>
          <w:sz w:val="20"/>
          <w:szCs w:val="20"/>
        </w:rPr>
      </w:pPr>
      <w:r w:rsidRPr="00634BE2">
        <w:rPr>
          <w:rFonts w:asciiTheme="minorHAnsi" w:hAnsiTheme="minorHAnsi" w:cstheme="minorHAnsi"/>
          <w:sz w:val="20"/>
          <w:szCs w:val="20"/>
        </w:rPr>
        <w:t>Source: processed data **significant at α 5%</w:t>
      </w:r>
    </w:p>
    <w:p w14:paraId="3EF4BCF9" w14:textId="73526696" w:rsidR="000173A8" w:rsidRPr="00D1406C" w:rsidRDefault="000173A8" w:rsidP="00EF7F13">
      <w:pPr>
        <w:autoSpaceDE w:val="0"/>
        <w:autoSpaceDN w:val="0"/>
        <w:adjustRightInd w:val="0"/>
        <w:spacing w:after="0" w:line="240" w:lineRule="auto"/>
        <w:jc w:val="both"/>
        <w:rPr>
          <w:rFonts w:asciiTheme="minorHAnsi" w:hAnsiTheme="minorHAnsi" w:cstheme="minorHAnsi"/>
          <w:color w:val="000000"/>
          <w:lang w:val="en-US"/>
        </w:rPr>
      </w:pPr>
    </w:p>
    <w:p w14:paraId="50B685F5" w14:textId="01DCE21F" w:rsidR="004C4762" w:rsidRDefault="005A4376" w:rsidP="004C4762">
      <w:pPr>
        <w:autoSpaceDE w:val="0"/>
        <w:autoSpaceDN w:val="0"/>
        <w:adjustRightInd w:val="0"/>
        <w:spacing w:after="0" w:line="240" w:lineRule="auto"/>
        <w:jc w:val="both"/>
        <w:rPr>
          <w:rFonts w:asciiTheme="minorHAnsi" w:hAnsiTheme="minorHAnsi" w:cstheme="minorHAnsi"/>
          <w:lang w:val="id-ID"/>
        </w:rPr>
      </w:pPr>
      <w:r w:rsidRPr="004B157C">
        <w:rPr>
          <w:rFonts w:asciiTheme="minorHAnsi" w:hAnsiTheme="minorHAnsi" w:cstheme="minorHAnsi"/>
          <w:lang w:val="en-US"/>
        </w:rPr>
        <w:t>Table</w:t>
      </w:r>
      <w:r w:rsidR="005D1FC6">
        <w:rPr>
          <w:rFonts w:asciiTheme="minorHAnsi" w:hAnsiTheme="minorHAnsi" w:cstheme="minorHAnsi"/>
          <w:lang w:val="id-ID"/>
        </w:rPr>
        <w:t xml:space="preserve"> 1.</w:t>
      </w:r>
      <w:r w:rsidR="00EF7F13">
        <w:rPr>
          <w:rFonts w:asciiTheme="minorHAnsi" w:hAnsiTheme="minorHAnsi" w:cstheme="minorHAnsi"/>
          <w:lang w:val="id-ID"/>
        </w:rPr>
        <w:t>5</w:t>
      </w:r>
      <w:r w:rsidRPr="004B157C">
        <w:rPr>
          <w:rFonts w:asciiTheme="minorHAnsi" w:hAnsiTheme="minorHAnsi" w:cstheme="minorHAnsi"/>
          <w:lang w:val="en-US"/>
        </w:rPr>
        <w:t xml:space="preserve"> describes the results of GMM testing with interactions in the four models, the influence of political stability on the inflation relationship, </w:t>
      </w:r>
      <w:r w:rsidR="0054377A" w:rsidRPr="0054377A">
        <w:rPr>
          <w:rFonts w:asciiTheme="minorHAnsi" w:hAnsiTheme="minorHAnsi" w:cstheme="minorHAnsi"/>
          <w:lang w:val="en-US"/>
        </w:rPr>
        <w:t>trade openness and foreign direct investment</w:t>
      </w:r>
      <w:r w:rsidR="0054377A">
        <w:rPr>
          <w:rFonts w:asciiTheme="minorHAnsi" w:hAnsiTheme="minorHAnsi" w:cstheme="minorHAnsi"/>
          <w:lang w:val="id-ID"/>
        </w:rPr>
        <w:t xml:space="preserve"> on HDI</w:t>
      </w:r>
      <w:r w:rsidR="0054377A" w:rsidRPr="0054377A">
        <w:rPr>
          <w:rFonts w:asciiTheme="minorHAnsi" w:hAnsiTheme="minorHAnsi" w:cstheme="minorHAnsi"/>
          <w:lang w:val="en-US"/>
        </w:rPr>
        <w:t xml:space="preserve">. Based on the results of the </w:t>
      </w:r>
      <w:proofErr w:type="spellStart"/>
      <w:r w:rsidR="0054377A" w:rsidRPr="0054377A">
        <w:rPr>
          <w:rFonts w:asciiTheme="minorHAnsi" w:hAnsiTheme="minorHAnsi" w:cstheme="minorHAnsi"/>
          <w:lang w:val="en-US"/>
        </w:rPr>
        <w:t>Sargan</w:t>
      </w:r>
      <w:proofErr w:type="spellEnd"/>
      <w:r w:rsidR="0054377A" w:rsidRPr="0054377A">
        <w:rPr>
          <w:rFonts w:asciiTheme="minorHAnsi" w:hAnsiTheme="minorHAnsi" w:cstheme="minorHAnsi"/>
          <w:lang w:val="en-US"/>
        </w:rPr>
        <w:t xml:space="preserve"> and Arellano bond test, the GMM system was chosen as the model.</w:t>
      </w:r>
      <w:r w:rsidR="0054377A">
        <w:rPr>
          <w:rFonts w:asciiTheme="minorHAnsi" w:hAnsiTheme="minorHAnsi" w:cstheme="minorHAnsi"/>
          <w:lang w:val="id-ID"/>
        </w:rPr>
        <w:t xml:space="preserve"> </w:t>
      </w:r>
      <w:r w:rsidRPr="004B157C">
        <w:rPr>
          <w:rFonts w:asciiTheme="minorHAnsi" w:hAnsiTheme="minorHAnsi" w:cstheme="minorHAnsi"/>
          <w:lang w:val="en-US"/>
        </w:rPr>
        <w:t xml:space="preserve">Based on the MRA test described in the previous chapter, political stability </w:t>
      </w:r>
      <w:proofErr w:type="gramStart"/>
      <w:r w:rsidRPr="004B157C">
        <w:rPr>
          <w:rFonts w:asciiTheme="minorHAnsi" w:hAnsiTheme="minorHAnsi" w:cstheme="minorHAnsi"/>
          <w:lang w:val="en-US"/>
        </w:rPr>
        <w:t>moderate</w:t>
      </w:r>
      <w:proofErr w:type="gramEnd"/>
      <w:r w:rsidRPr="004B157C">
        <w:rPr>
          <w:rFonts w:asciiTheme="minorHAnsi" w:hAnsiTheme="minorHAnsi" w:cstheme="minorHAnsi"/>
          <w:lang w:val="en-US"/>
        </w:rPr>
        <w:t xml:space="preserve"> the effect of unemployment on HDI</w:t>
      </w:r>
      <w:r w:rsidR="004B157C">
        <w:rPr>
          <w:rFonts w:asciiTheme="minorHAnsi" w:hAnsiTheme="minorHAnsi" w:cstheme="minorHAnsi"/>
          <w:lang w:val="id-ID"/>
        </w:rPr>
        <w:t>.</w:t>
      </w:r>
      <w:bookmarkStart w:id="7" w:name="_Toc68590899"/>
    </w:p>
    <w:p w14:paraId="11DB610F" w14:textId="77777777" w:rsidR="004C4762" w:rsidRPr="004C4762" w:rsidRDefault="004C4762" w:rsidP="004C4762">
      <w:pPr>
        <w:autoSpaceDE w:val="0"/>
        <w:autoSpaceDN w:val="0"/>
        <w:adjustRightInd w:val="0"/>
        <w:spacing w:after="0" w:line="240" w:lineRule="auto"/>
        <w:jc w:val="both"/>
        <w:rPr>
          <w:rFonts w:asciiTheme="minorHAnsi" w:hAnsiTheme="minorHAnsi" w:cstheme="minorHAnsi"/>
          <w:lang w:val="id-ID"/>
        </w:rPr>
      </w:pPr>
    </w:p>
    <w:p w14:paraId="75B8D81B" w14:textId="77777777" w:rsidR="00C76C5F" w:rsidRDefault="00C76C5F">
      <w:pPr>
        <w:rPr>
          <w:rFonts w:cstheme="minorHAnsi"/>
          <w:b/>
          <w:bCs/>
        </w:rPr>
      </w:pPr>
      <w:r>
        <w:rPr>
          <w:rFonts w:cstheme="minorHAnsi"/>
          <w:b/>
          <w:bCs/>
        </w:rPr>
        <w:br w:type="page"/>
      </w:r>
    </w:p>
    <w:p w14:paraId="2E2CCC54" w14:textId="0FA2DB04" w:rsidR="009B1F6F" w:rsidRDefault="000008D1" w:rsidP="009B1F6F">
      <w:pPr>
        <w:spacing w:line="240" w:lineRule="auto"/>
        <w:jc w:val="both"/>
        <w:outlineLvl w:val="1"/>
        <w:rPr>
          <w:rFonts w:cstheme="minorHAnsi"/>
          <w:b/>
          <w:bCs/>
          <w:lang w:val="id-ID"/>
        </w:rPr>
      </w:pPr>
      <w:r w:rsidRPr="000008D1">
        <w:rPr>
          <w:rFonts w:cstheme="minorHAnsi"/>
          <w:b/>
          <w:bCs/>
        </w:rPr>
        <w:lastRenderedPageBreak/>
        <w:t>Model Feasibility Test</w:t>
      </w:r>
      <w:r>
        <w:rPr>
          <w:rFonts w:cstheme="minorHAnsi"/>
          <w:b/>
          <w:bCs/>
          <w:lang w:val="id-ID"/>
        </w:rPr>
        <w:t xml:space="preserve"> </w:t>
      </w:r>
    </w:p>
    <w:p w14:paraId="3EF3D121" w14:textId="4F4771BA" w:rsidR="004C4762" w:rsidRPr="00C76C5F" w:rsidRDefault="004C4762" w:rsidP="00C76C5F">
      <w:pPr>
        <w:spacing w:line="240" w:lineRule="auto"/>
        <w:jc w:val="both"/>
        <w:outlineLvl w:val="2"/>
        <w:rPr>
          <w:rFonts w:cstheme="minorHAnsi"/>
          <w:b/>
          <w:bCs/>
        </w:rPr>
      </w:pPr>
      <w:bookmarkStart w:id="8" w:name="_Toc124100850"/>
      <w:r>
        <w:rPr>
          <w:rFonts w:cstheme="minorHAnsi"/>
          <w:b/>
          <w:bCs/>
          <w:lang w:val="id-ID"/>
        </w:rPr>
        <w:t>Consistency Test</w:t>
      </w:r>
      <w:r w:rsidRPr="00930A00">
        <w:rPr>
          <w:rFonts w:cstheme="minorHAnsi"/>
          <w:b/>
          <w:bCs/>
        </w:rPr>
        <w:t xml:space="preserve"> (Arellano Bond)</w:t>
      </w:r>
      <w:bookmarkEnd w:id="8"/>
      <w:r w:rsidRPr="00930A00">
        <w:rPr>
          <w:rFonts w:cstheme="minorHAnsi"/>
          <w:b/>
          <w:bCs/>
        </w:rPr>
        <w:t xml:space="preserve"> </w:t>
      </w:r>
    </w:p>
    <w:tbl>
      <w:tblPr>
        <w:tblpPr w:leftFromText="180" w:rightFromText="180" w:vertAnchor="text" w:horzAnchor="margin" w:tblpXSpec="center"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3"/>
        <w:gridCol w:w="1344"/>
        <w:gridCol w:w="1134"/>
        <w:gridCol w:w="1134"/>
        <w:gridCol w:w="1275"/>
      </w:tblGrid>
      <w:tr w:rsidR="004C4762" w:rsidRPr="00D26C10" w14:paraId="43F28ED6" w14:textId="77777777" w:rsidTr="004C4762">
        <w:trPr>
          <w:trHeight w:val="225"/>
        </w:trPr>
        <w:tc>
          <w:tcPr>
            <w:tcW w:w="1633" w:type="dxa"/>
          </w:tcPr>
          <w:p w14:paraId="7E38D033" w14:textId="77777777" w:rsidR="004C4762" w:rsidRPr="00D26C10" w:rsidRDefault="004C4762" w:rsidP="004C4762">
            <w:pPr>
              <w:autoSpaceDE w:val="0"/>
              <w:autoSpaceDN w:val="0"/>
              <w:adjustRightInd w:val="0"/>
              <w:jc w:val="center"/>
              <w:rPr>
                <w:rFonts w:asciiTheme="minorHAnsi" w:hAnsiTheme="minorHAnsi" w:cstheme="minorHAnsi"/>
                <w:b/>
                <w:bCs/>
                <w:color w:val="000000"/>
              </w:rPr>
            </w:pPr>
            <w:bookmarkStart w:id="9" w:name="_Toc124139722"/>
            <w:r w:rsidRPr="00D26C10">
              <w:rPr>
                <w:rFonts w:asciiTheme="minorHAnsi" w:hAnsiTheme="minorHAnsi" w:cstheme="minorHAnsi"/>
                <w:b/>
                <w:bCs/>
                <w:color w:val="000000"/>
              </w:rPr>
              <w:t>Test order</w:t>
            </w:r>
          </w:p>
        </w:tc>
        <w:tc>
          <w:tcPr>
            <w:tcW w:w="1344" w:type="dxa"/>
          </w:tcPr>
          <w:p w14:paraId="64982E49" w14:textId="77777777" w:rsidR="004C4762" w:rsidRPr="00D26C10" w:rsidRDefault="004C4762" w:rsidP="004C4762">
            <w:pPr>
              <w:autoSpaceDE w:val="0"/>
              <w:autoSpaceDN w:val="0"/>
              <w:adjustRightInd w:val="0"/>
              <w:ind w:right="10"/>
              <w:jc w:val="center"/>
              <w:rPr>
                <w:rFonts w:asciiTheme="minorHAnsi" w:hAnsiTheme="minorHAnsi" w:cstheme="minorHAnsi"/>
                <w:b/>
                <w:bCs/>
                <w:color w:val="000000"/>
              </w:rPr>
            </w:pPr>
            <w:r w:rsidRPr="00D26C10">
              <w:rPr>
                <w:rFonts w:asciiTheme="minorHAnsi" w:hAnsiTheme="minorHAnsi" w:cstheme="minorHAnsi"/>
                <w:b/>
                <w:bCs/>
                <w:color w:val="000000"/>
              </w:rPr>
              <w:t>m-Statistic</w:t>
            </w:r>
          </w:p>
        </w:tc>
        <w:tc>
          <w:tcPr>
            <w:tcW w:w="1134" w:type="dxa"/>
          </w:tcPr>
          <w:p w14:paraId="3D3486CE" w14:textId="77777777" w:rsidR="004C4762" w:rsidRPr="00D26C10" w:rsidRDefault="004C4762" w:rsidP="004C4762">
            <w:pPr>
              <w:autoSpaceDE w:val="0"/>
              <w:autoSpaceDN w:val="0"/>
              <w:adjustRightInd w:val="0"/>
              <w:ind w:right="10"/>
              <w:jc w:val="center"/>
              <w:rPr>
                <w:rFonts w:asciiTheme="minorHAnsi" w:hAnsiTheme="minorHAnsi" w:cstheme="minorHAnsi"/>
                <w:b/>
                <w:bCs/>
                <w:color w:val="000000"/>
              </w:rPr>
            </w:pPr>
            <w:r w:rsidRPr="00D26C10">
              <w:rPr>
                <w:rFonts w:asciiTheme="minorHAnsi" w:hAnsiTheme="minorHAnsi" w:cstheme="minorHAnsi"/>
                <w:b/>
                <w:bCs/>
                <w:color w:val="000000"/>
              </w:rPr>
              <w:t>rho</w:t>
            </w:r>
          </w:p>
        </w:tc>
        <w:tc>
          <w:tcPr>
            <w:tcW w:w="1134" w:type="dxa"/>
          </w:tcPr>
          <w:p w14:paraId="23244FF9" w14:textId="77777777" w:rsidR="004C4762" w:rsidRPr="00D26C10" w:rsidRDefault="004C4762" w:rsidP="004C4762">
            <w:pPr>
              <w:autoSpaceDE w:val="0"/>
              <w:autoSpaceDN w:val="0"/>
              <w:adjustRightInd w:val="0"/>
              <w:ind w:right="10"/>
              <w:jc w:val="center"/>
              <w:rPr>
                <w:rFonts w:asciiTheme="minorHAnsi" w:hAnsiTheme="minorHAnsi" w:cstheme="minorHAnsi"/>
                <w:b/>
                <w:bCs/>
                <w:color w:val="000000"/>
              </w:rPr>
            </w:pPr>
            <w:proofErr w:type="gramStart"/>
            <w:r w:rsidRPr="00D26C10">
              <w:rPr>
                <w:rFonts w:asciiTheme="minorHAnsi" w:hAnsiTheme="minorHAnsi" w:cstheme="minorHAnsi"/>
                <w:b/>
                <w:bCs/>
                <w:color w:val="000000"/>
              </w:rPr>
              <w:t>SE(</w:t>
            </w:r>
            <w:proofErr w:type="gramEnd"/>
            <w:r w:rsidRPr="00D26C10">
              <w:rPr>
                <w:rFonts w:asciiTheme="minorHAnsi" w:hAnsiTheme="minorHAnsi" w:cstheme="minorHAnsi"/>
                <w:b/>
                <w:bCs/>
                <w:color w:val="000000"/>
              </w:rPr>
              <w:t>rho)</w:t>
            </w:r>
          </w:p>
        </w:tc>
        <w:tc>
          <w:tcPr>
            <w:tcW w:w="1275" w:type="dxa"/>
          </w:tcPr>
          <w:p w14:paraId="431CD3B5" w14:textId="77777777" w:rsidR="004C4762" w:rsidRPr="00D26C10" w:rsidRDefault="004C4762" w:rsidP="004C4762">
            <w:pPr>
              <w:autoSpaceDE w:val="0"/>
              <w:autoSpaceDN w:val="0"/>
              <w:adjustRightInd w:val="0"/>
              <w:ind w:right="10"/>
              <w:jc w:val="center"/>
              <w:rPr>
                <w:rFonts w:asciiTheme="minorHAnsi" w:hAnsiTheme="minorHAnsi" w:cstheme="minorHAnsi"/>
                <w:b/>
                <w:bCs/>
                <w:color w:val="000000"/>
              </w:rPr>
            </w:pPr>
            <w:r w:rsidRPr="00D26C10">
              <w:rPr>
                <w:rFonts w:asciiTheme="minorHAnsi" w:hAnsiTheme="minorHAnsi" w:cstheme="minorHAnsi"/>
                <w:b/>
                <w:bCs/>
                <w:color w:val="000000"/>
              </w:rPr>
              <w:t>Prob.</w:t>
            </w:r>
          </w:p>
        </w:tc>
      </w:tr>
      <w:tr w:rsidR="004C4762" w:rsidRPr="00D26C10" w14:paraId="1134CAC8" w14:textId="77777777" w:rsidTr="004C4762">
        <w:trPr>
          <w:trHeight w:val="225"/>
        </w:trPr>
        <w:tc>
          <w:tcPr>
            <w:tcW w:w="1633" w:type="dxa"/>
          </w:tcPr>
          <w:p w14:paraId="4B5E778A" w14:textId="77777777" w:rsidR="004C4762" w:rsidRPr="00D26C10" w:rsidRDefault="004C4762" w:rsidP="004C4762">
            <w:pPr>
              <w:autoSpaceDE w:val="0"/>
              <w:autoSpaceDN w:val="0"/>
              <w:adjustRightInd w:val="0"/>
              <w:jc w:val="center"/>
              <w:rPr>
                <w:rFonts w:asciiTheme="minorHAnsi" w:hAnsiTheme="minorHAnsi" w:cstheme="minorHAnsi"/>
                <w:color w:val="000000"/>
              </w:rPr>
            </w:pPr>
            <w:r w:rsidRPr="00D26C10">
              <w:rPr>
                <w:rFonts w:asciiTheme="minorHAnsi" w:hAnsiTheme="minorHAnsi" w:cstheme="minorHAnsi"/>
                <w:color w:val="000000"/>
              </w:rPr>
              <w:t>AR</w:t>
            </w:r>
            <w:r>
              <w:rPr>
                <w:rFonts w:asciiTheme="minorHAnsi" w:hAnsiTheme="minorHAnsi" w:cstheme="minorHAnsi"/>
                <w:color w:val="000000"/>
                <w:lang w:val="id-ID"/>
              </w:rPr>
              <w:t xml:space="preserve"> </w:t>
            </w:r>
            <w:r w:rsidRPr="00D26C10">
              <w:rPr>
                <w:rFonts w:asciiTheme="minorHAnsi" w:hAnsiTheme="minorHAnsi" w:cstheme="minorHAnsi"/>
                <w:color w:val="000000"/>
              </w:rPr>
              <w:t>(1)</w:t>
            </w:r>
          </w:p>
        </w:tc>
        <w:tc>
          <w:tcPr>
            <w:tcW w:w="1344" w:type="dxa"/>
          </w:tcPr>
          <w:p w14:paraId="021CD422" w14:textId="77777777" w:rsidR="004C4762" w:rsidRPr="00D26C10" w:rsidRDefault="004C4762" w:rsidP="004C4762">
            <w:pPr>
              <w:autoSpaceDE w:val="0"/>
              <w:autoSpaceDN w:val="0"/>
              <w:adjustRightInd w:val="0"/>
              <w:ind w:right="10"/>
              <w:jc w:val="center"/>
              <w:rPr>
                <w:rFonts w:asciiTheme="minorHAnsi" w:hAnsiTheme="minorHAnsi" w:cstheme="minorHAnsi"/>
                <w:color w:val="000000"/>
              </w:rPr>
            </w:pPr>
            <w:r w:rsidRPr="00D26C10">
              <w:rPr>
                <w:rFonts w:asciiTheme="minorHAnsi" w:hAnsiTheme="minorHAnsi" w:cstheme="minorHAnsi"/>
                <w:color w:val="000000"/>
              </w:rPr>
              <w:t>-2.896027</w:t>
            </w:r>
          </w:p>
        </w:tc>
        <w:tc>
          <w:tcPr>
            <w:tcW w:w="1134" w:type="dxa"/>
          </w:tcPr>
          <w:p w14:paraId="2702DE84" w14:textId="77777777" w:rsidR="004C4762" w:rsidRPr="00D26C10" w:rsidRDefault="004C4762" w:rsidP="004C4762">
            <w:pPr>
              <w:autoSpaceDE w:val="0"/>
              <w:autoSpaceDN w:val="0"/>
              <w:adjustRightInd w:val="0"/>
              <w:ind w:right="10"/>
              <w:jc w:val="center"/>
              <w:rPr>
                <w:rFonts w:asciiTheme="minorHAnsi" w:hAnsiTheme="minorHAnsi" w:cstheme="minorHAnsi"/>
                <w:color w:val="000000"/>
              </w:rPr>
            </w:pPr>
            <w:r w:rsidRPr="00D26C10">
              <w:rPr>
                <w:rFonts w:asciiTheme="minorHAnsi" w:hAnsiTheme="minorHAnsi" w:cstheme="minorHAnsi"/>
                <w:color w:val="000000"/>
              </w:rPr>
              <w:t>-0.082402</w:t>
            </w:r>
          </w:p>
        </w:tc>
        <w:tc>
          <w:tcPr>
            <w:tcW w:w="1134" w:type="dxa"/>
          </w:tcPr>
          <w:p w14:paraId="341F3058" w14:textId="77777777" w:rsidR="004C4762" w:rsidRPr="00D26C10" w:rsidRDefault="004C4762" w:rsidP="004C4762">
            <w:pPr>
              <w:autoSpaceDE w:val="0"/>
              <w:autoSpaceDN w:val="0"/>
              <w:adjustRightInd w:val="0"/>
              <w:ind w:right="10"/>
              <w:jc w:val="center"/>
              <w:rPr>
                <w:rFonts w:asciiTheme="minorHAnsi" w:hAnsiTheme="minorHAnsi" w:cstheme="minorHAnsi"/>
                <w:color w:val="000000"/>
              </w:rPr>
            </w:pPr>
            <w:r w:rsidRPr="00D26C10">
              <w:rPr>
                <w:rFonts w:asciiTheme="minorHAnsi" w:hAnsiTheme="minorHAnsi" w:cstheme="minorHAnsi"/>
                <w:color w:val="000000"/>
              </w:rPr>
              <w:t>0.028453</w:t>
            </w:r>
          </w:p>
        </w:tc>
        <w:tc>
          <w:tcPr>
            <w:tcW w:w="1275" w:type="dxa"/>
          </w:tcPr>
          <w:p w14:paraId="2B8E67E7" w14:textId="77777777" w:rsidR="004C4762" w:rsidRPr="00D26C10" w:rsidRDefault="004C4762" w:rsidP="004C4762">
            <w:pPr>
              <w:autoSpaceDE w:val="0"/>
              <w:autoSpaceDN w:val="0"/>
              <w:adjustRightInd w:val="0"/>
              <w:ind w:right="10"/>
              <w:jc w:val="center"/>
              <w:rPr>
                <w:rFonts w:asciiTheme="minorHAnsi" w:hAnsiTheme="minorHAnsi" w:cstheme="minorHAnsi"/>
                <w:color w:val="000000"/>
              </w:rPr>
            </w:pPr>
            <w:r w:rsidRPr="00D26C10">
              <w:rPr>
                <w:rFonts w:asciiTheme="minorHAnsi" w:hAnsiTheme="minorHAnsi" w:cstheme="minorHAnsi"/>
                <w:color w:val="000000"/>
              </w:rPr>
              <w:t>0.0038</w:t>
            </w:r>
          </w:p>
        </w:tc>
      </w:tr>
      <w:tr w:rsidR="004C4762" w:rsidRPr="00D26C10" w14:paraId="5F149BC3" w14:textId="77777777" w:rsidTr="004C4762">
        <w:trPr>
          <w:trHeight w:val="225"/>
        </w:trPr>
        <w:tc>
          <w:tcPr>
            <w:tcW w:w="1633" w:type="dxa"/>
          </w:tcPr>
          <w:p w14:paraId="31542789" w14:textId="77777777" w:rsidR="004C4762" w:rsidRPr="00D26C10" w:rsidRDefault="004C4762" w:rsidP="004C4762">
            <w:pPr>
              <w:autoSpaceDE w:val="0"/>
              <w:autoSpaceDN w:val="0"/>
              <w:adjustRightInd w:val="0"/>
              <w:jc w:val="center"/>
              <w:rPr>
                <w:rFonts w:asciiTheme="minorHAnsi" w:hAnsiTheme="minorHAnsi" w:cstheme="minorHAnsi"/>
                <w:color w:val="000000"/>
              </w:rPr>
            </w:pPr>
            <w:r w:rsidRPr="00D26C10">
              <w:rPr>
                <w:rFonts w:asciiTheme="minorHAnsi" w:hAnsiTheme="minorHAnsi" w:cstheme="minorHAnsi"/>
                <w:color w:val="000000"/>
              </w:rPr>
              <w:t>AR</w:t>
            </w:r>
            <w:r>
              <w:rPr>
                <w:rFonts w:asciiTheme="minorHAnsi" w:hAnsiTheme="minorHAnsi" w:cstheme="minorHAnsi"/>
                <w:color w:val="000000"/>
                <w:lang w:val="id-ID"/>
              </w:rPr>
              <w:t xml:space="preserve"> </w:t>
            </w:r>
            <w:r w:rsidRPr="00D26C10">
              <w:rPr>
                <w:rFonts w:asciiTheme="minorHAnsi" w:hAnsiTheme="minorHAnsi" w:cstheme="minorHAnsi"/>
                <w:color w:val="000000"/>
              </w:rPr>
              <w:t>(2)</w:t>
            </w:r>
          </w:p>
        </w:tc>
        <w:tc>
          <w:tcPr>
            <w:tcW w:w="1344" w:type="dxa"/>
          </w:tcPr>
          <w:p w14:paraId="047D7430" w14:textId="77777777" w:rsidR="004C4762" w:rsidRPr="00D26C10" w:rsidRDefault="004C4762" w:rsidP="004C4762">
            <w:pPr>
              <w:autoSpaceDE w:val="0"/>
              <w:autoSpaceDN w:val="0"/>
              <w:adjustRightInd w:val="0"/>
              <w:ind w:right="10"/>
              <w:jc w:val="center"/>
              <w:rPr>
                <w:rFonts w:asciiTheme="minorHAnsi" w:hAnsiTheme="minorHAnsi" w:cstheme="minorHAnsi"/>
                <w:color w:val="000000"/>
              </w:rPr>
            </w:pPr>
            <w:r w:rsidRPr="00D26C10">
              <w:rPr>
                <w:rFonts w:asciiTheme="minorHAnsi" w:hAnsiTheme="minorHAnsi" w:cstheme="minorHAnsi"/>
                <w:color w:val="000000"/>
              </w:rPr>
              <w:t>-2.499561</w:t>
            </w:r>
          </w:p>
        </w:tc>
        <w:tc>
          <w:tcPr>
            <w:tcW w:w="1134" w:type="dxa"/>
          </w:tcPr>
          <w:p w14:paraId="5BDEF881" w14:textId="77777777" w:rsidR="004C4762" w:rsidRPr="00D26C10" w:rsidRDefault="004C4762" w:rsidP="004C4762">
            <w:pPr>
              <w:autoSpaceDE w:val="0"/>
              <w:autoSpaceDN w:val="0"/>
              <w:adjustRightInd w:val="0"/>
              <w:ind w:right="10"/>
              <w:jc w:val="center"/>
              <w:rPr>
                <w:rFonts w:asciiTheme="minorHAnsi" w:hAnsiTheme="minorHAnsi" w:cstheme="minorHAnsi"/>
                <w:color w:val="000000"/>
              </w:rPr>
            </w:pPr>
            <w:r w:rsidRPr="00D26C10">
              <w:rPr>
                <w:rFonts w:asciiTheme="minorHAnsi" w:hAnsiTheme="minorHAnsi" w:cstheme="minorHAnsi"/>
                <w:color w:val="000000"/>
              </w:rPr>
              <w:t>-0.025558</w:t>
            </w:r>
          </w:p>
        </w:tc>
        <w:tc>
          <w:tcPr>
            <w:tcW w:w="1134" w:type="dxa"/>
          </w:tcPr>
          <w:p w14:paraId="13F04701" w14:textId="77777777" w:rsidR="004C4762" w:rsidRPr="00D26C10" w:rsidRDefault="004C4762" w:rsidP="004C4762">
            <w:pPr>
              <w:autoSpaceDE w:val="0"/>
              <w:autoSpaceDN w:val="0"/>
              <w:adjustRightInd w:val="0"/>
              <w:ind w:right="10"/>
              <w:jc w:val="center"/>
              <w:rPr>
                <w:rFonts w:asciiTheme="minorHAnsi" w:hAnsiTheme="minorHAnsi" w:cstheme="minorHAnsi"/>
                <w:color w:val="000000"/>
              </w:rPr>
            </w:pPr>
            <w:r w:rsidRPr="00D26C10">
              <w:rPr>
                <w:rFonts w:asciiTheme="minorHAnsi" w:hAnsiTheme="minorHAnsi" w:cstheme="minorHAnsi"/>
                <w:color w:val="000000"/>
              </w:rPr>
              <w:t>0.010225</w:t>
            </w:r>
          </w:p>
        </w:tc>
        <w:tc>
          <w:tcPr>
            <w:tcW w:w="1275" w:type="dxa"/>
          </w:tcPr>
          <w:p w14:paraId="03E0B88D" w14:textId="77777777" w:rsidR="004C4762" w:rsidRPr="00D26C10" w:rsidRDefault="004C4762" w:rsidP="004C4762">
            <w:pPr>
              <w:autoSpaceDE w:val="0"/>
              <w:autoSpaceDN w:val="0"/>
              <w:adjustRightInd w:val="0"/>
              <w:ind w:right="10"/>
              <w:jc w:val="center"/>
              <w:rPr>
                <w:rFonts w:asciiTheme="minorHAnsi" w:hAnsiTheme="minorHAnsi" w:cstheme="minorHAnsi"/>
                <w:color w:val="000000"/>
              </w:rPr>
            </w:pPr>
            <w:r w:rsidRPr="00D26C10">
              <w:rPr>
                <w:rFonts w:asciiTheme="minorHAnsi" w:hAnsiTheme="minorHAnsi" w:cstheme="minorHAnsi"/>
                <w:color w:val="000000"/>
              </w:rPr>
              <w:t>0.0124</w:t>
            </w:r>
          </w:p>
        </w:tc>
      </w:tr>
    </w:tbl>
    <w:p w14:paraId="70E62945" w14:textId="7DB0477A" w:rsidR="009B1F6F" w:rsidRPr="00D26C10" w:rsidRDefault="009B1F6F" w:rsidP="004C4762">
      <w:pPr>
        <w:pStyle w:val="Caption"/>
        <w:jc w:val="center"/>
        <w:rPr>
          <w:rFonts w:cstheme="minorHAnsi"/>
          <w:b/>
          <w:bCs/>
        </w:rPr>
      </w:pPr>
      <w:r w:rsidRPr="00D26C10">
        <w:rPr>
          <w:rFonts w:cstheme="minorHAnsi"/>
          <w:b/>
          <w:bCs/>
          <w:i w:val="0"/>
          <w:iCs w:val="0"/>
          <w:color w:val="auto"/>
          <w:sz w:val="22"/>
          <w:szCs w:val="22"/>
        </w:rPr>
        <w:t xml:space="preserve">Tabel </w:t>
      </w:r>
      <w:r w:rsidR="00206723">
        <w:rPr>
          <w:rFonts w:cstheme="minorHAnsi"/>
          <w:b/>
          <w:bCs/>
          <w:i w:val="0"/>
          <w:iCs w:val="0"/>
          <w:color w:val="auto"/>
          <w:sz w:val="22"/>
          <w:szCs w:val="22"/>
        </w:rPr>
        <w:t>1</w:t>
      </w:r>
      <w:r w:rsidRPr="00D26C10">
        <w:rPr>
          <w:rFonts w:cstheme="minorHAnsi"/>
          <w:b/>
          <w:bCs/>
          <w:i w:val="0"/>
          <w:iCs w:val="0"/>
          <w:color w:val="auto"/>
          <w:sz w:val="22"/>
          <w:szCs w:val="22"/>
        </w:rPr>
        <w:t>.</w:t>
      </w:r>
      <w:r w:rsidR="00823C90">
        <w:rPr>
          <w:rFonts w:cstheme="minorHAnsi"/>
          <w:b/>
          <w:bCs/>
          <w:i w:val="0"/>
          <w:iCs w:val="0"/>
          <w:color w:val="auto"/>
          <w:sz w:val="22"/>
          <w:szCs w:val="22"/>
        </w:rPr>
        <w:t>6</w:t>
      </w:r>
      <w:r w:rsidRPr="00D26C10">
        <w:rPr>
          <w:rFonts w:cstheme="minorHAnsi"/>
          <w:b/>
          <w:bCs/>
          <w:i w:val="0"/>
          <w:iCs w:val="0"/>
          <w:color w:val="auto"/>
          <w:sz w:val="22"/>
          <w:szCs w:val="22"/>
        </w:rPr>
        <w:t xml:space="preserve"> Uji Arellano Bond</w:t>
      </w:r>
      <w:bookmarkEnd w:id="9"/>
    </w:p>
    <w:p w14:paraId="48CA40C4" w14:textId="77777777" w:rsidR="009B1F6F" w:rsidRPr="00D26C10" w:rsidRDefault="009B1F6F" w:rsidP="009B1F6F">
      <w:pPr>
        <w:spacing w:line="240" w:lineRule="auto"/>
        <w:ind w:left="1080" w:firstLine="1080"/>
        <w:rPr>
          <w:rFonts w:cstheme="minorHAnsi"/>
        </w:rPr>
      </w:pPr>
    </w:p>
    <w:p w14:paraId="12236D0F" w14:textId="32DE3236" w:rsidR="009B1F6F" w:rsidRDefault="00D01AC0" w:rsidP="009B1F6F">
      <w:pPr>
        <w:spacing w:line="240" w:lineRule="auto"/>
        <w:jc w:val="both"/>
        <w:outlineLvl w:val="2"/>
        <w:rPr>
          <w:rFonts w:cstheme="minorHAnsi"/>
        </w:rPr>
      </w:pPr>
      <w:bookmarkStart w:id="10" w:name="_Toc124100851"/>
      <w:r w:rsidRPr="00D01AC0">
        <w:rPr>
          <w:rFonts w:cstheme="minorHAnsi"/>
        </w:rPr>
        <w:t xml:space="preserve">Table 1.6 shows that the probability values (AR1) and (AR2) are 0.0038 and 0.0124, respectively. </w:t>
      </w:r>
      <w:r w:rsidR="009B1F6F" w:rsidRPr="00D01AC0">
        <w:rPr>
          <w:rFonts w:cstheme="minorHAnsi"/>
        </w:rPr>
        <w:t>both</w:t>
      </w:r>
      <w:r w:rsidR="009B1F6F" w:rsidRPr="00A0127A">
        <w:rPr>
          <w:rFonts w:cstheme="minorHAnsi"/>
        </w:rPr>
        <w:t xml:space="preserve"> of which are less than α 0.05. This shows the existence of autocorrelation in errors. Thus the researcher uses the alternative described by </w:t>
      </w:r>
      <w:r w:rsidR="00E205CC">
        <w:rPr>
          <w:rFonts w:cstheme="minorHAnsi"/>
        </w:rPr>
        <w:fldChar w:fldCharType="begin" w:fldLock="1"/>
      </w:r>
      <w:r w:rsidR="004843F7">
        <w:rPr>
          <w:rFonts w:cstheme="minorHAnsi"/>
        </w:rPr>
        <w:instrText>ADDIN CSL_CITATION {"citationItems":[{"id":"ITEM-1","itemData":{"ISBN":"0304407694016","abstract":"This article develops a framework for efficient IV estimators of random effects models with information in levels which can accommodate predetermined variables. Our formulation clarifies the relationship between the existing estimators and the role of transformations in panel data models. We characterize the valid transformations for relevant models and show that optimal estimators are invariant to the transformation used to remove individual effects. We present an alternative transformation for models with predetermined instruments which preserves the orthogonality among the errors. Finally, we consider models with predetermined variables that have constant correlation with the effects and illustrate their importance with simulations.","author":[{"dropping-particle":"","family":"Manuel","given":"Arellano","non-dropping-particle":"","parse-names":false,"suffix":""},{"dropping-particle":"","family":"Bover Olympia","given":"","non-dropping-particle":"","parse-names":false,"suffix":""}],"container-title":"Journal of econometrics","id":"ITEM-1","issue":"1","issued":{"date-parts":[["1995"]]},"page":"29–51","title":"Another look at the instrumental variable estimation of error-components models","type":"article-journal","volume":"68"},"uris":["http://www.mendeley.com/documents/?uuid=34bbed3b-e443-4dcf-98c3-43443f23fe56"]}],"mendeley":{"formattedCitation":"(Manuel &amp; Bover Olympia, 1995)","plainTextFormattedCitation":"(Manuel &amp; Bover Olympia, 1995)","previouslyFormattedCitation":"(Manuel &amp; Bover Olympia, 1995)"},"properties":{"noteIndex":0},"schema":"https://github.com/citation-style-language/schema/raw/master/csl-citation.json"}</w:instrText>
      </w:r>
      <w:r w:rsidR="00E205CC">
        <w:rPr>
          <w:rFonts w:cstheme="minorHAnsi"/>
        </w:rPr>
        <w:fldChar w:fldCharType="separate"/>
      </w:r>
      <w:r w:rsidR="00E205CC" w:rsidRPr="00E205CC">
        <w:rPr>
          <w:rFonts w:cstheme="minorHAnsi"/>
          <w:noProof/>
        </w:rPr>
        <w:t>(Manuel &amp; Bover Olympia, 1995)</w:t>
      </w:r>
      <w:r w:rsidR="00E205CC">
        <w:rPr>
          <w:rFonts w:cstheme="minorHAnsi"/>
        </w:rPr>
        <w:fldChar w:fldCharType="end"/>
      </w:r>
      <w:r w:rsidR="009B1F6F" w:rsidRPr="00A0127A">
        <w:rPr>
          <w:rFonts w:cstheme="minorHAnsi"/>
        </w:rPr>
        <w:t xml:space="preserve"> that the model that can be used to estimate the influence between variables is the GMM system which combines the first different regression and the regression at the level.</w:t>
      </w:r>
    </w:p>
    <w:p w14:paraId="741B815B" w14:textId="77777777" w:rsidR="009B1F6F" w:rsidRDefault="009B1F6F" w:rsidP="009B1F6F">
      <w:pPr>
        <w:spacing w:line="240" w:lineRule="auto"/>
        <w:jc w:val="both"/>
        <w:outlineLvl w:val="2"/>
        <w:rPr>
          <w:rFonts w:cstheme="minorHAnsi"/>
        </w:rPr>
      </w:pPr>
    </w:p>
    <w:bookmarkEnd w:id="7"/>
    <w:bookmarkEnd w:id="10"/>
    <w:p w14:paraId="1633466D" w14:textId="77777777" w:rsidR="00CA1198" w:rsidRPr="00CA1198" w:rsidRDefault="00CA1198" w:rsidP="00CA1198">
      <w:pPr>
        <w:pStyle w:val="Caption"/>
        <w:rPr>
          <w:rFonts w:ascii="Calibri" w:eastAsia="Calibri" w:hAnsi="Calibri" w:cstheme="minorHAnsi"/>
          <w:b/>
          <w:bCs/>
          <w:i w:val="0"/>
          <w:iCs w:val="0"/>
          <w:color w:val="auto"/>
          <w:sz w:val="22"/>
          <w:szCs w:val="22"/>
          <w:lang w:val="en-ID" w:eastAsia="id-ID"/>
        </w:rPr>
      </w:pPr>
      <w:r w:rsidRPr="00CA1198">
        <w:rPr>
          <w:rFonts w:ascii="Calibri" w:eastAsia="Calibri" w:hAnsi="Calibri" w:cstheme="minorHAnsi"/>
          <w:b/>
          <w:bCs/>
          <w:i w:val="0"/>
          <w:iCs w:val="0"/>
          <w:color w:val="auto"/>
          <w:sz w:val="22"/>
          <w:szCs w:val="22"/>
          <w:lang w:val="en-ID" w:eastAsia="id-ID"/>
        </w:rPr>
        <w:t>Model Specifications Test (Sargan Test)</w:t>
      </w:r>
    </w:p>
    <w:p w14:paraId="1FCE1073" w14:textId="7D99BC8E" w:rsidR="009B1F6F" w:rsidRPr="00D26C10" w:rsidRDefault="00CA1198" w:rsidP="00CA1198">
      <w:pPr>
        <w:pStyle w:val="Caption"/>
        <w:ind w:left="2880" w:firstLine="720"/>
        <w:rPr>
          <w:rFonts w:cstheme="minorHAnsi"/>
          <w:b/>
          <w:bCs/>
          <w:i w:val="0"/>
          <w:iCs w:val="0"/>
          <w:color w:val="auto"/>
          <w:sz w:val="22"/>
          <w:szCs w:val="22"/>
        </w:rPr>
      </w:pPr>
      <w:r w:rsidRPr="00CA1198">
        <w:rPr>
          <w:rFonts w:ascii="Calibri" w:eastAsia="Calibri" w:hAnsi="Calibri" w:cstheme="minorHAnsi"/>
          <w:b/>
          <w:bCs/>
          <w:i w:val="0"/>
          <w:iCs w:val="0"/>
          <w:color w:val="auto"/>
          <w:sz w:val="22"/>
          <w:szCs w:val="22"/>
          <w:lang w:val="en-ID" w:eastAsia="id-ID"/>
        </w:rPr>
        <w:t xml:space="preserve">Table </w:t>
      </w:r>
      <w:r w:rsidR="00206723">
        <w:rPr>
          <w:rFonts w:ascii="Calibri" w:eastAsia="Calibri" w:hAnsi="Calibri" w:cstheme="minorHAnsi"/>
          <w:b/>
          <w:bCs/>
          <w:i w:val="0"/>
          <w:iCs w:val="0"/>
          <w:color w:val="auto"/>
          <w:sz w:val="22"/>
          <w:szCs w:val="22"/>
          <w:lang w:eastAsia="id-ID"/>
        </w:rPr>
        <w:t>1</w:t>
      </w:r>
      <w:r w:rsidRPr="00CA1198">
        <w:rPr>
          <w:rFonts w:ascii="Calibri" w:eastAsia="Calibri" w:hAnsi="Calibri" w:cstheme="minorHAnsi"/>
          <w:b/>
          <w:bCs/>
          <w:i w:val="0"/>
          <w:iCs w:val="0"/>
          <w:color w:val="auto"/>
          <w:sz w:val="22"/>
          <w:szCs w:val="22"/>
          <w:lang w:val="en-ID" w:eastAsia="id-ID"/>
        </w:rPr>
        <w:t>.</w:t>
      </w:r>
      <w:r w:rsidR="00823C90">
        <w:rPr>
          <w:rFonts w:ascii="Calibri" w:eastAsia="Calibri" w:hAnsi="Calibri" w:cstheme="minorHAnsi"/>
          <w:b/>
          <w:bCs/>
          <w:i w:val="0"/>
          <w:iCs w:val="0"/>
          <w:color w:val="auto"/>
          <w:sz w:val="22"/>
          <w:szCs w:val="22"/>
          <w:lang w:eastAsia="id-ID"/>
        </w:rPr>
        <w:t>7</w:t>
      </w:r>
      <w:r w:rsidRPr="00CA1198">
        <w:rPr>
          <w:rFonts w:ascii="Calibri" w:eastAsia="Calibri" w:hAnsi="Calibri" w:cstheme="minorHAnsi"/>
          <w:b/>
          <w:bCs/>
          <w:i w:val="0"/>
          <w:iCs w:val="0"/>
          <w:color w:val="auto"/>
          <w:sz w:val="22"/>
          <w:szCs w:val="22"/>
          <w:lang w:val="en-ID" w:eastAsia="id-ID"/>
        </w:rPr>
        <w:t xml:space="preserve"> </w:t>
      </w:r>
      <w:proofErr w:type="spellStart"/>
      <w:r w:rsidRPr="00CA1198">
        <w:rPr>
          <w:rFonts w:ascii="Calibri" w:eastAsia="Calibri" w:hAnsi="Calibri" w:cstheme="minorHAnsi"/>
          <w:b/>
          <w:bCs/>
          <w:i w:val="0"/>
          <w:iCs w:val="0"/>
          <w:color w:val="auto"/>
          <w:sz w:val="22"/>
          <w:szCs w:val="22"/>
          <w:lang w:val="en-ID" w:eastAsia="id-ID"/>
        </w:rPr>
        <w:t>Sargan</w:t>
      </w:r>
      <w:proofErr w:type="spellEnd"/>
      <w:r w:rsidRPr="00CA1198">
        <w:rPr>
          <w:rFonts w:ascii="Calibri" w:eastAsia="Calibri" w:hAnsi="Calibri" w:cstheme="minorHAnsi"/>
          <w:b/>
          <w:bCs/>
          <w:i w:val="0"/>
          <w:iCs w:val="0"/>
          <w:color w:val="auto"/>
          <w:sz w:val="22"/>
          <w:szCs w:val="22"/>
          <w:lang w:val="en-ID" w:eastAsia="id-ID"/>
        </w:rPr>
        <w:t xml:space="preserve"> Test Results</w:t>
      </w:r>
    </w:p>
    <w:tbl>
      <w:tblPr>
        <w:tblpPr w:leftFromText="180" w:rightFromText="180" w:vertAnchor="text" w:horzAnchor="page" w:tblpX="1951"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7"/>
        <w:gridCol w:w="1063"/>
        <w:gridCol w:w="2214"/>
        <w:gridCol w:w="567"/>
      </w:tblGrid>
      <w:tr w:rsidR="009B1F6F" w:rsidRPr="00D26C10" w14:paraId="00AE01D0" w14:textId="77777777" w:rsidTr="009B1F6F">
        <w:trPr>
          <w:trHeight w:val="225"/>
        </w:trPr>
        <w:tc>
          <w:tcPr>
            <w:tcW w:w="7294" w:type="dxa"/>
            <w:gridSpan w:val="3"/>
          </w:tcPr>
          <w:p w14:paraId="3F59D283" w14:textId="77777777" w:rsidR="009B1F6F" w:rsidRPr="00D26C10" w:rsidRDefault="009B1F6F" w:rsidP="009B1F6F">
            <w:pPr>
              <w:autoSpaceDE w:val="0"/>
              <w:autoSpaceDN w:val="0"/>
              <w:adjustRightInd w:val="0"/>
              <w:jc w:val="center"/>
              <w:rPr>
                <w:rFonts w:asciiTheme="minorHAnsi" w:hAnsiTheme="minorHAnsi" w:cstheme="minorHAnsi"/>
                <w:b/>
                <w:bCs/>
                <w:color w:val="000000"/>
              </w:rPr>
            </w:pPr>
            <w:r w:rsidRPr="00D26C10">
              <w:rPr>
                <w:rFonts w:asciiTheme="minorHAnsi" w:hAnsiTheme="minorHAnsi" w:cstheme="minorHAnsi"/>
                <w:b/>
                <w:bCs/>
                <w:color w:val="000000"/>
              </w:rPr>
              <w:t>Cross-section fixed (orthogonal deviations)</w:t>
            </w:r>
          </w:p>
        </w:tc>
        <w:tc>
          <w:tcPr>
            <w:tcW w:w="567" w:type="dxa"/>
          </w:tcPr>
          <w:p w14:paraId="73EDB10C" w14:textId="77777777" w:rsidR="009B1F6F" w:rsidRPr="00D26C10" w:rsidRDefault="009B1F6F" w:rsidP="009B1F6F">
            <w:pPr>
              <w:autoSpaceDE w:val="0"/>
              <w:autoSpaceDN w:val="0"/>
              <w:adjustRightInd w:val="0"/>
              <w:jc w:val="center"/>
              <w:rPr>
                <w:rFonts w:asciiTheme="minorHAnsi" w:hAnsiTheme="minorHAnsi" w:cstheme="minorHAnsi"/>
                <w:color w:val="000000"/>
              </w:rPr>
            </w:pPr>
          </w:p>
        </w:tc>
      </w:tr>
      <w:tr w:rsidR="009B1F6F" w:rsidRPr="00D26C10" w14:paraId="4F0A22DD" w14:textId="77777777" w:rsidTr="009B1F6F">
        <w:trPr>
          <w:trHeight w:val="225"/>
        </w:trPr>
        <w:tc>
          <w:tcPr>
            <w:tcW w:w="4017" w:type="dxa"/>
          </w:tcPr>
          <w:p w14:paraId="2E884422" w14:textId="77777777" w:rsidR="009B1F6F" w:rsidRPr="00D26C10" w:rsidRDefault="009B1F6F" w:rsidP="009B1F6F">
            <w:pPr>
              <w:autoSpaceDE w:val="0"/>
              <w:autoSpaceDN w:val="0"/>
              <w:adjustRightInd w:val="0"/>
              <w:rPr>
                <w:rFonts w:asciiTheme="minorHAnsi" w:hAnsiTheme="minorHAnsi" w:cstheme="minorHAnsi"/>
                <w:color w:val="000000"/>
              </w:rPr>
            </w:pPr>
            <w:r w:rsidRPr="00D26C10">
              <w:rPr>
                <w:rFonts w:asciiTheme="minorHAnsi" w:hAnsiTheme="minorHAnsi" w:cstheme="minorHAnsi"/>
                <w:color w:val="000000"/>
              </w:rPr>
              <w:t>J-statistic</w:t>
            </w:r>
          </w:p>
        </w:tc>
        <w:tc>
          <w:tcPr>
            <w:tcW w:w="0" w:type="auto"/>
          </w:tcPr>
          <w:p w14:paraId="3CAA8F57" w14:textId="77777777" w:rsidR="009B1F6F" w:rsidRPr="00D26C10" w:rsidRDefault="009B1F6F" w:rsidP="009B1F6F">
            <w:pPr>
              <w:autoSpaceDE w:val="0"/>
              <w:autoSpaceDN w:val="0"/>
              <w:adjustRightInd w:val="0"/>
              <w:ind w:right="10"/>
              <w:jc w:val="right"/>
              <w:rPr>
                <w:rFonts w:asciiTheme="minorHAnsi" w:hAnsiTheme="minorHAnsi" w:cstheme="minorHAnsi"/>
                <w:color w:val="000000"/>
              </w:rPr>
            </w:pPr>
            <w:r w:rsidRPr="00D26C10">
              <w:rPr>
                <w:rFonts w:asciiTheme="minorHAnsi" w:hAnsiTheme="minorHAnsi" w:cstheme="minorHAnsi"/>
                <w:color w:val="000000"/>
              </w:rPr>
              <w:t>16.97387</w:t>
            </w:r>
          </w:p>
        </w:tc>
        <w:tc>
          <w:tcPr>
            <w:tcW w:w="2214" w:type="dxa"/>
          </w:tcPr>
          <w:p w14:paraId="7649CA6A" w14:textId="77777777" w:rsidR="009B1F6F" w:rsidRPr="00D26C10" w:rsidRDefault="009B1F6F" w:rsidP="009B1F6F">
            <w:pPr>
              <w:autoSpaceDE w:val="0"/>
              <w:autoSpaceDN w:val="0"/>
              <w:adjustRightInd w:val="0"/>
              <w:ind w:right="10"/>
              <w:rPr>
                <w:rFonts w:asciiTheme="minorHAnsi" w:hAnsiTheme="minorHAnsi" w:cstheme="minorHAnsi"/>
                <w:color w:val="000000"/>
                <w:lang w:val="id-ID"/>
              </w:rPr>
            </w:pPr>
            <w:r w:rsidRPr="00D26C10">
              <w:rPr>
                <w:rFonts w:asciiTheme="minorHAnsi" w:hAnsiTheme="minorHAnsi" w:cstheme="minorHAnsi"/>
                <w:color w:val="000000"/>
              </w:rPr>
              <w:t>    </w:t>
            </w:r>
            <w:r w:rsidRPr="00D26C10">
              <w:rPr>
                <w:rFonts w:asciiTheme="minorHAnsi" w:hAnsiTheme="minorHAnsi" w:cstheme="minorHAnsi"/>
                <w:color w:val="000000"/>
                <w:lang w:val="id-ID"/>
              </w:rPr>
              <w:t>Jumlah instrumen</w:t>
            </w:r>
          </w:p>
        </w:tc>
        <w:tc>
          <w:tcPr>
            <w:tcW w:w="567" w:type="dxa"/>
          </w:tcPr>
          <w:p w14:paraId="07E749E2" w14:textId="77777777" w:rsidR="009B1F6F" w:rsidRPr="00D26C10" w:rsidRDefault="009B1F6F" w:rsidP="009B1F6F">
            <w:pPr>
              <w:autoSpaceDE w:val="0"/>
              <w:autoSpaceDN w:val="0"/>
              <w:adjustRightInd w:val="0"/>
              <w:ind w:right="10"/>
              <w:jc w:val="right"/>
              <w:rPr>
                <w:rFonts w:asciiTheme="minorHAnsi" w:hAnsiTheme="minorHAnsi" w:cstheme="minorHAnsi"/>
                <w:color w:val="000000"/>
              </w:rPr>
            </w:pPr>
            <w:r w:rsidRPr="00D26C10">
              <w:rPr>
                <w:rFonts w:asciiTheme="minorHAnsi" w:hAnsiTheme="minorHAnsi" w:cstheme="minorHAnsi"/>
                <w:color w:val="000000"/>
              </w:rPr>
              <w:t>32</w:t>
            </w:r>
          </w:p>
        </w:tc>
      </w:tr>
      <w:tr w:rsidR="009B1F6F" w:rsidRPr="00D26C10" w14:paraId="7230420A" w14:textId="77777777" w:rsidTr="009B1F6F">
        <w:trPr>
          <w:trHeight w:val="225"/>
        </w:trPr>
        <w:tc>
          <w:tcPr>
            <w:tcW w:w="4017" w:type="dxa"/>
          </w:tcPr>
          <w:p w14:paraId="52E8683A" w14:textId="77777777" w:rsidR="009B1F6F" w:rsidRPr="00D26C10" w:rsidRDefault="009B1F6F" w:rsidP="009B1F6F">
            <w:pPr>
              <w:autoSpaceDE w:val="0"/>
              <w:autoSpaceDN w:val="0"/>
              <w:adjustRightInd w:val="0"/>
              <w:rPr>
                <w:rFonts w:asciiTheme="minorHAnsi" w:hAnsiTheme="minorHAnsi" w:cstheme="minorHAnsi"/>
                <w:color w:val="000000"/>
              </w:rPr>
            </w:pPr>
            <w:r w:rsidRPr="00D26C10">
              <w:rPr>
                <w:rFonts w:asciiTheme="minorHAnsi" w:hAnsiTheme="minorHAnsi" w:cstheme="minorHAnsi"/>
                <w:color w:val="000000"/>
              </w:rPr>
              <w:t>Prob(J-statistic)</w:t>
            </w:r>
          </w:p>
        </w:tc>
        <w:tc>
          <w:tcPr>
            <w:tcW w:w="0" w:type="auto"/>
          </w:tcPr>
          <w:p w14:paraId="38F36125" w14:textId="77777777" w:rsidR="009B1F6F" w:rsidRPr="00D26C10" w:rsidRDefault="009B1F6F" w:rsidP="009B1F6F">
            <w:pPr>
              <w:autoSpaceDE w:val="0"/>
              <w:autoSpaceDN w:val="0"/>
              <w:adjustRightInd w:val="0"/>
              <w:ind w:right="10"/>
              <w:jc w:val="right"/>
              <w:rPr>
                <w:rFonts w:asciiTheme="minorHAnsi" w:hAnsiTheme="minorHAnsi" w:cstheme="minorHAnsi"/>
                <w:color w:val="000000"/>
              </w:rPr>
            </w:pPr>
            <w:r w:rsidRPr="00D26C10">
              <w:rPr>
                <w:rFonts w:asciiTheme="minorHAnsi" w:hAnsiTheme="minorHAnsi" w:cstheme="minorHAnsi"/>
                <w:color w:val="000000"/>
              </w:rPr>
              <w:t>0.764802</w:t>
            </w:r>
          </w:p>
        </w:tc>
        <w:tc>
          <w:tcPr>
            <w:tcW w:w="2781" w:type="dxa"/>
            <w:gridSpan w:val="2"/>
          </w:tcPr>
          <w:p w14:paraId="6BE2ADBE" w14:textId="77777777" w:rsidR="009B1F6F" w:rsidRPr="00D26C10" w:rsidRDefault="009B1F6F" w:rsidP="009B1F6F">
            <w:pPr>
              <w:autoSpaceDE w:val="0"/>
              <w:autoSpaceDN w:val="0"/>
              <w:adjustRightInd w:val="0"/>
              <w:ind w:right="10"/>
              <w:jc w:val="center"/>
              <w:rPr>
                <w:rFonts w:asciiTheme="minorHAnsi" w:hAnsiTheme="minorHAnsi" w:cstheme="minorHAnsi"/>
                <w:color w:val="000000"/>
              </w:rPr>
            </w:pPr>
          </w:p>
        </w:tc>
      </w:tr>
    </w:tbl>
    <w:p w14:paraId="406268C0" w14:textId="77777777" w:rsidR="009B1F6F" w:rsidRPr="00D26C10" w:rsidRDefault="009B1F6F" w:rsidP="009B1F6F">
      <w:pPr>
        <w:spacing w:line="240" w:lineRule="auto"/>
        <w:jc w:val="both"/>
        <w:rPr>
          <w:rFonts w:cstheme="minorHAnsi"/>
          <w:b/>
          <w:bCs/>
        </w:rPr>
      </w:pPr>
    </w:p>
    <w:p w14:paraId="3E57C516" w14:textId="79A27B57" w:rsidR="00DD58FC" w:rsidRPr="00995153" w:rsidRDefault="009B1F6F" w:rsidP="002126D0">
      <w:pPr>
        <w:spacing w:line="240" w:lineRule="auto"/>
        <w:jc w:val="both"/>
        <w:rPr>
          <w:rFonts w:cstheme="minorHAnsi"/>
          <w:b/>
          <w:bCs/>
          <w:sz w:val="20"/>
          <w:szCs w:val="20"/>
        </w:rPr>
      </w:pPr>
      <w:r w:rsidRPr="00D26C10">
        <w:rPr>
          <w:rFonts w:cstheme="minorHAnsi"/>
          <w:b/>
          <w:bCs/>
        </w:rPr>
        <w:tab/>
      </w:r>
      <w:r w:rsidRPr="00D26C10">
        <w:rPr>
          <w:rFonts w:cstheme="minorHAnsi"/>
          <w:b/>
          <w:bCs/>
        </w:rPr>
        <w:tab/>
      </w:r>
      <w:r w:rsidRPr="00D26C10">
        <w:rPr>
          <w:rFonts w:cstheme="minorHAnsi"/>
          <w:b/>
          <w:bCs/>
        </w:rPr>
        <w:tab/>
      </w:r>
      <w:r w:rsidRPr="00D26C10">
        <w:rPr>
          <w:rFonts w:cstheme="minorHAnsi"/>
          <w:b/>
          <w:bCs/>
        </w:rPr>
        <w:tab/>
      </w:r>
      <w:r w:rsidRPr="00D26C10">
        <w:rPr>
          <w:rFonts w:cstheme="minorHAnsi"/>
          <w:b/>
          <w:bCs/>
        </w:rPr>
        <w:tab/>
      </w:r>
      <w:bookmarkStart w:id="11" w:name="_Toc68590901"/>
      <w:bookmarkStart w:id="12" w:name="_Toc124100852"/>
      <w:r w:rsidR="00DD58FC" w:rsidRPr="00995153">
        <w:rPr>
          <w:rFonts w:cstheme="minorHAnsi"/>
          <w:sz w:val="20"/>
          <w:szCs w:val="20"/>
          <w:lang w:val="id-ID"/>
        </w:rPr>
        <w:t>Source: processed data</w:t>
      </w:r>
    </w:p>
    <w:p w14:paraId="218B608F" w14:textId="53D5FD7B" w:rsidR="009B1F6F" w:rsidRDefault="003B744A" w:rsidP="009B1F6F">
      <w:pPr>
        <w:pStyle w:val="Heading3"/>
        <w:spacing w:line="240" w:lineRule="auto"/>
        <w:jc w:val="both"/>
        <w:rPr>
          <w:rFonts w:asciiTheme="minorHAnsi" w:hAnsiTheme="minorHAnsi" w:cstheme="minorHAnsi"/>
          <w:b w:val="0"/>
          <w:bCs/>
          <w:i/>
          <w:iCs/>
          <w:sz w:val="22"/>
          <w:szCs w:val="22"/>
        </w:rPr>
      </w:pPr>
      <w:r w:rsidRPr="003B744A">
        <w:rPr>
          <w:rFonts w:cstheme="minorHAnsi"/>
          <w:b w:val="0"/>
          <w:sz w:val="22"/>
          <w:szCs w:val="22"/>
          <w:lang w:val="id-ID"/>
        </w:rPr>
        <w:t xml:space="preserve">Considering the outcome of </w:t>
      </w:r>
      <w:r w:rsidR="009B1F6F" w:rsidRPr="00CC7034">
        <w:rPr>
          <w:rFonts w:cstheme="minorHAnsi"/>
          <w:b w:val="0"/>
          <w:sz w:val="22"/>
          <w:szCs w:val="22"/>
          <w:lang w:val="en-US"/>
        </w:rPr>
        <w:t xml:space="preserve">estimation method of moments (GMM) dual system (model 2), the orthogonal model or GMM system in table </w:t>
      </w:r>
      <w:r w:rsidR="00F67C92">
        <w:rPr>
          <w:rFonts w:cstheme="minorHAnsi"/>
          <w:b w:val="0"/>
          <w:sz w:val="22"/>
          <w:szCs w:val="22"/>
          <w:lang w:val="id-ID"/>
        </w:rPr>
        <w:t>1</w:t>
      </w:r>
      <w:r w:rsidR="009B1F6F" w:rsidRPr="00CC7034">
        <w:rPr>
          <w:rFonts w:cstheme="minorHAnsi"/>
          <w:b w:val="0"/>
          <w:sz w:val="22"/>
          <w:szCs w:val="22"/>
          <w:lang w:val="en-US"/>
        </w:rPr>
        <w:t>.</w:t>
      </w:r>
      <w:r w:rsidR="00823C90">
        <w:rPr>
          <w:rFonts w:cstheme="minorHAnsi"/>
          <w:b w:val="0"/>
          <w:sz w:val="22"/>
          <w:szCs w:val="22"/>
          <w:lang w:val="id-ID"/>
        </w:rPr>
        <w:t>7</w:t>
      </w:r>
      <w:r w:rsidR="009B1F6F" w:rsidRPr="00CC7034">
        <w:rPr>
          <w:rFonts w:cstheme="minorHAnsi"/>
          <w:b w:val="0"/>
          <w:sz w:val="22"/>
          <w:szCs w:val="22"/>
          <w:lang w:val="en-US"/>
        </w:rPr>
        <w:t xml:space="preserve"> has a </w:t>
      </w:r>
      <w:proofErr w:type="spellStart"/>
      <w:r w:rsidR="009B1F6F" w:rsidRPr="00CC7034">
        <w:rPr>
          <w:rFonts w:cstheme="minorHAnsi"/>
          <w:b w:val="0"/>
          <w:sz w:val="22"/>
          <w:szCs w:val="22"/>
          <w:lang w:val="en-US"/>
        </w:rPr>
        <w:t>sargan</w:t>
      </w:r>
      <w:proofErr w:type="spellEnd"/>
      <w:r w:rsidR="00654488">
        <w:rPr>
          <w:rFonts w:cstheme="minorHAnsi"/>
          <w:b w:val="0"/>
          <w:sz w:val="22"/>
          <w:szCs w:val="22"/>
          <w:lang w:val="id-ID"/>
        </w:rPr>
        <w:t xml:space="preserve"> </w:t>
      </w:r>
      <w:r w:rsidR="009B1F6F" w:rsidRPr="00CC7034">
        <w:rPr>
          <w:rFonts w:cstheme="minorHAnsi"/>
          <w:b w:val="0"/>
          <w:sz w:val="22"/>
          <w:szCs w:val="22"/>
          <w:lang w:val="en-US"/>
        </w:rPr>
        <w:t>value (probability J-statistic) obtained of 0.764802 with a p-value greater than α 5% (&gt; 0.05 ).</w:t>
      </w:r>
      <w:r w:rsidR="0079671D">
        <w:rPr>
          <w:rFonts w:cstheme="minorHAnsi"/>
          <w:b w:val="0"/>
          <w:sz w:val="22"/>
          <w:szCs w:val="22"/>
          <w:lang w:val="id-ID"/>
        </w:rPr>
        <w:t xml:space="preserve"> </w:t>
      </w:r>
      <w:r w:rsidR="0079671D" w:rsidRPr="0079671D">
        <w:rPr>
          <w:rFonts w:cstheme="minorHAnsi"/>
          <w:b w:val="0"/>
          <w:sz w:val="22"/>
          <w:szCs w:val="22"/>
          <w:lang w:val="id-ID"/>
        </w:rPr>
        <w:t xml:space="preserve">Consequently, the </w:t>
      </w:r>
      <w:r w:rsidR="0079671D" w:rsidRPr="00CC7034">
        <w:rPr>
          <w:rFonts w:cstheme="minorHAnsi"/>
          <w:b w:val="0"/>
          <w:sz w:val="22"/>
          <w:szCs w:val="22"/>
          <w:lang w:val="en-US"/>
        </w:rPr>
        <w:t>instruments used</w:t>
      </w:r>
      <w:r w:rsidR="0079671D" w:rsidRPr="0079671D">
        <w:rPr>
          <w:rFonts w:cstheme="minorHAnsi"/>
          <w:b w:val="0"/>
          <w:sz w:val="22"/>
          <w:szCs w:val="22"/>
          <w:lang w:val="id-ID"/>
        </w:rPr>
        <w:t xml:space="preserve"> to estimate the model are reliable</w:t>
      </w:r>
      <w:r w:rsidR="0079671D">
        <w:rPr>
          <w:rFonts w:cstheme="minorHAnsi"/>
          <w:b w:val="0"/>
          <w:sz w:val="22"/>
          <w:szCs w:val="22"/>
          <w:lang w:val="id-ID"/>
        </w:rPr>
        <w:t xml:space="preserve"> </w:t>
      </w:r>
      <w:r w:rsidR="00AB45B8">
        <w:rPr>
          <w:rFonts w:cstheme="minorHAnsi"/>
          <w:b w:val="0"/>
          <w:sz w:val="22"/>
          <w:szCs w:val="22"/>
          <w:lang w:val="id-ID"/>
        </w:rPr>
        <w:t>or valid</w:t>
      </w:r>
      <w:r w:rsidR="0079671D" w:rsidRPr="0079671D">
        <w:rPr>
          <w:rFonts w:cstheme="minorHAnsi"/>
          <w:b w:val="0"/>
          <w:sz w:val="22"/>
          <w:szCs w:val="22"/>
          <w:lang w:val="id-ID"/>
        </w:rPr>
        <w:t>.</w:t>
      </w:r>
      <w:r w:rsidR="009B1F6F" w:rsidRPr="00CC7034">
        <w:rPr>
          <w:rFonts w:cstheme="minorHAnsi"/>
          <w:b w:val="0"/>
          <w:sz w:val="22"/>
          <w:szCs w:val="22"/>
          <w:lang w:val="en-US"/>
        </w:rPr>
        <w:t xml:space="preserve"> </w:t>
      </w:r>
    </w:p>
    <w:p w14:paraId="7B0408C4" w14:textId="50152085" w:rsidR="009B1F6F" w:rsidRPr="00E21A58" w:rsidRDefault="009B1F6F" w:rsidP="009B1F6F">
      <w:pPr>
        <w:pStyle w:val="Heading3"/>
        <w:spacing w:line="240" w:lineRule="auto"/>
        <w:rPr>
          <w:rFonts w:asciiTheme="minorHAnsi" w:hAnsiTheme="minorHAnsi" w:cstheme="minorHAnsi"/>
          <w:b w:val="0"/>
          <w:bCs/>
          <w:sz w:val="22"/>
          <w:szCs w:val="22"/>
          <w:lang w:val="en-US"/>
        </w:rPr>
      </w:pPr>
      <w:r w:rsidRPr="00E21A58">
        <w:rPr>
          <w:rFonts w:asciiTheme="minorHAnsi" w:hAnsiTheme="minorHAnsi" w:cstheme="minorHAnsi"/>
          <w:bCs/>
          <w:sz w:val="22"/>
          <w:szCs w:val="22"/>
        </w:rPr>
        <w:t>T</w:t>
      </w:r>
      <w:r w:rsidRPr="00E21A58">
        <w:rPr>
          <w:rFonts w:asciiTheme="minorHAnsi" w:hAnsiTheme="minorHAnsi" w:cstheme="minorHAnsi"/>
          <w:bCs/>
          <w:sz w:val="22"/>
          <w:szCs w:val="22"/>
          <w:lang w:val="en-US"/>
        </w:rPr>
        <w:t xml:space="preserve">-test </w:t>
      </w:r>
      <w:bookmarkEnd w:id="11"/>
      <w:bookmarkEnd w:id="12"/>
    </w:p>
    <w:p w14:paraId="57D8C39A" w14:textId="77777777" w:rsidR="003B744A" w:rsidRPr="00E21A58" w:rsidRDefault="003B744A" w:rsidP="00D65B8B">
      <w:pPr>
        <w:spacing w:line="240" w:lineRule="auto"/>
        <w:jc w:val="both"/>
        <w:rPr>
          <w:rFonts w:cstheme="minorHAnsi"/>
          <w:lang w:val="en-US"/>
        </w:rPr>
      </w:pPr>
      <w:r w:rsidRPr="00E21A58">
        <w:rPr>
          <w:rFonts w:cstheme="minorHAnsi"/>
          <w:lang w:val="en-US"/>
        </w:rPr>
        <w:t>The t test illustrates the impact of each independent variable on the dependent variable. as an illustration of the impact of the moderating variable (political stability) and independent factors (inflation, unemployment rate, trade openness, and foreign direct investment) on the dependent variable (human development index).</w:t>
      </w:r>
    </w:p>
    <w:p w14:paraId="7918FE88" w14:textId="63B5FDDC" w:rsidR="00D65B8B" w:rsidRPr="00E21A58" w:rsidRDefault="009B1F6F" w:rsidP="00D65B8B">
      <w:pPr>
        <w:spacing w:line="240" w:lineRule="auto"/>
        <w:jc w:val="both"/>
        <w:rPr>
          <w:rFonts w:cstheme="minorHAnsi"/>
          <w:lang w:val="en-US"/>
        </w:rPr>
      </w:pPr>
      <w:r w:rsidRPr="00E21A58">
        <w:rPr>
          <w:rFonts w:cstheme="minorHAnsi"/>
          <w:lang w:val="en-US"/>
        </w:rPr>
        <w:t xml:space="preserve">With the conditions given earlier, </w:t>
      </w:r>
      <w:r w:rsidR="00D65B8B" w:rsidRPr="00E21A58">
        <w:rPr>
          <w:rFonts w:cstheme="minorHAnsi"/>
          <w:lang w:val="id-ID"/>
        </w:rPr>
        <w:t>t</w:t>
      </w:r>
      <w:r w:rsidR="00D65B8B" w:rsidRPr="00E21A58">
        <w:rPr>
          <w:rFonts w:cstheme="minorHAnsi"/>
          <w:lang w:val="en-US"/>
        </w:rPr>
        <w:t xml:space="preserve">able 1.4 above displays the t test results (without interaction). If the probability value is less than 5% (0.05), independent and moderating variables may have an impact on the dependent variable. </w:t>
      </w:r>
      <w:r w:rsidR="00282E11" w:rsidRPr="00E21A58">
        <w:rPr>
          <w:rFonts w:cstheme="minorHAnsi"/>
          <w:lang w:val="en-US"/>
        </w:rPr>
        <w:t xml:space="preserve">According to the t test, inflation and unemployment have an insignificant effect on HDI, with probability values of 0.6786 and 0.0796, respectively, and coefficient values of -0.000290 and -0.000578. </w:t>
      </w:r>
      <w:bookmarkStart w:id="13" w:name="_Toc124100853"/>
      <w:r w:rsidR="00D65B8B" w:rsidRPr="00E21A58">
        <w:rPr>
          <w:rFonts w:cstheme="minorHAnsi"/>
          <w:lang w:val="en-US"/>
        </w:rPr>
        <w:t>Trade openness and foreign direct investment have probability values of 0.0000 and 0.0000, respectively, which is less than 5% (0.05), while this is happening. While FDI has a coefficient value of -0.003370, which indicates a major negative impact on HDI, trade openness has a coefficient value of 0.000123, indicating that it significantly improves HDI.</w:t>
      </w:r>
    </w:p>
    <w:p w14:paraId="68CB2605" w14:textId="1F682325" w:rsidR="00D11E9A" w:rsidRPr="00386ED6" w:rsidRDefault="00D65B8B" w:rsidP="00D65B8B">
      <w:pPr>
        <w:spacing w:line="240" w:lineRule="auto"/>
        <w:jc w:val="both"/>
        <w:rPr>
          <w:rFonts w:cstheme="minorHAnsi"/>
          <w:b/>
          <w:bCs/>
        </w:rPr>
      </w:pPr>
      <w:r w:rsidRPr="00386ED6">
        <w:rPr>
          <w:rFonts w:cstheme="minorHAnsi"/>
          <w:lang w:val="en-US"/>
        </w:rPr>
        <w:t xml:space="preserve">Regarding the second step of testing in table 1.5, the interaction between the moderating variables on the independent and dependent variables reveals that only the political stability variable exhibits </w:t>
      </w:r>
      <w:r w:rsidRPr="00386ED6">
        <w:rPr>
          <w:rFonts w:cstheme="minorHAnsi"/>
          <w:lang w:val="en-US"/>
        </w:rPr>
        <w:lastRenderedPageBreak/>
        <w:t>a significant interaction with the correlation between the unemployment variable and HDI. There is no discernible interaction between the political stability variable and the relationships between inflation, trade openness, and foreign direct investment on the HDI.</w:t>
      </w:r>
    </w:p>
    <w:p w14:paraId="50DEC5D9" w14:textId="09ACB910" w:rsidR="009B1F6F" w:rsidRPr="00386ED6" w:rsidRDefault="009B1F6F" w:rsidP="005C669B">
      <w:pPr>
        <w:spacing w:line="240" w:lineRule="auto"/>
        <w:outlineLvl w:val="1"/>
        <w:rPr>
          <w:rFonts w:cstheme="minorHAnsi"/>
          <w:b/>
          <w:bCs/>
          <w:lang w:val="id-ID"/>
        </w:rPr>
      </w:pPr>
      <w:r w:rsidRPr="00386ED6">
        <w:rPr>
          <w:rFonts w:cstheme="minorHAnsi"/>
          <w:b/>
          <w:bCs/>
        </w:rPr>
        <w:t>Moderated Regression Analysis (MRA)</w:t>
      </w:r>
      <w:bookmarkEnd w:id="13"/>
      <w:r w:rsidR="005C669B" w:rsidRPr="00386ED6">
        <w:rPr>
          <w:rFonts w:cstheme="minorHAnsi"/>
          <w:b/>
          <w:bCs/>
          <w:lang w:val="id-ID"/>
        </w:rPr>
        <w:t xml:space="preserve"> Model</w:t>
      </w:r>
    </w:p>
    <w:p w14:paraId="27F24B07" w14:textId="1867A324" w:rsidR="009B1F6F" w:rsidRPr="00386ED6" w:rsidRDefault="009B1F6F" w:rsidP="00054E94">
      <w:pPr>
        <w:autoSpaceDE w:val="0"/>
        <w:autoSpaceDN w:val="0"/>
        <w:adjustRightInd w:val="0"/>
        <w:spacing w:after="0" w:line="240" w:lineRule="auto"/>
        <w:jc w:val="both"/>
        <w:rPr>
          <w:rFonts w:cstheme="minorHAnsi"/>
        </w:rPr>
      </w:pPr>
      <w:r w:rsidRPr="00386ED6">
        <w:rPr>
          <w:rFonts w:cstheme="minorHAnsi"/>
        </w:rPr>
        <w:t>This section will specifically describe the results of model testing</w:t>
      </w:r>
      <w:r w:rsidR="00054E94" w:rsidRPr="00386ED6">
        <w:rPr>
          <w:rFonts w:cstheme="minorHAnsi"/>
          <w:lang w:val="id-ID"/>
        </w:rPr>
        <w:t xml:space="preserve"> </w:t>
      </w:r>
      <w:r w:rsidR="00054E94" w:rsidRPr="00386ED6">
        <w:rPr>
          <w:rFonts w:cstheme="minorHAnsi"/>
        </w:rPr>
        <w:t>based on the MRA model equations and restrictions mentioned in the preceding chapter, in particular the effect of political stability on the connection between the independent variables (inflation, unemployment rate, trade openness, and foreign direct investment) and the dependent variable. Below are the findings from a test of the MRA model, respectively displayed in table 1.5:</w:t>
      </w:r>
    </w:p>
    <w:p w14:paraId="5AEA63EF" w14:textId="77777777" w:rsidR="00054E94" w:rsidRPr="00386ED6" w:rsidRDefault="00054E94" w:rsidP="00054E94">
      <w:pPr>
        <w:autoSpaceDE w:val="0"/>
        <w:autoSpaceDN w:val="0"/>
        <w:adjustRightInd w:val="0"/>
        <w:spacing w:after="0" w:line="240" w:lineRule="auto"/>
        <w:jc w:val="both"/>
        <w:rPr>
          <w:rFonts w:cstheme="minorHAnsi"/>
        </w:rPr>
      </w:pPr>
    </w:p>
    <w:p w14:paraId="153520D0" w14:textId="77777777" w:rsidR="009B1F6F" w:rsidRPr="008928E9" w:rsidRDefault="009B1F6F" w:rsidP="009B1F6F">
      <w:pPr>
        <w:autoSpaceDE w:val="0"/>
        <w:autoSpaceDN w:val="0"/>
        <w:adjustRightInd w:val="0"/>
        <w:spacing w:after="0" w:line="240" w:lineRule="auto"/>
        <w:jc w:val="both"/>
        <w:rPr>
          <w:rFonts w:cstheme="minorHAnsi"/>
          <w:b/>
          <w:bCs/>
        </w:rPr>
      </w:pPr>
      <w:r w:rsidRPr="008928E9">
        <w:rPr>
          <w:rFonts w:cstheme="minorHAnsi"/>
          <w:b/>
          <w:bCs/>
        </w:rPr>
        <w:t>Moderation Function of Political Stability Variable on Inflation Variable (X) and Human Development Index (Y)</w:t>
      </w:r>
    </w:p>
    <w:p w14:paraId="0F781180" w14:textId="77777777" w:rsidR="008928E9" w:rsidRDefault="008928E9" w:rsidP="009B1F6F">
      <w:pPr>
        <w:autoSpaceDE w:val="0"/>
        <w:autoSpaceDN w:val="0"/>
        <w:adjustRightInd w:val="0"/>
        <w:spacing w:after="0" w:line="240" w:lineRule="auto"/>
        <w:jc w:val="both"/>
        <w:rPr>
          <w:rFonts w:cstheme="minorHAnsi"/>
        </w:rPr>
      </w:pPr>
    </w:p>
    <w:p w14:paraId="2C46E43E" w14:textId="412FF5AD" w:rsidR="008928E9" w:rsidRPr="00A0127A" w:rsidRDefault="009B1F6F" w:rsidP="00DA1AC4">
      <w:pPr>
        <w:autoSpaceDE w:val="0"/>
        <w:autoSpaceDN w:val="0"/>
        <w:adjustRightInd w:val="0"/>
        <w:spacing w:after="0" w:line="240" w:lineRule="auto"/>
        <w:jc w:val="both"/>
        <w:rPr>
          <w:rFonts w:cstheme="minorHAnsi"/>
        </w:rPr>
      </w:pPr>
      <w:r w:rsidRPr="00A0127A">
        <w:rPr>
          <w:rFonts w:cstheme="minorHAnsi"/>
        </w:rPr>
        <w:t xml:space="preserve">Based on the probability values of political stability variables and variations of the "political stability*inflation" model with values of 0.0650 and 0.9633 respectively, </w:t>
      </w:r>
      <w:r w:rsidR="00DA1AC4" w:rsidRPr="00DA1AC4">
        <w:rPr>
          <w:rFonts w:cstheme="minorHAnsi"/>
        </w:rPr>
        <w:t>In the "</w:t>
      </w:r>
      <w:proofErr w:type="spellStart"/>
      <w:r w:rsidR="00DA1AC4" w:rsidRPr="00DA1AC4">
        <w:rPr>
          <w:rFonts w:cstheme="minorHAnsi"/>
        </w:rPr>
        <w:t>Homologizer</w:t>
      </w:r>
      <w:proofErr w:type="spellEnd"/>
      <w:r w:rsidR="00DA1AC4" w:rsidRPr="00DA1AC4">
        <w:rPr>
          <w:rFonts w:cstheme="minorHAnsi"/>
        </w:rPr>
        <w:t xml:space="preserve"> Moderator" (Potential Moderation) method of moderation, neither the first estimate nor the second estimate's interaction with inflation take considered the impact of political stability on HDI. In the version of the model equation, political stability is unable to mitigate the impact of inflation on the HDI, hence there is no significant association between this variable and the dependent variable or interaction with the moderating predictor variable.</w:t>
      </w:r>
    </w:p>
    <w:p w14:paraId="407F057D" w14:textId="77777777" w:rsidR="009B1F6F" w:rsidRPr="00A0127A" w:rsidRDefault="009B1F6F" w:rsidP="009B1F6F">
      <w:pPr>
        <w:autoSpaceDE w:val="0"/>
        <w:autoSpaceDN w:val="0"/>
        <w:adjustRightInd w:val="0"/>
        <w:spacing w:after="0" w:line="240" w:lineRule="auto"/>
        <w:jc w:val="both"/>
        <w:rPr>
          <w:rFonts w:cstheme="minorHAnsi"/>
        </w:rPr>
      </w:pPr>
    </w:p>
    <w:p w14:paraId="64026A25" w14:textId="36AED8F8" w:rsidR="009B1F6F" w:rsidRDefault="009B1F6F" w:rsidP="009B1F6F">
      <w:pPr>
        <w:autoSpaceDE w:val="0"/>
        <w:autoSpaceDN w:val="0"/>
        <w:adjustRightInd w:val="0"/>
        <w:spacing w:after="0" w:line="240" w:lineRule="auto"/>
        <w:jc w:val="both"/>
        <w:rPr>
          <w:rFonts w:cstheme="minorHAnsi"/>
          <w:b/>
          <w:bCs/>
        </w:rPr>
      </w:pPr>
      <w:r w:rsidRPr="008928E9">
        <w:rPr>
          <w:rFonts w:cstheme="minorHAnsi"/>
          <w:b/>
          <w:bCs/>
        </w:rPr>
        <w:t>Moderation Function of Political Stability Variable on Unemployment Variable (X) and Human Development Index (Y)</w:t>
      </w:r>
    </w:p>
    <w:p w14:paraId="6CC66FA4" w14:textId="77777777" w:rsidR="008928E9" w:rsidRPr="008928E9" w:rsidRDefault="008928E9" w:rsidP="009B1F6F">
      <w:pPr>
        <w:autoSpaceDE w:val="0"/>
        <w:autoSpaceDN w:val="0"/>
        <w:adjustRightInd w:val="0"/>
        <w:spacing w:after="0" w:line="240" w:lineRule="auto"/>
        <w:jc w:val="both"/>
        <w:rPr>
          <w:rFonts w:cstheme="minorHAnsi"/>
          <w:b/>
          <w:bCs/>
        </w:rPr>
      </w:pPr>
    </w:p>
    <w:p w14:paraId="4BAEF032" w14:textId="587B58E8" w:rsidR="009B1F6F" w:rsidRPr="00A0127A" w:rsidRDefault="00DA1AC4" w:rsidP="009B1F6F">
      <w:pPr>
        <w:autoSpaceDE w:val="0"/>
        <w:autoSpaceDN w:val="0"/>
        <w:adjustRightInd w:val="0"/>
        <w:spacing w:after="0" w:line="240" w:lineRule="auto"/>
        <w:jc w:val="both"/>
        <w:rPr>
          <w:rFonts w:cstheme="minorHAnsi"/>
        </w:rPr>
      </w:pPr>
      <w:r w:rsidRPr="00DA1AC4">
        <w:rPr>
          <w:rFonts w:cstheme="minorHAnsi"/>
        </w:rPr>
        <w:t xml:space="preserve">According to the estimation findings in table 1.5, the political stability variable's probability values and the interaction of the "political stability*unemployment" model are each 0.0000, and the coefficient values are each 0.083403 and -0.009481, indicating that the type of moderation in this model variation is "Quasi Moderator" or pseudo moderation. Where the HDI is impacted by both the political stability factors and the model of the interaction between political stability and unemployment. </w:t>
      </w:r>
      <w:r w:rsidR="009B1F6F" w:rsidRPr="00A0127A">
        <w:rPr>
          <w:rFonts w:cstheme="minorHAnsi"/>
        </w:rPr>
        <w:t>In a variation of this model equation, political stability can be a moderator of the effect of unemployment on the HDI.</w:t>
      </w:r>
    </w:p>
    <w:p w14:paraId="11419771" w14:textId="77777777" w:rsidR="009B1F6F" w:rsidRPr="00A0127A" w:rsidRDefault="009B1F6F" w:rsidP="009B1F6F">
      <w:pPr>
        <w:autoSpaceDE w:val="0"/>
        <w:autoSpaceDN w:val="0"/>
        <w:adjustRightInd w:val="0"/>
        <w:spacing w:after="0" w:line="240" w:lineRule="auto"/>
        <w:jc w:val="both"/>
        <w:rPr>
          <w:rFonts w:cstheme="minorHAnsi"/>
        </w:rPr>
      </w:pPr>
    </w:p>
    <w:p w14:paraId="1C5B8566" w14:textId="13B5E6B5" w:rsidR="009B1F6F" w:rsidRDefault="009B1F6F" w:rsidP="009B1F6F">
      <w:pPr>
        <w:autoSpaceDE w:val="0"/>
        <w:autoSpaceDN w:val="0"/>
        <w:adjustRightInd w:val="0"/>
        <w:spacing w:after="0" w:line="240" w:lineRule="auto"/>
        <w:jc w:val="both"/>
        <w:rPr>
          <w:rFonts w:cstheme="minorHAnsi"/>
          <w:b/>
          <w:bCs/>
        </w:rPr>
      </w:pPr>
      <w:r w:rsidRPr="008928E9">
        <w:rPr>
          <w:rFonts w:cstheme="minorHAnsi"/>
          <w:b/>
          <w:bCs/>
        </w:rPr>
        <w:t>Moderation Function of Political Stability Variable on Trade Openness Variable (X) and Human Development Index (Y)</w:t>
      </w:r>
    </w:p>
    <w:p w14:paraId="4460789B" w14:textId="77777777" w:rsidR="008928E9" w:rsidRPr="008928E9" w:rsidRDefault="008928E9" w:rsidP="009B1F6F">
      <w:pPr>
        <w:autoSpaceDE w:val="0"/>
        <w:autoSpaceDN w:val="0"/>
        <w:adjustRightInd w:val="0"/>
        <w:spacing w:after="0" w:line="240" w:lineRule="auto"/>
        <w:jc w:val="both"/>
        <w:rPr>
          <w:rFonts w:cstheme="minorHAnsi"/>
          <w:b/>
          <w:bCs/>
        </w:rPr>
      </w:pPr>
    </w:p>
    <w:p w14:paraId="7E194822" w14:textId="77777777" w:rsidR="009B1F6F" w:rsidRPr="00A0127A" w:rsidRDefault="009B1F6F" w:rsidP="009B1F6F">
      <w:pPr>
        <w:autoSpaceDE w:val="0"/>
        <w:autoSpaceDN w:val="0"/>
        <w:adjustRightInd w:val="0"/>
        <w:spacing w:after="0" w:line="240" w:lineRule="auto"/>
        <w:jc w:val="both"/>
        <w:rPr>
          <w:rFonts w:cstheme="minorHAnsi"/>
        </w:rPr>
      </w:pPr>
      <w:r w:rsidRPr="00A0127A">
        <w:rPr>
          <w:rFonts w:cstheme="minorHAnsi"/>
        </w:rPr>
        <w:t>Based on the probability values of political stability variables and variations of the "political stability*trade openness" model, which are 0.0005 and 0.1774, respectively, the type of moderation in this model variation can be categorized as a "Moderator Predictor" in which in this variation of the model equation, political stability is predicted have a predictive effect.</w:t>
      </w:r>
    </w:p>
    <w:p w14:paraId="2AF13564" w14:textId="77777777" w:rsidR="009B1F6F" w:rsidRPr="00A0127A" w:rsidRDefault="009B1F6F" w:rsidP="009B1F6F">
      <w:pPr>
        <w:autoSpaceDE w:val="0"/>
        <w:autoSpaceDN w:val="0"/>
        <w:adjustRightInd w:val="0"/>
        <w:spacing w:after="0" w:line="240" w:lineRule="auto"/>
        <w:jc w:val="both"/>
        <w:rPr>
          <w:rFonts w:cstheme="minorHAnsi"/>
        </w:rPr>
      </w:pPr>
    </w:p>
    <w:p w14:paraId="029A0CAE" w14:textId="43FFBDC1" w:rsidR="009B1F6F" w:rsidRDefault="009B1F6F" w:rsidP="009B1F6F">
      <w:pPr>
        <w:autoSpaceDE w:val="0"/>
        <w:autoSpaceDN w:val="0"/>
        <w:adjustRightInd w:val="0"/>
        <w:spacing w:after="0" w:line="240" w:lineRule="auto"/>
        <w:jc w:val="both"/>
        <w:rPr>
          <w:rFonts w:cstheme="minorHAnsi"/>
          <w:b/>
          <w:bCs/>
        </w:rPr>
      </w:pPr>
      <w:r w:rsidRPr="008928E9">
        <w:rPr>
          <w:rFonts w:cstheme="minorHAnsi"/>
          <w:b/>
          <w:bCs/>
        </w:rPr>
        <w:t>Moderation Function of Political Stability Variable on Foreign Direct Investment Variable (X) and Human Development Index (Y)</w:t>
      </w:r>
    </w:p>
    <w:p w14:paraId="451F8116" w14:textId="77777777" w:rsidR="008928E9" w:rsidRPr="008928E9" w:rsidRDefault="008928E9" w:rsidP="009B1F6F">
      <w:pPr>
        <w:autoSpaceDE w:val="0"/>
        <w:autoSpaceDN w:val="0"/>
        <w:adjustRightInd w:val="0"/>
        <w:spacing w:after="0" w:line="240" w:lineRule="auto"/>
        <w:jc w:val="both"/>
        <w:rPr>
          <w:rFonts w:cstheme="minorHAnsi"/>
          <w:b/>
          <w:bCs/>
        </w:rPr>
      </w:pPr>
    </w:p>
    <w:p w14:paraId="6AE53065" w14:textId="1081BB64" w:rsidR="009B1F6F" w:rsidRPr="00D26C10" w:rsidRDefault="00FA1215" w:rsidP="009B1F6F">
      <w:pPr>
        <w:autoSpaceDE w:val="0"/>
        <w:autoSpaceDN w:val="0"/>
        <w:adjustRightInd w:val="0"/>
        <w:spacing w:after="0" w:line="240" w:lineRule="auto"/>
        <w:jc w:val="both"/>
        <w:rPr>
          <w:rFonts w:cstheme="minorHAnsi"/>
        </w:rPr>
      </w:pPr>
      <w:r w:rsidRPr="00FA1215">
        <w:rPr>
          <w:rFonts w:cstheme="minorHAnsi"/>
        </w:rPr>
        <w:t>Considering the probability values of 0.0000 for the political stability variable and 0.3070 for the model's variant "political stability * foreign direct investment," respectively,</w:t>
      </w:r>
      <w:r w:rsidR="009B1F6F" w:rsidRPr="00A0127A">
        <w:rPr>
          <w:rFonts w:cstheme="minorHAnsi"/>
        </w:rPr>
        <w:t xml:space="preserve"> the type of moderation in this model variation can be categorized as a "Moderator Predictor", where in the variation of this model equation, political stability is predicted have a predictive effect</w:t>
      </w:r>
      <w:r w:rsidR="009B1F6F" w:rsidRPr="00D26C10">
        <w:rPr>
          <w:rFonts w:cstheme="minorHAnsi"/>
        </w:rPr>
        <w:t>.</w:t>
      </w:r>
    </w:p>
    <w:p w14:paraId="757E93F1" w14:textId="33035738" w:rsidR="009B1F6F" w:rsidRDefault="009B1F6F" w:rsidP="009B1F6F">
      <w:pPr>
        <w:pStyle w:val="ListParagraph"/>
        <w:spacing w:line="240" w:lineRule="auto"/>
        <w:ind w:left="1080" w:firstLine="480"/>
        <w:jc w:val="both"/>
        <w:rPr>
          <w:rFonts w:cstheme="minorHAnsi"/>
          <w:color w:val="000000" w:themeColor="text1"/>
        </w:rPr>
      </w:pPr>
    </w:p>
    <w:p w14:paraId="2235CE8C" w14:textId="7F5D730F" w:rsidR="00386ED6" w:rsidRDefault="00386ED6" w:rsidP="009B1F6F">
      <w:pPr>
        <w:pStyle w:val="ListParagraph"/>
        <w:spacing w:line="240" w:lineRule="auto"/>
        <w:ind w:left="1080" w:firstLine="480"/>
        <w:jc w:val="both"/>
        <w:rPr>
          <w:rFonts w:cstheme="minorHAnsi"/>
          <w:color w:val="000000" w:themeColor="text1"/>
        </w:rPr>
      </w:pPr>
    </w:p>
    <w:p w14:paraId="3F13F56B" w14:textId="7BBAE428" w:rsidR="003A7984" w:rsidRDefault="003A7984" w:rsidP="009B1F6F">
      <w:pPr>
        <w:pStyle w:val="ListParagraph"/>
        <w:spacing w:line="240" w:lineRule="auto"/>
        <w:ind w:left="1080" w:firstLine="480"/>
        <w:jc w:val="both"/>
        <w:rPr>
          <w:rFonts w:cstheme="minorHAnsi"/>
          <w:color w:val="000000" w:themeColor="text1"/>
        </w:rPr>
      </w:pPr>
    </w:p>
    <w:p w14:paraId="4BCFCE03" w14:textId="7E1F301D" w:rsidR="003A7984" w:rsidRDefault="003A7984" w:rsidP="009B1F6F">
      <w:pPr>
        <w:pStyle w:val="ListParagraph"/>
        <w:spacing w:line="240" w:lineRule="auto"/>
        <w:ind w:left="1080" w:firstLine="480"/>
        <w:jc w:val="both"/>
        <w:rPr>
          <w:rFonts w:cstheme="minorHAnsi"/>
          <w:color w:val="000000" w:themeColor="text1"/>
        </w:rPr>
      </w:pPr>
    </w:p>
    <w:p w14:paraId="0D85BF60" w14:textId="5F0B7CA5" w:rsidR="003A7984" w:rsidRDefault="003A7984" w:rsidP="009B1F6F">
      <w:pPr>
        <w:pStyle w:val="ListParagraph"/>
        <w:spacing w:line="240" w:lineRule="auto"/>
        <w:ind w:left="1080" w:firstLine="480"/>
        <w:jc w:val="both"/>
        <w:rPr>
          <w:rFonts w:cstheme="minorHAnsi"/>
          <w:color w:val="000000" w:themeColor="text1"/>
        </w:rPr>
      </w:pPr>
    </w:p>
    <w:p w14:paraId="56B9BDAD" w14:textId="77777777" w:rsidR="003A7984" w:rsidRPr="00D26C10" w:rsidRDefault="003A7984" w:rsidP="009B1F6F">
      <w:pPr>
        <w:pStyle w:val="ListParagraph"/>
        <w:spacing w:line="240" w:lineRule="auto"/>
        <w:ind w:left="1080" w:firstLine="480"/>
        <w:jc w:val="both"/>
        <w:rPr>
          <w:rFonts w:cstheme="minorHAnsi"/>
          <w:color w:val="000000" w:themeColor="text1"/>
        </w:rPr>
      </w:pPr>
    </w:p>
    <w:p w14:paraId="13FE820F" w14:textId="470C9319" w:rsidR="009B1F6F" w:rsidRPr="001A2A5F" w:rsidRDefault="00106630" w:rsidP="00106630">
      <w:pPr>
        <w:spacing w:line="240" w:lineRule="auto"/>
        <w:jc w:val="center"/>
        <w:outlineLvl w:val="2"/>
        <w:rPr>
          <w:rFonts w:cstheme="minorHAnsi"/>
          <w:b/>
          <w:bCs/>
          <w:lang w:val="id-ID"/>
        </w:rPr>
      </w:pPr>
      <w:r w:rsidRPr="00106630">
        <w:rPr>
          <w:rFonts w:cstheme="minorHAnsi"/>
          <w:b/>
          <w:bCs/>
          <w:sz w:val="28"/>
          <w:szCs w:val="28"/>
          <w:lang w:val="id-ID"/>
        </w:rPr>
        <w:t>Discussion</w:t>
      </w:r>
    </w:p>
    <w:p w14:paraId="3FBC9CC1" w14:textId="77777777" w:rsidR="000B69A7" w:rsidRDefault="000B69A7" w:rsidP="00DD11B3">
      <w:pPr>
        <w:spacing w:line="240" w:lineRule="auto"/>
        <w:jc w:val="both"/>
        <w:rPr>
          <w:rFonts w:cstheme="minorHAnsi"/>
        </w:rPr>
      </w:pPr>
      <w:r w:rsidRPr="000B69A7">
        <w:rPr>
          <w:rFonts w:cstheme="minorHAnsi"/>
        </w:rPr>
        <w:t>This section explains the data testing results and how they relate to theory and earlier research. If the results are inconsistent with the hypotheses that have been generated, reasons will be included to explain these discrepancies.</w:t>
      </w:r>
    </w:p>
    <w:p w14:paraId="20E85271" w14:textId="77777777" w:rsidR="00BE2825" w:rsidRDefault="00BE2825" w:rsidP="00E943AE">
      <w:pPr>
        <w:spacing w:line="240" w:lineRule="auto"/>
        <w:jc w:val="both"/>
        <w:rPr>
          <w:rFonts w:cstheme="minorHAnsi"/>
          <w:b/>
          <w:bCs/>
        </w:rPr>
      </w:pPr>
      <w:r w:rsidRPr="00BE2825">
        <w:rPr>
          <w:rFonts w:cstheme="minorHAnsi"/>
          <w:b/>
          <w:bCs/>
        </w:rPr>
        <w:t>Inflation's Impact on the Human Development Index</w:t>
      </w:r>
    </w:p>
    <w:p w14:paraId="7976FDC9" w14:textId="79B9B760" w:rsidR="009536AC" w:rsidRPr="00E943AE" w:rsidRDefault="005147F4" w:rsidP="00E943AE">
      <w:pPr>
        <w:spacing w:line="240" w:lineRule="auto"/>
        <w:jc w:val="both"/>
        <w:rPr>
          <w:rFonts w:cstheme="minorHAnsi"/>
          <w:b/>
          <w:bCs/>
        </w:rPr>
      </w:pPr>
      <w:r w:rsidRPr="005147F4">
        <w:rPr>
          <w:rFonts w:cstheme="minorHAnsi"/>
        </w:rPr>
        <w:t xml:space="preserve">It is recognized that the inflation variable has no effect on HDI based on the statistical test findings in table 1.4, with a probability value of 0.0796 (&gt;0.05) and a coefficient value of -0.000290. This indicates that the HDI value is unaffected by the high and low levels of inflation in OIC nations. The idea and premise that inflation has a large negative impact on HDI cannot be supported by these findings. where price fluctuations that are unpredictable lead to uncertainty, lower living conditions, and worsen people's welfare </w:t>
      </w:r>
      <w:r w:rsidR="004843F7" w:rsidRPr="00E943AE">
        <w:rPr>
          <w:rFonts w:cstheme="minorHAnsi"/>
        </w:rPr>
        <w:fldChar w:fldCharType="begin" w:fldLock="1"/>
      </w:r>
      <w:r w:rsidR="00FF3948" w:rsidRPr="00E943AE">
        <w:rPr>
          <w:rFonts w:cstheme="minorHAnsi"/>
        </w:rPr>
        <w:instrText>ADDIN CSL_CITATION {"citationItems":[{"id":"ITEM-1","itemData":{"DOI":"10.33019/society.v8i2.246","ISSN":"23386932","abstract":"This research aims to determine the effect of inflation, per capita income. The method used is a quantitative method with a descriptive approach. The data analysis technique uses multiple linear regression models, which are continued by the classical assumption test. This research uses secondary data, precisely ten years of time-series data from 2010-2019 obtained from the Central Bureau of Statistics, books, literature, the internet, records, and other sources related. The research sample consisted of 40 data taken per quarter, from 2010-2019. The analytical method used in this research is multiple linear regressions. The results showed that inflation had a negative and insignificant effect on Human Development Index (HDI). In contrast, per capita income and unemployment had a negative and significant effect on Human Development Index (HDI). Inflation, per capita income, and unemployment significantly affected the Human Development Index (HDI) in Ternate City. The independent variable’s determination (R Square) on the dependent variable is 0.836 or 83.6%. It means inflation, per capita income, and unemployment can affect the Human Development Index (HDI) in Ternate City at 83.6%, remaining 16.4% by other factors.","author":[{"dropping-particle":"","family":"Runtunuwu","given":"Prince Charles Heston","non-dropping-particle":"","parse-names":false,"suffix":""}],"container-title":"Society","id":"ITEM-1","issue":"2","issued":{"date-parts":[["2020"]]},"page":"596-610","title":"Analysis of Macroeconomic Indicators and It's Effect on Human Development Index (HDI)","type":"article-journal","volume":"8"},"uris":["http://www.mendeley.com/documents/?uuid=26433edc-b64b-4f3d-9558-f96ee933b6f1"]}],"mendeley":{"formattedCitation":"(Runtunuwu, 2020)","plainTextFormattedCitation":"(Runtunuwu, 2020)","previouslyFormattedCitation":"(Runtunuwu, 2020)"},"properties":{"noteIndex":0},"schema":"https://github.com/citation-style-language/schema/raw/master/csl-citation.json"}</w:instrText>
      </w:r>
      <w:r w:rsidR="004843F7" w:rsidRPr="00E943AE">
        <w:rPr>
          <w:rFonts w:cstheme="minorHAnsi"/>
        </w:rPr>
        <w:fldChar w:fldCharType="separate"/>
      </w:r>
      <w:r w:rsidR="004843F7" w:rsidRPr="00E943AE">
        <w:rPr>
          <w:rFonts w:cstheme="minorHAnsi"/>
          <w:noProof/>
        </w:rPr>
        <w:t>(Runtunuwu, 2020)</w:t>
      </w:r>
      <w:r w:rsidR="004843F7" w:rsidRPr="00E943AE">
        <w:rPr>
          <w:rFonts w:cstheme="minorHAnsi"/>
        </w:rPr>
        <w:fldChar w:fldCharType="end"/>
      </w:r>
      <w:r w:rsidR="009536AC" w:rsidRPr="00E943AE">
        <w:rPr>
          <w:rFonts w:cstheme="minorHAnsi"/>
          <w:lang w:val="id-ID"/>
        </w:rPr>
        <w:t xml:space="preserve">. </w:t>
      </w:r>
    </w:p>
    <w:p w14:paraId="438DF5F7" w14:textId="77777777" w:rsidR="005147F4" w:rsidRDefault="005147F4" w:rsidP="005147F4">
      <w:pPr>
        <w:spacing w:line="240" w:lineRule="auto"/>
        <w:jc w:val="both"/>
        <w:rPr>
          <w:rFonts w:cstheme="minorHAnsi"/>
        </w:rPr>
      </w:pPr>
      <w:r w:rsidRPr="005147F4">
        <w:rPr>
          <w:rFonts w:cstheme="minorHAnsi"/>
        </w:rPr>
        <w:t>These findings contradict studies by</w:t>
      </w:r>
      <w:r w:rsidR="00E80D68" w:rsidRPr="00E943AE">
        <w:rPr>
          <w:rFonts w:cstheme="minorHAnsi"/>
          <w:lang w:val="id-ID"/>
        </w:rPr>
        <w:t xml:space="preserve"> </w:t>
      </w:r>
      <w:r w:rsidR="00E80D68" w:rsidRPr="00E943AE">
        <w:rPr>
          <w:rFonts w:cstheme="minorHAnsi"/>
          <w:lang w:val="id-ID"/>
        </w:rPr>
        <w:fldChar w:fldCharType="begin" w:fldLock="1"/>
      </w:r>
      <w:r w:rsidR="00E80D68" w:rsidRPr="00E943AE">
        <w:rPr>
          <w:rFonts w:cstheme="minorHAnsi"/>
          <w:lang w:val="id-ID"/>
        </w:rPr>
        <w:instrText>ADDIN CSL_CITATION {"citationItems":[{"id":"ITEM-1","itemData":{"author":[{"dropping-particle":"","family":"Hassan, M. U. Khalid, M. W. and Kayani","given":"A.S.","non-dropping-particle":"","parse-names":false,"suffix":""}],"id":"ITEM-1","issued":{"date-parts":[["2016"]]},"page":"67-82","title":"Evaluating the Dilemma of Inflation, Poverty and Unemployment","type":"article-journal","volume":"5"},"uris":["http://www.mendeley.com/documents/?uuid=1d8b4fdb-4708-4b12-b4db-79df02ada8cb"]}],"mendeley":{"formattedCitation":"(Hassan, M. U. Khalid, M. W. and Kayani, 2016)","plainTextFormattedCitation":"(Hassan, M. U. Khalid, M. W. and Kayani, 2016)","previouslyFormattedCitation":"(Hassan, M. U. Khalid, M. W. and Kayani, 2016)"},"properties":{"noteIndex":0},"schema":"https://github.com/citation-style-language/schema/raw/master/csl-citation.json"}</w:instrText>
      </w:r>
      <w:r w:rsidR="00E80D68" w:rsidRPr="00E943AE">
        <w:rPr>
          <w:rFonts w:cstheme="minorHAnsi"/>
          <w:lang w:val="id-ID"/>
        </w:rPr>
        <w:fldChar w:fldCharType="separate"/>
      </w:r>
      <w:r w:rsidR="00E80D68" w:rsidRPr="00E943AE">
        <w:rPr>
          <w:rFonts w:cstheme="minorHAnsi"/>
          <w:noProof/>
          <w:lang w:val="id-ID"/>
        </w:rPr>
        <w:t>(Hassan, M. U. Khalid, M. W. and Kayani, 2016)</w:t>
      </w:r>
      <w:r w:rsidR="00E80D68" w:rsidRPr="00E943AE">
        <w:rPr>
          <w:rFonts w:cstheme="minorHAnsi"/>
          <w:lang w:val="id-ID"/>
        </w:rPr>
        <w:fldChar w:fldCharType="end"/>
      </w:r>
      <w:r w:rsidR="009B1F6F" w:rsidRPr="00E943AE">
        <w:rPr>
          <w:rFonts w:cstheme="minorHAnsi"/>
        </w:rPr>
        <w:t xml:space="preserve"> </w:t>
      </w:r>
      <w:r w:rsidRPr="005147F4">
        <w:rPr>
          <w:rFonts w:cstheme="minorHAnsi"/>
        </w:rPr>
        <w:t xml:space="preserve">which claims that unemployment, inflation, and poverty are all related over the long run. Additionally, studies by </w:t>
      </w:r>
      <w:r w:rsidR="00E80D68" w:rsidRPr="00E943AE">
        <w:rPr>
          <w:rFonts w:cstheme="minorHAnsi"/>
        </w:rPr>
        <w:fldChar w:fldCharType="begin" w:fldLock="1"/>
      </w:r>
      <w:r w:rsidR="007745B9" w:rsidRPr="00E943AE">
        <w:rPr>
          <w:rFonts w:cstheme="minorHAnsi"/>
        </w:rPr>
        <w:instrText>ADDIN CSL_CITATION {"citationItems":[{"id":"ITEM-1","itemData":{"DOI":"10.14445/23939125/ijems-v3i5p106","abstract":"The Human Development Index is a statistical tool used to measure countries overall achievements in its social and economic dimensions. This paper tried to find out major factors affecting Human Development Index like health index, education index and income index. The objective of this study is found out the empirical findings and trend of human development across countries, regression analysis of determinants factors and region wise analysis of human development index. Index","author":[{"dropping-particle":"","family":"Shah","given":"Smit","non-dropping-particle":"","parse-names":false,"suffix":""}],"container-title":"International Journal of Economics and Management Studies","id":"ITEM-1","issue":"5","issued":{"date-parts":[["2016"]]},"page":"43-46","title":"Determinants of Human Development Index: A Cross-Country Empirical Analysis","type":"article-journal","volume":"3"},"uris":["http://www.mendeley.com/documents/?uuid=cc94b860-b054-4d78-b390-61f248b63464"]},{"id":"ITEM-2","itemData":{"abstract":"This study aims to determine and analyze the effect of inflation levels to ward Human Development Index (HDI) in Indonesia, and the magnitude of the elasticity of the level of Human Development Index (HDI) in Indonesia. The method used is quantitative descriptive using secondary data from the Central Bureau of Statistics from the years 2000-2015. Methods of data analysis used correlation analysis, determination analysis, simple linear regression analysis, t-test, and test of elasticity. The results showed: there is a negative relationship between inflation and the human development index (HDI) in the category of moderately correlation coefficient of -0.42 and the contributions made by the inflation of the human development index (HDI) of 17.64% ; if inflation rose by 1%, the human development index (HDI) will decrease by 0.36% with a constant value of 73.33 ; inflation have not a significant effect on the human development index (HDI) and its elasticity is not eslatis (inelastic).","author":[{"dropping-particle":"","family":"Pangesti","given":"Indah","non-dropping-particle":"","parse-names":false,"suffix":""},{"dropping-particle":"","family":"Susanto","given":"; Rudy","non-dropping-particle":"","parse-names":false,"suffix":""}],"container-title":"Journal of Applied Business and Economics","id":"ITEM-2","issue":"1","issued":{"date-parts":[["2018"]]},"page":"70-81","title":"PENGARUH INFLASI TERHADAP INDEKS PEMBANGUNAN MANUSIA (IPM) DI INDONESIA","type":"article-journal","volume":"5"},"uris":["http://www.mendeley.com/documents/?uuid=e6ec0e10-f01a-436a-8d9d-89797f150879"]},{"id":"ITEM-3","itemData":{"DOI":"10.33019/society.v8i2.246","ISSN":"23386932","abstract":"This research aims to determine the effect of inflation, per capita income. The method used is a quantitative method with a descriptive approach. The data analysis technique uses multiple linear regression models, which are continued by the classical assumption test. This research uses secondary data, precisely ten years of time-series data from 2010-2019 obtained from the Central Bureau of Statistics, books, literature, the internet, records, and other sources related. The research sample consisted of 40 data taken per quarter, from 2010-2019. The analytical method used in this research is multiple linear regressions. The results showed that inflation had a negative and insignificant effect on Human Development Index (HDI). In contrast, per capita income and unemployment had a negative and significant effect on Human Development Index (HDI). Inflation, per capita income, and unemployment significantly affected the Human Development Index (HDI) in Ternate City. The independent variable’s determination (R Square) on the dependent variable is 0.836 or 83.6%. It means inflation, per capita income, and unemployment can affect the Human Development Index (HDI) in Ternate City at 83.6%, remaining 16.4% by other factors.","author":[{"dropping-particle":"","family":"Runtunuwu","given":"Prince Charles Heston","non-dropping-particle":"","parse-names":false,"suffix":""}],"container-title":"Society","id":"ITEM-3","issue":"2","issued":{"date-parts":[["2020"]]},"page":"596-610","title":"Analysis of Macroeconomic Indicators and It's Effect on Human Development Index (HDI)","type":"article-journal","volume":"8"},"uris":["http://www.mendeley.com/documents/?uuid=26433edc-b64b-4f3d-9558-f96ee933b6f1"]},{"id":"ITEM-4","itemData":{"DOI":"10.1177/0974910120919042","ISBN":"0974910120","ISSN":"09752730","abstract":"Investment expenditure is a major component of aggregate macroeconomic variables in any economy, irrespective of the development status. This article employed relevant econometric methodology on panel data environment to analyze the effects of foreign direct investment (FDI) inflows on economic growth of 30 leading global economies during the period between 1998 and 2017. Other variables considered in the analysis were domestic credit to private sector (DCPS), gross fixed capital formation (GFCF), inflation–consumer prices index (INFPC), trade openness (TOPNESS), and youth unemployment (UEMPYT). The results showed mixed growth effects of the variables in general. Specifically, FDI exerted positive and significant effect on economic growth of the countries during the period. Therefore, this article concluded that FDI inflows enhanced economic growth and emphasized the need to foster more FDI-attracting policies as well as adequate GFCF to complement FDIs for sustainable economic growth potentials. JEL Classification: C23, C33, C51, F21, F43, O47.","author":[{"dropping-particle":"","family":"Okwu","given":"Andy Titus","non-dropping-particle":"","parse-names":false,"suffix":""},{"dropping-particle":"","family":"Oseni","given":"Isiaq Olasunkanmi","non-dropping-particle":"","parse-names":false,"suffix":""},{"dropping-particle":"","family":"Obiakor","given":"Rowland Tochukwu","non-dropping-particle":"","parse-names":false,"suffix":""}],"container-title":"Global Journal of Emerging Market Economies","id":"ITEM-4","issue":"2","issued":{"date-parts":[["2020"]]},"page":"217-230","title":"Does Foreign Direct Investment Enhance Economic Growth? Evidence from 30 Leading Global Economies","type":"article-journal","volume":"12"},"uris":["http://www.mendeley.com/documents/?uuid=ddae7256-383d-4cf4-b74f-101c48515e0c"]}],"mendeley":{"formattedCitation":"(Okwu et al., 2020; Pangesti &amp; Susanto, 2018; Runtunuwu, 2020; Shah, 2016)","plainTextFormattedCitation":"(Okwu et al., 2020; Pangesti &amp; Susanto, 2018; Runtunuwu, 2020; Shah, 2016)","previouslyFormattedCitation":"(Okwu et al., 2020; Pangesti &amp; Susanto, 2018; Runtunuwu, 2020; Shah, 2016)"},"properties":{"noteIndex":0},"schema":"https://github.com/citation-style-language/schema/raw/master/csl-citation.json"}</w:instrText>
      </w:r>
      <w:r w:rsidR="00E80D68" w:rsidRPr="00E943AE">
        <w:rPr>
          <w:rFonts w:cstheme="minorHAnsi"/>
        </w:rPr>
        <w:fldChar w:fldCharType="separate"/>
      </w:r>
      <w:r w:rsidR="00E80D68" w:rsidRPr="00E943AE">
        <w:rPr>
          <w:rFonts w:cstheme="minorHAnsi"/>
          <w:noProof/>
        </w:rPr>
        <w:t>(Okwu et al., 2020; Pangesti &amp; Susanto, 2018; Runtunuwu, 2020; Shah, 2016)</w:t>
      </w:r>
      <w:r w:rsidR="00E80D68" w:rsidRPr="00E943AE">
        <w:rPr>
          <w:rFonts w:cstheme="minorHAnsi"/>
        </w:rPr>
        <w:fldChar w:fldCharType="end"/>
      </w:r>
      <w:r w:rsidR="009B1F6F" w:rsidRPr="00E943AE">
        <w:rPr>
          <w:rFonts w:cstheme="minorHAnsi"/>
        </w:rPr>
        <w:t xml:space="preserve"> </w:t>
      </w:r>
      <w:r w:rsidRPr="005147F4">
        <w:rPr>
          <w:rFonts w:cstheme="minorHAnsi"/>
        </w:rPr>
        <w:t>indicated that inflation had a detrimental impact on human development. According to this study's sources</w:t>
      </w:r>
      <w:r w:rsidR="009B1F6F" w:rsidRPr="00E943AE">
        <w:rPr>
          <w:rFonts w:cstheme="minorHAnsi"/>
        </w:rPr>
        <w:t xml:space="preserve"> </w:t>
      </w:r>
      <w:r w:rsidR="007745B9" w:rsidRPr="00E943AE">
        <w:rPr>
          <w:rFonts w:cstheme="minorHAnsi"/>
        </w:rPr>
        <w:fldChar w:fldCharType="begin" w:fldLock="1"/>
      </w:r>
      <w:r w:rsidR="00A50FA8" w:rsidRPr="00E943AE">
        <w:rPr>
          <w:rFonts w:cstheme="minorHAnsi"/>
        </w:rPr>
        <w:instrText>ADDIN CSL_CITATION {"citationItems":[{"id":"ITEM-1","itemData":{"DOI":"10.15548/jebi.v4i1.204","ISSN":"2528-4266","abstract":"This study analyzes factors or variables that effectof human development index (HDI) in Muslimcountries, a case study of the Organization of Islamic Cooperation (OIC) member countries. The data of 33 selected OIC member countries from 2007-2016 were analyzed using panel data regression analysis. The entire models show the significant influence of some independent variables to the level of HDI in Muslim countries. However, a variable number of the population contributes positively to HDI in all models. Unfortunately, foreign direct investment (FDI) does not add to the increasingof HDI; this is the biggest challenge faced by the government in various Muslim countries. While government fiscal policy reflected in government spending (G) contributes positively to HDI in OIC member countries.","author":[{"dropping-particle":"","family":"WIBOWO","given":"MUHAMMAD GHAFUR","non-dropping-particle":"","parse-names":false,"suffix":""}],"container-title":"JEBI (Jurnal Ekonomi dan Bisnis Islam)","id":"ITEM-1","issue":"1","issued":{"date-parts":[["2019"]]},"page":"1","title":"Quality of Human Development Index (Hdi) in Muslim Countries (Case Study of Oic Members)","type":"article-journal","volume":"4"},"uris":["http://www.mendeley.com/documents/?uuid=fad8a278-5871-40b2-abe4-9752079f60d1"]},{"id":"ITEM-2","itemData":{"DOI":"10.15408/sjie.v7i1.6756","ISSN":"2087-2046","abstract":"Human development index is one indicator of development progress on aspects of human quality in a country. This study aims to determine the factors that affect the human development index in nations in ASEAN member countries. The analysis technique used is regression by using panel data regression with fixed effect model. The results of processing with fixed effect model show that population and per capita income growth rate affects the human development index in ASEAN member countries, while the variable rate of inflation and unemployment rate does not have an impact on the human development index. This study implies the importance of government to control the population and acceleration of economic growth.DOI: 10.15408/sjie.v7i1.6756","author":[{"dropping-particle":"","family":"Arisman","given":"A.","non-dropping-particle":"","parse-names":false,"suffix":""}],"container-title":"Signifikan: Jurnal Ilmu Ekonomi","id":"ITEM-2","issue":"1","issued":{"date-parts":[["2018"]]},"page":"113-122","title":"Determinant of Human Development Index in ASEAN Countries","type":"article-journal","volume":"7"},"uris":["http://www.mendeley.com/documents/?uuid=652b5c83-3658-42cc-a6ad-59c9684e5668"]},{"id":"ITEM-3","itemData":{"DOI":"10.1080/02692171.2017.1351531","ISSN":"14653486","abstract":"This paper studies the relation between inflation and economic development. The literature is largely silent regarding both the theoretical and empirical perspectives that undeveloped countries endure higher average inflation than developed economies. We present a simple theoretical model linking the inflation phenomenon to the tradition of development economics. Empirical evidence is garnered to test the hypothesis that economic development engenders a downward bias to inflation rates. Through the feasible-GLS estimator in a panel of 65 countries from 2001 to 2011, we aim at listing a number of variables most commonly used to explain differences in the stage of economic development across countries and identifying the most statistically relevant ones to account for differences in inflationary patterns. While our results show that inflation is inversely correlated with the level of the technological content of the economy (measured by share of high-tech exports), human capital and cyclical unemployment, it is directly related to the degree of inflation persistence and terms of trade growth. However, our findings still present an inverse and low correlation between inflation persistence and economic development, implying that development-sensitive variables allowed into the model can only partially account for the differences in inflation at different levels of economic development.","author":[{"dropping-particle":"","family":"Roncaglia de Carvalho","given":"André","non-dropping-particle":"","parse-names":false,"suffix":""},{"dropping-particle":"","family":"Ribeiro","given":"Rafael S.M.","non-dropping-particle":"","parse-names":false,"suffix":""},{"dropping-particle":"","family":"Marques","given":"André M.","non-dropping-particle":"","parse-names":false,"suffix":""}],"container-title":"International Review of Applied Economics","id":"ITEM-3","issue":"4","issued":{"date-parts":[["2018"]]},"page":"546-565","publisher":"Routledge","title":"Economic development and inflation: a theoretical and empirical analysis","type":"article-journal","volume":"32"},"uris":["http://www.mendeley.com/documents/?uuid=e4321d57-cfc1-42c1-a92a-9d0db6957f5e"]}],"mendeley":{"formattedCitation":"(Arisman, 2018; Roncaglia de Carvalho et al., 2018; WIBOWO, 2019)","plainTextFormattedCitation":"(Arisman, 2018; Roncaglia de Carvalho et al., 2018; WIBOWO, 2019)","previouslyFormattedCitation":"(Arisman, 2018; Roncaglia de Carvalho et al., 2018; WIBOWO, 2019)"},"properties":{"noteIndex":0},"schema":"https://github.com/citation-style-language/schema/raw/master/csl-citation.json"}</w:instrText>
      </w:r>
      <w:r w:rsidR="007745B9" w:rsidRPr="00E943AE">
        <w:rPr>
          <w:rFonts w:cstheme="minorHAnsi"/>
        </w:rPr>
        <w:fldChar w:fldCharType="separate"/>
      </w:r>
      <w:r w:rsidR="007745B9" w:rsidRPr="00E943AE">
        <w:rPr>
          <w:rFonts w:cstheme="minorHAnsi"/>
          <w:noProof/>
        </w:rPr>
        <w:t>(Arisman, 2018; Roncaglia de Carvalho et al., 2018; WIBOWO, 2019)</w:t>
      </w:r>
      <w:r w:rsidR="007745B9" w:rsidRPr="00E943AE">
        <w:rPr>
          <w:rFonts w:cstheme="minorHAnsi"/>
        </w:rPr>
        <w:fldChar w:fldCharType="end"/>
      </w:r>
      <w:r w:rsidR="009B1F6F" w:rsidRPr="00E943AE">
        <w:rPr>
          <w:rFonts w:cstheme="minorHAnsi"/>
        </w:rPr>
        <w:t xml:space="preserve"> </w:t>
      </w:r>
      <w:r w:rsidRPr="005147F4">
        <w:rPr>
          <w:rFonts w:cstheme="minorHAnsi"/>
        </w:rPr>
        <w:t>economic growth and HDI are unaffected by inflation rates.</w:t>
      </w:r>
    </w:p>
    <w:p w14:paraId="3362C391" w14:textId="05155EDD" w:rsidR="00BF236C" w:rsidRDefault="009B1F6F" w:rsidP="00E943AE">
      <w:pPr>
        <w:spacing w:line="240" w:lineRule="auto"/>
        <w:jc w:val="both"/>
        <w:rPr>
          <w:rFonts w:cstheme="minorHAnsi"/>
        </w:rPr>
      </w:pPr>
      <w:r w:rsidRPr="00E943AE">
        <w:rPr>
          <w:rFonts w:cstheme="minorHAnsi"/>
        </w:rPr>
        <w:t xml:space="preserve">The rate </w:t>
      </w:r>
      <w:r w:rsidR="005147F4">
        <w:rPr>
          <w:rFonts w:cstheme="minorHAnsi"/>
          <w:lang w:val="id-ID"/>
        </w:rPr>
        <w:t xml:space="preserve">of </w:t>
      </w:r>
      <w:r w:rsidR="005147F4" w:rsidRPr="00E943AE">
        <w:rPr>
          <w:rFonts w:cstheme="minorHAnsi"/>
        </w:rPr>
        <w:t xml:space="preserve">inflation </w:t>
      </w:r>
      <w:r w:rsidR="005147F4">
        <w:rPr>
          <w:rFonts w:cstheme="minorHAnsi"/>
          <w:lang w:val="id-ID"/>
        </w:rPr>
        <w:t>in</w:t>
      </w:r>
      <w:r w:rsidRPr="00E943AE">
        <w:rPr>
          <w:rFonts w:cstheme="minorHAnsi"/>
        </w:rPr>
        <w:t xml:space="preserve"> OIC countries is certainly influenced by the </w:t>
      </w:r>
      <w:r w:rsidR="001274AB">
        <w:rPr>
          <w:rFonts w:cstheme="minorHAnsi"/>
          <w:lang w:val="id-ID"/>
        </w:rPr>
        <w:t>state of the world</w:t>
      </w:r>
      <w:r w:rsidRPr="00E943AE">
        <w:rPr>
          <w:rFonts w:cstheme="minorHAnsi"/>
        </w:rPr>
        <w:t xml:space="preserve"> economy, </w:t>
      </w:r>
      <w:r w:rsidR="00896937" w:rsidRPr="00E943AE">
        <w:rPr>
          <w:rFonts w:cstheme="minorHAnsi"/>
          <w:lang w:val="id-ID"/>
        </w:rPr>
        <w:t>particularly</w:t>
      </w:r>
      <w:r w:rsidRPr="00E943AE">
        <w:rPr>
          <w:rFonts w:cstheme="minorHAnsi"/>
        </w:rPr>
        <w:t xml:space="preserve"> with the economic crisis during and after the COVID-19 pandemic. </w:t>
      </w:r>
      <w:r w:rsidR="0054401F" w:rsidRPr="00E943AE">
        <w:rPr>
          <w:rFonts w:cstheme="minorHAnsi"/>
          <w:lang w:val="id-ID"/>
        </w:rPr>
        <w:t xml:space="preserve">Thus, </w:t>
      </w:r>
      <w:r w:rsidR="00896937" w:rsidRPr="00E943AE">
        <w:rPr>
          <w:rFonts w:cstheme="minorHAnsi"/>
        </w:rPr>
        <w:t>the absence of a more pronounced influence within the timeframe determined by our data sample is the reason why inflation has had no impact on the HDI level of OIC nations in the past ten years.</w:t>
      </w:r>
    </w:p>
    <w:p w14:paraId="2179FEF2" w14:textId="77777777" w:rsidR="00056A5E" w:rsidRDefault="00056A5E" w:rsidP="00E943AE">
      <w:pPr>
        <w:spacing w:line="240" w:lineRule="auto"/>
        <w:jc w:val="both"/>
        <w:rPr>
          <w:rFonts w:cstheme="minorHAnsi"/>
          <w:b/>
          <w:bCs/>
          <w:lang w:val="id-ID"/>
        </w:rPr>
      </w:pPr>
      <w:r w:rsidRPr="00056A5E">
        <w:rPr>
          <w:rFonts w:cstheme="minorHAnsi"/>
          <w:b/>
          <w:bCs/>
          <w:lang w:val="id-ID"/>
        </w:rPr>
        <w:t>Unemployment Rate's Impact on Human Development Index</w:t>
      </w:r>
    </w:p>
    <w:p w14:paraId="69D9930E" w14:textId="420A6AEE" w:rsidR="009B1F6F" w:rsidRDefault="00056A5E" w:rsidP="00E943AE">
      <w:pPr>
        <w:spacing w:line="240" w:lineRule="auto"/>
        <w:jc w:val="both"/>
        <w:rPr>
          <w:rFonts w:cstheme="minorHAnsi"/>
        </w:rPr>
      </w:pPr>
      <w:r w:rsidRPr="00056A5E">
        <w:rPr>
          <w:rFonts w:cstheme="minorHAnsi"/>
        </w:rPr>
        <w:t xml:space="preserve">The statistical information in table 1.4 above indicates that the unemployment variable has a probability value of 0.6786, which is greater than 5% (0.05), and a coefficient value of -0.00578. These results suggest that the unemployment rate in OIC nations has no impact on HDI. This information disproves the original ideas and hypotheses that the unemployment rate has a negative impact on HDI, particularly those that relate to the impact of unemployment on poverty cycles and unnecessary inequality of income that limit wellbeing and life satisfaction. </w:t>
      </w:r>
      <w:r w:rsidR="0016076E">
        <w:rPr>
          <w:rFonts w:cstheme="minorHAnsi"/>
          <w:lang w:val="id-ID"/>
        </w:rPr>
        <w:fldChar w:fldCharType="begin" w:fldLock="1"/>
      </w:r>
      <w:r w:rsidR="00366040">
        <w:rPr>
          <w:rFonts w:cstheme="minorHAnsi"/>
          <w:lang w:val="id-ID"/>
        </w:rPr>
        <w:instrText>ADDIN CSL_CITATION {"citationItems":[{"id":"ITEM-1","itemData":{"ISBN":"9789966611215","author":[{"dropping-particle":"","family":"Germain","given":"KRAMO Kouakou","non-dropping-particle":"","parse-names":false,"suffix":""}],"id":"ITEM-1","issued":{"date-parts":[["2021"]]},"title":"Youth unemployment and political instability in Côte d ’ Ivoire Youth unemployment and political instability in Côte d ’ Ivoire","type":"book"},"uris":["http://www.mendeley.com/documents/?uuid=dcbcb452-9e23-435a-a5c2-cdea779f12c4"]},{"id":"ITEM-2","itemData":{"author":[{"dropping-particle":"","family":"Ningrum","given":"Jahtu Widya","non-dropping-particle":"","parse-names":false,"suffix":""},{"dropping-particle":"","family":"Khairunnisa","given":"Aziza Hanifa","non-dropping-particle":"","parse-names":false,"suffix":""},{"dropping-particle":"","family":"Huda","given":"Nurul","non-dropping-particle":"","parse-names":false,"suffix":""}],"container-title":"Jurnal Ilmiah Ekonomi Islam","id":"ITEM-2","issue":"02","issued":{"date-parts":[["2020"]]},"page":"212-222","title":"Pengaruh Kemiskinan , Tingkat Pengangguran , Pertumbuhan Ekonomi dan Pengeluaran Pemerintah Terhadap Indeks Pembangunan Manusia ( IPM ) di Indonesia Tahun 2014-2018 dalam Perspektif Islam","type":"article-journal","volume":"6"},"uris":["http://www.mendeley.com/documents/?uuid=606d05b8-3cd4-4491-a222-bea9ff1d99a4"]},{"id":"ITEM-3","itemData":{"DOI":"10.35448/jequ.v6i2.4345","ISSN":"2089-4473","abstract":"Poverty is a problem faced by all of countries in the world, especially in the developing countries, such as Indonesia. Poverty is a complex problem influenced by many interrelated factors, including income levels, unemployment, health, education, access to goods and services, location, geography, gender, and environment. Poverty in Banten Province is relatively higher than other provinces in Indonesia, although Banten not included among the ten poorest regions in Indonesia. This study purpose is to analyze how and how much the influence of Human Development Index and Unemployment to Poverty in Banten Province during the period of 2008 to 2012. This study uses multiple regression analysis with panel data as the analysis method. This study focuses on six regencies and municipalities in Banten Province as cross-section data and time duration between 2008 to 2012 as time series data. The study resuts show that simultaneously, there is influence of the variable of Human Development Index (HDI) and Unemployment variable to Poverty. Then, partially, the variable of Human Development Index (HDI) show has positive and significant influence to poverty variable, whereas the variable of unemployment show insignificant influence to poverty variable in Banten Province. In addition, the determinant coefficient shows 0.96.","author":[{"dropping-particle":"","family":"Sayifullah","given":"","non-dropping-particle":"","parse-names":false,"suffix":""},{"dropping-particle":"","family":"Gandasari","given":"Tia Ratu","non-dropping-particle":"","parse-names":false,"suffix":""}],"container-title":"Jurnal Ekonomi-Qu","id":"ITEM-3","issue":"2","issued":{"date-parts":[["2016"]]},"page":"236-255","title":"Pengaruh Indeks Pembangunan Manusia Dan Pengangguran Terhadap Kemiskinan Di Provinsi Banten","type":"article-journal","volume":"6"},"uris":["http://www.mendeley.com/documents/?uuid=8ea64ea0-0257-4049-9752-13d119c1b5e6"]}],"mendeley":{"formattedCitation":"(Germain, 2021; Ningrum et al., 2020; Sayifullah &amp; Gandasari, 2016)","plainTextFormattedCitation":"(Germain, 2021; Ningrum et al., 2020; Sayifullah &amp; Gandasari, 2016)","previouslyFormattedCitation":"(Germain, 2021; Ningrum et al., 2020; Sayifullah &amp; Gandasari, 2016)"},"properties":{"noteIndex":0},"schema":"https://github.com/citation-style-language/schema/raw/master/csl-citation.json"}</w:instrText>
      </w:r>
      <w:r w:rsidR="0016076E">
        <w:rPr>
          <w:rFonts w:cstheme="minorHAnsi"/>
          <w:lang w:val="id-ID"/>
        </w:rPr>
        <w:fldChar w:fldCharType="separate"/>
      </w:r>
      <w:r w:rsidR="0016076E" w:rsidRPr="0016076E">
        <w:rPr>
          <w:rFonts w:cstheme="minorHAnsi"/>
          <w:noProof/>
          <w:lang w:val="id-ID"/>
        </w:rPr>
        <w:t>(Germain, 2021; Ningrum et al., 2020; Sayifullah &amp; Gandasari, 2016)</w:t>
      </w:r>
      <w:r w:rsidR="0016076E">
        <w:rPr>
          <w:rFonts w:cstheme="minorHAnsi"/>
          <w:lang w:val="id-ID"/>
        </w:rPr>
        <w:fldChar w:fldCharType="end"/>
      </w:r>
      <w:r w:rsidR="009B1F6F" w:rsidRPr="00A0127A">
        <w:rPr>
          <w:rFonts w:cstheme="minorHAnsi"/>
        </w:rPr>
        <w:t xml:space="preserve">. </w:t>
      </w:r>
      <w:r w:rsidR="00732FE4" w:rsidRPr="00732FE4">
        <w:rPr>
          <w:rFonts w:cstheme="minorHAnsi"/>
        </w:rPr>
        <w:t xml:space="preserve">According to study </w:t>
      </w:r>
      <w:r w:rsidR="00366040">
        <w:rPr>
          <w:rFonts w:cstheme="minorHAnsi"/>
          <w:lang w:val="id-ID"/>
        </w:rPr>
        <w:fldChar w:fldCharType="begin" w:fldLock="1"/>
      </w:r>
      <w:r w:rsidR="00E80D68">
        <w:rPr>
          <w:rFonts w:cstheme="minorHAnsi"/>
          <w:lang w:val="id-ID"/>
        </w:rPr>
        <w:instrText>ADDIN CSL_CITATION {"citationItems":[{"id":"ITEM-1","itemData":{"DOI":"10.15408/sjie.v7i1.6756","ISSN":"2087-2046","abstract":"Human development index is one indicator of development progress on aspects of human quality in a country. This study aims to determine the factors that affect the human development index in nations in ASEAN member countries. The analysis technique used is regression by using panel data regression with fixed effect model. The results of processing with fixed effect model show that population and per capita income growth rate affects the human development index in ASEAN member countries, while the variable rate of inflation and unemployment rate does not have an impact on the human development index. This study implies the importance of government to control the population and acceleration of economic growth.DOI: 10.15408/sjie.v7i1.6756","author":[{"dropping-particle":"","family":"Arisman","given":"A.","non-dropping-particle":"","parse-names":false,"suffix":""}],"container-title":"Signifikan: Jurnal Ilmu Ekonomi","id":"ITEM-1","issue":"1","issued":{"date-parts":[["2018"]]},"page":"113-122","title":"Determinant of Human Development Index in ASEAN Countries","type":"article-journal","volume":"7"},"uris":["http://www.mendeley.com/documents/?uuid=652b5c83-3658-42cc-a6ad-59c9684e5668"]},{"id":"ITEM-2","itemData":{"DOI":"10.21043/equilibrium.v10i1.14641","ISSN":"2355-0228","abstract":"&lt;p&gt;&lt;em&gt;This study seeks to determine the effect of government spending, level of concern, and economic growth on I-HDI in the OIC countries with good governance as moderation in 2010-2019. This study uses explanatory quantitative research methods. The sampling technique in this research is non-probability sampling, with a sample of 10 countries of the Organization of Islamic Cooperation. The data analysis techniques used were descriptive analysis, Generalized Least Squares (GLS) model, hypothesis testing, and Moderated Regression Analysis (MRA) model. The results of statistical testing show that the variable government expenditure and unemployment rate do not affect the Islamic Human Development Index, while the variable economic growth has a negative effect. In addition, good governance cannot moderate the effect of government spending on the Islamic Human Development Index, while the unemployment rate and economic growth can be moderated in their influence on the Islamic Human Development Index. Thus, it can be concluded that to increase the human development index in the Islamic perspective, and there is a need for good governance so that human development in the OIC country is increasing.&lt;/em&gt;&lt;em&gt;&lt;/em&gt;&lt;/p&gt;","author":[{"dropping-particle":"","family":"Hasbi","given":"Hasbi","non-dropping-particle":"","parse-names":false,"suffix":""},{"dropping-particle":"","family":"Wibowo","given":"Muhammad Ghafur","non-dropping-particle":"","parse-names":false,"suffix":""}],"container-title":"Equilibrium: Jurnal Ekonomi Syariah","id":"ITEM-2","issue":"1","issued":{"date-parts":[["2022"]]},"page":"173","title":"Determinants of Islamic Human Development Index in OIC Countries With Good Governance as Moderating Variables","type":"article-journal","volume":"10"},"uris":["http://www.mendeley.com/documents/?uuid=c5ccff82-86ef-45c7-a27f-d09125e4cfa9"]}],"mendeley":{"formattedCitation":"(Arisman, 2018; Hasbi &amp; Wibowo, 2022)","plainTextFormattedCitation":"(Arisman, 2018; Hasbi &amp; Wibowo, 2022)","previouslyFormattedCitation":"(Arisman, 2018; Hasbi &amp; Wibowo, 2022)"},"properties":{"noteIndex":0},"schema":"https://github.com/citation-style-language/schema/raw/master/csl-citation.json"}</w:instrText>
      </w:r>
      <w:r w:rsidR="00366040">
        <w:rPr>
          <w:rFonts w:cstheme="minorHAnsi"/>
          <w:lang w:val="id-ID"/>
        </w:rPr>
        <w:fldChar w:fldCharType="separate"/>
      </w:r>
      <w:r w:rsidR="00366040" w:rsidRPr="00366040">
        <w:rPr>
          <w:rFonts w:cstheme="minorHAnsi"/>
          <w:noProof/>
          <w:lang w:val="id-ID"/>
        </w:rPr>
        <w:t>(Arisman, 2018; Hasbi &amp; Wibowo, 2022)</w:t>
      </w:r>
      <w:r w:rsidR="00366040">
        <w:rPr>
          <w:rFonts w:cstheme="minorHAnsi"/>
          <w:lang w:val="id-ID"/>
        </w:rPr>
        <w:fldChar w:fldCharType="end"/>
      </w:r>
      <w:r w:rsidR="009B1F6F" w:rsidRPr="00A0127A">
        <w:rPr>
          <w:rFonts w:cstheme="minorHAnsi"/>
        </w:rPr>
        <w:t xml:space="preserve"> </w:t>
      </w:r>
      <w:r w:rsidR="00732FE4" w:rsidRPr="00732FE4">
        <w:rPr>
          <w:rFonts w:cstheme="minorHAnsi"/>
        </w:rPr>
        <w:t xml:space="preserve">), unemployment has </w:t>
      </w:r>
      <w:r w:rsidR="00732FE4">
        <w:rPr>
          <w:rFonts w:cstheme="minorHAnsi"/>
          <w:lang w:val="id-ID"/>
        </w:rPr>
        <w:t>a small</w:t>
      </w:r>
      <w:r w:rsidR="00732FE4" w:rsidRPr="00732FE4">
        <w:rPr>
          <w:rFonts w:cstheme="minorHAnsi"/>
        </w:rPr>
        <w:t xml:space="preserve"> impact on HDI, and the test findings support this claim. </w:t>
      </w:r>
      <w:r w:rsidR="009B1F6F" w:rsidRPr="00A0127A">
        <w:rPr>
          <w:rFonts w:cstheme="minorHAnsi"/>
        </w:rPr>
        <w:t>This means that HDI cannot be influenced by unemployment</w:t>
      </w:r>
      <w:r w:rsidR="0020361D">
        <w:rPr>
          <w:rFonts w:cstheme="minorHAnsi"/>
          <w:lang w:val="id-ID"/>
        </w:rPr>
        <w:t xml:space="preserve"> levels</w:t>
      </w:r>
      <w:r w:rsidR="009B1F6F" w:rsidRPr="00A0127A">
        <w:rPr>
          <w:rFonts w:cstheme="minorHAnsi"/>
        </w:rPr>
        <w:t xml:space="preserve"> in OIC countries.</w:t>
      </w:r>
    </w:p>
    <w:p w14:paraId="7CB03F0B" w14:textId="77777777" w:rsidR="004E2C1C" w:rsidRPr="004E2C1C" w:rsidRDefault="004E2C1C" w:rsidP="004E2C1C">
      <w:pPr>
        <w:spacing w:line="240" w:lineRule="auto"/>
        <w:jc w:val="both"/>
        <w:rPr>
          <w:rFonts w:cstheme="minorHAnsi"/>
          <w:lang w:val="id-ID"/>
        </w:rPr>
      </w:pPr>
      <w:r w:rsidRPr="004E2C1C">
        <w:rPr>
          <w:rFonts w:cstheme="minorHAnsi"/>
          <w:lang w:val="id-ID"/>
        </w:rPr>
        <w:t xml:space="preserve">Contrary to findings made by </w:t>
      </w:r>
      <w:r w:rsidR="00E80D68">
        <w:rPr>
          <w:rFonts w:cstheme="minorHAnsi"/>
        </w:rPr>
        <w:fldChar w:fldCharType="begin" w:fldLock="1"/>
      </w:r>
      <w:r w:rsidR="00E80D68">
        <w:rPr>
          <w:rFonts w:cstheme="minorHAnsi"/>
        </w:rPr>
        <w:instrText>ADDIN CSL_CITATION {"citationItems":[{"id":"ITEM-1","itemData":{"author":[{"dropping-particle":"","family":"Hassan, M. U. Khalid, M. W. and Kayani","given":"A.S.","non-dropping-particle":"","parse-names":false,"suffix":""}],"id":"ITEM-1","issued":{"date-parts":[["2016"]]},"page":"67-82","title":"Evaluating the Dilemma of Inflation, Poverty and Unemployment","type":"article-journal","volume":"5"},"uris":["http://www.mendeley.com/documents/?uuid=1d8b4fdb-4708-4b12-b4db-79df02ada8cb"]}],"mendeley":{"formattedCitation":"(Hassan, M. U. Khalid, M. W. and Kayani, 2016)","plainTextFormattedCitation":"(Hassan, M. U. Khalid, M. W. and Kayani, 2016)","previouslyFormattedCitation":"(Hassan, M. U. Khalid, M. W. and Kayani, 2016)"},"properties":{"noteIndex":0},"schema":"https://github.com/citation-style-language/schema/raw/master/csl-citation.json"}</w:instrText>
      </w:r>
      <w:r w:rsidR="00E80D68">
        <w:rPr>
          <w:rFonts w:cstheme="minorHAnsi"/>
        </w:rPr>
        <w:fldChar w:fldCharType="separate"/>
      </w:r>
      <w:r w:rsidR="00E80D68" w:rsidRPr="00E80D68">
        <w:rPr>
          <w:rFonts w:cstheme="minorHAnsi"/>
          <w:noProof/>
        </w:rPr>
        <w:t>Hassan, M. U. Khalid, M. W. and Kayani</w:t>
      </w:r>
      <w:r w:rsidR="00B94528">
        <w:rPr>
          <w:rFonts w:cstheme="minorHAnsi"/>
          <w:noProof/>
          <w:lang w:val="id-ID"/>
        </w:rPr>
        <w:t xml:space="preserve"> (</w:t>
      </w:r>
      <w:r w:rsidR="00E80D68" w:rsidRPr="00E80D68">
        <w:rPr>
          <w:rFonts w:cstheme="minorHAnsi"/>
          <w:noProof/>
        </w:rPr>
        <w:t>2016)</w:t>
      </w:r>
      <w:r w:rsidR="00E80D68">
        <w:rPr>
          <w:rFonts w:cstheme="minorHAnsi"/>
        </w:rPr>
        <w:fldChar w:fldCharType="end"/>
      </w:r>
      <w:r w:rsidR="009B1F6F" w:rsidRPr="00A0127A">
        <w:rPr>
          <w:rFonts w:cstheme="minorHAnsi"/>
        </w:rPr>
        <w:t xml:space="preserve"> </w:t>
      </w:r>
      <w:r w:rsidRPr="004E2C1C">
        <w:rPr>
          <w:rFonts w:cstheme="minorHAnsi"/>
          <w:lang w:val="id-ID"/>
        </w:rPr>
        <w:t>there is no long-term or short-term correlation between unemployment, inflation, and poverty. According to</w:t>
      </w:r>
      <w:r>
        <w:rPr>
          <w:rFonts w:cstheme="minorHAnsi"/>
        </w:rPr>
        <w:t xml:space="preserve"> </w:t>
      </w:r>
      <w:r w:rsidR="0016076E">
        <w:rPr>
          <w:rFonts w:cstheme="minorHAnsi"/>
        </w:rPr>
        <w:fldChar w:fldCharType="begin" w:fldLock="1"/>
      </w:r>
      <w:r w:rsidR="0016076E">
        <w:rPr>
          <w:rFonts w:cstheme="minorHAnsi"/>
        </w:rPr>
        <w:instrText>ADDIN CSL_CITATION {"citationItems":[{"id":"ITEM-1","itemData":{"DOI":"10.3390/su12072930","ISSN":"20711050","abstract":"The aim of this study is to analyze the impact of trade openness and human capital on economic growth in 19 Asian countries from 1985 to 2017. We selected two geographically distributed regions (Western and Southern Asia) based on difference in their GDP per capita. We applied the unit root tests to examine the level of stationarity and found that all variables were integrated at first difference. Kao and Fisher cointegration tests were employed and the results revealed the presence of a long-run relationship. We applied fully modified ordinary least square (FMOLS) and dynamic ordinary least square (DOLS) models to check the magnitude of the long-run coefficients among trade openness, human capital and economic growth. To investigate the direction of causality, we used a Dumitrescu and Hurlin (DH) causality test. The results indicated that trade openness and human capital have a significant and positive relationship while labor force participation has a negative effect on economic growth in Southern Asia, and in the case ofWestern Asia, the impact is positive. Foreign direct investment (FDI) has a negative and significant impact on GDP per capita (GDPPC) inWestern Asia while it is positive and significant in Southern Asia; Total population (TPOP) has a negative impact on GDPPC in both regions. Furthermore, human capital has a positive and significant impact on trade openness in both panels. Meanwhile, labor force participation (LFP) has a positive and significant impact on trade openness in Southern Asia and a negative impact in the case of Western Asia. Trade openness and economic growth have bidirectional causality in Western Asia and unidirectional causality in Southern Asia. It also shows that human capital and economic growth have unidirectional causality in both regions.","author":[{"dropping-particle":"","family":"Intisar","given":"Rabail Amna","non-dropping-particle":"","parse-names":false,"suffix":""},{"dropping-particle":"","family":"Yaseen","given":"Muhammad Rizwan","non-dropping-particle":"","parse-names":false,"suffix":""},{"dropping-particle":"","family":"Kousar","given":"Rakhshanda","non-dropping-particle":"","parse-names":false,"suffix":""},{"dropping-particle":"","family":"Usman","given":"Muhammad","non-dropping-particle":"","parse-names":false,"suffix":""},{"dropping-particle":"","family":"Amjad Makhdum","given":"Muhammad Sohail","non-dropping-particle":"","parse-names":false,"suffix":""}],"container-title":"Sustainability (Switzerland)","id":"ITEM-1","issue":"7","issued":{"date-parts":[["2020"]]},"title":"Impact of trade openness and human capital on economic growth: A comparative investigation of asian countries","type":"article-journal","volume":"12"},"uris":["http://www.mendeley.com/documents/?uuid=1b31c2a8-f614-490b-ac5c-bbb16b67ddbe"]}],"mendeley":{"formattedCitation":"(Intisar et al., 2020)","plainTextFormattedCitation":"(Intisar et al., 2020)","previouslyFormattedCitation":"(Intisar et al., 2020)"},"properties":{"noteIndex":0},"schema":"https://github.com/citation-style-language/schema/raw/master/csl-citation.json"}</w:instrText>
      </w:r>
      <w:r w:rsidR="0016076E">
        <w:rPr>
          <w:rFonts w:cstheme="minorHAnsi"/>
        </w:rPr>
        <w:fldChar w:fldCharType="separate"/>
      </w:r>
      <w:r w:rsidR="0016076E" w:rsidRPr="0016076E">
        <w:rPr>
          <w:rFonts w:cstheme="minorHAnsi"/>
          <w:noProof/>
        </w:rPr>
        <w:t>Intisar et al</w:t>
      </w:r>
      <w:r w:rsidR="00F36BE0">
        <w:rPr>
          <w:rFonts w:cstheme="minorHAnsi"/>
          <w:noProof/>
          <w:lang w:val="id-ID"/>
        </w:rPr>
        <w:t xml:space="preserve"> (</w:t>
      </w:r>
      <w:r w:rsidR="0016076E" w:rsidRPr="0016076E">
        <w:rPr>
          <w:rFonts w:cstheme="minorHAnsi"/>
          <w:noProof/>
        </w:rPr>
        <w:t>2020)</w:t>
      </w:r>
      <w:r w:rsidR="0016076E">
        <w:rPr>
          <w:rFonts w:cstheme="minorHAnsi"/>
        </w:rPr>
        <w:fldChar w:fldCharType="end"/>
      </w:r>
      <w:r w:rsidR="0016076E">
        <w:rPr>
          <w:rFonts w:cstheme="minorHAnsi"/>
          <w:lang w:val="id-ID"/>
        </w:rPr>
        <w:t xml:space="preserve"> </w:t>
      </w:r>
      <w:r w:rsidRPr="004E2C1C">
        <w:rPr>
          <w:rFonts w:cstheme="minorHAnsi"/>
          <w:lang w:val="id-ID"/>
        </w:rPr>
        <w:t xml:space="preserve">West Asia experiences a favorable influence from labor force participation while South Asia experiences a negative impact. Research by </w:t>
      </w:r>
      <w:r w:rsidR="0016076E">
        <w:rPr>
          <w:rFonts w:cstheme="minorHAnsi"/>
        </w:rPr>
        <w:fldChar w:fldCharType="begin" w:fldLock="1"/>
      </w:r>
      <w:r w:rsidR="00B1759D">
        <w:rPr>
          <w:rFonts w:cstheme="minorHAnsi"/>
        </w:rPr>
        <w:instrText>ADDIN CSL_CITATION {"citationItems":[{"id":"ITEM-1","itemData":{"DOI":"10.1177/0974910120919042","ISBN":"0974910120","ISSN":"09752730","abstract":"Investment expenditure is a major component of aggregate macroeconomic variables in any economy, irrespective of the development status. This article employed relevant econometric methodology on panel data environment to analyze the effects of foreign direct investment (FDI) inflows on economic growth of 30 leading global economies during the period between 1998 and 2017. Other variables considered in the analysis were domestic credit to private sector (DCPS), gross fixed capital formation (GFCF), inflation–consumer prices index (INFPC), trade openness (TOPNESS), and youth unemployment (UEMPYT). The results showed mixed growth effects of the variables in general. Specifically, FDI exerted positive and significant effect on economic growth of the countries during the period. Therefore, this article concluded that FDI inflows enhanced economic growth and emphasized the need to foster more FDI-attracting policies as well as adequate GFCF to complement FDIs for sustainable economic growth potentials. JEL Classification: C23, C33, C51, F21, F43, O47.","author":[{"dropping-particle":"","family":"Okwu","given":"Andy Titus","non-dropping-particle":"","parse-names":false,"suffix":""},{"dropping-particle":"","family":"Oseni","given":"Isiaq Olasunkanmi","non-dropping-particle":"","parse-names":false,"suffix":""},{"dropping-particle":"","family":"Obiakor","given":"Rowland Tochukwu","non-dropping-particle":"","parse-names":false,"suffix":""}],"container-title":"Global Journal of Emerging Market Economies","id":"ITEM-1","issue":"2","issued":{"date-parts":[["2020"]]},"page":"217-230","title":"Does Foreign Direct Investment Enhance Economic Growth? Evidence from 30 Leading Global Economies","type":"article-journal","volume":"12"},"uris":["http://www.mendeley.com/documents/?uuid=ddae7256-383d-4cf4-b74f-101c48515e0c"]}],"mendeley":{"formattedCitation":"(Okwu et al., 2020)","manualFormatting":"Okwu et al (2020)","plainTextFormattedCitation":"(Okwu et al., 2020)","previouslyFormattedCitation":"(Okwu et al., 2020)"},"properties":{"noteIndex":0},"schema":"https://github.com/citation-style-language/schema/raw/master/csl-citation.json"}</w:instrText>
      </w:r>
      <w:r w:rsidR="0016076E">
        <w:rPr>
          <w:rFonts w:cstheme="minorHAnsi"/>
        </w:rPr>
        <w:fldChar w:fldCharType="separate"/>
      </w:r>
      <w:r w:rsidR="0016076E" w:rsidRPr="0016076E">
        <w:rPr>
          <w:rFonts w:cstheme="minorHAnsi"/>
          <w:noProof/>
        </w:rPr>
        <w:t xml:space="preserve">Okwu et al </w:t>
      </w:r>
      <w:r w:rsidR="00B1759D">
        <w:rPr>
          <w:rFonts w:cstheme="minorHAnsi"/>
          <w:noProof/>
          <w:lang w:val="id-ID"/>
        </w:rPr>
        <w:t>(</w:t>
      </w:r>
      <w:r w:rsidR="0016076E" w:rsidRPr="0016076E">
        <w:rPr>
          <w:rFonts w:cstheme="minorHAnsi"/>
          <w:noProof/>
        </w:rPr>
        <w:t>2020)</w:t>
      </w:r>
      <w:r w:rsidR="0016076E">
        <w:rPr>
          <w:rFonts w:cstheme="minorHAnsi"/>
        </w:rPr>
        <w:fldChar w:fldCharType="end"/>
      </w:r>
      <w:r w:rsidR="009B1F6F" w:rsidRPr="00A0127A">
        <w:rPr>
          <w:rFonts w:cstheme="minorHAnsi"/>
        </w:rPr>
        <w:t xml:space="preserve"> </w:t>
      </w:r>
      <w:r w:rsidRPr="004E2C1C">
        <w:rPr>
          <w:rFonts w:cstheme="minorHAnsi"/>
          <w:lang w:val="id-ID"/>
        </w:rPr>
        <w:t>which examines the effects of FDI and several macroeconomic variables on economic growth in the L30 global economy, also identifies the beneficial effects of unemployment. The fall in people's welfare and income, which is the main factor driving up the value of the HDI, is caused by the high unemployment rate.</w:t>
      </w:r>
    </w:p>
    <w:p w14:paraId="511C5FC6" w14:textId="6636776D" w:rsidR="009100A9" w:rsidRDefault="009100A9" w:rsidP="00E943AE">
      <w:pPr>
        <w:spacing w:line="240" w:lineRule="auto"/>
        <w:jc w:val="both"/>
        <w:rPr>
          <w:rFonts w:cstheme="minorHAnsi"/>
          <w:b/>
          <w:bCs/>
          <w:lang w:val="id-ID"/>
        </w:rPr>
      </w:pPr>
      <w:r w:rsidRPr="009100A9">
        <w:rPr>
          <w:rFonts w:cstheme="minorHAnsi"/>
          <w:b/>
          <w:bCs/>
          <w:lang w:val="id-ID"/>
        </w:rPr>
        <w:t>Trade Openness' Impact on the Human Development Index</w:t>
      </w:r>
    </w:p>
    <w:p w14:paraId="3208CE5B" w14:textId="77777777" w:rsidR="00B9008F" w:rsidRDefault="00B9008F" w:rsidP="00E943AE">
      <w:pPr>
        <w:spacing w:line="240" w:lineRule="auto"/>
        <w:jc w:val="both"/>
        <w:rPr>
          <w:rFonts w:cstheme="minorHAnsi"/>
        </w:rPr>
      </w:pPr>
      <w:r w:rsidRPr="00B9008F">
        <w:rPr>
          <w:rFonts w:cstheme="minorHAnsi"/>
        </w:rPr>
        <w:t xml:space="preserve">The trade openness variable has a statistical value of 0.0000, which is less than 5% (0.05), and a coefficient value of 0.000123. These findings suggest that trade openness significantly improves HDI. </w:t>
      </w:r>
      <w:r w:rsidRPr="00B9008F">
        <w:rPr>
          <w:rFonts w:cstheme="minorHAnsi"/>
        </w:rPr>
        <w:lastRenderedPageBreak/>
        <w:t>This is in line with the study's theory and original hypothesis, according to which trade openness has a positive and considerable impact on the HDI of OIC member nations.</w:t>
      </w:r>
    </w:p>
    <w:p w14:paraId="063B1929" w14:textId="5E1383D1" w:rsidR="009B1F6F" w:rsidRPr="008F753C" w:rsidRDefault="00B9008F" w:rsidP="00E943AE">
      <w:pPr>
        <w:spacing w:line="240" w:lineRule="auto"/>
        <w:jc w:val="both"/>
        <w:rPr>
          <w:rFonts w:cstheme="minorHAnsi"/>
          <w:lang w:val="id-ID"/>
        </w:rPr>
      </w:pPr>
      <w:r w:rsidRPr="008F753C">
        <w:rPr>
          <w:rFonts w:cstheme="minorHAnsi"/>
        </w:rPr>
        <w:t xml:space="preserve">The test's findings are consistent with study by </w:t>
      </w:r>
      <w:r w:rsidR="0016076E" w:rsidRPr="008F753C">
        <w:rPr>
          <w:rFonts w:cstheme="minorHAnsi"/>
        </w:rPr>
        <w:fldChar w:fldCharType="begin" w:fldLock="1"/>
      </w:r>
      <w:r w:rsidR="00EF78A3" w:rsidRPr="008F753C">
        <w:rPr>
          <w:rFonts w:cstheme="minorHAnsi"/>
        </w:rPr>
        <w:instrText>ADDIN CSL_CITATION {"citationItems":[{"id":"ITEM-1","itemData":{"DOI":"10.1080/08853908.2021.1905115","ISSN":"15210545","abstract":"This article analyzes whether trade openness and foreign direct investment are driving factors for human development in the Middle East and North African region. We used data of 13 MENA countries over the period of 2002 to 2015. We employed the panel cointegration analysis and vector error correction model to test the short- and long-run relationships as well as the causality between the variables. Findings indicate that in the long run the coefficients of trade openness and foreign direct investment are statistically significant. However, in the short run, the results show that only foreign direct investment and domestic investment exert a significant impact on human development.","author":[{"dropping-particle":"","family":"Hamdi","given":"Helmi","non-dropping-particle":"","parse-names":false,"suffix":""},{"dropping-particle":"","family":"Hakimi","given":"Abdelaziz","non-dropping-particle":"","parse-names":false,"suffix":""}],"container-title":"International Trade Journal","id":"ITEM-1","issue":"3","issued":{"date-parts":[["2022"]]},"page":"219-238","publisher":"Routledge","title":"Trade Openness, Foreign Direct Investment, and Human Development: A Panel Cointegration Analysis for MENA Countries","type":"article-journal","volume":"36"},"uris":["http://www.mendeley.com/documents/?uuid=26eacd5f-de04-427e-948d-0ebcd6906468"]}],"mendeley":{"formattedCitation":"(Hamdi &amp; Hakimi, 2022)","manualFormatting":"Hamdi &amp; Hakimi's research (2022)","plainTextFormattedCitation":"(Hamdi &amp; Hakimi, 2022)","previouslyFormattedCitation":"(Hamdi &amp; Hakimi, 2022)"},"properties":{"noteIndex":0},"schema":"https://github.com/citation-style-language/schema/raw/master/csl-citation.json"}</w:instrText>
      </w:r>
      <w:r w:rsidR="0016076E" w:rsidRPr="008F753C">
        <w:rPr>
          <w:rFonts w:cstheme="minorHAnsi"/>
        </w:rPr>
        <w:fldChar w:fldCharType="separate"/>
      </w:r>
      <w:r w:rsidR="0016076E" w:rsidRPr="008F753C">
        <w:rPr>
          <w:rFonts w:cstheme="minorHAnsi"/>
          <w:noProof/>
        </w:rPr>
        <w:t>Hamdi &amp; Hakimi</w:t>
      </w:r>
      <w:r w:rsidR="00EF78A3" w:rsidRPr="008F753C">
        <w:rPr>
          <w:rFonts w:cstheme="minorHAnsi"/>
          <w:noProof/>
          <w:lang w:val="id-ID"/>
        </w:rPr>
        <w:t>'s research</w:t>
      </w:r>
      <w:r w:rsidR="0016076E" w:rsidRPr="008F753C">
        <w:rPr>
          <w:rFonts w:cstheme="minorHAnsi"/>
          <w:noProof/>
        </w:rPr>
        <w:t xml:space="preserve"> </w:t>
      </w:r>
      <w:r w:rsidR="00E64245" w:rsidRPr="008F753C">
        <w:rPr>
          <w:rFonts w:cstheme="minorHAnsi"/>
          <w:noProof/>
          <w:lang w:val="id-ID"/>
        </w:rPr>
        <w:t>(</w:t>
      </w:r>
      <w:r w:rsidR="0016076E" w:rsidRPr="008F753C">
        <w:rPr>
          <w:rFonts w:cstheme="minorHAnsi"/>
          <w:noProof/>
        </w:rPr>
        <w:t>2022)</w:t>
      </w:r>
      <w:r w:rsidR="0016076E" w:rsidRPr="008F753C">
        <w:rPr>
          <w:rFonts w:cstheme="minorHAnsi"/>
        </w:rPr>
        <w:fldChar w:fldCharType="end"/>
      </w:r>
      <w:r w:rsidR="0016076E" w:rsidRPr="008F753C">
        <w:rPr>
          <w:rFonts w:cstheme="minorHAnsi"/>
          <w:lang w:val="id-ID"/>
        </w:rPr>
        <w:t xml:space="preserve"> </w:t>
      </w:r>
      <w:r w:rsidRPr="008F753C">
        <w:rPr>
          <w:rFonts w:cstheme="minorHAnsi"/>
        </w:rPr>
        <w:t xml:space="preserve">which claims that trade openness is a key component in both the short- and long-term growth of people in the Middle East and North Africa (MENA) region. According to research by </w:t>
      </w:r>
      <w:r w:rsidR="0016076E" w:rsidRPr="008F753C">
        <w:rPr>
          <w:rFonts w:cstheme="minorHAnsi"/>
        </w:rPr>
        <w:fldChar w:fldCharType="begin" w:fldLock="1"/>
      </w:r>
      <w:r w:rsidR="00647AE8" w:rsidRPr="008F753C">
        <w:rPr>
          <w:rFonts w:cstheme="minorHAnsi"/>
        </w:rPr>
        <w:instrText>ADDIN CSL_CITATION {"citationItems":[{"id":"ITEM-1","itemData":{"DOI":"10.1111/1467-8268.12319","ISSN":"14678268","abstract":"The linkages between international trade and economic performance has received significant attention from policymakers and researchers. There is consensus in the literature that improved trade openness corresponds to improved economic growth. In this study, we argue that trade openness has a significant impact on population health outcomes and financing. The study employed a balanced panel data for 42 sub-Saharan African (SSA) countries over the period 1995–2013. Population health status was measured by total life expectancy at birth, infant mortality rate and under-five mortality rate. Three main estimation models were used: (1) fixed effect (FE); (2) random effect (RE); and (3) the generalized method of moments (GMM) in estimating the relationships. The results showed that trade openness has a positive and significant effect on life expectancy, a negative and significant effect on the infant mortality rate and a negative impact of trade openness on the under-five mortality rate. A positive effect of trade openness on health financing was also realized. The findings of the study support international trade integration and emphasize the need for countries to be conscious of gains from trade within sub-sectors of the economy.","author":[{"dropping-particle":"","family":"Novignon","given":"Jacob","non-dropping-particle":"","parse-names":false,"suffix":""},{"dropping-particle":"","family":"Atakorah","given":"Yaw Boateng","non-dropping-particle":"","parse-names":false,"suffix":""},{"dropping-particle":"","family":"Djossou","given":"Gbetoton Nadege","non-dropping-particle":"","parse-names":false,"suffix":""}],"container-title":"African Development Review","id":"ITEM-1","issue":"2","issued":{"date-parts":[["2018"]]},"page":"135-148","title":"How Does the Health Sector Benefit from Trade Openness? Evidence from Sub-Saharan Africa","type":"article-journal","volume":"30"},"uris":["http://www.mendeley.com/documents/?uuid=ce1651fb-3fbb-40b5-b9e1-f5c8eac2e7d6"]}],"mendeley":{"formattedCitation":"(Novignon et al., 2018)","manualFormatting":"Novignon et al (2018)","plainTextFormattedCitation":"(Novignon et al., 2018)","previouslyFormattedCitation":"(Novignon et al., 2018)"},"properties":{"noteIndex":0},"schema":"https://github.com/citation-style-language/schema/raw/master/csl-citation.json"}</w:instrText>
      </w:r>
      <w:r w:rsidR="0016076E" w:rsidRPr="008F753C">
        <w:rPr>
          <w:rFonts w:cstheme="minorHAnsi"/>
        </w:rPr>
        <w:fldChar w:fldCharType="separate"/>
      </w:r>
      <w:r w:rsidR="0016076E" w:rsidRPr="008F753C">
        <w:rPr>
          <w:rFonts w:cstheme="minorHAnsi"/>
          <w:noProof/>
        </w:rPr>
        <w:t>Novignon et al</w:t>
      </w:r>
      <w:r w:rsidR="00647AE8" w:rsidRPr="008F753C">
        <w:rPr>
          <w:rFonts w:cstheme="minorHAnsi"/>
          <w:noProof/>
          <w:lang w:val="id-ID"/>
        </w:rPr>
        <w:t xml:space="preserve"> (</w:t>
      </w:r>
      <w:r w:rsidR="0016076E" w:rsidRPr="008F753C">
        <w:rPr>
          <w:rFonts w:cstheme="minorHAnsi"/>
          <w:noProof/>
        </w:rPr>
        <w:t>2018)</w:t>
      </w:r>
      <w:r w:rsidR="0016076E" w:rsidRPr="008F753C">
        <w:rPr>
          <w:rFonts w:cstheme="minorHAnsi"/>
        </w:rPr>
        <w:fldChar w:fldCharType="end"/>
      </w:r>
      <w:r w:rsidRPr="008F753C">
        <w:rPr>
          <w:rFonts w:cstheme="minorHAnsi"/>
          <w:lang w:val="id-ID"/>
        </w:rPr>
        <w:t xml:space="preserve">, </w:t>
      </w:r>
      <w:r w:rsidRPr="008F753C">
        <w:rPr>
          <w:rFonts w:cstheme="minorHAnsi"/>
        </w:rPr>
        <w:t>trade has a large positive impact on life expectancy and a considerable negative impact on baby and under-five mortality rates. Trade openness has a considerable positive impact on economic growth and human development, according to research by</w:t>
      </w:r>
      <w:r w:rsidR="0016076E" w:rsidRPr="008F753C">
        <w:rPr>
          <w:rFonts w:cstheme="minorHAnsi"/>
          <w:lang w:val="id-ID"/>
        </w:rPr>
        <w:t xml:space="preserve"> </w:t>
      </w:r>
      <w:r w:rsidR="0016076E" w:rsidRPr="008F753C">
        <w:rPr>
          <w:rFonts w:cstheme="minorHAnsi"/>
        </w:rPr>
        <w:fldChar w:fldCharType="begin" w:fldLock="1"/>
      </w:r>
      <w:r w:rsidR="00D43BB2" w:rsidRPr="008F753C">
        <w:rPr>
          <w:rFonts w:cstheme="minorHAnsi"/>
        </w:rPr>
        <w:instrText>ADDIN CSL_CITATION {"citationItems":[{"id":"ITEM-1","itemData":{"DOI":"10.1111/twec.12586","ISSN":"14679701","abstract":"Empirical results on the links between trade openness and economic growth often suggest that, in the long run, more outward-oriented countries register better economic growth. However, a similar level of trade openness can hide different types of trade structures. The aim of this paper was to enrich the way of measuring trade openness taking into account two different dimensions of countries’ integration in world trade: export quality and export variety. Based on the estimation of an endogenous growth model on a panel of 169 countries between 1988 and 2014 using a generalised method of moments estimator, our results confirm that countries exporting higher quality products and new varieties grow more rapidly. More importantly, we find a non-linear pattern between the export ratio and the quality of the export basket, suggesting that openness to trade may impact growth negatively for countries which are specialised in low-quality products. A non-linear relationship between export variety, the export ratio and growth is also found, suggesting that countries increasing their exports will grow more rapidly after reaching a certain degree of the extensive margin of exports.","author":[{"dropping-particle":"","family":"Huchet-Bourdon","given":"Marilyne","non-dropping-particle":"","parse-names":false,"suffix":""},{"dropping-particle":"","family":"Mouël","given":"Chantal","non-dropping-particle":"Le","parse-names":false,"suffix":""},{"dropping-particle":"","family":"Vijil","given":"Mariana","non-dropping-particle":"","parse-names":false,"suffix":""}],"container-title":"World Economy","id":"ITEM-1","issue":"1","issued":{"date-parts":[["2018"]]},"page":"59-76","title":"The relationship between trade openness and economic growth: Some new insights on the openness measurement issue","type":"article-journal","volume":"41"},"uris":["http://www.mendeley.com/documents/?uuid=080a9f2c-4217-41f3-ab65-8938f2fac3dc"]},{"id":"ITEM-2","itemData":{"DOI":"10.1080/23322039.2017.1332820","ISSN":"23322039","abstract":"The relationship between trade openness and economic growth has been extensively investigated yielding to mixed and inconclusive results. This might be attributed to the omission of the role of capital stock and labor in the trade-growth nexus. This paper examines the impact of trade openness on economic growth for Cote d’Ivoire over the period 1965–2014 in a multivariate framework including capital stock, labor and trade openness as regressors. It uses the Autoregressive Distributed Lag bounds test to cointegration and the Toda and Yamamoto Granger causality tests. The results show that trade openness has positive effects on economic growth both in the short and long run. Furthermore, they reveal a positive and strong complementary relationship between trade openness and capital formation in promoting economic growth.","author":[{"dropping-particle":"","family":"Keho","given":"Yaya","non-dropping-particle":"","parse-names":false,"suffix":""}],"container-title":"Cogent Economics and Finance","id":"ITEM-2","issue":"1","issued":{"date-parts":[["2017"]]},"page":"1-14","publisher":"Cogent","title":"The impact of trade openness on economic growth: The case of Cote d’Ivoire","type":"article-journal","volume":"5"},"uris":["http://www.mendeley.com/documents/?uuid=9993fde5-bee4-4860-8967-987f4edac63c"]},{"id":"ITEM-3","itemData":{"DOI":"10.20473/vol8iss20215pp537-547","ISSN":"2407-1935","abstract":"ABSTRAKPertumbuhan ekonomi memegang peranan penting dalam menentukan keberhasilan pembangunan sebuah negara, oleh karena itu setiap negara selalu menetapkan target pertumbuhan ekonomi yang stabil dalam tujuan pembangunan. Dalam prosesnya pertumbuhan ekonomi dipengaruhi oleh berbagai factor yang dapat mendorong atau bahkan menghambat laju pertumbuhan. Penelitian ini bertujuan untuk menganalisis pertumbuhan penduduk, keterbukaan perdagangan, inflasi, nilai tukar dan investasi terhadap pertumbuhan ekonomi 40 negara anggota Organisasi Kerjasama Islam (OKI) pada tahun 2005-2019 menggunakan pendekatan kuantitatif dengan teknik analisis regresi data panel fixed effect model dan menggunakan aplikasi Eviews 11dalam mengelola data penelitian. Hasil penelitian ini menunjukkan bahwa variabel pertumbuhan penduduk dan nilai tukar memiliki hubungan signifikan dan negatif terhadap pertumbuhan ekonomi, sedangkan keterbukaan perdagangan dan investasi berpengaruh signifikan dan positif. Sedangkan investasi tidak berpengaruh signifikan pada pertumbuhan ekonomi di Negara OKI. Berdasarkan hasil penelitian ini pemerintah dan pihak terkait diharapkan dapat mengendalikan tingkat pertumbuhan penduduknya serta mendorong sektor perdagangan internasional untuk meningkatkan pertumbuhan ekonomi mengingat tingkat keterbukaan perdagangan di Negara OKI masih dibawah potensinya.Kata Kunci: Pertumbuhan Ekonomi, Pertumbuhan Penduduk, Keterbukaan Perdagangan, Organisasi Kerjasama Islam. ABSTRACTEconomic growth plays an important role in determining the success of a country's development; therefore, each country always sets a target for stable economic growth in its development goals. In the process, economic growth is influenced by various factors that can encourage or even hinder the growth rate. The purpose of this study is to analyze the effect of population growth, trade openness, inflation, exchange rates and investment on the economic growth of 40 member countries of the Organization of Islamic Cooperation (OIC) in 2005-2019 using a quantitative approach with a fixed effect model panel data regression analysis technique and using the Eviews application. 11 in managing research data. The results of this study indicate that the variables of population growth and exchange rates have a significant and negative relationship to economic growth, while trade openness and investment have a significant and positive effect. Meanwhile, investment has no significant effect on economic growth in th…","author":[{"dropping-particle":"El","family":"Muharromy","given":"Noor Syahro","non-dropping-particle":"","parse-names":false,"suffix":""},{"dropping-particle":"","family":"Auwalin","given":"Ilmiawan","non-dropping-particle":"","parse-names":false,"suffix":""}],"container-title":"Jurnal Ekonomi Syariah Teori dan Terapan","id":"ITEM-3","issue":"5","issued":{"date-parts":[["2021"]]},"page":"537","title":"the Effect of Population Growth and Trade Openness on Economic Growth of the Oic Countries","type":"article-journal","volume":"8"},"uris":["http://www.mendeley.com/documents/?uuid=80b36431-3598-476c-9437-66e2ff87247b"]},{"id":"ITEM-4","itemData":{"DOI":"10.1177/0974910120919042","ISBN":"0974910120","ISSN":"09752730","abstract":"Investment expenditure is a major component of aggregate macroeconomic variables in any economy, irrespective of the development status. This article employed relevant econometric methodology on panel data environment to analyze the effects of foreign direct investment (FDI) inflows on economic growth of 30 leading global economies during the period between 1998 and 2017. Other variables considered in the analysis were domestic credit to private sector (DCPS), gross fixed capital formation (GFCF), inflation–consumer prices index (INFPC), trade openness (TOPNESS), and youth unemployment (UEMPYT). The results showed mixed growth effects of the variables in general. Specifically, FDI exerted positive and significant effect on economic growth of the countries during the period. Therefore, this article concluded that FDI inflows enhanced economic growth and emphasized the need to foster more FDI-attracting policies as well as adequate GFCF to complement FDIs for sustainable economic growth potentials. JEL Classification: C23, C33, C51, F21, F43, O47.","author":[{"dropping-particle":"","family":"Okwu","given":"Andy Titus","non-dropping-particle":"","parse-names":false,"suffix":""},{"dropping-particle":"","family":"Oseni","given":"Isiaq Olasunkanmi","non-dropping-particle":"","parse-names":false,"suffix":""},{"dropping-particle":"","family":"Obiakor","given":"Rowland Tochukwu","non-dropping-particle":"","parse-names":false,"suffix":""}],"container-title":"Global Journal of Emerging Market Economies","id":"ITEM-4","issue":"2","issued":{"date-parts":[["2020"]]},"page":"217-230","title":"Does Foreign Direct Investment Enhance Economic Growth? Evidence from 30 Leading Global Economies","type":"article-journal","volume":"12"},"uris":["http://www.mendeley.com/documents/?uuid=ddae7256-383d-4cf4-b74f-101c48515e0c"]},{"id":"ITEM-5","itemData":{"DOI":"10.3390/su12072930","ISSN":"20711050","abstract":"The aim of this study is to analyze the impact of trade openness and human capital on economic growth in 19 Asian countries from 1985 to 2017. We selected two geographically distributed regions (Western and Southern Asia) based on difference in their GDP per capita. We applied the unit root tests to examine the level of stationarity and found that all variables were integrated at first difference. Kao and Fisher cointegration tests were employed and the results revealed the presence of a long-run relationship. We applied fully modified ordinary least square (FMOLS) and dynamic ordinary least square (DOLS) models to check the magnitude of the long-run coefficients among trade openness, human capital and economic growth. To investigate the direction of causality, we used a Dumitrescu and Hurlin (DH) causality test. The results indicated that trade openness and human capital have a significant and positive relationship while labor force participation has a negative effect on economic growth in Southern Asia, and in the case ofWestern Asia, the impact is positive. Foreign direct investment (FDI) has a negative and significant impact on GDP per capita (GDPPC) inWestern Asia while it is positive and significant in Southern Asia; Total population (TPOP) has a negative impact on GDPPC in both regions. Furthermore, human capital has a positive and significant impact on trade openness in both panels. Meanwhile, labor force participation (LFP) has a positive and significant impact on trade openness in Southern Asia and a negative impact in the case of Western Asia. Trade openness and economic growth have bidirectional causality in Western Asia and unidirectional causality in Southern Asia. It also shows that human capital and economic growth have unidirectional causality in both regions.","author":[{"dropping-particle":"","family":"Intisar","given":"Rabail Amna","non-dropping-particle":"","parse-names":false,"suffix":""},{"dropping-particle":"","family":"Yaseen","given":"Muhammad Rizwan","non-dropping-particle":"","parse-names":false,"suffix":""},{"dropping-particle":"","family":"Kousar","given":"Rakhshanda","non-dropping-particle":"","parse-names":false,"suffix":""},{"dropping-particle":"","family":"Usman","given":"Muhammad","non-dropping-particle":"","parse-names":false,"suffix":""},{"dropping-particle":"","family":"Amjad Makhdum","given":"Muhammad Sohail","non-dropping-particle":"","parse-names":false,"suffix":""}],"container-title":"Sustainability (Switzerland)","id":"ITEM-5","issue":"7","issued":{"date-parts":[["2020"]]},"title":"Impact of trade openness and human capital on economic growth: A comparative investigation of asian countries","type":"article-journal","volume":"12"},"uris":["http://www.mendeley.com/documents/?uuid=1b31c2a8-f614-490b-ac5c-bbb16b67ddbe"]}],"mendeley":{"formattedCitation":"(Huchet-Bourdon et al., 2018; Intisar et al., 2020; Keho, 2017; Muharromy &amp; Auwalin, 2021; Okwu et al., 2020)","manualFormatting":"Huchet-Bourdon et al (2018), Intisar et al (2020), Keho (2017), Muharromy &amp; Auwalin (2021) and Okwu et al (2020)","plainTextFormattedCitation":"(Huchet-Bourdon et al., 2018; Intisar et al., 2020; Keho, 2017; Muharromy &amp; Auwalin, 2021; Okwu et al., 2020)","previouslyFormattedCitation":"(Huchet-Bourdon et al., 2018; Intisar et al., 2020; Keho, 2017; Muharromy &amp; Auwalin, 2021; Okwu et al., 2020)"},"properties":{"noteIndex":0},"schema":"https://github.com/citation-style-language/schema/raw/master/csl-citation.json"}</w:instrText>
      </w:r>
      <w:r w:rsidR="0016076E" w:rsidRPr="008F753C">
        <w:rPr>
          <w:rFonts w:cstheme="minorHAnsi"/>
        </w:rPr>
        <w:fldChar w:fldCharType="separate"/>
      </w:r>
      <w:r w:rsidR="0016076E" w:rsidRPr="008F753C">
        <w:rPr>
          <w:rFonts w:cstheme="minorHAnsi"/>
          <w:noProof/>
        </w:rPr>
        <w:t>Huchet-Bourdon et al</w:t>
      </w:r>
      <w:r w:rsidR="00D43BB2" w:rsidRPr="008F753C">
        <w:rPr>
          <w:rFonts w:cstheme="minorHAnsi"/>
          <w:noProof/>
          <w:lang w:val="id-ID"/>
        </w:rPr>
        <w:t xml:space="preserve"> (</w:t>
      </w:r>
      <w:r w:rsidR="0016076E" w:rsidRPr="008F753C">
        <w:rPr>
          <w:rFonts w:cstheme="minorHAnsi"/>
          <w:noProof/>
        </w:rPr>
        <w:t>2018</w:t>
      </w:r>
      <w:r w:rsidR="00D43BB2" w:rsidRPr="008F753C">
        <w:rPr>
          <w:rFonts w:cstheme="minorHAnsi"/>
          <w:noProof/>
          <w:lang w:val="id-ID"/>
        </w:rPr>
        <w:t>),</w:t>
      </w:r>
      <w:r w:rsidR="0016076E" w:rsidRPr="008F753C">
        <w:rPr>
          <w:rFonts w:cstheme="minorHAnsi"/>
          <w:noProof/>
        </w:rPr>
        <w:t xml:space="preserve"> Intisar et al</w:t>
      </w:r>
      <w:r w:rsidR="00D43BB2" w:rsidRPr="008F753C">
        <w:rPr>
          <w:rFonts w:cstheme="minorHAnsi"/>
          <w:noProof/>
          <w:lang w:val="id-ID"/>
        </w:rPr>
        <w:t xml:space="preserve"> (</w:t>
      </w:r>
      <w:r w:rsidR="0016076E" w:rsidRPr="008F753C">
        <w:rPr>
          <w:rFonts w:cstheme="minorHAnsi"/>
          <w:noProof/>
        </w:rPr>
        <w:t>2020</w:t>
      </w:r>
      <w:r w:rsidR="00D43BB2" w:rsidRPr="008F753C">
        <w:rPr>
          <w:rFonts w:cstheme="minorHAnsi"/>
          <w:noProof/>
          <w:lang w:val="id-ID"/>
        </w:rPr>
        <w:t>),</w:t>
      </w:r>
      <w:r w:rsidR="0016076E" w:rsidRPr="008F753C">
        <w:rPr>
          <w:rFonts w:cstheme="minorHAnsi"/>
          <w:noProof/>
        </w:rPr>
        <w:t xml:space="preserve"> Keho</w:t>
      </w:r>
      <w:r w:rsidR="00D43BB2" w:rsidRPr="008F753C">
        <w:rPr>
          <w:rFonts w:cstheme="minorHAnsi"/>
          <w:noProof/>
          <w:lang w:val="id-ID"/>
        </w:rPr>
        <w:t xml:space="preserve"> (</w:t>
      </w:r>
      <w:r w:rsidR="0016076E" w:rsidRPr="008F753C">
        <w:rPr>
          <w:rFonts w:cstheme="minorHAnsi"/>
          <w:noProof/>
        </w:rPr>
        <w:t>2017</w:t>
      </w:r>
      <w:r w:rsidR="00D43BB2" w:rsidRPr="008F753C">
        <w:rPr>
          <w:rFonts w:cstheme="minorHAnsi"/>
          <w:noProof/>
          <w:lang w:val="id-ID"/>
        </w:rPr>
        <w:t>),</w:t>
      </w:r>
      <w:r w:rsidR="0016076E" w:rsidRPr="008F753C">
        <w:rPr>
          <w:rFonts w:cstheme="minorHAnsi"/>
          <w:noProof/>
        </w:rPr>
        <w:t xml:space="preserve"> Muharromy &amp; Auwalin</w:t>
      </w:r>
      <w:r w:rsidR="00D43BB2" w:rsidRPr="008F753C">
        <w:rPr>
          <w:rFonts w:cstheme="minorHAnsi"/>
          <w:noProof/>
          <w:lang w:val="id-ID"/>
        </w:rPr>
        <w:t xml:space="preserve"> (</w:t>
      </w:r>
      <w:r w:rsidR="0016076E" w:rsidRPr="008F753C">
        <w:rPr>
          <w:rFonts w:cstheme="minorHAnsi"/>
          <w:noProof/>
        </w:rPr>
        <w:t>2021</w:t>
      </w:r>
      <w:r w:rsidR="00D43BB2" w:rsidRPr="008F753C">
        <w:rPr>
          <w:rFonts w:cstheme="minorHAnsi"/>
          <w:noProof/>
          <w:lang w:val="id-ID"/>
        </w:rPr>
        <w:t>)</w:t>
      </w:r>
      <w:r w:rsidR="0016076E" w:rsidRPr="008F753C">
        <w:rPr>
          <w:rFonts w:cstheme="minorHAnsi"/>
          <w:noProof/>
        </w:rPr>
        <w:t xml:space="preserve"> </w:t>
      </w:r>
      <w:r w:rsidR="00D43BB2" w:rsidRPr="008F753C">
        <w:rPr>
          <w:rFonts w:cstheme="minorHAnsi"/>
          <w:noProof/>
          <w:lang w:val="id-ID"/>
        </w:rPr>
        <w:t xml:space="preserve">and </w:t>
      </w:r>
      <w:r w:rsidR="0016076E" w:rsidRPr="008F753C">
        <w:rPr>
          <w:rFonts w:cstheme="minorHAnsi"/>
          <w:noProof/>
        </w:rPr>
        <w:t>Okwu et al</w:t>
      </w:r>
      <w:r w:rsidR="00D43BB2" w:rsidRPr="008F753C">
        <w:rPr>
          <w:rFonts w:cstheme="minorHAnsi"/>
          <w:noProof/>
          <w:lang w:val="id-ID"/>
        </w:rPr>
        <w:t xml:space="preserve"> (</w:t>
      </w:r>
      <w:r w:rsidR="0016076E" w:rsidRPr="008F753C">
        <w:rPr>
          <w:rFonts w:cstheme="minorHAnsi"/>
          <w:noProof/>
        </w:rPr>
        <w:t>2020)</w:t>
      </w:r>
      <w:r w:rsidR="0016076E" w:rsidRPr="008F753C">
        <w:rPr>
          <w:rFonts w:cstheme="minorHAnsi"/>
        </w:rPr>
        <w:fldChar w:fldCharType="end"/>
      </w:r>
      <w:r w:rsidRPr="008F753C">
        <w:rPr>
          <w:rFonts w:cstheme="minorHAnsi"/>
          <w:lang w:val="id-ID"/>
        </w:rPr>
        <w:t xml:space="preserve">. </w:t>
      </w:r>
    </w:p>
    <w:p w14:paraId="692FDA91" w14:textId="26BA8859" w:rsidR="009B1F6F" w:rsidRPr="00B544FE" w:rsidRDefault="009B1F6F" w:rsidP="00E943AE">
      <w:pPr>
        <w:spacing w:line="240" w:lineRule="auto"/>
        <w:jc w:val="both"/>
        <w:rPr>
          <w:rFonts w:cstheme="minorHAnsi"/>
        </w:rPr>
      </w:pPr>
      <w:r w:rsidRPr="00A0127A">
        <w:rPr>
          <w:rFonts w:cstheme="minorHAnsi"/>
        </w:rPr>
        <w:t xml:space="preserve">Cooperation </w:t>
      </w:r>
      <w:r w:rsidR="004714B5">
        <w:rPr>
          <w:rFonts w:cstheme="minorHAnsi"/>
          <w:lang w:val="id-ID"/>
        </w:rPr>
        <w:t>within</w:t>
      </w:r>
      <w:r w:rsidRPr="00A0127A">
        <w:rPr>
          <w:rFonts w:cstheme="minorHAnsi"/>
        </w:rPr>
        <w:t xml:space="preserve"> the trade, investment and financial sectors can support sustainable development programs and improve the socio-economic welfare of people in OIC member countries. The OIC-2025 program of action states that if the level of trade cooperation can reach the desired level, significant benefits will be created. Good cooperation will create quality production, consumption and distribution which will improve people's lives in general </w:t>
      </w:r>
      <w:r w:rsidR="000E41C9">
        <w:rPr>
          <w:rFonts w:cstheme="minorHAnsi"/>
        </w:rPr>
        <w:fldChar w:fldCharType="begin" w:fldLock="1"/>
      </w:r>
      <w:r w:rsidR="0016076E">
        <w:rPr>
          <w:rFonts w:cstheme="minorHAnsi"/>
        </w:rPr>
        <w:instrText>ADDIN CSL_CITATION {"citationItems":[{"id":"ITEM-1","itemData":{"author":[{"dropping-particle":"","family":"Action","given":"Programme O F","non-dropping-particle":"","parse-names":false,"suffix":""}],"id":"ITEM-1","issued":{"date-parts":[["2016"]]},"title":"OIC/SUM-13/2016/POA-Final","type":"article-journal"},"uris":["http://www.mendeley.com/documents/?uuid=8aa10ee5-2554-473a-bb55-ab2a8de54243"]}],"mendeley":{"formattedCitation":"(Action, 2016)","plainTextFormattedCitation":"(Action, 2016)","previouslyFormattedCitation":"(Action, 2016)"},"properties":{"noteIndex":0},"schema":"https://github.com/citation-style-language/schema/raw/master/csl-citation.json"}</w:instrText>
      </w:r>
      <w:r w:rsidR="000E41C9">
        <w:rPr>
          <w:rFonts w:cstheme="minorHAnsi"/>
        </w:rPr>
        <w:fldChar w:fldCharType="separate"/>
      </w:r>
      <w:r w:rsidR="000E41C9" w:rsidRPr="000E41C9">
        <w:rPr>
          <w:rFonts w:cstheme="minorHAnsi"/>
          <w:noProof/>
        </w:rPr>
        <w:t>(Action, 2016)</w:t>
      </w:r>
      <w:r w:rsidR="000E41C9">
        <w:rPr>
          <w:rFonts w:cstheme="minorHAnsi"/>
        </w:rPr>
        <w:fldChar w:fldCharType="end"/>
      </w:r>
      <w:r w:rsidRPr="009E306E">
        <w:rPr>
          <w:rFonts w:cstheme="minorHAnsi"/>
        </w:rPr>
        <w:t xml:space="preserve">. </w:t>
      </w:r>
    </w:p>
    <w:p w14:paraId="001F925E" w14:textId="77777777" w:rsidR="00075563" w:rsidRDefault="00075563" w:rsidP="00E943AE">
      <w:pPr>
        <w:spacing w:line="240" w:lineRule="auto"/>
        <w:jc w:val="both"/>
        <w:rPr>
          <w:rFonts w:cstheme="minorHAnsi"/>
          <w:b/>
          <w:bCs/>
          <w:lang w:val="id-ID"/>
        </w:rPr>
      </w:pPr>
      <w:r w:rsidRPr="00075563">
        <w:rPr>
          <w:rFonts w:cstheme="minorHAnsi"/>
          <w:b/>
          <w:bCs/>
          <w:lang w:val="id-ID"/>
        </w:rPr>
        <w:t>Foreign direct investment's impact on the human development index</w:t>
      </w:r>
    </w:p>
    <w:p w14:paraId="2D5587AC" w14:textId="0C41D9B7" w:rsidR="009B1F6F" w:rsidRPr="008838D2" w:rsidRDefault="008838D2" w:rsidP="008838D2">
      <w:pPr>
        <w:spacing w:line="240" w:lineRule="auto"/>
        <w:jc w:val="both"/>
        <w:rPr>
          <w:rFonts w:cstheme="minorHAnsi"/>
          <w:lang w:val="id-ID"/>
        </w:rPr>
      </w:pPr>
      <w:r w:rsidRPr="008838D2">
        <w:rPr>
          <w:rFonts w:cstheme="minorHAnsi"/>
        </w:rPr>
        <w:t>The foreign direct investment variable has a strong negative impact on HDI, according to the statistical value above, with a probability value of 0.0000, less than 5% (0.05), and a coefficient value of -0.003370. According to this finding, the HDI value of OIC nations decreases when their foreign direct investment increases. This contradicts the theory and original hypothesis, which hold that foreign direct investment significantly improves HDI. Where investment is strong, the economy is strong. The creation of employment possibilities, an increase in capital inflows, and the improvement of managerial and management capabilities are all ways that foreign direct investment can aid in economic development</w:t>
      </w:r>
      <w:r>
        <w:rPr>
          <w:rFonts w:cstheme="minorHAnsi"/>
          <w:lang w:val="id-ID"/>
        </w:rPr>
        <w:t>.</w:t>
      </w:r>
    </w:p>
    <w:p w14:paraId="4542AF38" w14:textId="19FE5154" w:rsidR="009B1F6F" w:rsidRDefault="009B1F6F" w:rsidP="003F5112">
      <w:pPr>
        <w:spacing w:line="240" w:lineRule="auto"/>
        <w:jc w:val="both"/>
        <w:rPr>
          <w:rFonts w:cstheme="minorHAnsi"/>
          <w:lang w:val="id-ID"/>
        </w:rPr>
      </w:pPr>
      <w:r w:rsidRPr="00545391">
        <w:rPr>
          <w:rFonts w:cstheme="minorHAnsi"/>
        </w:rPr>
        <w:t xml:space="preserve">This research is in accordance with the research of </w:t>
      </w:r>
      <w:r w:rsidR="00C76253">
        <w:rPr>
          <w:rFonts w:cstheme="minorHAnsi"/>
        </w:rPr>
        <w:fldChar w:fldCharType="begin" w:fldLock="1"/>
      </w:r>
      <w:r w:rsidR="008E7A95">
        <w:rPr>
          <w:rFonts w:cstheme="minorHAnsi"/>
        </w:rPr>
        <w:instrText>ADDIN CSL_CITATION {"citationItems":[{"id":"ITEM-1","itemData":{"DOI":"10.4236/ajibm.2022.121005","abstract":"The objective of this paper is to analyze the effect of net foreign direct investment revenues on human development in Cameroon through its Human Development Index (HDI). The data used are from secondary sources, ranging from 1995 to 2019, and are mainly from the 2018 World Development Indicator (WDI) and the United Nations Development Program (UNDP). For this reason, we have carried out, through the estimation of an auto-regressive distributed lagged model (ARDL), tests of the stationary (Dickey-Fuller Augmented) and of the co-integration of (Johansen), on the variables defined before appreciating the Vector Error Correction Model (VECM). The results are at two levels. In the long term, there is a positive relationship between the two variables, which is simply justified by the fact that trade opening strengthens access to larger markets and thus contributes to the HDI. This situation offers wider consumer ranges and it could likely, therefore, help to attract more multilateral companies; in the short term, however, the relationship between the two variables is negative. This may be primarily due to the fact that export revenues are not used in the context of human capital enhancement, or that the HDI is influenced by spending on education. The government’s priority should be to maintain and diversify its investments in social infrastructure and to encourage investments in labor-intensive sectors that benefit the poorest, such as agriculture, social, and infrastructure.","author":[{"dropping-particle":"","family":"Mbang","given":"Olga Marthe","non-dropping-particle":"","parse-names":false,"suffix":""}],"id":"ITEM-1","issued":{"date-parts":[["2022"]]},"page":"58-72","title":"Foreign Direct Investment and Human Development in Cameroon","type":"article-journal"},"uris":["http://www.mendeley.com/documents/?uuid=a5be9040-1d78-4203-8e96-8129939a22a9"]}],"mendeley":{"formattedCitation":"(Mbang, 2022)","plainTextFormattedCitation":"(Mbang, 2022)","previouslyFormattedCitation":"(Mbang, 2022)"},"properties":{"noteIndex":0},"schema":"https://github.com/citation-style-language/schema/raw/master/csl-citation.json"}</w:instrText>
      </w:r>
      <w:r w:rsidR="00C76253">
        <w:rPr>
          <w:rFonts w:cstheme="minorHAnsi"/>
        </w:rPr>
        <w:fldChar w:fldCharType="separate"/>
      </w:r>
      <w:r w:rsidR="00C76253" w:rsidRPr="00C76253">
        <w:rPr>
          <w:rFonts w:cstheme="minorHAnsi"/>
          <w:noProof/>
        </w:rPr>
        <w:t>Mbang</w:t>
      </w:r>
      <w:r w:rsidR="00647AE8">
        <w:rPr>
          <w:rFonts w:cstheme="minorHAnsi"/>
          <w:noProof/>
          <w:lang w:val="id-ID"/>
        </w:rPr>
        <w:t xml:space="preserve"> (</w:t>
      </w:r>
      <w:r w:rsidR="00C76253" w:rsidRPr="00C76253">
        <w:rPr>
          <w:rFonts w:cstheme="minorHAnsi"/>
          <w:noProof/>
        </w:rPr>
        <w:t>2022)</w:t>
      </w:r>
      <w:r w:rsidR="00C76253">
        <w:rPr>
          <w:rFonts w:cstheme="minorHAnsi"/>
        </w:rPr>
        <w:fldChar w:fldCharType="end"/>
      </w:r>
      <w:r w:rsidRPr="00545391">
        <w:rPr>
          <w:rFonts w:cstheme="minorHAnsi"/>
        </w:rPr>
        <w:t xml:space="preserve"> which </w:t>
      </w:r>
      <w:r w:rsidR="00504AA7" w:rsidRPr="00504AA7">
        <w:rPr>
          <w:rFonts w:cstheme="minorHAnsi"/>
          <w:lang w:val="id-ID"/>
        </w:rPr>
        <w:t>asserts that there is a negative link in the short term and a different long-term relationship with a positive effect.</w:t>
      </w:r>
      <w:r w:rsidR="00504AA7">
        <w:rPr>
          <w:rFonts w:cstheme="minorHAnsi"/>
          <w:lang w:val="id-ID"/>
        </w:rPr>
        <w:t xml:space="preserve"> </w:t>
      </w:r>
      <w:r w:rsidR="00504AA7" w:rsidRPr="00504AA7">
        <w:rPr>
          <w:rFonts w:cstheme="minorHAnsi"/>
          <w:lang w:val="id-ID"/>
        </w:rPr>
        <w:t xml:space="preserve">In contrast </w:t>
      </w:r>
      <w:r w:rsidR="00504AA7">
        <w:rPr>
          <w:rFonts w:cstheme="minorHAnsi"/>
          <w:lang w:val="id-ID"/>
        </w:rPr>
        <w:t>with</w:t>
      </w:r>
      <w:r w:rsidR="00504AA7" w:rsidRPr="00504AA7">
        <w:rPr>
          <w:rFonts w:cstheme="minorHAnsi"/>
          <w:lang w:val="id-ID"/>
        </w:rPr>
        <w:t xml:space="preserve"> the study of Intisar et al. (2020), which found that FDI has a negative impact in West Asia and a positive impact in Central Asia</w:t>
      </w:r>
      <w:r w:rsidR="00504AA7">
        <w:rPr>
          <w:rFonts w:cstheme="minorHAnsi"/>
          <w:lang w:val="id-ID"/>
        </w:rPr>
        <w:t>.</w:t>
      </w:r>
      <w:r w:rsidR="003F5112">
        <w:rPr>
          <w:rFonts w:cstheme="minorHAnsi"/>
          <w:lang w:val="id-ID"/>
        </w:rPr>
        <w:t xml:space="preserve"> </w:t>
      </w:r>
      <w:r w:rsidRPr="00545391">
        <w:rPr>
          <w:rFonts w:cstheme="minorHAnsi"/>
        </w:rPr>
        <w:t xml:space="preserve">This negative effect of foreign direct investment may occur because of the sharp fluctuations in FDI inflows that occur in each OIC country and the ability of OIC countries to attract investment is still limited </w:t>
      </w:r>
      <w:r w:rsidR="008E7A95">
        <w:rPr>
          <w:rFonts w:cstheme="minorHAnsi"/>
        </w:rPr>
        <w:fldChar w:fldCharType="begin" w:fldLock="1"/>
      </w:r>
      <w:r w:rsidR="00801FD5">
        <w:rPr>
          <w:rFonts w:cstheme="minorHAnsi"/>
        </w:rPr>
        <w:instrText>ADDIN CSL_CITATION {"citationItems":[{"id":"ITEM-1","itemData":{"ISBN":"9786257162135","author":[{"dropping-particle":"","family":"OIC Outlook","given":"OIC","non-dropping-particle":"","parse-names":false,"suffix":""}],"id":"ITEM-1","issued":{"date-parts":[["2021"]]},"title":"OIC Economic Outlook","type":"book"},"uris":["http://www.mendeley.com/documents/?uuid=c13b2a08-f219-418a-81e1-1297a3855ce9"]}],"mendeley":{"formattedCitation":"(OIC Outlook, 2021)","plainTextFormattedCitation":"(OIC Outlook, 2021)","previouslyFormattedCitation":"(OIC Outlook, 2021)"},"properties":{"noteIndex":0},"schema":"https://github.com/citation-style-language/schema/raw/master/csl-citation.json"}</w:instrText>
      </w:r>
      <w:r w:rsidR="008E7A95">
        <w:rPr>
          <w:rFonts w:cstheme="minorHAnsi"/>
        </w:rPr>
        <w:fldChar w:fldCharType="separate"/>
      </w:r>
      <w:r w:rsidR="008E7A95" w:rsidRPr="008E7A95">
        <w:rPr>
          <w:rFonts w:cstheme="minorHAnsi"/>
          <w:noProof/>
        </w:rPr>
        <w:t>(OIC Outlook, 2021)</w:t>
      </w:r>
      <w:r w:rsidR="008E7A95">
        <w:rPr>
          <w:rFonts w:cstheme="minorHAnsi"/>
        </w:rPr>
        <w:fldChar w:fldCharType="end"/>
      </w:r>
      <w:r w:rsidR="008E7A95">
        <w:rPr>
          <w:rFonts w:cstheme="minorHAnsi"/>
          <w:lang w:val="id-ID"/>
        </w:rPr>
        <w:t>.</w:t>
      </w:r>
    </w:p>
    <w:p w14:paraId="24589193" w14:textId="74D56FAB" w:rsidR="00686229" w:rsidRPr="00545391" w:rsidRDefault="00686229" w:rsidP="00686229">
      <w:pPr>
        <w:spacing w:line="240" w:lineRule="auto"/>
        <w:jc w:val="both"/>
        <w:rPr>
          <w:rFonts w:cstheme="minorHAnsi"/>
        </w:rPr>
      </w:pPr>
      <w:r w:rsidRPr="00686229">
        <w:rPr>
          <w:rFonts w:cstheme="minorHAnsi"/>
        </w:rPr>
        <w:t>The findings of this study differ from those of</w:t>
      </w:r>
      <w:r w:rsidR="009B1F6F" w:rsidRPr="00545391">
        <w:rPr>
          <w:rFonts w:cstheme="minorHAnsi"/>
        </w:rPr>
        <w:t xml:space="preserve"> </w:t>
      </w:r>
      <w:r w:rsidR="00801FD5">
        <w:rPr>
          <w:rFonts w:cstheme="minorHAnsi"/>
        </w:rPr>
        <w:fldChar w:fldCharType="begin" w:fldLock="1"/>
      </w:r>
      <w:r w:rsidR="00647AE8">
        <w:rPr>
          <w:rFonts w:cstheme="minorHAnsi"/>
        </w:rPr>
        <w:instrText>ADDIN CSL_CITATION {"citationItems":[{"id":"ITEM-1","itemData":{"DOI":"10.1177/0974910120919042","ISBN":"0974910120","ISSN":"09752730","abstract":"Investment expenditure is a major component of aggregate macroeconomic variables in any economy, irrespective of the development status. This article employed relevant econometric methodology on panel data environment to analyze the effects of foreign direct investment (FDI) inflows on economic growth of 30 leading global economies during the period between 1998 and 2017. Other variables considered in the analysis were domestic credit to private sector (DCPS), gross fixed capital formation (GFCF), inflation–consumer prices index (INFPC), trade openness (TOPNESS), and youth unemployment (UEMPYT). The results showed mixed growth effects of the variables in general. Specifically, FDI exerted positive and significant effect on economic growth of the countries during the period. Therefore, this article concluded that FDI inflows enhanced economic growth and emphasized the need to foster more FDI-attracting policies as well as adequate GFCF to complement FDIs for sustainable economic growth potentials. JEL Classification: C23, C33, C51, F21, F43, O47.","author":[{"dropping-particle":"","family":"Okwu","given":"Andy Titus","non-dropping-particle":"","parse-names":false,"suffix":""},{"dropping-particle":"","family":"Oseni","given":"Isiaq Olasunkanmi","non-dropping-particle":"","parse-names":false,"suffix":""},{"dropping-particle":"","family":"Obiakor","given":"Rowland Tochukwu","non-dropping-particle":"","parse-names":false,"suffix":""}],"container-title":"Global Journal of Emerging Market Economies","id":"ITEM-1","issue":"2","issued":{"date-parts":[["2020"]]},"page":"217-230","title":"Does Foreign Direct Investment Enhance Economic Growth? Evidence from 30 Leading Global Economies","type":"article-journal","volume":"12"},"uris":["http://www.mendeley.com/documents/?uuid=ddae7256-383d-4cf4-b74f-101c48515e0c"]}],"mendeley":{"formattedCitation":"(Okwu et al., 2020)","manualFormatting":"Okwu et al (2020)","plainTextFormattedCitation":"(Okwu et al., 2020)","previouslyFormattedCitation":"(Okwu et al., 2020)"},"properties":{"noteIndex":0},"schema":"https://github.com/citation-style-language/schema/raw/master/csl-citation.json"}</w:instrText>
      </w:r>
      <w:r w:rsidR="00801FD5">
        <w:rPr>
          <w:rFonts w:cstheme="minorHAnsi"/>
        </w:rPr>
        <w:fldChar w:fldCharType="separate"/>
      </w:r>
      <w:r w:rsidR="00801FD5" w:rsidRPr="00801FD5">
        <w:rPr>
          <w:rFonts w:cstheme="minorHAnsi"/>
          <w:noProof/>
        </w:rPr>
        <w:t>Okwu et al</w:t>
      </w:r>
      <w:r w:rsidR="00647AE8">
        <w:rPr>
          <w:rFonts w:cstheme="minorHAnsi"/>
          <w:noProof/>
          <w:lang w:val="id-ID"/>
        </w:rPr>
        <w:t xml:space="preserve"> (</w:t>
      </w:r>
      <w:r w:rsidR="00801FD5" w:rsidRPr="00801FD5">
        <w:rPr>
          <w:rFonts w:cstheme="minorHAnsi"/>
          <w:noProof/>
        </w:rPr>
        <w:t>2020)</w:t>
      </w:r>
      <w:r w:rsidR="00801FD5">
        <w:rPr>
          <w:rFonts w:cstheme="minorHAnsi"/>
        </w:rPr>
        <w:fldChar w:fldCharType="end"/>
      </w:r>
      <w:r w:rsidR="00801FD5">
        <w:rPr>
          <w:rFonts w:cstheme="minorHAnsi"/>
          <w:lang w:val="id-ID"/>
        </w:rPr>
        <w:t xml:space="preserve"> </w:t>
      </w:r>
      <w:r w:rsidR="009B1F6F" w:rsidRPr="00545391">
        <w:rPr>
          <w:rFonts w:cstheme="minorHAnsi"/>
        </w:rPr>
        <w:t xml:space="preserve"> which state that FDI has a positive and significant effect on economic growth. </w:t>
      </w:r>
      <w:r w:rsidRPr="00686229">
        <w:rPr>
          <w:rFonts w:cstheme="minorHAnsi"/>
        </w:rPr>
        <w:t xml:space="preserve">research, which found that FDI significantly and positively affects economic growth. According to </w:t>
      </w:r>
      <w:r w:rsidR="00801FD5">
        <w:rPr>
          <w:rFonts w:cstheme="minorHAnsi"/>
        </w:rPr>
        <w:fldChar w:fldCharType="begin" w:fldLock="1"/>
      </w:r>
      <w:r w:rsidR="00647AE8">
        <w:rPr>
          <w:rFonts w:cstheme="minorHAnsi"/>
        </w:rPr>
        <w:instrText>ADDIN CSL_CITATION {"citationItems":[{"id":"ITEM-1","itemData":{"DOI":"10.1111/twec.13167","ISSN":"14679701","abstract":"This paper employs a spatial dependency framework to examine intermediary roles played by trade, institutional quality and natural resource endowment in determining direct and indirect (spillover) effects of inbound foreign direct investment (FDI) on economic growth. We develop a number of spatial mechanisms to assess how these intermediary factors limit and/or enhance the effect of FDI on economic growth. In particular, we test whether different levels of resource rents, severity of civil conflict and openness to international trade are statistically different in attenuating direct and indirect (spillover) effects of inbound FDI on growth. Last, we conduct a test of asymmetry to investigate whether the effect of FDI on growth is statistically different from zero in three democratic (autocratic) regimes, that is, low democratic (high autocratic), moderate democratic–autocratic and high democratic (low autocratic) societies. A number of insightful contributions to the economic growth-FDI literature can be extracted from our analyses. First, results indicate that inbound FDIs on their own have positive and significant effect on economic growth. However, the positive FDI effect on growth is significantly dampened by the negative intermediary role of civil conflict. Second, we find that, the more opened sub-Saharan African economies are to international trade, the greater is the impact of FDI on growth. However, trade among African countries as a share of their economies plays insignificant intermediation role on direct and indirect effects of FDI on growth. Third, we find that an increase in resource rents as a share of the economy significantly reduces direct and spillover effects of inbound FDI on economic growth. Last, our analysis indicates that both low democratic (high autocratic) and high democratic (low autocratic) regimes do accelerate the positive impact of FDI on growth. However, results indicate a slow-down effect of FDI on growth under moderate democratic–autocratic regimes. This particular finding suggests that the intermediary role of democracy in determining the effect of FDI on economic growth is non-linear. A number of policy implications can be extrapolated from our analysis. Most importantly, trade policies, which boost integration of sub-Saharan African countries and open up the continent to the rest of the world, are likely to play major intermediation roles in accelerating the positive effect of FDI on growth.","author":[{"dropping-particle":"","family":"Chih","given":"Yao Yu","non-dropping-particle":"","parse-names":false,"suffix":""},{"dropping-particle":"","family":"Kishan","given":"Ruby P.","non-dropping-particle":"","parse-names":false,"suffix":""},{"dropping-particle":"","family":"Ojede","given":"Andrew","non-dropping-particle":"","parse-names":false,"suffix":""}],"container-title":"World Economy","id":"ITEM-1","issue":"3","issued":{"date-parts":[["2022"]]},"page":"657-701","title":"Be good to thy neighbours: A spatial analysis of foreign direct investment and economic growth in sub-Saharan Africa","type":"article-journal","volume":"45"},"uris":["http://www.mendeley.com/documents/?uuid=b1f13fc2-81c7-459b-a995-42b4dd1c5230"]}],"mendeley":{"formattedCitation":"(Chih et al., 2022)","manualFormatting":"Chih et al (2022)","plainTextFormattedCitation":"(Chih et al., 2022)","previouslyFormattedCitation":"(Chih et al., 2022)"},"properties":{"noteIndex":0},"schema":"https://github.com/citation-style-language/schema/raw/master/csl-citation.json"}</w:instrText>
      </w:r>
      <w:r w:rsidR="00801FD5">
        <w:rPr>
          <w:rFonts w:cstheme="minorHAnsi"/>
        </w:rPr>
        <w:fldChar w:fldCharType="separate"/>
      </w:r>
      <w:r w:rsidR="00801FD5" w:rsidRPr="00801FD5">
        <w:rPr>
          <w:rFonts w:cstheme="minorHAnsi"/>
          <w:noProof/>
        </w:rPr>
        <w:t>Chih et al</w:t>
      </w:r>
      <w:r w:rsidR="00647AE8">
        <w:rPr>
          <w:rFonts w:cstheme="minorHAnsi"/>
          <w:noProof/>
          <w:lang w:val="id-ID"/>
        </w:rPr>
        <w:t xml:space="preserve"> (</w:t>
      </w:r>
      <w:r w:rsidR="00801FD5" w:rsidRPr="00801FD5">
        <w:rPr>
          <w:rFonts w:cstheme="minorHAnsi"/>
          <w:noProof/>
        </w:rPr>
        <w:t>2022)</w:t>
      </w:r>
      <w:r w:rsidR="00801FD5">
        <w:rPr>
          <w:rFonts w:cstheme="minorHAnsi"/>
        </w:rPr>
        <w:fldChar w:fldCharType="end"/>
      </w:r>
      <w:r w:rsidR="00801FD5">
        <w:rPr>
          <w:rFonts w:cstheme="minorHAnsi"/>
          <w:lang w:val="id-ID"/>
        </w:rPr>
        <w:t xml:space="preserve"> </w:t>
      </w:r>
      <w:r w:rsidRPr="00686229">
        <w:rPr>
          <w:rFonts w:cstheme="minorHAnsi"/>
        </w:rPr>
        <w:t>research, FDI had no impact prior to 2000 but had a considerable beneficial impact afterward.</w:t>
      </w:r>
    </w:p>
    <w:p w14:paraId="39527D94" w14:textId="77777777" w:rsidR="00B67D3A" w:rsidRDefault="00B67D3A" w:rsidP="00E943AE">
      <w:pPr>
        <w:spacing w:line="240" w:lineRule="auto"/>
        <w:jc w:val="both"/>
        <w:rPr>
          <w:rFonts w:cstheme="minorHAnsi"/>
          <w:b/>
          <w:bCs/>
        </w:rPr>
      </w:pPr>
      <w:r w:rsidRPr="00B67D3A">
        <w:rPr>
          <w:rFonts w:cstheme="minorHAnsi"/>
          <w:b/>
          <w:bCs/>
        </w:rPr>
        <w:t>Political Stability's Impact on the Human Development Index</w:t>
      </w:r>
    </w:p>
    <w:p w14:paraId="2F6CB30A" w14:textId="177FAD4C" w:rsidR="006545E3" w:rsidRDefault="00B67D3A" w:rsidP="00B67D3A">
      <w:pPr>
        <w:spacing w:line="240" w:lineRule="auto"/>
        <w:jc w:val="both"/>
        <w:rPr>
          <w:rFonts w:cstheme="minorHAnsi"/>
        </w:rPr>
      </w:pPr>
      <w:r w:rsidRPr="00B67D3A">
        <w:rPr>
          <w:rFonts w:cstheme="minorHAnsi"/>
        </w:rPr>
        <w:t>With a probability value of 0.0006, a coefficient value of 0.013164, and a value less than 5% (0.05) of the statistical value, the political stability variable has a strong positive effect on HDI. This finding indicates that OIC nations' HDI values increase in accordance to their political stability.</w:t>
      </w:r>
      <w:r>
        <w:rPr>
          <w:rFonts w:cstheme="minorHAnsi"/>
          <w:lang w:val="id-ID"/>
        </w:rPr>
        <w:t xml:space="preserve"> </w:t>
      </w:r>
      <w:r w:rsidR="009B1F6F" w:rsidRPr="000F0D86">
        <w:rPr>
          <w:rFonts w:cstheme="minorHAnsi"/>
        </w:rPr>
        <w:t xml:space="preserve">These results </w:t>
      </w:r>
      <w:r w:rsidR="008B6966" w:rsidRPr="000F0D86">
        <w:rPr>
          <w:rFonts w:cstheme="minorHAnsi"/>
        </w:rPr>
        <w:t>verify the</w:t>
      </w:r>
      <w:r w:rsidR="008B6966" w:rsidRPr="008B6966">
        <w:rPr>
          <w:rFonts w:cstheme="minorHAnsi"/>
        </w:rPr>
        <w:t xml:space="preserve"> initial statement and concept that HDI is significantly impacted positively by political stability. The HDI value increases as well as the value of political stability.</w:t>
      </w:r>
      <w:r w:rsidR="009B1F6F" w:rsidRPr="00545391">
        <w:rPr>
          <w:rFonts w:cstheme="minorHAnsi"/>
        </w:rPr>
        <w:t xml:space="preserve"> </w:t>
      </w:r>
      <w:r w:rsidR="00CE11E4" w:rsidRPr="00ED0EF7">
        <w:rPr>
          <w:rFonts w:cstheme="minorHAnsi"/>
        </w:rPr>
        <w:t xml:space="preserve">According to </w:t>
      </w:r>
      <w:r w:rsidR="00B23137" w:rsidRPr="00ED0EF7">
        <w:rPr>
          <w:rFonts w:cstheme="minorHAnsi"/>
        </w:rPr>
        <w:fldChar w:fldCharType="begin" w:fldLock="1"/>
      </w:r>
      <w:r w:rsidR="00996833" w:rsidRPr="00ED0EF7">
        <w:rPr>
          <w:rFonts w:cstheme="minorHAnsi"/>
        </w:rPr>
        <w:instrText>ADDIN CSL_CITATION {"citationItems":[{"id":"ITEM-1","itemData":{"DOI":"10.5539/ijef.v7n12p44","ISSN":"1916-971X","abstract":"Governance effectiveness and regulation quality have been drawing the attention in the international business arena, yet, there has not been a consensus findings regarding its potential impact on the FDI inflows. In this paper, we examine the possible links between the governments’ effectiveness and their regulation quality and the amount of FDI inflows using the existing literature and theories in the economic and international business fields. We find that regulation quality, control of corruption, and trade openness have mixed results, suggesting that further exploration is needed in this field. Results are explained and future directions are suggested based upon the empirical findings.","author":[{"dropping-particle":"","family":"Alshammari","given":"Marwan Ahmad","non-dropping-particle":"","parse-names":false,"suffix":""},{"dropping-particle":"","family":"Hammoudeh","given":"Mosab Amjad","non-dropping-particle":"","parse-names":false,"suffix":""},{"dropping-particle":"","family":"Pavlovic","given":"Milos","non-dropping-particle":"","parse-names":false,"suffix":""}],"container-title":"International Journal of Economics and Finance","id":"ITEM-1","issue":"12","issued":{"date-parts":[["2015"]]},"page":"44","title":"Governance, Regulations, Trade Openness and FDI Inflows: Empirical Study","type":"article-journal","volume":"7"},"uris":["http://www.mendeley.com/documents/?uuid=4215ab0f-901e-4637-8e44-9f9462f169bf"]}],"mendeley":{"formattedCitation":"(Alshammari et al., 2015)","manualFormatting":"Alshammari et al (2015)","plainTextFormattedCitation":"(Alshammari et al., 2015)","previouslyFormattedCitation":"(Alshammari et al., 2015)"},"properties":{"noteIndex":0},"schema":"https://github.com/citation-style-language/schema/raw/master/csl-citation.json"}</w:instrText>
      </w:r>
      <w:r w:rsidR="00B23137" w:rsidRPr="00ED0EF7">
        <w:rPr>
          <w:rFonts w:cstheme="minorHAnsi"/>
        </w:rPr>
        <w:fldChar w:fldCharType="separate"/>
      </w:r>
      <w:r w:rsidR="00B23137" w:rsidRPr="00ED0EF7">
        <w:rPr>
          <w:rFonts w:cstheme="minorHAnsi"/>
          <w:noProof/>
        </w:rPr>
        <w:t>Alshammari et al</w:t>
      </w:r>
      <w:r w:rsidR="00996833" w:rsidRPr="00ED0EF7">
        <w:rPr>
          <w:rFonts w:cstheme="minorHAnsi"/>
          <w:noProof/>
          <w:lang w:val="id-ID"/>
        </w:rPr>
        <w:t xml:space="preserve"> (</w:t>
      </w:r>
      <w:r w:rsidR="00B23137" w:rsidRPr="00ED0EF7">
        <w:rPr>
          <w:rFonts w:cstheme="minorHAnsi"/>
          <w:noProof/>
        </w:rPr>
        <w:t>2015)</w:t>
      </w:r>
      <w:r w:rsidR="00B23137" w:rsidRPr="00ED0EF7">
        <w:rPr>
          <w:rFonts w:cstheme="minorHAnsi"/>
        </w:rPr>
        <w:fldChar w:fldCharType="end"/>
      </w:r>
      <w:r w:rsidR="00CE11E4">
        <w:rPr>
          <w:rFonts w:cstheme="minorHAnsi"/>
          <w:lang w:val="id-ID"/>
        </w:rPr>
        <w:t xml:space="preserve">, </w:t>
      </w:r>
      <w:r w:rsidR="0092063E" w:rsidRPr="0092063E">
        <w:rPr>
          <w:rFonts w:cstheme="minorHAnsi"/>
        </w:rPr>
        <w:t>governance factors with significant effects on human development include political stability, regulatory quality, corruption control, and government effectiveness.</w:t>
      </w:r>
      <w:r w:rsidR="009B1F6F" w:rsidRPr="00545391">
        <w:rPr>
          <w:rFonts w:cstheme="minorHAnsi"/>
        </w:rPr>
        <w:t xml:space="preserve"> </w:t>
      </w:r>
      <w:r w:rsidR="00B23137">
        <w:rPr>
          <w:rFonts w:cstheme="minorHAnsi"/>
        </w:rPr>
        <w:fldChar w:fldCharType="begin" w:fldLock="1"/>
      </w:r>
      <w:r w:rsidR="00996833">
        <w:rPr>
          <w:rFonts w:cstheme="minorHAnsi"/>
        </w:rPr>
        <w:instrText>ADDIN CSL_CITATION {"citationItems":[{"id":"ITEM-1","itemData":{"DOI":"10.1016/j.econmod.2017.04.028","ISSN":"02649993","abstract":"This paper studies the effect of political stability on economic growth by taking 120 developing countries over the period of 1996–2014. We apply relatively advanced dynamic two step system-GMM and quantile regression. Political stability is found to be a key determinant of economic growth. More importantly, political instability (or risk) is found to be higher in the OIC countries and is a deterrent to economic growth. Also, for the lower and middle income OIC countries, political instability appears to affect economic growth more severely perhaps due to the absence of strong economic and political institutions. Moreover, political instability is also found to be significantly higher in the oil-dependent OIC countries. Notably, political instability is likely to affect growth through the channels of investment and human capital accumulation in the developing countries. Finally, the impact of political stability and political instability on growth is found to be equally distributed across the OIC countries with higher or lower growth level. Therefore, the development of political and economic institutions along with human capital development is recommended for all the developing countries in general and the OIC countries in particular.","author":[{"dropping-particle":"","family":"Uddin","given":"Md Akther","non-dropping-particle":"","parse-names":false,"suffix":""},{"dropping-particle":"","family":"Ali","given":"Md Hakim","non-dropping-particle":"","parse-names":false,"suffix":""},{"dropping-particle":"","family":"Masih","given":"Mansur","non-dropping-particle":"","parse-names":false,"suffix":""}],"container-title":"Economic Modelling","id":"ITEM-1","issue":"June 2016","issued":{"date-parts":[["2017"]]},"page":"610-625","publisher":"Elsevier","title":"Political stability and growth: An application of dynamic GMM and quantile regression","type":"article-journal","volume":"64"},"uris":["http://www.mendeley.com/documents/?uuid=81b4abac-002f-4ece-b6e3-2579b7a23d24"]}],"mendeley":{"formattedCitation":"(Uddin et al., 2017)","manualFormatting":"Uddin et al ( 2017)","plainTextFormattedCitation":"(Uddin et al., 2017)","previouslyFormattedCitation":"(Uddin et al., 2017)"},"properties":{"noteIndex":0},"schema":"https://github.com/citation-style-language/schema/raw/master/csl-citation.json"}</w:instrText>
      </w:r>
      <w:r w:rsidR="00B23137">
        <w:rPr>
          <w:rFonts w:cstheme="minorHAnsi"/>
        </w:rPr>
        <w:fldChar w:fldCharType="separate"/>
      </w:r>
      <w:r w:rsidR="00B23137" w:rsidRPr="00B23137">
        <w:rPr>
          <w:rFonts w:cstheme="minorHAnsi"/>
          <w:noProof/>
        </w:rPr>
        <w:t>Uddin et al</w:t>
      </w:r>
      <w:r w:rsidR="00996833">
        <w:rPr>
          <w:rFonts w:cstheme="minorHAnsi"/>
          <w:noProof/>
          <w:lang w:val="id-ID"/>
        </w:rPr>
        <w:t xml:space="preserve"> (</w:t>
      </w:r>
      <w:r w:rsidR="00B23137" w:rsidRPr="00B23137">
        <w:rPr>
          <w:rFonts w:cstheme="minorHAnsi"/>
          <w:noProof/>
        </w:rPr>
        <w:t xml:space="preserve"> 2017)</w:t>
      </w:r>
      <w:r w:rsidR="00B23137">
        <w:rPr>
          <w:rFonts w:cstheme="minorHAnsi"/>
        </w:rPr>
        <w:fldChar w:fldCharType="end"/>
      </w:r>
      <w:r w:rsidR="009B1F6F" w:rsidRPr="00545391">
        <w:rPr>
          <w:rFonts w:cstheme="minorHAnsi"/>
        </w:rPr>
        <w:t xml:space="preserve"> </w:t>
      </w:r>
      <w:r w:rsidR="000F0D86" w:rsidRPr="002E701A">
        <w:rPr>
          <w:rFonts w:cstheme="minorHAnsi"/>
        </w:rPr>
        <w:t xml:space="preserve">instability in politics is more prevalent among OIC nations </w:t>
      </w:r>
      <w:r w:rsidR="009B1F6F" w:rsidRPr="00545391">
        <w:rPr>
          <w:rFonts w:cstheme="minorHAnsi"/>
        </w:rPr>
        <w:t>and become an obstacle to economic growth in them.</w:t>
      </w:r>
    </w:p>
    <w:p w14:paraId="5D0E19F3" w14:textId="6FB8CEAC" w:rsidR="00551259" w:rsidRDefault="009B1F6F" w:rsidP="00E943AE">
      <w:pPr>
        <w:spacing w:line="240" w:lineRule="auto"/>
        <w:jc w:val="both"/>
        <w:rPr>
          <w:rFonts w:cstheme="minorHAnsi"/>
        </w:rPr>
      </w:pPr>
      <w:r w:rsidRPr="00545391">
        <w:rPr>
          <w:rFonts w:cstheme="minorHAnsi"/>
        </w:rPr>
        <w:t xml:space="preserve">A country's political stability can support the achievement of development and growth programs in various fields by creating a safe and comfortable environment away from various political tensions and divisions. However, </w:t>
      </w:r>
      <w:r w:rsidR="00F21E56" w:rsidRPr="00F21E56">
        <w:rPr>
          <w:rFonts w:cstheme="minorHAnsi"/>
        </w:rPr>
        <w:t xml:space="preserve">The reality of OIC countries contradicts the notion that most of its members </w:t>
      </w:r>
      <w:r w:rsidR="00F21E56" w:rsidRPr="00F21E56">
        <w:rPr>
          <w:rFonts w:cstheme="minorHAnsi"/>
        </w:rPr>
        <w:lastRenderedPageBreak/>
        <w:t>respect political stability highly; in fact, political instability in low- and middle-income OIC nations appears to get worse economic growth because of weak governance.</w:t>
      </w:r>
      <w:r w:rsidRPr="00545391">
        <w:rPr>
          <w:rFonts w:cstheme="minorHAnsi"/>
        </w:rPr>
        <w:t xml:space="preserve"> </w:t>
      </w:r>
      <w:r w:rsidR="00387D04">
        <w:rPr>
          <w:rFonts w:cstheme="minorHAnsi"/>
        </w:rPr>
        <w:fldChar w:fldCharType="begin" w:fldLock="1"/>
      </w:r>
      <w:r w:rsidR="00B23137">
        <w:rPr>
          <w:rFonts w:cstheme="minorHAnsi"/>
        </w:rPr>
        <w:instrText>ADDIN CSL_CITATION {"citationItems":[{"id":"ITEM-1","itemData":{"DOI":"10.1016/j.econmod.2017.04.028","ISSN":"02649993","abstract":"This paper studies the effect of political stability on economic growth by taking 120 developing countries over the period of 1996–2014. We apply relatively advanced dynamic two step system-GMM and quantile regression. Political stability is found to be a key determinant of economic growth. More importantly, political instability (or risk) is found to be higher in the OIC countries and is a deterrent to economic growth. Also, for the lower and middle income OIC countries, political instability appears to affect economic growth more severely perhaps due to the absence of strong economic and political institutions. Moreover, political instability is also found to be significantly higher in the oil-dependent OIC countries. Notably, political instability is likely to affect growth through the channels of investment and human capital accumulation in the developing countries. Finally, the impact of political stability and political instability on growth is found to be equally distributed across the OIC countries with higher or lower growth level. Therefore, the development of political and economic institutions along with human capital development is recommended for all the developing countries in general and the OIC countries in particular.","author":[{"dropping-particle":"","family":"Uddin","given":"Md Akther","non-dropping-particle":"","parse-names":false,"suffix":""},{"dropping-particle":"","family":"Ali","given":"Md Hakim","non-dropping-particle":"","parse-names":false,"suffix":""},{"dropping-particle":"","family":"Masih","given":"Mansur","non-dropping-particle":"","parse-names":false,"suffix":""}],"container-title":"Economic Modelling","id":"ITEM-1","issue":"June 2016","issued":{"date-parts":[["2017"]]},"page":"610-625","publisher":"Elsevier","title":"Political stability and growth: An application of dynamic GMM and quantile regression","type":"article-journal","volume":"64"},"uris":["http://www.mendeley.com/documents/?uuid=81b4abac-002f-4ece-b6e3-2579b7a23d24"]}],"mendeley":{"formattedCitation":"(Uddin et al., 2017)","plainTextFormattedCitation":"(Uddin et al., 2017)","previouslyFormattedCitation":"(Uddin et al., 2017)"},"properties":{"noteIndex":0},"schema":"https://github.com/citation-style-language/schema/raw/master/csl-citation.json"}</w:instrText>
      </w:r>
      <w:r w:rsidR="00387D04">
        <w:rPr>
          <w:rFonts w:cstheme="minorHAnsi"/>
        </w:rPr>
        <w:fldChar w:fldCharType="separate"/>
      </w:r>
      <w:r w:rsidR="00387D04" w:rsidRPr="00387D04">
        <w:rPr>
          <w:rFonts w:cstheme="minorHAnsi"/>
          <w:noProof/>
        </w:rPr>
        <w:t>(Uddin et al., 2017)</w:t>
      </w:r>
      <w:r w:rsidR="00387D04">
        <w:rPr>
          <w:rFonts w:cstheme="minorHAnsi"/>
        </w:rPr>
        <w:fldChar w:fldCharType="end"/>
      </w:r>
      <w:r w:rsidRPr="00545391">
        <w:rPr>
          <w:rFonts w:cstheme="minorHAnsi"/>
        </w:rPr>
        <w:t>.</w:t>
      </w:r>
    </w:p>
    <w:p w14:paraId="35285CE1" w14:textId="77777777" w:rsidR="002314CD" w:rsidRDefault="002314CD" w:rsidP="00E943AE">
      <w:pPr>
        <w:spacing w:line="240" w:lineRule="auto"/>
        <w:jc w:val="both"/>
        <w:rPr>
          <w:rFonts w:cstheme="minorHAnsi"/>
          <w:b/>
          <w:bCs/>
        </w:rPr>
      </w:pPr>
    </w:p>
    <w:p w14:paraId="37730690" w14:textId="2EBD746E" w:rsidR="005C4570" w:rsidRDefault="005C4570" w:rsidP="00E943AE">
      <w:pPr>
        <w:spacing w:line="240" w:lineRule="auto"/>
        <w:jc w:val="both"/>
        <w:rPr>
          <w:rFonts w:cstheme="minorHAnsi"/>
          <w:b/>
          <w:bCs/>
        </w:rPr>
      </w:pPr>
      <w:r w:rsidRPr="005C4570">
        <w:rPr>
          <w:rFonts w:cstheme="minorHAnsi"/>
          <w:b/>
          <w:bCs/>
        </w:rPr>
        <w:t>Human Development Index and Political Stability: The Impact of Unemployment with Political Stability as a Moderating Variable</w:t>
      </w:r>
    </w:p>
    <w:p w14:paraId="43AAD824" w14:textId="4054D0ED" w:rsidR="008711F1" w:rsidRDefault="008711F1" w:rsidP="00E943AE">
      <w:pPr>
        <w:spacing w:line="240" w:lineRule="auto"/>
        <w:jc w:val="both"/>
        <w:rPr>
          <w:rFonts w:cstheme="minorHAnsi"/>
        </w:rPr>
      </w:pPr>
      <w:r w:rsidRPr="008711F1">
        <w:rPr>
          <w:rFonts w:cstheme="minorHAnsi"/>
        </w:rPr>
        <w:t xml:space="preserve">The probability value of the political stability variable and the variation of the model "political stability * unemployment" are both 0.0000 based on the GMM system test (orthogonal) in column 2 (table 1.5). Since political stability could </w:t>
      </w:r>
      <w:r>
        <w:rPr>
          <w:rFonts w:cstheme="minorHAnsi"/>
          <w:lang w:val="id-ID"/>
        </w:rPr>
        <w:t>moderate</w:t>
      </w:r>
      <w:r w:rsidRPr="008711F1">
        <w:rPr>
          <w:rFonts w:cstheme="minorHAnsi"/>
        </w:rPr>
        <w:t xml:space="preserve"> the effect of unemployment on the HDI in OIC nations, it is known as a "Quasi Moderator" in this form of the model.</w:t>
      </w:r>
    </w:p>
    <w:p w14:paraId="1FC816BD" w14:textId="5A1D0662" w:rsidR="008711F1" w:rsidRDefault="008711F1" w:rsidP="008711F1">
      <w:pPr>
        <w:spacing w:line="240" w:lineRule="auto"/>
        <w:jc w:val="both"/>
        <w:rPr>
          <w:rFonts w:cstheme="minorHAnsi"/>
        </w:rPr>
      </w:pPr>
      <w:r w:rsidRPr="008711F1">
        <w:rPr>
          <w:rFonts w:cstheme="minorHAnsi"/>
        </w:rPr>
        <w:t xml:space="preserve">A nation's high level of political stability fosters economic stability, which makes it possible for </w:t>
      </w:r>
      <w:proofErr w:type="spellStart"/>
      <w:r w:rsidRPr="008711F1">
        <w:rPr>
          <w:rFonts w:cstheme="minorHAnsi"/>
        </w:rPr>
        <w:t>labor</w:t>
      </w:r>
      <w:proofErr w:type="spellEnd"/>
      <w:r w:rsidRPr="008711F1">
        <w:rPr>
          <w:rFonts w:cstheme="minorHAnsi"/>
        </w:rPr>
        <w:t xml:space="preserve"> to be absorbed at its best and reduce unemployment.</w:t>
      </w:r>
      <w:r w:rsidR="009B1F6F" w:rsidRPr="00545391">
        <w:rPr>
          <w:rFonts w:cstheme="minorHAnsi"/>
        </w:rPr>
        <w:t xml:space="preserve"> </w:t>
      </w:r>
      <w:r w:rsidRPr="008711F1">
        <w:rPr>
          <w:rFonts w:cstheme="minorHAnsi"/>
        </w:rPr>
        <w:t xml:space="preserve">These findings are consistent with study by </w:t>
      </w:r>
      <w:r w:rsidR="004572A4">
        <w:rPr>
          <w:rFonts w:cstheme="minorHAnsi"/>
        </w:rPr>
        <w:fldChar w:fldCharType="begin" w:fldLock="1"/>
      </w:r>
      <w:r w:rsidR="004F6285">
        <w:rPr>
          <w:rFonts w:cstheme="minorHAnsi"/>
        </w:rPr>
        <w:instrText>ADDIN CSL_CITATION {"citationItems":[{"id":"ITEM-1","itemData":{"DOI":"10.1080/0023656X.2019.1645320","ISSN":"14699702","abstract":"The objective of this study is to identify governance indicators that can reduce youth unemployment in Africa. Thereby, the authors incorporated governance indicators into the growth model. The dynamic panel estimation of the model, based on data from the World Bank, the IMF and UNCTAD for the period 2002–2016 found that some governance indicators such as control of corruption and political stability have a negative influence on youth unemployment in Africa. Moreover, political stability does not reduce youth unemployment in highly corrupt countries which are rich in natural resources. Similarly, other governance indicators such as government effectiveness, regulatory quality, the rule of law, voice and accountability are not yet producing the expected effects in African countries. As a result, political authorities must improve governance indicators, including the control of corruption and political stability.","author":[{"dropping-particle":"","family":"Abé Ndjié","given":"Anicetus","non-dropping-particle":"","parse-names":false,"suffix":""},{"dropping-particle":"","family":"Atangana Ondoa","given":"Henri","non-dropping-particle":"","parse-names":false,"suffix":""},{"dropping-particle":"","family":"Ngoa Tabi","given":"Henri","non-dropping-particle":"","parse-names":false,"suffix":""}],"container-title":"Labor History","id":"ITEM-1","issue":"6","issued":{"date-parts":[["2019"]]},"page":"869-882","publisher":"Routledge","title":"Governance and youth unemployment in Africa","type":"article-journal","volume":"60"},"uris":["http://www.mendeley.com/documents/?uuid=c993c17c-eef8-4f6b-84e0-7b5dad76ced0"]}],"mendeley":{"formattedCitation":"(Abé Ndjié et al., 2019)","manualFormatting":"Abé Ndjié et al (2019)","plainTextFormattedCitation":"(Abé Ndjié et al., 2019)","previouslyFormattedCitation":"(Abé Ndjié et al., 2019)"},"properties":{"noteIndex":0},"schema":"https://github.com/citation-style-language/schema/raw/master/csl-citation.json"}</w:instrText>
      </w:r>
      <w:r w:rsidR="004572A4">
        <w:rPr>
          <w:rFonts w:cstheme="minorHAnsi"/>
        </w:rPr>
        <w:fldChar w:fldCharType="separate"/>
      </w:r>
      <w:r w:rsidR="004572A4" w:rsidRPr="004572A4">
        <w:rPr>
          <w:rFonts w:cstheme="minorHAnsi"/>
          <w:noProof/>
        </w:rPr>
        <w:t>Abé Ndjié et al</w:t>
      </w:r>
      <w:r w:rsidR="004F6285">
        <w:rPr>
          <w:rFonts w:cstheme="minorHAnsi"/>
          <w:noProof/>
          <w:lang w:val="id-ID"/>
        </w:rPr>
        <w:t xml:space="preserve"> (</w:t>
      </w:r>
      <w:r w:rsidR="004572A4" w:rsidRPr="004572A4">
        <w:rPr>
          <w:rFonts w:cstheme="minorHAnsi"/>
          <w:noProof/>
        </w:rPr>
        <w:t>2019)</w:t>
      </w:r>
      <w:r w:rsidR="004572A4">
        <w:rPr>
          <w:rFonts w:cstheme="minorHAnsi"/>
        </w:rPr>
        <w:fldChar w:fldCharType="end"/>
      </w:r>
      <w:r>
        <w:rPr>
          <w:rFonts w:cstheme="minorHAnsi"/>
          <w:lang w:val="id-ID"/>
        </w:rPr>
        <w:t>,</w:t>
      </w:r>
      <w:r w:rsidR="009B1F6F" w:rsidRPr="00545391">
        <w:rPr>
          <w:rFonts w:cstheme="minorHAnsi"/>
        </w:rPr>
        <w:t xml:space="preserve"> </w:t>
      </w:r>
      <w:r w:rsidRPr="008711F1">
        <w:rPr>
          <w:rFonts w:cstheme="minorHAnsi"/>
        </w:rPr>
        <w:t>which found that political stability and corruption control were the most important governance metrics used in 46 African nations. According to</w:t>
      </w:r>
      <w:r>
        <w:rPr>
          <w:rFonts w:cstheme="minorHAnsi"/>
          <w:lang w:val="id-ID"/>
        </w:rPr>
        <w:t xml:space="preserve"> </w:t>
      </w:r>
      <w:r w:rsidR="004572A4" w:rsidRPr="004F6285">
        <w:rPr>
          <w:rFonts w:cstheme="minorHAnsi"/>
        </w:rPr>
        <w:fldChar w:fldCharType="begin" w:fldLock="1"/>
      </w:r>
      <w:r w:rsidR="004F6285" w:rsidRPr="004F6285">
        <w:rPr>
          <w:rFonts w:cstheme="minorHAnsi"/>
        </w:rPr>
        <w:instrText>ADDIN CSL_CITATION {"citationItems":[{"id":"ITEM-1","itemData":{"ISBN":"9789966611215","author":[{"dropping-particle":"","family":"Germain","given":"KRAMO Kouakou","non-dropping-particle":"","parse-names":false,"suffix":""}],"id":"ITEM-1","issued":{"date-parts":[["2021"]]},"title":"Youth unemployment and political instability in Côte d ’ Ivoire Youth unemployment and political instability in Côte d ’ Ivoire","type":"book"},"uris":["http://www.mendeley.com/documents/?uuid=dcbcb452-9e23-435a-a5c2-cdea779f12c4"]}],"mendeley":{"formattedCitation":"(Germain, 2021)","manualFormatting":"Germain (2021)","plainTextFormattedCitation":"(Germain, 2021)","previouslyFormattedCitation":"(Germain, 2021)"},"properties":{"noteIndex":0},"schema":"https://github.com/citation-style-language/schema/raw/master/csl-citation.json"}</w:instrText>
      </w:r>
      <w:r w:rsidR="004572A4" w:rsidRPr="004F6285">
        <w:rPr>
          <w:rFonts w:cstheme="minorHAnsi"/>
        </w:rPr>
        <w:fldChar w:fldCharType="separate"/>
      </w:r>
      <w:r w:rsidR="004572A4" w:rsidRPr="004F6285">
        <w:rPr>
          <w:rFonts w:cstheme="minorHAnsi"/>
          <w:noProof/>
        </w:rPr>
        <w:t xml:space="preserve">Germain </w:t>
      </w:r>
      <w:r w:rsidR="004F6285" w:rsidRPr="004F6285">
        <w:rPr>
          <w:rFonts w:cstheme="minorHAnsi"/>
          <w:noProof/>
          <w:lang w:val="id-ID"/>
        </w:rPr>
        <w:t>(</w:t>
      </w:r>
      <w:r w:rsidR="004572A4" w:rsidRPr="004F6285">
        <w:rPr>
          <w:rFonts w:cstheme="minorHAnsi"/>
          <w:noProof/>
        </w:rPr>
        <w:t>2021)</w:t>
      </w:r>
      <w:r w:rsidR="004572A4" w:rsidRPr="004F6285">
        <w:rPr>
          <w:rFonts w:cstheme="minorHAnsi"/>
        </w:rPr>
        <w:fldChar w:fldCharType="end"/>
      </w:r>
      <w:r w:rsidR="004572A4" w:rsidRPr="004F6285">
        <w:rPr>
          <w:rFonts w:cstheme="minorHAnsi"/>
          <w:lang w:val="id-ID"/>
        </w:rPr>
        <w:t xml:space="preserve"> </w:t>
      </w:r>
      <w:r w:rsidR="009B1F6F" w:rsidRPr="004F6285">
        <w:rPr>
          <w:rFonts w:cstheme="minorHAnsi"/>
        </w:rPr>
        <w:t>research</w:t>
      </w:r>
      <w:r>
        <w:rPr>
          <w:rFonts w:cstheme="minorHAnsi"/>
          <w:lang w:val="id-ID"/>
        </w:rPr>
        <w:t>,</w:t>
      </w:r>
      <w:r w:rsidR="009B1F6F" w:rsidRPr="004F6285">
        <w:rPr>
          <w:rFonts w:cstheme="minorHAnsi"/>
        </w:rPr>
        <w:t xml:space="preserve"> </w:t>
      </w:r>
      <w:r w:rsidRPr="008711F1">
        <w:rPr>
          <w:rFonts w:cstheme="minorHAnsi"/>
        </w:rPr>
        <w:t>political unrest in Côte d'Ivoire and youth unemployment rates are positively correlated.</w:t>
      </w:r>
    </w:p>
    <w:p w14:paraId="2B865F38" w14:textId="06CDC9EC" w:rsidR="00521DC1" w:rsidRPr="00521DC1" w:rsidRDefault="00521DC1" w:rsidP="008711F1">
      <w:pPr>
        <w:spacing w:line="240" w:lineRule="auto"/>
        <w:jc w:val="both"/>
        <w:rPr>
          <w:rFonts w:cstheme="minorHAnsi"/>
        </w:rPr>
      </w:pPr>
    </w:p>
    <w:p w14:paraId="0000002D" w14:textId="25A45FA1" w:rsidR="008213D5" w:rsidRPr="00106630" w:rsidRDefault="00106630" w:rsidP="00106630">
      <w:pPr>
        <w:spacing w:after="0"/>
        <w:jc w:val="center"/>
        <w:rPr>
          <w:b/>
          <w:sz w:val="28"/>
          <w:szCs w:val="28"/>
        </w:rPr>
      </w:pPr>
      <w:r w:rsidRPr="00106630">
        <w:rPr>
          <w:b/>
          <w:sz w:val="28"/>
          <w:szCs w:val="28"/>
        </w:rPr>
        <w:t>Conclusion</w:t>
      </w:r>
    </w:p>
    <w:p w14:paraId="1B460FB2" w14:textId="0F4FDE0A" w:rsidR="00FC7640" w:rsidRDefault="00DF03A1" w:rsidP="002314CD">
      <w:pPr>
        <w:spacing w:line="240" w:lineRule="auto"/>
        <w:jc w:val="both"/>
        <w:outlineLvl w:val="1"/>
        <w:rPr>
          <w:rFonts w:cstheme="minorHAnsi"/>
        </w:rPr>
      </w:pPr>
      <w:bookmarkStart w:id="14" w:name="_Toc124100811"/>
      <w:r w:rsidRPr="00DF03A1">
        <w:rPr>
          <w:rFonts w:cstheme="minorHAnsi"/>
        </w:rPr>
        <w:t>This study contributes to the body of knowledge and readers' understanding of the relationship between macroeconomic factors and HDI in OIC countries</w:t>
      </w:r>
      <w:r>
        <w:rPr>
          <w:rFonts w:cstheme="minorHAnsi"/>
          <w:lang w:val="id-ID"/>
        </w:rPr>
        <w:t>,</w:t>
      </w:r>
      <w:r w:rsidRPr="00DF03A1">
        <w:rPr>
          <w:rFonts w:cstheme="minorHAnsi"/>
        </w:rPr>
        <w:t xml:space="preserve"> </w:t>
      </w:r>
      <w:r w:rsidR="00FC7640" w:rsidRPr="00B073BF">
        <w:rPr>
          <w:rFonts w:cstheme="minorHAnsi"/>
        </w:rPr>
        <w:t xml:space="preserve">as well as the existence of political stability variables as a moderator between the two. </w:t>
      </w:r>
      <w:r w:rsidR="00FC7640" w:rsidRPr="00CF65CB">
        <w:rPr>
          <w:rFonts w:cstheme="minorHAnsi"/>
        </w:rPr>
        <w:t>Researcher</w:t>
      </w:r>
      <w:r w:rsidR="00FC7640">
        <w:rPr>
          <w:rFonts w:cstheme="minorHAnsi"/>
        </w:rPr>
        <w:t>s</w:t>
      </w:r>
      <w:r w:rsidR="00FC7640" w:rsidRPr="00CF65CB">
        <w:rPr>
          <w:rFonts w:cstheme="minorHAnsi"/>
        </w:rPr>
        <w:t xml:space="preserve"> may be able</w:t>
      </w:r>
      <w:r w:rsidR="00FC7640">
        <w:rPr>
          <w:rFonts w:cstheme="minorHAnsi"/>
        </w:rPr>
        <w:t xml:space="preserve"> </w:t>
      </w:r>
      <w:r w:rsidR="00FC7640" w:rsidRPr="00E453F8">
        <w:rPr>
          <w:rFonts w:cstheme="minorHAnsi"/>
        </w:rPr>
        <w:t xml:space="preserve">to obtain additional information from new discoveries using various models and methodologies when the objects and findings differ from previous investigations. In addition, </w:t>
      </w:r>
      <w:r w:rsidR="00D537B5">
        <w:rPr>
          <w:rFonts w:cstheme="minorHAnsi"/>
          <w:lang w:val="id-ID"/>
        </w:rPr>
        <w:t>s</w:t>
      </w:r>
      <w:proofErr w:type="spellStart"/>
      <w:r w:rsidRPr="00DF03A1">
        <w:rPr>
          <w:rFonts w:cstheme="minorHAnsi"/>
        </w:rPr>
        <w:t>ome</w:t>
      </w:r>
      <w:proofErr w:type="spellEnd"/>
      <w:r w:rsidRPr="00DF03A1">
        <w:rPr>
          <w:rFonts w:cstheme="minorHAnsi"/>
        </w:rPr>
        <w:t xml:space="preserve"> of the study's results are in line with various macroeconomic theories.</w:t>
      </w:r>
      <w:r w:rsidR="002314CD">
        <w:rPr>
          <w:rFonts w:cstheme="minorHAnsi"/>
          <w:lang w:val="id-ID"/>
        </w:rPr>
        <w:t xml:space="preserve"> </w:t>
      </w:r>
      <w:r w:rsidR="00FC7640" w:rsidRPr="00700094">
        <w:rPr>
          <w:rFonts w:cstheme="minorHAnsi"/>
        </w:rPr>
        <w:t>In the field of practice and policy (practical implications)</w:t>
      </w:r>
      <w:r w:rsidR="00FC7640">
        <w:rPr>
          <w:rFonts w:cstheme="minorHAnsi"/>
        </w:rPr>
        <w:t>, t</w:t>
      </w:r>
      <w:r w:rsidR="00FC7640" w:rsidRPr="00700094">
        <w:rPr>
          <w:rFonts w:cstheme="minorHAnsi"/>
        </w:rPr>
        <w:t xml:space="preserve">his research can be a reference for investors, governments and stakeholders </w:t>
      </w:r>
      <w:r w:rsidR="00FC7640" w:rsidRPr="00B073BF">
        <w:rPr>
          <w:rFonts w:cstheme="minorHAnsi"/>
        </w:rPr>
        <w:t>concentrate on the macroeconomic performance of OIC nations further in order to encourage effective collaboration across sectors, to accelerate growth, and to promote sustainable development in politics, economics, society, culture, and science.</w:t>
      </w:r>
      <w:r w:rsidR="00FC7640">
        <w:rPr>
          <w:rFonts w:cstheme="minorHAnsi"/>
        </w:rPr>
        <w:t xml:space="preserve"> Especially trade openness has </w:t>
      </w:r>
      <w:proofErr w:type="spellStart"/>
      <w:r w:rsidR="00FC7640">
        <w:rPr>
          <w:rFonts w:cstheme="minorHAnsi"/>
        </w:rPr>
        <w:t>positif</w:t>
      </w:r>
      <w:proofErr w:type="spellEnd"/>
      <w:r w:rsidR="00FC7640">
        <w:rPr>
          <w:rFonts w:cstheme="minorHAnsi"/>
        </w:rPr>
        <w:t xml:space="preserve"> effect and </w:t>
      </w:r>
      <w:r w:rsidR="00FC7640" w:rsidRPr="00BC4F64">
        <w:rPr>
          <w:rFonts w:cstheme="minorHAnsi"/>
          <w:lang w:val="en-US"/>
        </w:rPr>
        <w:t xml:space="preserve">significantly improves the HDI </w:t>
      </w:r>
      <w:proofErr w:type="spellStart"/>
      <w:r w:rsidR="00FC7640">
        <w:rPr>
          <w:rFonts w:cstheme="minorHAnsi"/>
        </w:rPr>
        <w:t>i</w:t>
      </w:r>
      <w:proofErr w:type="spellEnd"/>
      <w:r w:rsidR="00FC7640" w:rsidRPr="00BC4F64">
        <w:rPr>
          <w:rFonts w:cstheme="minorHAnsi"/>
          <w:lang w:val="en-US"/>
        </w:rPr>
        <w:t xml:space="preserve">n OIC </w:t>
      </w:r>
      <w:r w:rsidR="00FC7640">
        <w:rPr>
          <w:rFonts w:cstheme="minorHAnsi"/>
        </w:rPr>
        <w:t>countries</w:t>
      </w:r>
      <w:r w:rsidR="00FC7640" w:rsidRPr="00700094">
        <w:rPr>
          <w:rFonts w:cstheme="minorHAnsi"/>
        </w:rPr>
        <w:t xml:space="preserve">. </w:t>
      </w:r>
    </w:p>
    <w:p w14:paraId="22DFDEF9" w14:textId="28FC7DA1" w:rsidR="00FC7640" w:rsidRDefault="00D537B5" w:rsidP="002314CD">
      <w:pPr>
        <w:spacing w:line="240" w:lineRule="auto"/>
        <w:jc w:val="both"/>
        <w:outlineLvl w:val="1"/>
        <w:rPr>
          <w:rFonts w:cstheme="minorHAnsi"/>
        </w:rPr>
      </w:pPr>
      <w:r w:rsidRPr="00D537B5">
        <w:rPr>
          <w:rFonts w:cstheme="minorHAnsi"/>
        </w:rPr>
        <w:t>The OIC countries' governments should be able to get a broad picture of the extent to which inflation, unemployment, trade openness, and foreign direct investment are contributing to the growth of their nation. Whereas the political stability variable has the potential to function both as a predictor and a moderato</w:t>
      </w:r>
      <w:r>
        <w:rPr>
          <w:rFonts w:cstheme="minorHAnsi"/>
          <w:lang w:val="id-ID"/>
        </w:rPr>
        <w:t>r</w:t>
      </w:r>
      <w:r w:rsidRPr="00D537B5">
        <w:rPr>
          <w:rFonts w:cstheme="minorHAnsi"/>
        </w:rPr>
        <w:t xml:space="preserve">. </w:t>
      </w:r>
      <w:r w:rsidR="00FC7640" w:rsidRPr="00F17D78">
        <w:rPr>
          <w:rFonts w:cstheme="minorHAnsi"/>
          <w:lang w:val="en-US"/>
        </w:rPr>
        <w:t>As a moderating variable, political stability can strengthen the relationship between unemployment and HDI</w:t>
      </w:r>
      <w:bookmarkEnd w:id="14"/>
      <w:r w:rsidR="00FC7640">
        <w:rPr>
          <w:rFonts w:cstheme="minorHAnsi"/>
        </w:rPr>
        <w:t>. Then</w:t>
      </w:r>
      <w:r w:rsidR="00FC7640" w:rsidRPr="00700094">
        <w:rPr>
          <w:rFonts w:cstheme="minorHAnsi"/>
        </w:rPr>
        <w:t>, the governments of OIC countries should further strengthen and improve the quality of their governance, especially the level of political stability.</w:t>
      </w:r>
      <w:r w:rsidR="002314CD">
        <w:rPr>
          <w:rFonts w:cstheme="minorHAnsi"/>
          <w:lang w:val="id-ID"/>
        </w:rPr>
        <w:t xml:space="preserve"> </w:t>
      </w:r>
      <w:bookmarkStart w:id="15" w:name="_GoBack"/>
      <w:bookmarkEnd w:id="15"/>
      <w:r w:rsidR="00FC7640" w:rsidRPr="00DD652B">
        <w:rPr>
          <w:rFonts w:cstheme="minorHAnsi"/>
        </w:rPr>
        <w:t xml:space="preserve">There are many limitations and deficiencies </w:t>
      </w:r>
      <w:r w:rsidR="00606E56">
        <w:rPr>
          <w:rFonts w:cstheme="minorHAnsi"/>
          <w:lang w:val="id-ID"/>
        </w:rPr>
        <w:t>of</w:t>
      </w:r>
      <w:r w:rsidR="00FC7640" w:rsidRPr="00DD652B">
        <w:rPr>
          <w:rFonts w:cstheme="minorHAnsi"/>
        </w:rPr>
        <w:t xml:space="preserve"> study which it is hoped that further research can improve this problem. Some of the limitations in the research </w:t>
      </w:r>
      <w:r w:rsidR="007539DC">
        <w:rPr>
          <w:rFonts w:cstheme="minorHAnsi"/>
          <w:lang w:val="id-ID"/>
        </w:rPr>
        <w:t>d</w:t>
      </w:r>
      <w:proofErr w:type="spellStart"/>
      <w:r w:rsidR="00FC7640" w:rsidRPr="00DD652B">
        <w:rPr>
          <w:rFonts w:cstheme="minorHAnsi"/>
        </w:rPr>
        <w:t>ue</w:t>
      </w:r>
      <w:proofErr w:type="spellEnd"/>
      <w:r w:rsidR="00FC7640" w:rsidRPr="00DD652B">
        <w:rPr>
          <w:rFonts w:cstheme="minorHAnsi"/>
        </w:rPr>
        <w:t xml:space="preserve"> to the availability of partial data (10 years)</w:t>
      </w:r>
      <w:r w:rsidR="00FC7640">
        <w:rPr>
          <w:rFonts w:cstheme="minorHAnsi"/>
        </w:rPr>
        <w:t>, o</w:t>
      </w:r>
      <w:r w:rsidR="00FC7640" w:rsidRPr="00DD652B">
        <w:rPr>
          <w:rFonts w:cstheme="minorHAnsi"/>
        </w:rPr>
        <w:t xml:space="preserve">nly 32 countries out of 57 OIC members could be </w:t>
      </w:r>
      <w:proofErr w:type="spellStart"/>
      <w:r w:rsidR="00FC7640" w:rsidRPr="00DD652B">
        <w:rPr>
          <w:rFonts w:cstheme="minorHAnsi"/>
        </w:rPr>
        <w:t>analyzed</w:t>
      </w:r>
      <w:proofErr w:type="spellEnd"/>
      <w:r w:rsidR="00FC7640" w:rsidRPr="00DD652B">
        <w:rPr>
          <w:rFonts w:cstheme="minorHAnsi"/>
        </w:rPr>
        <w:t xml:space="preserve"> between 2011 and 2020, the paucity of human development variables that could still be </w:t>
      </w:r>
      <w:r w:rsidR="00FC7640">
        <w:rPr>
          <w:rFonts w:cstheme="minorHAnsi"/>
        </w:rPr>
        <w:t>used</w:t>
      </w:r>
      <w:r w:rsidR="00FC7640" w:rsidRPr="00DD652B">
        <w:rPr>
          <w:rFonts w:cstheme="minorHAnsi"/>
        </w:rPr>
        <w:t xml:space="preserve"> in this study. There are many other macroeconomic variables that can be used as control variables, and the statistical </w:t>
      </w:r>
      <w:proofErr w:type="spellStart"/>
      <w:r w:rsidR="00FC7640" w:rsidRPr="00DD652B">
        <w:rPr>
          <w:rFonts w:cstheme="minorHAnsi"/>
        </w:rPr>
        <w:t>statistical</w:t>
      </w:r>
      <w:proofErr w:type="spellEnd"/>
      <w:r w:rsidR="00FC7640" w:rsidRPr="00DD652B">
        <w:rPr>
          <w:rFonts w:cstheme="minorHAnsi"/>
        </w:rPr>
        <w:t xml:space="preserve"> approaches and tools used in this work can be constructed using a variety of different analytical tools.</w:t>
      </w:r>
    </w:p>
    <w:p w14:paraId="05267193" w14:textId="744FB4B9" w:rsidR="00106630" w:rsidRPr="00DD652B" w:rsidRDefault="00FC7640" w:rsidP="00386ED6">
      <w:pPr>
        <w:spacing w:line="240" w:lineRule="auto"/>
        <w:jc w:val="both"/>
        <w:outlineLvl w:val="1"/>
        <w:rPr>
          <w:rFonts w:cstheme="minorHAnsi"/>
        </w:rPr>
      </w:pPr>
      <w:r w:rsidRPr="00DD652B">
        <w:rPr>
          <w:rFonts w:cstheme="minorHAnsi"/>
        </w:rPr>
        <w:t xml:space="preserve">In order </w:t>
      </w:r>
      <w:r w:rsidR="00551259">
        <w:rPr>
          <w:rFonts w:cstheme="minorHAnsi"/>
          <w:lang w:val="id-ID"/>
        </w:rPr>
        <w:t>to develop</w:t>
      </w:r>
      <w:r>
        <w:rPr>
          <w:rFonts w:cstheme="minorHAnsi"/>
        </w:rPr>
        <w:t xml:space="preserve"> the</w:t>
      </w:r>
      <w:r w:rsidRPr="00DD652B">
        <w:rPr>
          <w:rFonts w:cstheme="minorHAnsi"/>
        </w:rPr>
        <w:t xml:space="preserve"> research</w:t>
      </w:r>
      <w:r>
        <w:rPr>
          <w:rFonts w:cstheme="minorHAnsi"/>
        </w:rPr>
        <w:t xml:space="preserve"> </w:t>
      </w:r>
      <w:r w:rsidRPr="00DD652B">
        <w:rPr>
          <w:rFonts w:cstheme="minorHAnsi"/>
        </w:rPr>
        <w:t>experience, researcher provides ideas in the form of suggestions for further research: Future research can add and categorize the time period used to collect data so that it is possible to add research samples.</w:t>
      </w:r>
      <w:r>
        <w:rPr>
          <w:rFonts w:cstheme="minorHAnsi"/>
        </w:rPr>
        <w:t xml:space="preserve"> Secondly, t</w:t>
      </w:r>
      <w:r w:rsidRPr="00DD652B">
        <w:rPr>
          <w:rFonts w:cstheme="minorHAnsi"/>
        </w:rPr>
        <w:t xml:space="preserve">here are </w:t>
      </w:r>
      <w:r>
        <w:rPr>
          <w:rFonts w:cstheme="minorHAnsi"/>
        </w:rPr>
        <w:t>many other</w:t>
      </w:r>
      <w:r w:rsidRPr="00DD652B">
        <w:rPr>
          <w:rFonts w:cstheme="minorHAnsi"/>
        </w:rPr>
        <w:t xml:space="preserve"> human development indicators, such as currency values (exchange rates), remittances and </w:t>
      </w:r>
      <w:r>
        <w:rPr>
          <w:rFonts w:cstheme="minorHAnsi"/>
        </w:rPr>
        <w:t>e</w:t>
      </w:r>
      <w:r w:rsidR="00A8043E">
        <w:rPr>
          <w:rFonts w:cstheme="minorHAnsi"/>
          <w:lang w:val="id-ID"/>
        </w:rPr>
        <w:t>tc</w:t>
      </w:r>
      <w:r w:rsidRPr="00DD652B">
        <w:rPr>
          <w:rFonts w:cstheme="minorHAnsi"/>
        </w:rPr>
        <w:t>.</w:t>
      </w:r>
      <w:r>
        <w:rPr>
          <w:rFonts w:cstheme="minorHAnsi"/>
        </w:rPr>
        <w:t xml:space="preserve"> Future </w:t>
      </w:r>
      <w:proofErr w:type="spellStart"/>
      <w:r>
        <w:rPr>
          <w:rFonts w:cstheme="minorHAnsi"/>
        </w:rPr>
        <w:t>reasearch</w:t>
      </w:r>
      <w:proofErr w:type="spellEnd"/>
      <w:r>
        <w:rPr>
          <w:rFonts w:cstheme="minorHAnsi"/>
        </w:rPr>
        <w:t xml:space="preserve"> can also </w:t>
      </w:r>
      <w:proofErr w:type="spellStart"/>
      <w:r>
        <w:rPr>
          <w:rFonts w:cstheme="minorHAnsi"/>
        </w:rPr>
        <w:t>analyze</w:t>
      </w:r>
      <w:proofErr w:type="spellEnd"/>
      <w:r>
        <w:rPr>
          <w:rFonts w:cstheme="minorHAnsi"/>
        </w:rPr>
        <w:t xml:space="preserve"> </w:t>
      </w:r>
      <w:r w:rsidRPr="00DD652B">
        <w:rPr>
          <w:rFonts w:cstheme="minorHAnsi"/>
        </w:rPr>
        <w:t>the determinants of HDI with various methods and other statistical tools in various country and time series</w:t>
      </w:r>
      <w:r>
        <w:rPr>
          <w:rFonts w:cstheme="minorHAnsi"/>
        </w:rPr>
        <w:t>, and lastly t</w:t>
      </w:r>
      <w:r w:rsidRPr="00DD652B">
        <w:rPr>
          <w:rFonts w:cstheme="minorHAnsi"/>
        </w:rPr>
        <w:t xml:space="preserve">here is </w:t>
      </w:r>
      <w:r>
        <w:rPr>
          <w:rFonts w:cstheme="minorHAnsi"/>
        </w:rPr>
        <w:t>are several group</w:t>
      </w:r>
      <w:r w:rsidR="001B6BB3">
        <w:rPr>
          <w:rFonts w:cstheme="minorHAnsi"/>
          <w:lang w:val="id-ID"/>
        </w:rPr>
        <w:t>s</w:t>
      </w:r>
      <w:r w:rsidRPr="00DD652B">
        <w:rPr>
          <w:rFonts w:cstheme="minorHAnsi"/>
        </w:rPr>
        <w:t xml:space="preserve"> of OIC countries according to the HDI level. </w:t>
      </w:r>
      <w:r w:rsidR="001B6BB3">
        <w:rPr>
          <w:rFonts w:cstheme="minorHAnsi"/>
        </w:rPr>
        <w:t>T</w:t>
      </w:r>
      <w:r>
        <w:rPr>
          <w:rFonts w:cstheme="minorHAnsi"/>
        </w:rPr>
        <w:t>herefore</w:t>
      </w:r>
      <w:r w:rsidR="001B6BB3">
        <w:rPr>
          <w:rFonts w:cstheme="minorHAnsi"/>
          <w:lang w:val="id-ID"/>
        </w:rPr>
        <w:t xml:space="preserve">, </w:t>
      </w:r>
      <w:r w:rsidRPr="00DD652B">
        <w:rPr>
          <w:rFonts w:cstheme="minorHAnsi"/>
        </w:rPr>
        <w:t xml:space="preserve">the </w:t>
      </w:r>
      <w:r w:rsidRPr="00DD652B">
        <w:rPr>
          <w:rFonts w:cstheme="minorHAnsi"/>
        </w:rPr>
        <w:lastRenderedPageBreak/>
        <w:t>further research can identify which variables and policies are most appropriate based on the group of underdeveloped, developing and developed countries.</w:t>
      </w:r>
    </w:p>
    <w:p w14:paraId="0000002F" w14:textId="77777777" w:rsidR="008213D5" w:rsidRDefault="008213D5">
      <w:pPr>
        <w:spacing w:after="0"/>
        <w:jc w:val="both"/>
        <w:rPr>
          <w:b/>
          <w:sz w:val="28"/>
          <w:szCs w:val="28"/>
        </w:rPr>
      </w:pPr>
    </w:p>
    <w:p w14:paraId="00000034" w14:textId="2868720A" w:rsidR="008213D5" w:rsidRDefault="00106630" w:rsidP="00106630">
      <w:pPr>
        <w:spacing w:after="0"/>
        <w:jc w:val="center"/>
      </w:pPr>
      <w:bookmarkStart w:id="16" w:name="_heading=h.1fob9te" w:colFirst="0" w:colLast="0"/>
      <w:bookmarkEnd w:id="16"/>
      <w:r>
        <w:rPr>
          <w:b/>
          <w:sz w:val="28"/>
          <w:szCs w:val="28"/>
        </w:rPr>
        <w:t>References</w:t>
      </w:r>
    </w:p>
    <w:p w14:paraId="20447C39" w14:textId="44C1657A" w:rsidR="00CA695E" w:rsidRDefault="00CA695E">
      <w:pPr>
        <w:spacing w:after="0"/>
        <w:jc w:val="both"/>
      </w:pPr>
    </w:p>
    <w:p w14:paraId="3DBE19F7" w14:textId="52215EFE"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sz w:val="20"/>
          <w:szCs w:val="20"/>
        </w:rPr>
        <w:fldChar w:fldCharType="begin" w:fldLock="1"/>
      </w:r>
      <w:r w:rsidRPr="00F720A0">
        <w:rPr>
          <w:rFonts w:asciiTheme="minorHAnsi" w:hAnsiTheme="minorHAnsi" w:cstheme="minorHAnsi"/>
          <w:sz w:val="20"/>
          <w:szCs w:val="20"/>
        </w:rPr>
        <w:instrText xml:space="preserve">ADDIN Mendeley Bibliography CSL_BIBLIOGRAPHY </w:instrText>
      </w:r>
      <w:r w:rsidRPr="00F720A0">
        <w:rPr>
          <w:rFonts w:asciiTheme="minorHAnsi" w:hAnsiTheme="minorHAnsi" w:cstheme="minorHAnsi"/>
          <w:sz w:val="20"/>
          <w:szCs w:val="20"/>
        </w:rPr>
        <w:fldChar w:fldCharType="separate"/>
      </w:r>
      <w:r w:rsidRPr="00F720A0">
        <w:rPr>
          <w:rFonts w:asciiTheme="minorHAnsi" w:hAnsiTheme="minorHAnsi" w:cstheme="minorHAnsi"/>
          <w:noProof/>
          <w:sz w:val="20"/>
          <w:szCs w:val="20"/>
        </w:rPr>
        <w:t xml:space="preserve">Abé Ndjié, A., Atangana Ondoa, H., &amp; Ngoa Tabi, H. (2019). Governance </w:t>
      </w:r>
      <w:r w:rsidR="006A06B6"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Youth Unemployment </w:t>
      </w:r>
      <w:r w:rsidR="006A06B6"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Africa. </w:t>
      </w:r>
      <w:r w:rsidRPr="00F720A0">
        <w:rPr>
          <w:rFonts w:asciiTheme="minorHAnsi" w:hAnsiTheme="minorHAnsi" w:cstheme="minorHAnsi"/>
          <w:i/>
          <w:iCs/>
          <w:noProof/>
          <w:sz w:val="20"/>
          <w:szCs w:val="20"/>
        </w:rPr>
        <w:t>Labor History</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60</w:t>
      </w:r>
      <w:r w:rsidRPr="00F720A0">
        <w:rPr>
          <w:rFonts w:asciiTheme="minorHAnsi" w:hAnsiTheme="minorHAnsi" w:cstheme="minorHAnsi"/>
          <w:noProof/>
          <w:sz w:val="20"/>
          <w:szCs w:val="20"/>
        </w:rPr>
        <w:t>(6), 869–882. Https://Doi.Org/10.1080/0023656X.2019.1645320</w:t>
      </w:r>
    </w:p>
    <w:p w14:paraId="40F6E2E9" w14:textId="14FB564A"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Action, P. O. F. (2016). </w:t>
      </w:r>
      <w:r w:rsidRPr="00F720A0">
        <w:rPr>
          <w:rFonts w:asciiTheme="minorHAnsi" w:hAnsiTheme="minorHAnsi" w:cstheme="minorHAnsi"/>
          <w:i/>
          <w:iCs/>
          <w:noProof/>
          <w:sz w:val="20"/>
          <w:szCs w:val="20"/>
        </w:rPr>
        <w:t>OIC/SUM-13/2016/POA-Final</w:t>
      </w:r>
      <w:r w:rsidRPr="00F720A0">
        <w:rPr>
          <w:rFonts w:asciiTheme="minorHAnsi" w:hAnsiTheme="minorHAnsi" w:cstheme="minorHAnsi"/>
          <w:noProof/>
          <w:sz w:val="20"/>
          <w:szCs w:val="20"/>
        </w:rPr>
        <w:t>.</w:t>
      </w:r>
    </w:p>
    <w:p w14:paraId="5A6BD7BD" w14:textId="46EB2B9E"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Aditya Febriananta Putra, Suyanto, I. P. R. (2019). </w:t>
      </w:r>
      <w:r w:rsidR="006A06B6" w:rsidRPr="00F720A0">
        <w:rPr>
          <w:rFonts w:asciiTheme="minorHAnsi" w:hAnsiTheme="minorHAnsi" w:cstheme="minorHAnsi"/>
          <w:i/>
          <w:iCs/>
          <w:noProof/>
          <w:sz w:val="20"/>
          <w:szCs w:val="20"/>
        </w:rPr>
        <w:t xml:space="preserve">Investasi Asing Langsung </w:t>
      </w:r>
      <w:r w:rsidR="006A06B6" w:rsidRPr="00F720A0">
        <w:rPr>
          <w:rFonts w:asciiTheme="minorHAnsi" w:hAnsiTheme="minorHAnsi" w:cstheme="minorHAnsi"/>
          <w:i/>
          <w:iCs/>
          <w:noProof/>
          <w:sz w:val="20"/>
          <w:szCs w:val="20"/>
          <w:lang w:val="id-ID"/>
        </w:rPr>
        <w:t>d</w:t>
      </w:r>
      <w:r w:rsidR="006A06B6" w:rsidRPr="00F720A0">
        <w:rPr>
          <w:rFonts w:asciiTheme="minorHAnsi" w:hAnsiTheme="minorHAnsi" w:cstheme="minorHAnsi"/>
          <w:i/>
          <w:iCs/>
          <w:noProof/>
          <w:sz w:val="20"/>
          <w:szCs w:val="20"/>
        </w:rPr>
        <w:t xml:space="preserve">an Pertumbuhan Ekonomi </w:t>
      </w:r>
      <w:r w:rsidR="006A06B6" w:rsidRPr="00F720A0">
        <w:rPr>
          <w:rFonts w:asciiTheme="minorHAnsi" w:hAnsiTheme="minorHAnsi" w:cstheme="minorHAnsi"/>
          <w:i/>
          <w:iCs/>
          <w:noProof/>
          <w:sz w:val="20"/>
          <w:szCs w:val="20"/>
          <w:lang w:val="id-ID"/>
        </w:rPr>
        <w:t>d</w:t>
      </w:r>
      <w:r w:rsidR="006A06B6" w:rsidRPr="00F720A0">
        <w:rPr>
          <w:rFonts w:asciiTheme="minorHAnsi" w:hAnsiTheme="minorHAnsi" w:cstheme="minorHAnsi"/>
          <w:i/>
          <w:iCs/>
          <w:noProof/>
          <w:sz w:val="20"/>
          <w:szCs w:val="20"/>
        </w:rPr>
        <w:t>i Wilayah Asean Periode</w:t>
      </w:r>
      <w:r w:rsidRPr="00F720A0">
        <w:rPr>
          <w:rFonts w:asciiTheme="minorHAnsi" w:hAnsiTheme="minorHAnsi" w:cstheme="minorHAnsi"/>
          <w:i/>
          <w:iCs/>
          <w:noProof/>
          <w:sz w:val="20"/>
          <w:szCs w:val="20"/>
        </w:rPr>
        <w:t xml:space="preserve"> 2004-2016</w:t>
      </w:r>
      <w:r w:rsidRPr="00F720A0">
        <w:rPr>
          <w:rFonts w:asciiTheme="minorHAnsi" w:hAnsiTheme="minorHAnsi" w:cstheme="minorHAnsi"/>
          <w:noProof/>
          <w:sz w:val="20"/>
          <w:szCs w:val="20"/>
        </w:rPr>
        <w:t>. 57–66.</w:t>
      </w:r>
    </w:p>
    <w:p w14:paraId="7640585B" w14:textId="231F7277"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Alshammari, M. A., Hammoudeh, M. A., &amp; Pavlovic, M. (2015). Governance, Regulations, Trade Openness </w:t>
      </w:r>
      <w:r w:rsidR="00B64A72"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FDI Inflows: Empirical Study. </w:t>
      </w:r>
      <w:r w:rsidRPr="00F720A0">
        <w:rPr>
          <w:rFonts w:asciiTheme="minorHAnsi" w:hAnsiTheme="minorHAnsi" w:cstheme="minorHAnsi"/>
          <w:i/>
          <w:iCs/>
          <w:noProof/>
          <w:sz w:val="20"/>
          <w:szCs w:val="20"/>
        </w:rPr>
        <w:t>International Journal Of Economics And Finance</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7</w:t>
      </w:r>
      <w:r w:rsidRPr="00F720A0">
        <w:rPr>
          <w:rFonts w:asciiTheme="minorHAnsi" w:hAnsiTheme="minorHAnsi" w:cstheme="minorHAnsi"/>
          <w:noProof/>
          <w:sz w:val="20"/>
          <w:szCs w:val="20"/>
        </w:rPr>
        <w:t>(12), 44. Https://Doi.Org/10.5539/Ijef.V7n12p44</w:t>
      </w:r>
    </w:p>
    <w:p w14:paraId="1D8A8E13" w14:textId="57694E7E"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Arisman, A. (2018). Determinant </w:t>
      </w:r>
      <w:r w:rsidR="00B64A72"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Human Development Index In ASEAN Countries. </w:t>
      </w:r>
      <w:r w:rsidRPr="00F720A0">
        <w:rPr>
          <w:rFonts w:asciiTheme="minorHAnsi" w:hAnsiTheme="minorHAnsi" w:cstheme="minorHAnsi"/>
          <w:i/>
          <w:iCs/>
          <w:noProof/>
          <w:sz w:val="20"/>
          <w:szCs w:val="20"/>
        </w:rPr>
        <w:t>Signifikan: Jurnal Ilmu Ekonomi</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7</w:t>
      </w:r>
      <w:r w:rsidRPr="00F720A0">
        <w:rPr>
          <w:rFonts w:asciiTheme="minorHAnsi" w:hAnsiTheme="minorHAnsi" w:cstheme="minorHAnsi"/>
          <w:noProof/>
          <w:sz w:val="20"/>
          <w:szCs w:val="20"/>
        </w:rPr>
        <w:t>(1), 113–122. Https://Doi.Org/10.15408/Sjie.V7i1.6756</w:t>
      </w:r>
    </w:p>
    <w:p w14:paraId="677941D9" w14:textId="3F1BB56A"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Arshad, R., Noor, A. H. M., &amp; Yahya, A. (2015). Human Capital </w:t>
      </w:r>
      <w:r w:rsidR="00B64A72"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Islamic-Based Social Impact Model: Small Enterprise Perspective. </w:t>
      </w:r>
      <w:r w:rsidRPr="00F720A0">
        <w:rPr>
          <w:rFonts w:asciiTheme="minorHAnsi" w:hAnsiTheme="minorHAnsi" w:cstheme="minorHAnsi"/>
          <w:i/>
          <w:iCs/>
          <w:noProof/>
          <w:sz w:val="20"/>
          <w:szCs w:val="20"/>
        </w:rPr>
        <w:t>Procedia Economics And Finance</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31</w:t>
      </w:r>
      <w:r w:rsidRPr="00F720A0">
        <w:rPr>
          <w:rFonts w:asciiTheme="minorHAnsi" w:hAnsiTheme="minorHAnsi" w:cstheme="minorHAnsi"/>
          <w:noProof/>
          <w:sz w:val="20"/>
          <w:szCs w:val="20"/>
        </w:rPr>
        <w:t>(15), 510–519. Https://Doi.Org/10.1016/S2212-5671(15)01195-8</w:t>
      </w:r>
    </w:p>
    <w:p w14:paraId="31DFFE98" w14:textId="41AFB537"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Asamoah, L. A., Mensah, E. K., &amp; Bondzie, E. A. (2019). Trade Openness, FDI And Economic Growth </w:t>
      </w:r>
      <w:r w:rsidR="00B64A72"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Sub-Saharan Africa: Do Institutions Matter? </w:t>
      </w:r>
      <w:r w:rsidRPr="00F720A0">
        <w:rPr>
          <w:rFonts w:asciiTheme="minorHAnsi" w:hAnsiTheme="minorHAnsi" w:cstheme="minorHAnsi"/>
          <w:i/>
          <w:iCs/>
          <w:noProof/>
          <w:sz w:val="20"/>
          <w:szCs w:val="20"/>
        </w:rPr>
        <w:t>Transnational Corporations Review</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11</w:t>
      </w:r>
      <w:r w:rsidRPr="00F720A0">
        <w:rPr>
          <w:rFonts w:asciiTheme="minorHAnsi" w:hAnsiTheme="minorHAnsi" w:cstheme="minorHAnsi"/>
          <w:noProof/>
          <w:sz w:val="20"/>
          <w:szCs w:val="20"/>
        </w:rPr>
        <w:t>(1), 65–79. Https://Doi.Org/10.1080/19186444.2019.1578156</w:t>
      </w:r>
    </w:p>
    <w:p w14:paraId="7936E21C" w14:textId="09784657"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Barugahara, F. (2021). </w:t>
      </w:r>
      <w:r w:rsidR="00D834B0" w:rsidRPr="00F720A0">
        <w:rPr>
          <w:rFonts w:asciiTheme="minorHAnsi" w:hAnsiTheme="minorHAnsi" w:cstheme="minorHAnsi"/>
          <w:i/>
          <w:iCs/>
          <w:noProof/>
          <w:sz w:val="20"/>
          <w:szCs w:val="20"/>
        </w:rPr>
        <w:t xml:space="preserve">The Impact </w:t>
      </w:r>
      <w:r w:rsidR="00D834B0" w:rsidRPr="00F720A0">
        <w:rPr>
          <w:rFonts w:asciiTheme="minorHAnsi" w:hAnsiTheme="minorHAnsi" w:cstheme="minorHAnsi"/>
          <w:i/>
          <w:iCs/>
          <w:noProof/>
          <w:sz w:val="20"/>
          <w:szCs w:val="20"/>
          <w:lang w:val="id-ID"/>
        </w:rPr>
        <w:t>o</w:t>
      </w:r>
      <w:r w:rsidR="00D834B0" w:rsidRPr="00F720A0">
        <w:rPr>
          <w:rFonts w:asciiTheme="minorHAnsi" w:hAnsiTheme="minorHAnsi" w:cstheme="minorHAnsi"/>
          <w:i/>
          <w:iCs/>
          <w:noProof/>
          <w:sz w:val="20"/>
          <w:szCs w:val="20"/>
        </w:rPr>
        <w:t xml:space="preserve">f Political Instability </w:t>
      </w:r>
      <w:r w:rsidR="00D834B0" w:rsidRPr="00F720A0">
        <w:rPr>
          <w:rFonts w:asciiTheme="minorHAnsi" w:hAnsiTheme="minorHAnsi" w:cstheme="minorHAnsi"/>
          <w:i/>
          <w:iCs/>
          <w:noProof/>
          <w:sz w:val="20"/>
          <w:szCs w:val="20"/>
          <w:lang w:val="id-ID"/>
        </w:rPr>
        <w:t>o</w:t>
      </w:r>
      <w:r w:rsidR="00D834B0" w:rsidRPr="00F720A0">
        <w:rPr>
          <w:rFonts w:asciiTheme="minorHAnsi" w:hAnsiTheme="minorHAnsi" w:cstheme="minorHAnsi"/>
          <w:i/>
          <w:iCs/>
          <w:noProof/>
          <w:sz w:val="20"/>
          <w:szCs w:val="20"/>
        </w:rPr>
        <w:t>n Inflation</w:t>
      </w:r>
      <w:r w:rsidR="00D834B0" w:rsidRPr="00F720A0">
        <w:rPr>
          <w:rFonts w:asciiTheme="minorHAnsi" w:hAnsiTheme="minorHAnsi" w:cstheme="minorHAnsi"/>
          <w:noProof/>
          <w:sz w:val="20"/>
          <w:szCs w:val="20"/>
        </w:rPr>
        <w:t>.</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February</w:t>
      </w:r>
      <w:r w:rsidRPr="00F720A0">
        <w:rPr>
          <w:rFonts w:asciiTheme="minorHAnsi" w:hAnsiTheme="minorHAnsi" w:cstheme="minorHAnsi"/>
          <w:noProof/>
          <w:sz w:val="20"/>
          <w:szCs w:val="20"/>
        </w:rPr>
        <w:t>. Https://Doi.Org/10.1111/Saje.12046</w:t>
      </w:r>
    </w:p>
    <w:p w14:paraId="498D44A8" w14:textId="24C3B7F0"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Bond, S. (1991). Some Tests Of Specification For Panel Data:Monte Carlo Evidence And An Application To Employment Equations. </w:t>
      </w:r>
      <w:r w:rsidRPr="00F720A0">
        <w:rPr>
          <w:rFonts w:asciiTheme="minorHAnsi" w:hAnsiTheme="minorHAnsi" w:cstheme="minorHAnsi"/>
          <w:i/>
          <w:iCs/>
          <w:noProof/>
          <w:sz w:val="20"/>
          <w:szCs w:val="20"/>
        </w:rPr>
        <w:t xml:space="preserve">Review </w:t>
      </w:r>
      <w:r w:rsidR="00220EC1" w:rsidRPr="00F720A0">
        <w:rPr>
          <w:rFonts w:asciiTheme="minorHAnsi" w:hAnsiTheme="minorHAnsi" w:cstheme="minorHAnsi"/>
          <w:i/>
          <w:iCs/>
          <w:noProof/>
          <w:sz w:val="20"/>
          <w:szCs w:val="20"/>
          <w:lang w:val="id-ID"/>
        </w:rPr>
        <w:t>o</w:t>
      </w:r>
      <w:r w:rsidRPr="00F720A0">
        <w:rPr>
          <w:rFonts w:asciiTheme="minorHAnsi" w:hAnsiTheme="minorHAnsi" w:cstheme="minorHAnsi"/>
          <w:i/>
          <w:iCs/>
          <w:noProof/>
          <w:sz w:val="20"/>
          <w:szCs w:val="20"/>
        </w:rPr>
        <w:t>f Economic Studies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58</w:t>
      </w:r>
      <w:r w:rsidRPr="00F720A0">
        <w:rPr>
          <w:rFonts w:asciiTheme="minorHAnsi" w:hAnsiTheme="minorHAnsi" w:cstheme="minorHAnsi"/>
          <w:noProof/>
          <w:sz w:val="20"/>
          <w:szCs w:val="20"/>
        </w:rPr>
        <w:t>(2), 277–297. Https://Doi.Org/10.2307/2297968</w:t>
      </w:r>
    </w:p>
    <w:p w14:paraId="4B8FBDDE" w14:textId="2403CFB1"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Chih, Y. Y., Kishan, R. P., &amp; Ojede, A. (2022). Be Good </w:t>
      </w:r>
      <w:r w:rsidR="00220EC1" w:rsidRPr="00F720A0">
        <w:rPr>
          <w:rFonts w:asciiTheme="minorHAnsi" w:hAnsiTheme="minorHAnsi" w:cstheme="minorHAnsi"/>
          <w:noProof/>
          <w:sz w:val="20"/>
          <w:szCs w:val="20"/>
          <w:lang w:val="id-ID"/>
        </w:rPr>
        <w:t>t</w:t>
      </w:r>
      <w:r w:rsidRPr="00F720A0">
        <w:rPr>
          <w:rFonts w:asciiTheme="minorHAnsi" w:hAnsiTheme="minorHAnsi" w:cstheme="minorHAnsi"/>
          <w:noProof/>
          <w:sz w:val="20"/>
          <w:szCs w:val="20"/>
        </w:rPr>
        <w:t xml:space="preserve">o Thy Neighbours: A Spatial Analysis </w:t>
      </w:r>
      <w:r w:rsidR="00220EC1"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Foreign Direct Investment </w:t>
      </w:r>
      <w:r w:rsidR="00220EC1"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Economic Growth </w:t>
      </w:r>
      <w:r w:rsidR="00220EC1"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Sub-Saharan Africa. </w:t>
      </w:r>
      <w:r w:rsidRPr="00F720A0">
        <w:rPr>
          <w:rFonts w:asciiTheme="minorHAnsi" w:hAnsiTheme="minorHAnsi" w:cstheme="minorHAnsi"/>
          <w:i/>
          <w:iCs/>
          <w:noProof/>
          <w:sz w:val="20"/>
          <w:szCs w:val="20"/>
        </w:rPr>
        <w:t>World Economy</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45</w:t>
      </w:r>
      <w:r w:rsidRPr="00F720A0">
        <w:rPr>
          <w:rFonts w:asciiTheme="minorHAnsi" w:hAnsiTheme="minorHAnsi" w:cstheme="minorHAnsi"/>
          <w:noProof/>
          <w:sz w:val="20"/>
          <w:szCs w:val="20"/>
        </w:rPr>
        <w:t>(3), 657–701. Https://Doi.Org/10.1111/Twec.13167</w:t>
      </w:r>
    </w:p>
    <w:p w14:paraId="6473C982" w14:textId="3F772913"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Davis, T. J. (2017). Good Governance </w:t>
      </w:r>
      <w:r w:rsidR="00220EC1"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s </w:t>
      </w:r>
      <w:r w:rsidR="00220EC1"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 Foundation For Sustainable Human Development </w:t>
      </w:r>
      <w:r w:rsidR="00220EC1"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Sub-Saharan Africa. </w:t>
      </w:r>
      <w:r w:rsidRPr="00F720A0">
        <w:rPr>
          <w:rFonts w:asciiTheme="minorHAnsi" w:hAnsiTheme="minorHAnsi" w:cstheme="minorHAnsi"/>
          <w:i/>
          <w:iCs/>
          <w:noProof/>
          <w:sz w:val="20"/>
          <w:szCs w:val="20"/>
        </w:rPr>
        <w:t>Third World Quarterly</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38</w:t>
      </w:r>
      <w:r w:rsidRPr="00F720A0">
        <w:rPr>
          <w:rFonts w:asciiTheme="minorHAnsi" w:hAnsiTheme="minorHAnsi" w:cstheme="minorHAnsi"/>
          <w:noProof/>
          <w:sz w:val="20"/>
          <w:szCs w:val="20"/>
        </w:rPr>
        <w:t>(3), 636–654. Https://Doi.Org/10.1080/01436597.2016.1191340</w:t>
      </w:r>
    </w:p>
    <w:p w14:paraId="49067497" w14:textId="44AE7C8C"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Germain, K. K. (2021). </w:t>
      </w:r>
      <w:r w:rsidRPr="00F720A0">
        <w:rPr>
          <w:rFonts w:asciiTheme="minorHAnsi" w:hAnsiTheme="minorHAnsi" w:cstheme="minorHAnsi"/>
          <w:i/>
          <w:iCs/>
          <w:noProof/>
          <w:sz w:val="20"/>
          <w:szCs w:val="20"/>
        </w:rPr>
        <w:t xml:space="preserve">Youth Unemployment </w:t>
      </w:r>
      <w:r w:rsidR="00220EC1" w:rsidRPr="00F720A0">
        <w:rPr>
          <w:rFonts w:asciiTheme="minorHAnsi" w:hAnsiTheme="minorHAnsi" w:cstheme="minorHAnsi"/>
          <w:i/>
          <w:iCs/>
          <w:noProof/>
          <w:sz w:val="20"/>
          <w:szCs w:val="20"/>
          <w:lang w:val="id-ID"/>
        </w:rPr>
        <w:t>a</w:t>
      </w:r>
      <w:r w:rsidRPr="00F720A0">
        <w:rPr>
          <w:rFonts w:asciiTheme="minorHAnsi" w:hAnsiTheme="minorHAnsi" w:cstheme="minorHAnsi"/>
          <w:i/>
          <w:iCs/>
          <w:noProof/>
          <w:sz w:val="20"/>
          <w:szCs w:val="20"/>
        </w:rPr>
        <w:t xml:space="preserve">nd Political Instability </w:t>
      </w:r>
      <w:r w:rsidR="00220EC1" w:rsidRPr="00F720A0">
        <w:rPr>
          <w:rFonts w:asciiTheme="minorHAnsi" w:hAnsiTheme="minorHAnsi" w:cstheme="minorHAnsi"/>
          <w:i/>
          <w:iCs/>
          <w:noProof/>
          <w:sz w:val="20"/>
          <w:szCs w:val="20"/>
          <w:lang w:val="id-ID"/>
        </w:rPr>
        <w:t>i</w:t>
      </w:r>
      <w:r w:rsidRPr="00F720A0">
        <w:rPr>
          <w:rFonts w:asciiTheme="minorHAnsi" w:hAnsiTheme="minorHAnsi" w:cstheme="minorHAnsi"/>
          <w:i/>
          <w:iCs/>
          <w:noProof/>
          <w:sz w:val="20"/>
          <w:szCs w:val="20"/>
        </w:rPr>
        <w:t xml:space="preserve">n Côte D ’ Ivoire Youth Unemployment </w:t>
      </w:r>
      <w:r w:rsidR="00220EC1" w:rsidRPr="00F720A0">
        <w:rPr>
          <w:rFonts w:asciiTheme="minorHAnsi" w:hAnsiTheme="minorHAnsi" w:cstheme="minorHAnsi"/>
          <w:i/>
          <w:iCs/>
          <w:noProof/>
          <w:sz w:val="20"/>
          <w:szCs w:val="20"/>
          <w:lang w:val="id-ID"/>
        </w:rPr>
        <w:t>a</w:t>
      </w:r>
      <w:r w:rsidRPr="00F720A0">
        <w:rPr>
          <w:rFonts w:asciiTheme="minorHAnsi" w:hAnsiTheme="minorHAnsi" w:cstheme="minorHAnsi"/>
          <w:i/>
          <w:iCs/>
          <w:noProof/>
          <w:sz w:val="20"/>
          <w:szCs w:val="20"/>
        </w:rPr>
        <w:t xml:space="preserve">nd Political Instability </w:t>
      </w:r>
      <w:r w:rsidR="00220EC1" w:rsidRPr="00F720A0">
        <w:rPr>
          <w:rFonts w:asciiTheme="minorHAnsi" w:hAnsiTheme="minorHAnsi" w:cstheme="minorHAnsi"/>
          <w:i/>
          <w:iCs/>
          <w:noProof/>
          <w:sz w:val="20"/>
          <w:szCs w:val="20"/>
          <w:lang w:val="id-ID"/>
        </w:rPr>
        <w:t>i</w:t>
      </w:r>
      <w:r w:rsidRPr="00F720A0">
        <w:rPr>
          <w:rFonts w:asciiTheme="minorHAnsi" w:hAnsiTheme="minorHAnsi" w:cstheme="minorHAnsi"/>
          <w:i/>
          <w:iCs/>
          <w:noProof/>
          <w:sz w:val="20"/>
          <w:szCs w:val="20"/>
        </w:rPr>
        <w:t>n Côte D ’ Ivoire</w:t>
      </w:r>
      <w:r w:rsidRPr="00F720A0">
        <w:rPr>
          <w:rFonts w:asciiTheme="minorHAnsi" w:hAnsiTheme="minorHAnsi" w:cstheme="minorHAnsi"/>
          <w:noProof/>
          <w:sz w:val="20"/>
          <w:szCs w:val="20"/>
        </w:rPr>
        <w:t>.</w:t>
      </w:r>
    </w:p>
    <w:p w14:paraId="17B3A212" w14:textId="1D433B1A"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Groznykh, R., Mariev, O., Plotnikov, S., &amp; Fominykh, M. (2020). </w:t>
      </w:r>
      <w:r w:rsidR="00DC1CE8" w:rsidRPr="00F720A0">
        <w:rPr>
          <w:rFonts w:asciiTheme="minorHAnsi" w:hAnsiTheme="minorHAnsi" w:cstheme="minorHAnsi"/>
          <w:i/>
          <w:iCs/>
          <w:noProof/>
          <w:sz w:val="20"/>
          <w:szCs w:val="20"/>
        </w:rPr>
        <w:t xml:space="preserve">The Role </w:t>
      </w:r>
      <w:r w:rsidR="00DC1CE8" w:rsidRPr="00F720A0">
        <w:rPr>
          <w:rFonts w:asciiTheme="minorHAnsi" w:hAnsiTheme="minorHAnsi" w:cstheme="minorHAnsi"/>
          <w:i/>
          <w:iCs/>
          <w:noProof/>
          <w:sz w:val="20"/>
          <w:szCs w:val="20"/>
          <w:lang w:val="id-ID"/>
        </w:rPr>
        <w:t>o</w:t>
      </w:r>
      <w:r w:rsidR="00DC1CE8" w:rsidRPr="00F720A0">
        <w:rPr>
          <w:rFonts w:asciiTheme="minorHAnsi" w:hAnsiTheme="minorHAnsi" w:cstheme="minorHAnsi"/>
          <w:i/>
          <w:iCs/>
          <w:noProof/>
          <w:sz w:val="20"/>
          <w:szCs w:val="20"/>
        </w:rPr>
        <w:t xml:space="preserve">f Political Stability </w:t>
      </w:r>
      <w:r w:rsidR="00265CA6" w:rsidRPr="00F720A0">
        <w:rPr>
          <w:rFonts w:asciiTheme="minorHAnsi" w:hAnsiTheme="minorHAnsi" w:cstheme="minorHAnsi"/>
          <w:i/>
          <w:iCs/>
          <w:noProof/>
          <w:sz w:val="20"/>
          <w:szCs w:val="20"/>
          <w:lang w:val="id-ID"/>
        </w:rPr>
        <w:t>i</w:t>
      </w:r>
      <w:r w:rsidR="00DC1CE8" w:rsidRPr="00F720A0">
        <w:rPr>
          <w:rFonts w:asciiTheme="minorHAnsi" w:hAnsiTheme="minorHAnsi" w:cstheme="minorHAnsi"/>
          <w:i/>
          <w:iCs/>
          <w:noProof/>
          <w:sz w:val="20"/>
          <w:szCs w:val="20"/>
        </w:rPr>
        <w:t>n Foreign Direct Investment Attraction : Cross-Country Analysis</w:t>
      </w:r>
      <w:r w:rsidR="00DC1CE8" w:rsidRPr="00F720A0">
        <w:rPr>
          <w:rFonts w:asciiTheme="minorHAnsi" w:hAnsiTheme="minorHAnsi" w:cstheme="minorHAnsi"/>
          <w:noProof/>
          <w:sz w:val="20"/>
          <w:szCs w:val="20"/>
        </w:rPr>
        <w:t>.</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2020</w:t>
      </w:r>
      <w:r w:rsidRPr="00F720A0">
        <w:rPr>
          <w:rFonts w:asciiTheme="minorHAnsi" w:hAnsiTheme="minorHAnsi" w:cstheme="minorHAnsi"/>
          <w:noProof/>
          <w:sz w:val="20"/>
          <w:szCs w:val="20"/>
        </w:rPr>
        <w:t>, 76–83.</w:t>
      </w:r>
    </w:p>
    <w:p w14:paraId="615D3E84" w14:textId="55067550"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Hamdi, H., &amp; Hakimi, A. (2022). Trade Openness, Foreign Direct Investment, </w:t>
      </w:r>
      <w:r w:rsidR="00B658E7"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Human Development: A Panel Cointegration Analysis </w:t>
      </w:r>
      <w:r w:rsidR="00B658E7" w:rsidRPr="00F720A0">
        <w:rPr>
          <w:rFonts w:asciiTheme="minorHAnsi" w:hAnsiTheme="minorHAnsi" w:cstheme="minorHAnsi"/>
          <w:noProof/>
          <w:sz w:val="20"/>
          <w:szCs w:val="20"/>
          <w:lang w:val="id-ID"/>
        </w:rPr>
        <w:t>f</w:t>
      </w:r>
      <w:r w:rsidRPr="00F720A0">
        <w:rPr>
          <w:rFonts w:asciiTheme="minorHAnsi" w:hAnsiTheme="minorHAnsi" w:cstheme="minorHAnsi"/>
          <w:noProof/>
          <w:sz w:val="20"/>
          <w:szCs w:val="20"/>
        </w:rPr>
        <w:t xml:space="preserve">or MENA Countries. </w:t>
      </w:r>
      <w:r w:rsidRPr="00F720A0">
        <w:rPr>
          <w:rFonts w:asciiTheme="minorHAnsi" w:hAnsiTheme="minorHAnsi" w:cstheme="minorHAnsi"/>
          <w:i/>
          <w:iCs/>
          <w:noProof/>
          <w:sz w:val="20"/>
          <w:szCs w:val="20"/>
        </w:rPr>
        <w:t>International Trade Journal</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36</w:t>
      </w:r>
      <w:r w:rsidRPr="00F720A0">
        <w:rPr>
          <w:rFonts w:asciiTheme="minorHAnsi" w:hAnsiTheme="minorHAnsi" w:cstheme="minorHAnsi"/>
          <w:noProof/>
          <w:sz w:val="20"/>
          <w:szCs w:val="20"/>
        </w:rPr>
        <w:t>(3), 219–238. Https://Doi.Org/10.1080/08853908.2021.1905115</w:t>
      </w:r>
    </w:p>
    <w:p w14:paraId="51342DB6" w14:textId="45FE1B0C"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Hasbi, H., &amp; Wibowo, M. G. (2022). Determinants Of Islamic Human Development Index </w:t>
      </w:r>
      <w:r w:rsidR="00B658E7"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OIC Countries </w:t>
      </w:r>
      <w:r w:rsidR="00B658E7" w:rsidRPr="00F720A0">
        <w:rPr>
          <w:rFonts w:asciiTheme="minorHAnsi" w:hAnsiTheme="minorHAnsi" w:cstheme="minorHAnsi"/>
          <w:noProof/>
          <w:sz w:val="20"/>
          <w:szCs w:val="20"/>
          <w:lang w:val="id-ID"/>
        </w:rPr>
        <w:t>w</w:t>
      </w:r>
      <w:r w:rsidRPr="00F720A0">
        <w:rPr>
          <w:rFonts w:asciiTheme="minorHAnsi" w:hAnsiTheme="minorHAnsi" w:cstheme="minorHAnsi"/>
          <w:noProof/>
          <w:sz w:val="20"/>
          <w:szCs w:val="20"/>
        </w:rPr>
        <w:t xml:space="preserve">ith Good Governance </w:t>
      </w:r>
      <w:r w:rsidR="00B658E7"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s Moderating Variables. </w:t>
      </w:r>
      <w:r w:rsidRPr="00F720A0">
        <w:rPr>
          <w:rFonts w:asciiTheme="minorHAnsi" w:hAnsiTheme="minorHAnsi" w:cstheme="minorHAnsi"/>
          <w:i/>
          <w:iCs/>
          <w:noProof/>
          <w:sz w:val="20"/>
          <w:szCs w:val="20"/>
        </w:rPr>
        <w:t>Equilibrium: Jurnal Ekonomi Syariah</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10</w:t>
      </w:r>
      <w:r w:rsidRPr="00F720A0">
        <w:rPr>
          <w:rFonts w:asciiTheme="minorHAnsi" w:hAnsiTheme="minorHAnsi" w:cstheme="minorHAnsi"/>
          <w:noProof/>
          <w:sz w:val="20"/>
          <w:szCs w:val="20"/>
        </w:rPr>
        <w:t>(1), 173. Https://Doi.Org/10.21043/Equilibrium.V10i1.14641</w:t>
      </w:r>
    </w:p>
    <w:p w14:paraId="59CA7E33" w14:textId="2C51E30F"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Hassan, M. U. Khalid, M. W. And Kayani, A. S. (2016). </w:t>
      </w:r>
      <w:r w:rsidRPr="00F720A0">
        <w:rPr>
          <w:rFonts w:asciiTheme="minorHAnsi" w:hAnsiTheme="minorHAnsi" w:cstheme="minorHAnsi"/>
          <w:i/>
          <w:iCs/>
          <w:noProof/>
          <w:sz w:val="20"/>
          <w:szCs w:val="20"/>
        </w:rPr>
        <w:t xml:space="preserve">Evaluating The Dilemma </w:t>
      </w:r>
      <w:r w:rsidR="00E51D68" w:rsidRPr="00F720A0">
        <w:rPr>
          <w:rFonts w:asciiTheme="minorHAnsi" w:hAnsiTheme="minorHAnsi" w:cstheme="minorHAnsi"/>
          <w:i/>
          <w:iCs/>
          <w:noProof/>
          <w:sz w:val="20"/>
          <w:szCs w:val="20"/>
          <w:lang w:val="id-ID"/>
        </w:rPr>
        <w:t>o</w:t>
      </w:r>
      <w:r w:rsidRPr="00F720A0">
        <w:rPr>
          <w:rFonts w:asciiTheme="minorHAnsi" w:hAnsiTheme="minorHAnsi" w:cstheme="minorHAnsi"/>
          <w:i/>
          <w:iCs/>
          <w:noProof/>
          <w:sz w:val="20"/>
          <w:szCs w:val="20"/>
        </w:rPr>
        <w:t>f Inflation, Poverty And Unemployment</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5</w:t>
      </w:r>
      <w:r w:rsidRPr="00F720A0">
        <w:rPr>
          <w:rFonts w:asciiTheme="minorHAnsi" w:hAnsiTheme="minorHAnsi" w:cstheme="minorHAnsi"/>
          <w:noProof/>
          <w:sz w:val="20"/>
          <w:szCs w:val="20"/>
        </w:rPr>
        <w:t>, 67–82.</w:t>
      </w:r>
    </w:p>
    <w:p w14:paraId="4858579F" w14:textId="62DCAC61"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Huchet-Bourdon, M., Le Mouël, C., &amp; Vijil, M. (2018). The Relationship Between Trade Openness </w:t>
      </w:r>
      <w:r w:rsidR="00E51D68"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Economic Growth: Some New Insights </w:t>
      </w:r>
      <w:r w:rsidR="00E51D68"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n The Openness Measurement Issue. </w:t>
      </w:r>
      <w:r w:rsidRPr="00F720A0">
        <w:rPr>
          <w:rFonts w:asciiTheme="minorHAnsi" w:hAnsiTheme="minorHAnsi" w:cstheme="minorHAnsi"/>
          <w:i/>
          <w:iCs/>
          <w:noProof/>
          <w:sz w:val="20"/>
          <w:szCs w:val="20"/>
        </w:rPr>
        <w:t>World Economy</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41</w:t>
      </w:r>
      <w:r w:rsidRPr="00F720A0">
        <w:rPr>
          <w:rFonts w:asciiTheme="minorHAnsi" w:hAnsiTheme="minorHAnsi" w:cstheme="minorHAnsi"/>
          <w:noProof/>
          <w:sz w:val="20"/>
          <w:szCs w:val="20"/>
        </w:rPr>
        <w:t>(1), 59–76. Https://Doi.Org/10.1111/Twec.12586</w:t>
      </w:r>
    </w:p>
    <w:p w14:paraId="00265A96" w14:textId="64261CF8"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Intisar, R. A., Yaseen, M. R., Kousar, R., Usman, M., &amp; Amjad Makhdum, M. S. (2020). Impact </w:t>
      </w:r>
      <w:r w:rsidR="00E51D68"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Trade Openness </w:t>
      </w:r>
      <w:r w:rsidR="00E51D68"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Human Capital </w:t>
      </w:r>
      <w:r w:rsidR="00E51D68"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n Economic Growth: A Comparative Investigation </w:t>
      </w:r>
      <w:r w:rsidR="00E51D68"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Asian Countries. </w:t>
      </w:r>
      <w:r w:rsidRPr="00F720A0">
        <w:rPr>
          <w:rFonts w:asciiTheme="minorHAnsi" w:hAnsiTheme="minorHAnsi" w:cstheme="minorHAnsi"/>
          <w:i/>
          <w:iCs/>
          <w:noProof/>
          <w:sz w:val="20"/>
          <w:szCs w:val="20"/>
        </w:rPr>
        <w:t>Sustainability (Switzerland)</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12</w:t>
      </w:r>
      <w:r w:rsidRPr="00F720A0">
        <w:rPr>
          <w:rFonts w:asciiTheme="minorHAnsi" w:hAnsiTheme="minorHAnsi" w:cstheme="minorHAnsi"/>
          <w:noProof/>
          <w:sz w:val="20"/>
          <w:szCs w:val="20"/>
        </w:rPr>
        <w:t>(7). Https://Doi.Org/10.3390/Su12072930</w:t>
      </w:r>
    </w:p>
    <w:p w14:paraId="5A6DEE94" w14:textId="634329B6"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Islam, M. S. (2022). Impact </w:t>
      </w:r>
      <w:r w:rsidR="00E51D68"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Socioeconomic Development </w:t>
      </w:r>
      <w:r w:rsidR="00E51D68"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n Inflation </w:t>
      </w:r>
      <w:r w:rsidR="00E51D68"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South Asia: Evidence From Panel Cointegration Analysis. </w:t>
      </w:r>
      <w:r w:rsidRPr="00F720A0">
        <w:rPr>
          <w:rFonts w:asciiTheme="minorHAnsi" w:hAnsiTheme="minorHAnsi" w:cstheme="minorHAnsi"/>
          <w:i/>
          <w:iCs/>
          <w:noProof/>
          <w:sz w:val="20"/>
          <w:szCs w:val="20"/>
        </w:rPr>
        <w:t>Applied Economic Analysis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30</w:t>
      </w:r>
      <w:r w:rsidRPr="00F720A0">
        <w:rPr>
          <w:rFonts w:asciiTheme="minorHAnsi" w:hAnsiTheme="minorHAnsi" w:cstheme="minorHAnsi"/>
          <w:noProof/>
          <w:sz w:val="20"/>
          <w:szCs w:val="20"/>
        </w:rPr>
        <w:t>(88), 38–51. Https://Doi.Org/10.1108/AEA-07-2020-0088</w:t>
      </w:r>
    </w:p>
    <w:p w14:paraId="4666858C" w14:textId="5D630232"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Keho, Y. (2017). The Impact </w:t>
      </w:r>
      <w:r w:rsidR="00E51D68"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Trade Openness </w:t>
      </w:r>
      <w:r w:rsidR="00E51D68"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n Economic Growth: The Case </w:t>
      </w:r>
      <w:r w:rsidR="00E51D68"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Cote d’Ivoire. </w:t>
      </w:r>
      <w:r w:rsidRPr="00F720A0">
        <w:rPr>
          <w:rFonts w:asciiTheme="minorHAnsi" w:hAnsiTheme="minorHAnsi" w:cstheme="minorHAnsi"/>
          <w:i/>
          <w:iCs/>
          <w:noProof/>
          <w:sz w:val="20"/>
          <w:szCs w:val="20"/>
        </w:rPr>
        <w:t>Cogent Economics And Finance</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5</w:t>
      </w:r>
      <w:r w:rsidRPr="00F720A0">
        <w:rPr>
          <w:rFonts w:asciiTheme="minorHAnsi" w:hAnsiTheme="minorHAnsi" w:cstheme="minorHAnsi"/>
          <w:noProof/>
          <w:sz w:val="20"/>
          <w:szCs w:val="20"/>
        </w:rPr>
        <w:t>(1), 1–14. Https://Doi.Org/10.1080/23322039.2017.1332820</w:t>
      </w:r>
    </w:p>
    <w:p w14:paraId="2FFD5A27" w14:textId="09182938"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Manuel, A., &amp; Bover Olympia. (1995). Another Look At The Instrumental Variable Estimation Of Error-Components Models. </w:t>
      </w:r>
      <w:r w:rsidRPr="00F720A0">
        <w:rPr>
          <w:rFonts w:asciiTheme="minorHAnsi" w:hAnsiTheme="minorHAnsi" w:cstheme="minorHAnsi"/>
          <w:i/>
          <w:iCs/>
          <w:noProof/>
          <w:sz w:val="20"/>
          <w:szCs w:val="20"/>
        </w:rPr>
        <w:t>Journal Of Econometrics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68</w:t>
      </w:r>
      <w:r w:rsidRPr="00F720A0">
        <w:rPr>
          <w:rFonts w:asciiTheme="minorHAnsi" w:hAnsiTheme="minorHAnsi" w:cstheme="minorHAnsi"/>
          <w:noProof/>
          <w:sz w:val="20"/>
          <w:szCs w:val="20"/>
        </w:rPr>
        <w:t>(1), 29–51.</w:t>
      </w:r>
    </w:p>
    <w:p w14:paraId="25786821" w14:textId="1351B536"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lastRenderedPageBreak/>
        <w:t xml:space="preserve">Mazhar, U., &amp; Jafri, J. (2017). </w:t>
      </w:r>
      <w:r w:rsidRPr="00F720A0">
        <w:rPr>
          <w:rFonts w:asciiTheme="minorHAnsi" w:hAnsiTheme="minorHAnsi" w:cstheme="minorHAnsi"/>
          <w:i/>
          <w:iCs/>
          <w:noProof/>
          <w:sz w:val="20"/>
          <w:szCs w:val="20"/>
        </w:rPr>
        <w:t>Applied Economics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0326</w:t>
      </w:r>
      <w:r w:rsidRPr="00F720A0">
        <w:rPr>
          <w:rFonts w:asciiTheme="minorHAnsi" w:hAnsiTheme="minorHAnsi" w:cstheme="minorHAnsi"/>
          <w:noProof/>
          <w:sz w:val="20"/>
          <w:szCs w:val="20"/>
        </w:rPr>
        <w:t>(November). Https://Doi.Org/10.1016/S1514-0326(17)30018-1</w:t>
      </w:r>
    </w:p>
    <w:p w14:paraId="173F8B4A" w14:textId="79C5A9D2"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Mbang, O. M. (2022). </w:t>
      </w:r>
      <w:r w:rsidRPr="00F720A0">
        <w:rPr>
          <w:rFonts w:asciiTheme="minorHAnsi" w:hAnsiTheme="minorHAnsi" w:cstheme="minorHAnsi"/>
          <w:i/>
          <w:iCs/>
          <w:noProof/>
          <w:sz w:val="20"/>
          <w:szCs w:val="20"/>
        </w:rPr>
        <w:t xml:space="preserve">Foreign Direct Investment </w:t>
      </w:r>
      <w:r w:rsidR="00E51D68" w:rsidRPr="00F720A0">
        <w:rPr>
          <w:rFonts w:asciiTheme="minorHAnsi" w:hAnsiTheme="minorHAnsi" w:cstheme="minorHAnsi"/>
          <w:i/>
          <w:iCs/>
          <w:noProof/>
          <w:sz w:val="20"/>
          <w:szCs w:val="20"/>
          <w:lang w:val="id-ID"/>
        </w:rPr>
        <w:t>a</w:t>
      </w:r>
      <w:r w:rsidRPr="00F720A0">
        <w:rPr>
          <w:rFonts w:asciiTheme="minorHAnsi" w:hAnsiTheme="minorHAnsi" w:cstheme="minorHAnsi"/>
          <w:i/>
          <w:iCs/>
          <w:noProof/>
          <w:sz w:val="20"/>
          <w:szCs w:val="20"/>
        </w:rPr>
        <w:t xml:space="preserve">nd Human Development </w:t>
      </w:r>
      <w:r w:rsidR="00E51D68" w:rsidRPr="00F720A0">
        <w:rPr>
          <w:rFonts w:asciiTheme="minorHAnsi" w:hAnsiTheme="minorHAnsi" w:cstheme="minorHAnsi"/>
          <w:i/>
          <w:iCs/>
          <w:noProof/>
          <w:sz w:val="20"/>
          <w:szCs w:val="20"/>
          <w:lang w:val="id-ID"/>
        </w:rPr>
        <w:t>i</w:t>
      </w:r>
      <w:r w:rsidRPr="00F720A0">
        <w:rPr>
          <w:rFonts w:asciiTheme="minorHAnsi" w:hAnsiTheme="minorHAnsi" w:cstheme="minorHAnsi"/>
          <w:i/>
          <w:iCs/>
          <w:noProof/>
          <w:sz w:val="20"/>
          <w:szCs w:val="20"/>
        </w:rPr>
        <w:t>n Cameroon</w:t>
      </w:r>
      <w:r w:rsidRPr="00F720A0">
        <w:rPr>
          <w:rFonts w:asciiTheme="minorHAnsi" w:hAnsiTheme="minorHAnsi" w:cstheme="minorHAnsi"/>
          <w:noProof/>
          <w:sz w:val="20"/>
          <w:szCs w:val="20"/>
        </w:rPr>
        <w:t>. 58–72. Https://Doi.Org/10.4236/Ajibm.2022.121005</w:t>
      </w:r>
    </w:p>
    <w:p w14:paraId="7BCF4C6D" w14:textId="395656CA"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Muharromy, N. S. El, &amp; Auwalin, I. (2021). The Effect </w:t>
      </w:r>
      <w:r w:rsidR="004053D6"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Population Growth </w:t>
      </w:r>
      <w:r w:rsidR="004053D6"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Trade Openness </w:t>
      </w:r>
      <w:r w:rsidR="004053D6"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n Economic Growth </w:t>
      </w:r>
      <w:r w:rsidR="004053D6"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w:t>
      </w:r>
      <w:r w:rsidR="004053D6" w:rsidRPr="00F720A0">
        <w:rPr>
          <w:rFonts w:asciiTheme="minorHAnsi" w:hAnsiTheme="minorHAnsi" w:cstheme="minorHAnsi"/>
          <w:noProof/>
          <w:sz w:val="20"/>
          <w:szCs w:val="20"/>
          <w:lang w:val="id-ID"/>
        </w:rPr>
        <w:t>t</w:t>
      </w:r>
      <w:r w:rsidRPr="00F720A0">
        <w:rPr>
          <w:rFonts w:asciiTheme="minorHAnsi" w:hAnsiTheme="minorHAnsi" w:cstheme="minorHAnsi"/>
          <w:noProof/>
          <w:sz w:val="20"/>
          <w:szCs w:val="20"/>
        </w:rPr>
        <w:t xml:space="preserve">he </w:t>
      </w:r>
      <w:r w:rsidR="004053D6" w:rsidRPr="00F720A0">
        <w:rPr>
          <w:rFonts w:asciiTheme="minorHAnsi" w:hAnsiTheme="minorHAnsi" w:cstheme="minorHAnsi"/>
          <w:noProof/>
          <w:sz w:val="20"/>
          <w:szCs w:val="20"/>
          <w:lang w:val="id-ID"/>
        </w:rPr>
        <w:t>OIC</w:t>
      </w:r>
      <w:r w:rsidRPr="00F720A0">
        <w:rPr>
          <w:rFonts w:asciiTheme="minorHAnsi" w:hAnsiTheme="minorHAnsi" w:cstheme="minorHAnsi"/>
          <w:noProof/>
          <w:sz w:val="20"/>
          <w:szCs w:val="20"/>
        </w:rPr>
        <w:t xml:space="preserve"> Countries. </w:t>
      </w:r>
      <w:r w:rsidRPr="00F720A0">
        <w:rPr>
          <w:rFonts w:asciiTheme="minorHAnsi" w:hAnsiTheme="minorHAnsi" w:cstheme="minorHAnsi"/>
          <w:i/>
          <w:iCs/>
          <w:noProof/>
          <w:sz w:val="20"/>
          <w:szCs w:val="20"/>
        </w:rPr>
        <w:t xml:space="preserve">Jurnal Ekonomi Syariah Teori </w:t>
      </w:r>
      <w:r w:rsidR="00C37DFF" w:rsidRPr="00F720A0">
        <w:rPr>
          <w:rFonts w:asciiTheme="minorHAnsi" w:hAnsiTheme="minorHAnsi" w:cstheme="minorHAnsi"/>
          <w:i/>
          <w:iCs/>
          <w:noProof/>
          <w:sz w:val="20"/>
          <w:szCs w:val="20"/>
          <w:lang w:val="id-ID"/>
        </w:rPr>
        <w:t>d</w:t>
      </w:r>
      <w:r w:rsidRPr="00F720A0">
        <w:rPr>
          <w:rFonts w:asciiTheme="minorHAnsi" w:hAnsiTheme="minorHAnsi" w:cstheme="minorHAnsi"/>
          <w:i/>
          <w:iCs/>
          <w:noProof/>
          <w:sz w:val="20"/>
          <w:szCs w:val="20"/>
        </w:rPr>
        <w:t>an Terapan</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8</w:t>
      </w:r>
      <w:r w:rsidRPr="00F720A0">
        <w:rPr>
          <w:rFonts w:asciiTheme="minorHAnsi" w:hAnsiTheme="minorHAnsi" w:cstheme="minorHAnsi"/>
          <w:noProof/>
          <w:sz w:val="20"/>
          <w:szCs w:val="20"/>
        </w:rPr>
        <w:t>(5), 537. Https://Doi.Org/10.20473/Vol8iss20215pp537-547</w:t>
      </w:r>
    </w:p>
    <w:p w14:paraId="5AB3FACA" w14:textId="3FCECAF1"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Nabilah, D., &amp; Setiawan. (2016). Menggunakan Data Panel Dinamis </w:t>
      </w:r>
      <w:r w:rsidR="00C37DFF" w:rsidRPr="00F720A0">
        <w:rPr>
          <w:rFonts w:asciiTheme="minorHAnsi" w:hAnsiTheme="minorHAnsi" w:cstheme="minorHAnsi"/>
          <w:noProof/>
          <w:sz w:val="20"/>
          <w:szCs w:val="20"/>
          <w:lang w:val="id-ID"/>
        </w:rPr>
        <w:t>d</w:t>
      </w:r>
      <w:r w:rsidRPr="00F720A0">
        <w:rPr>
          <w:rFonts w:asciiTheme="minorHAnsi" w:hAnsiTheme="minorHAnsi" w:cstheme="minorHAnsi"/>
          <w:noProof/>
          <w:sz w:val="20"/>
          <w:szCs w:val="20"/>
        </w:rPr>
        <w:t xml:space="preserve">engan Pendekatan Generalized Method Of Moment Arellano-Bond. </w:t>
      </w:r>
      <w:r w:rsidRPr="00F720A0">
        <w:rPr>
          <w:rFonts w:asciiTheme="minorHAnsi" w:hAnsiTheme="minorHAnsi" w:cstheme="minorHAnsi"/>
          <w:i/>
          <w:iCs/>
          <w:noProof/>
          <w:sz w:val="20"/>
          <w:szCs w:val="20"/>
        </w:rPr>
        <w:t>Jurnal Sains Dan Seni ITS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5</w:t>
      </w:r>
      <w:r w:rsidRPr="00F720A0">
        <w:rPr>
          <w:rFonts w:asciiTheme="minorHAnsi" w:hAnsiTheme="minorHAnsi" w:cstheme="minorHAnsi"/>
          <w:noProof/>
          <w:sz w:val="20"/>
          <w:szCs w:val="20"/>
        </w:rPr>
        <w:t>(2), 205–210. Http://Ejurnal.Its.Ac.Id/Index.Php/Sains_Seni/Article/Viewfile/16545/3045</w:t>
      </w:r>
    </w:p>
    <w:p w14:paraId="45A907B3" w14:textId="49540B67"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Ningrum, J. W., Khairunnisa, A. H., &amp; Huda, N. (2020). Pengaruh Kemiskinan , Tingkat Pengangguran , Pertumbuhan Ekonomi </w:t>
      </w:r>
      <w:r w:rsidR="00C37DFF" w:rsidRPr="00F720A0">
        <w:rPr>
          <w:rFonts w:asciiTheme="minorHAnsi" w:hAnsiTheme="minorHAnsi" w:cstheme="minorHAnsi"/>
          <w:noProof/>
          <w:sz w:val="20"/>
          <w:szCs w:val="20"/>
          <w:lang w:val="id-ID"/>
        </w:rPr>
        <w:t>d</w:t>
      </w:r>
      <w:r w:rsidRPr="00F720A0">
        <w:rPr>
          <w:rFonts w:asciiTheme="minorHAnsi" w:hAnsiTheme="minorHAnsi" w:cstheme="minorHAnsi"/>
          <w:noProof/>
          <w:sz w:val="20"/>
          <w:szCs w:val="20"/>
        </w:rPr>
        <w:t xml:space="preserve">an Pengeluaran Pemerintah Terhadap Indeks Pembangunan Manusia ( IPM ) Di Indonesia Tahun 2014-2018 Dalam Perspektif Islam. </w:t>
      </w:r>
      <w:r w:rsidRPr="00F720A0">
        <w:rPr>
          <w:rFonts w:asciiTheme="minorHAnsi" w:hAnsiTheme="minorHAnsi" w:cstheme="minorHAnsi"/>
          <w:i/>
          <w:iCs/>
          <w:noProof/>
          <w:sz w:val="20"/>
          <w:szCs w:val="20"/>
        </w:rPr>
        <w:t>Jurnal Ilmiah Ekonomi Islam</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6</w:t>
      </w:r>
      <w:r w:rsidRPr="00F720A0">
        <w:rPr>
          <w:rFonts w:asciiTheme="minorHAnsi" w:hAnsiTheme="minorHAnsi" w:cstheme="minorHAnsi"/>
          <w:noProof/>
          <w:sz w:val="20"/>
          <w:szCs w:val="20"/>
        </w:rPr>
        <w:t>(02), 212–222.</w:t>
      </w:r>
    </w:p>
    <w:p w14:paraId="00994296" w14:textId="28D1485B"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Novignon, J., Atakorah, Y. B., &amp; Djossou, G. N. (2018). How Does The Health Sector Benefit </w:t>
      </w:r>
      <w:r w:rsidR="00C37DFF" w:rsidRPr="00F720A0">
        <w:rPr>
          <w:rFonts w:asciiTheme="minorHAnsi" w:hAnsiTheme="minorHAnsi" w:cstheme="minorHAnsi"/>
          <w:noProof/>
          <w:sz w:val="20"/>
          <w:szCs w:val="20"/>
          <w:lang w:val="id-ID"/>
        </w:rPr>
        <w:t>f</w:t>
      </w:r>
      <w:r w:rsidRPr="00F720A0">
        <w:rPr>
          <w:rFonts w:asciiTheme="minorHAnsi" w:hAnsiTheme="minorHAnsi" w:cstheme="minorHAnsi"/>
          <w:noProof/>
          <w:sz w:val="20"/>
          <w:szCs w:val="20"/>
        </w:rPr>
        <w:t xml:space="preserve">rom Trade Openness? Evidence </w:t>
      </w:r>
      <w:r w:rsidR="00C37DFF" w:rsidRPr="00F720A0">
        <w:rPr>
          <w:rFonts w:asciiTheme="minorHAnsi" w:hAnsiTheme="minorHAnsi" w:cstheme="minorHAnsi"/>
          <w:noProof/>
          <w:sz w:val="20"/>
          <w:szCs w:val="20"/>
          <w:lang w:val="id-ID"/>
        </w:rPr>
        <w:t>f</w:t>
      </w:r>
      <w:r w:rsidRPr="00F720A0">
        <w:rPr>
          <w:rFonts w:asciiTheme="minorHAnsi" w:hAnsiTheme="minorHAnsi" w:cstheme="minorHAnsi"/>
          <w:noProof/>
          <w:sz w:val="20"/>
          <w:szCs w:val="20"/>
        </w:rPr>
        <w:t xml:space="preserve">rom Sub-Saharan Africa. </w:t>
      </w:r>
      <w:r w:rsidRPr="00F720A0">
        <w:rPr>
          <w:rFonts w:asciiTheme="minorHAnsi" w:hAnsiTheme="minorHAnsi" w:cstheme="minorHAnsi"/>
          <w:i/>
          <w:iCs/>
          <w:noProof/>
          <w:sz w:val="20"/>
          <w:szCs w:val="20"/>
        </w:rPr>
        <w:t>African Development Review</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30</w:t>
      </w:r>
      <w:r w:rsidRPr="00F720A0">
        <w:rPr>
          <w:rFonts w:asciiTheme="minorHAnsi" w:hAnsiTheme="minorHAnsi" w:cstheme="minorHAnsi"/>
          <w:noProof/>
          <w:sz w:val="20"/>
          <w:szCs w:val="20"/>
        </w:rPr>
        <w:t>(2), 135–148. Https://Doi.Org/10.1111/1467-8268.12319</w:t>
      </w:r>
    </w:p>
    <w:p w14:paraId="129C1ED4" w14:textId="0C82F9B4"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OIC Outlook, O. (2021). </w:t>
      </w:r>
      <w:r w:rsidRPr="00F720A0">
        <w:rPr>
          <w:rFonts w:asciiTheme="minorHAnsi" w:hAnsiTheme="minorHAnsi" w:cstheme="minorHAnsi"/>
          <w:i/>
          <w:iCs/>
          <w:noProof/>
          <w:sz w:val="20"/>
          <w:szCs w:val="20"/>
        </w:rPr>
        <w:t>OIC Economic Outlook</w:t>
      </w:r>
      <w:r w:rsidRPr="00F720A0">
        <w:rPr>
          <w:rFonts w:asciiTheme="minorHAnsi" w:hAnsiTheme="minorHAnsi" w:cstheme="minorHAnsi"/>
          <w:noProof/>
          <w:sz w:val="20"/>
          <w:szCs w:val="20"/>
        </w:rPr>
        <w:t>.</w:t>
      </w:r>
    </w:p>
    <w:p w14:paraId="0A57768C" w14:textId="4B88765E"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Okwu, A. T., Oseni, I. O., &amp; Obiakor, R. T. (2020). Does Foreign Direct Investment Enhance Economic Growth? Evidence From 30 Leading Global Economies. </w:t>
      </w:r>
      <w:r w:rsidRPr="00F720A0">
        <w:rPr>
          <w:rFonts w:asciiTheme="minorHAnsi" w:hAnsiTheme="minorHAnsi" w:cstheme="minorHAnsi"/>
          <w:i/>
          <w:iCs/>
          <w:noProof/>
          <w:sz w:val="20"/>
          <w:szCs w:val="20"/>
        </w:rPr>
        <w:t>Global Journal Of Emerging Market Economies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12</w:t>
      </w:r>
      <w:r w:rsidRPr="00F720A0">
        <w:rPr>
          <w:rFonts w:asciiTheme="minorHAnsi" w:hAnsiTheme="minorHAnsi" w:cstheme="minorHAnsi"/>
          <w:noProof/>
          <w:sz w:val="20"/>
          <w:szCs w:val="20"/>
        </w:rPr>
        <w:t>(2), 217–230. Https://Doi.Org/10.1177/0974910120919042</w:t>
      </w:r>
    </w:p>
    <w:p w14:paraId="586B9B6F" w14:textId="73072607"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Pangesti, I., &amp; Susanto, ; Rudy. (2018). </w:t>
      </w:r>
      <w:r w:rsidR="0026602A" w:rsidRPr="00F720A0">
        <w:rPr>
          <w:rFonts w:asciiTheme="minorHAnsi" w:hAnsiTheme="minorHAnsi" w:cstheme="minorHAnsi"/>
          <w:noProof/>
          <w:sz w:val="20"/>
          <w:szCs w:val="20"/>
        </w:rPr>
        <w:t xml:space="preserve">Pengaruh Inflasi Terhadap Indeks Pembangunan Manusia (Ipm) </w:t>
      </w:r>
      <w:r w:rsidR="0026602A" w:rsidRPr="00F720A0">
        <w:rPr>
          <w:rFonts w:asciiTheme="minorHAnsi" w:hAnsiTheme="minorHAnsi" w:cstheme="minorHAnsi"/>
          <w:noProof/>
          <w:sz w:val="20"/>
          <w:szCs w:val="20"/>
          <w:lang w:val="id-ID"/>
        </w:rPr>
        <w:t>d</w:t>
      </w:r>
      <w:r w:rsidR="0026602A" w:rsidRPr="00F720A0">
        <w:rPr>
          <w:rFonts w:asciiTheme="minorHAnsi" w:hAnsiTheme="minorHAnsi" w:cstheme="minorHAnsi"/>
          <w:noProof/>
          <w:sz w:val="20"/>
          <w:szCs w:val="20"/>
        </w:rPr>
        <w:t>i Indonesia</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Journal Of Applied Business And Economics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5</w:t>
      </w:r>
      <w:r w:rsidRPr="00F720A0">
        <w:rPr>
          <w:rFonts w:asciiTheme="minorHAnsi" w:hAnsiTheme="minorHAnsi" w:cstheme="minorHAnsi"/>
          <w:noProof/>
          <w:sz w:val="20"/>
          <w:szCs w:val="20"/>
        </w:rPr>
        <w:t>(1), 70–81.</w:t>
      </w:r>
    </w:p>
    <w:p w14:paraId="3336C6DB" w14:textId="2F39FBC7"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Roncaglia De Carvalho, A., Ribeiro, R. S. M., &amp; Marques, A. M. (2018). Economic Development </w:t>
      </w:r>
      <w:r w:rsidR="0026602A"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Inflation: A Theoretical And Empirical Analysis. </w:t>
      </w:r>
      <w:r w:rsidRPr="00F720A0">
        <w:rPr>
          <w:rFonts w:asciiTheme="minorHAnsi" w:hAnsiTheme="minorHAnsi" w:cstheme="minorHAnsi"/>
          <w:i/>
          <w:iCs/>
          <w:noProof/>
          <w:sz w:val="20"/>
          <w:szCs w:val="20"/>
        </w:rPr>
        <w:t>International Review Of Applied Economics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32</w:t>
      </w:r>
      <w:r w:rsidRPr="00F720A0">
        <w:rPr>
          <w:rFonts w:asciiTheme="minorHAnsi" w:hAnsiTheme="minorHAnsi" w:cstheme="minorHAnsi"/>
          <w:noProof/>
          <w:sz w:val="20"/>
          <w:szCs w:val="20"/>
        </w:rPr>
        <w:t>(4), 546–565. Https://Doi.Org/10.1080/02692171.2017.1351531</w:t>
      </w:r>
    </w:p>
    <w:p w14:paraId="57779354" w14:textId="037217E1"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Runtunuwu, P. C. H. (2020). Analysis Of Macroeconomic Indicators And It’s Effect On Human Development Index (HDI). </w:t>
      </w:r>
      <w:r w:rsidRPr="00F720A0">
        <w:rPr>
          <w:rFonts w:asciiTheme="minorHAnsi" w:hAnsiTheme="minorHAnsi" w:cstheme="minorHAnsi"/>
          <w:i/>
          <w:iCs/>
          <w:noProof/>
          <w:sz w:val="20"/>
          <w:szCs w:val="20"/>
        </w:rPr>
        <w:t>Society</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8</w:t>
      </w:r>
      <w:r w:rsidRPr="00F720A0">
        <w:rPr>
          <w:rFonts w:asciiTheme="minorHAnsi" w:hAnsiTheme="minorHAnsi" w:cstheme="minorHAnsi"/>
          <w:noProof/>
          <w:sz w:val="20"/>
          <w:szCs w:val="20"/>
        </w:rPr>
        <w:t>(2), 596–610. Https://Doi.Org/10.33019/Society.V8i2.246</w:t>
      </w:r>
    </w:p>
    <w:p w14:paraId="215BDA34" w14:textId="15C02D89"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Sabir, S., &amp; Khan, A. (2018). Impact Of Political Stability And Human Capital On Foreign Direct Investment In East Asia &amp; Pacific And South Asian Countries. </w:t>
      </w:r>
      <w:r w:rsidRPr="00F720A0">
        <w:rPr>
          <w:rFonts w:asciiTheme="minorHAnsi" w:hAnsiTheme="minorHAnsi" w:cstheme="minorHAnsi"/>
          <w:i/>
          <w:iCs/>
          <w:noProof/>
          <w:sz w:val="20"/>
          <w:szCs w:val="20"/>
        </w:rPr>
        <w:t>Asian Journal Of Economic Modelling</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6</w:t>
      </w:r>
      <w:r w:rsidRPr="00F720A0">
        <w:rPr>
          <w:rFonts w:asciiTheme="minorHAnsi" w:hAnsiTheme="minorHAnsi" w:cstheme="minorHAnsi"/>
          <w:noProof/>
          <w:sz w:val="20"/>
          <w:szCs w:val="20"/>
        </w:rPr>
        <w:t>(3), 245–256. Https://Doi.Org/10.18488/Journal.8.2018.63.245.256</w:t>
      </w:r>
    </w:p>
    <w:p w14:paraId="5BCECAD1" w14:textId="11A912AC"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Samarasinghe, T. (2018). Impact Of Governance On Economic Growth. </w:t>
      </w:r>
      <w:r w:rsidRPr="00F720A0">
        <w:rPr>
          <w:rFonts w:asciiTheme="minorHAnsi" w:hAnsiTheme="minorHAnsi" w:cstheme="minorHAnsi"/>
          <w:i/>
          <w:iCs/>
          <w:noProof/>
          <w:sz w:val="20"/>
          <w:szCs w:val="20"/>
        </w:rPr>
        <w:t>Munich Personal Repec Archive</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8</w:t>
      </w:r>
      <w:r w:rsidRPr="00F720A0">
        <w:rPr>
          <w:rFonts w:asciiTheme="minorHAnsi" w:hAnsiTheme="minorHAnsi" w:cstheme="minorHAnsi"/>
          <w:noProof/>
          <w:sz w:val="20"/>
          <w:szCs w:val="20"/>
        </w:rPr>
        <w:t>(89834), 1–50.</w:t>
      </w:r>
    </w:p>
    <w:p w14:paraId="27478A2C" w14:textId="1F78AAEA"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Sayifullah, &amp; Gandasari, T. R. (2016). Pengaruh Indeks Pembangunan Manusia Dan Pengangguran Terhadap Kemiskinan Di Provinsi Banten. </w:t>
      </w:r>
      <w:r w:rsidRPr="00F720A0">
        <w:rPr>
          <w:rFonts w:asciiTheme="minorHAnsi" w:hAnsiTheme="minorHAnsi" w:cstheme="minorHAnsi"/>
          <w:i/>
          <w:iCs/>
          <w:noProof/>
          <w:sz w:val="20"/>
          <w:szCs w:val="20"/>
        </w:rPr>
        <w:t>Jurnal Ekonomi-Qu</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6</w:t>
      </w:r>
      <w:r w:rsidRPr="00F720A0">
        <w:rPr>
          <w:rFonts w:asciiTheme="minorHAnsi" w:hAnsiTheme="minorHAnsi" w:cstheme="minorHAnsi"/>
          <w:noProof/>
          <w:sz w:val="20"/>
          <w:szCs w:val="20"/>
        </w:rPr>
        <w:t>(2), 236–255. Https://Doi.Org/10.35448/Jequ.V6i2.4345</w:t>
      </w:r>
    </w:p>
    <w:p w14:paraId="7E8C7014" w14:textId="6084DA60"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Sen, A. (1999). Development As Freedom. </w:t>
      </w:r>
      <w:r w:rsidRPr="00F720A0">
        <w:rPr>
          <w:rFonts w:asciiTheme="minorHAnsi" w:hAnsiTheme="minorHAnsi" w:cstheme="minorHAnsi"/>
          <w:i/>
          <w:iCs/>
          <w:noProof/>
          <w:sz w:val="20"/>
          <w:szCs w:val="20"/>
        </w:rPr>
        <w:t>Oxford: Oxford University Press</w:t>
      </w:r>
      <w:r w:rsidRPr="00F720A0">
        <w:rPr>
          <w:rFonts w:asciiTheme="minorHAnsi" w:hAnsiTheme="minorHAnsi" w:cstheme="minorHAnsi"/>
          <w:noProof/>
          <w:sz w:val="20"/>
          <w:szCs w:val="20"/>
        </w:rPr>
        <w:t>.</w:t>
      </w:r>
    </w:p>
    <w:p w14:paraId="6CB4B503" w14:textId="54796943"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Shah, S. (2016). Determinants </w:t>
      </w:r>
      <w:r w:rsidR="0026602A"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Human Development Index: A Cross-Country Empirical Analysis. </w:t>
      </w:r>
      <w:r w:rsidRPr="00F720A0">
        <w:rPr>
          <w:rFonts w:asciiTheme="minorHAnsi" w:hAnsiTheme="minorHAnsi" w:cstheme="minorHAnsi"/>
          <w:i/>
          <w:iCs/>
          <w:noProof/>
          <w:sz w:val="20"/>
          <w:szCs w:val="20"/>
        </w:rPr>
        <w:t xml:space="preserve">International Journal </w:t>
      </w:r>
      <w:r w:rsidR="0026602A" w:rsidRPr="00F720A0">
        <w:rPr>
          <w:rFonts w:asciiTheme="minorHAnsi" w:hAnsiTheme="minorHAnsi" w:cstheme="minorHAnsi"/>
          <w:i/>
          <w:iCs/>
          <w:noProof/>
          <w:sz w:val="20"/>
          <w:szCs w:val="20"/>
          <w:lang w:val="id-ID"/>
        </w:rPr>
        <w:t>o</w:t>
      </w:r>
      <w:r w:rsidRPr="00F720A0">
        <w:rPr>
          <w:rFonts w:asciiTheme="minorHAnsi" w:hAnsiTheme="minorHAnsi" w:cstheme="minorHAnsi"/>
          <w:i/>
          <w:iCs/>
          <w:noProof/>
          <w:sz w:val="20"/>
          <w:szCs w:val="20"/>
        </w:rPr>
        <w:t>f Economics And Management Studies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3</w:t>
      </w:r>
      <w:r w:rsidRPr="00F720A0">
        <w:rPr>
          <w:rFonts w:asciiTheme="minorHAnsi" w:hAnsiTheme="minorHAnsi" w:cstheme="minorHAnsi"/>
          <w:noProof/>
          <w:sz w:val="20"/>
          <w:szCs w:val="20"/>
        </w:rPr>
        <w:t>(5), 43–46. Https://Doi.Org/10.14445/23939125/Ijems-V3i5p106</w:t>
      </w:r>
    </w:p>
    <w:p w14:paraId="6B9116C5" w14:textId="2ACB9209"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Sofilda, E., Hermiyanti, P., &amp; Hamzah, M. Z. (2015). Determinant Variable Analysis </w:t>
      </w:r>
      <w:r w:rsidR="0026602A"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Human Development Index </w:t>
      </w:r>
      <w:r w:rsidR="0026602A"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Indonesia (Case For High </w:t>
      </w:r>
      <w:r w:rsidR="0026602A"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Low Index </w:t>
      </w:r>
      <w:r w:rsidR="0026602A"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t Period 2004-2013). </w:t>
      </w:r>
      <w:r w:rsidRPr="00F720A0">
        <w:rPr>
          <w:rFonts w:asciiTheme="minorHAnsi" w:hAnsiTheme="minorHAnsi" w:cstheme="minorHAnsi"/>
          <w:i/>
          <w:iCs/>
          <w:noProof/>
          <w:sz w:val="20"/>
          <w:szCs w:val="20"/>
        </w:rPr>
        <w:t xml:space="preserve">OIDA International Journal </w:t>
      </w:r>
      <w:r w:rsidR="0026602A" w:rsidRPr="00F720A0">
        <w:rPr>
          <w:rFonts w:asciiTheme="minorHAnsi" w:hAnsiTheme="minorHAnsi" w:cstheme="minorHAnsi"/>
          <w:i/>
          <w:iCs/>
          <w:noProof/>
          <w:sz w:val="20"/>
          <w:szCs w:val="20"/>
          <w:lang w:val="id-ID"/>
        </w:rPr>
        <w:t>o</w:t>
      </w:r>
      <w:r w:rsidRPr="00F720A0">
        <w:rPr>
          <w:rFonts w:asciiTheme="minorHAnsi" w:hAnsiTheme="minorHAnsi" w:cstheme="minorHAnsi"/>
          <w:i/>
          <w:iCs/>
          <w:noProof/>
          <w:sz w:val="20"/>
          <w:szCs w:val="20"/>
        </w:rPr>
        <w:t>f Sustainable Development</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08</w:t>
      </w:r>
      <w:r w:rsidRPr="00F720A0">
        <w:rPr>
          <w:rFonts w:asciiTheme="minorHAnsi" w:hAnsiTheme="minorHAnsi" w:cstheme="minorHAnsi"/>
          <w:noProof/>
          <w:sz w:val="20"/>
          <w:szCs w:val="20"/>
        </w:rPr>
        <w:t>(09), 11–28.</w:t>
      </w:r>
    </w:p>
    <w:p w14:paraId="382365F3" w14:textId="480111FF"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Supriani, I., &amp; Fianto, B. A. (2020). What Drives The Inflow </w:t>
      </w:r>
      <w:r w:rsidR="0026602A"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FDI </w:t>
      </w:r>
      <w:r w:rsidR="0026602A"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OIC Countries? Evidence From Top 10 Hosts </w:t>
      </w:r>
      <w:r w:rsidR="0026602A"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Inward FDI Flows. </w:t>
      </w:r>
      <w:r w:rsidRPr="00F720A0">
        <w:rPr>
          <w:rFonts w:asciiTheme="minorHAnsi" w:hAnsiTheme="minorHAnsi" w:cstheme="minorHAnsi"/>
          <w:i/>
          <w:iCs/>
          <w:noProof/>
          <w:sz w:val="20"/>
          <w:szCs w:val="20"/>
        </w:rPr>
        <w:t>Jurnal Ekonomi &amp; Keuangan Islam</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6</w:t>
      </w:r>
      <w:r w:rsidRPr="00F720A0">
        <w:rPr>
          <w:rFonts w:asciiTheme="minorHAnsi" w:hAnsiTheme="minorHAnsi" w:cstheme="minorHAnsi"/>
          <w:noProof/>
          <w:sz w:val="20"/>
          <w:szCs w:val="20"/>
        </w:rPr>
        <w:t>(2), 91–105. Https://Doi.Org/10.20885/Jeki.Vol6.Iss2.Art2</w:t>
      </w:r>
    </w:p>
    <w:p w14:paraId="410AE1C9" w14:textId="5DC22D67"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Tahir, M., &amp; Khan, I. (2014). Trade Openness </w:t>
      </w:r>
      <w:r w:rsidR="0026602A"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Economic Growth </w:t>
      </w:r>
      <w:r w:rsidR="0026602A"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The Asian Region. </w:t>
      </w:r>
      <w:r w:rsidRPr="00F720A0">
        <w:rPr>
          <w:rFonts w:asciiTheme="minorHAnsi" w:hAnsiTheme="minorHAnsi" w:cstheme="minorHAnsi"/>
          <w:i/>
          <w:iCs/>
          <w:noProof/>
          <w:sz w:val="20"/>
          <w:szCs w:val="20"/>
        </w:rPr>
        <w:t xml:space="preserve">Journal Of Chinese Economic </w:t>
      </w:r>
      <w:r w:rsidR="0026602A" w:rsidRPr="00F720A0">
        <w:rPr>
          <w:rFonts w:asciiTheme="minorHAnsi" w:hAnsiTheme="minorHAnsi" w:cstheme="minorHAnsi"/>
          <w:i/>
          <w:iCs/>
          <w:noProof/>
          <w:sz w:val="20"/>
          <w:szCs w:val="20"/>
          <w:lang w:val="id-ID"/>
        </w:rPr>
        <w:t>a</w:t>
      </w:r>
      <w:r w:rsidRPr="00F720A0">
        <w:rPr>
          <w:rFonts w:asciiTheme="minorHAnsi" w:hAnsiTheme="minorHAnsi" w:cstheme="minorHAnsi"/>
          <w:i/>
          <w:iCs/>
          <w:noProof/>
          <w:sz w:val="20"/>
          <w:szCs w:val="20"/>
        </w:rPr>
        <w:t>nd Foreign Trade Studies</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7</w:t>
      </w:r>
      <w:r w:rsidRPr="00F720A0">
        <w:rPr>
          <w:rFonts w:asciiTheme="minorHAnsi" w:hAnsiTheme="minorHAnsi" w:cstheme="minorHAnsi"/>
          <w:noProof/>
          <w:sz w:val="20"/>
          <w:szCs w:val="20"/>
        </w:rPr>
        <w:t>(3), 136–152. Https://Doi.Org/10.1108/JCEFTS-05-2014-0006</w:t>
      </w:r>
    </w:p>
    <w:p w14:paraId="5984B2EF" w14:textId="4FFB39EE"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Todaro, M., &amp; Smith, S. C. (2011). Chapter 5: Poverty, Inequality </w:t>
      </w:r>
      <w:r w:rsidR="0026602A"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nd Development</w:t>
      </w:r>
      <w:r w:rsidR="0026602A" w:rsidRPr="00F720A0">
        <w:rPr>
          <w:rFonts w:asciiTheme="minorHAnsi" w:hAnsiTheme="minorHAnsi" w:cstheme="minorHAnsi"/>
          <w:noProof/>
          <w:sz w:val="20"/>
          <w:szCs w:val="20"/>
          <w:lang w:val="id-ID"/>
        </w:rPr>
        <w:t xml:space="preserve"> i</w:t>
      </w:r>
      <w:r w:rsidRPr="00F720A0">
        <w:rPr>
          <w:rFonts w:asciiTheme="minorHAnsi" w:hAnsiTheme="minorHAnsi" w:cstheme="minorHAnsi"/>
          <w:noProof/>
          <w:sz w:val="20"/>
          <w:szCs w:val="20"/>
        </w:rPr>
        <w:t xml:space="preserve">n </w:t>
      </w:r>
      <w:r w:rsidRPr="00F720A0">
        <w:rPr>
          <w:rFonts w:asciiTheme="minorHAnsi" w:hAnsiTheme="minorHAnsi" w:cstheme="minorHAnsi"/>
          <w:i/>
          <w:iCs/>
          <w:noProof/>
          <w:sz w:val="20"/>
          <w:szCs w:val="20"/>
        </w:rPr>
        <w:t>Economic Development</w:t>
      </w:r>
      <w:r w:rsidRPr="00F720A0">
        <w:rPr>
          <w:rFonts w:asciiTheme="minorHAnsi" w:hAnsiTheme="minorHAnsi" w:cstheme="minorHAnsi"/>
          <w:noProof/>
          <w:sz w:val="20"/>
          <w:szCs w:val="20"/>
        </w:rPr>
        <w:t>.</w:t>
      </w:r>
    </w:p>
    <w:p w14:paraId="52D16FA3" w14:textId="37A6F4E1"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Uddin, M. A., Ali, M. H., &amp; Masih, M. (2017). Political Stability And Growth: An Application Of Dynamic GMM And Quantile Regression. </w:t>
      </w:r>
      <w:r w:rsidRPr="00F720A0">
        <w:rPr>
          <w:rFonts w:asciiTheme="minorHAnsi" w:hAnsiTheme="minorHAnsi" w:cstheme="minorHAnsi"/>
          <w:i/>
          <w:iCs/>
          <w:noProof/>
          <w:sz w:val="20"/>
          <w:szCs w:val="20"/>
        </w:rPr>
        <w:t>Economic Modelling</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64</w:t>
      </w:r>
      <w:r w:rsidRPr="00F720A0">
        <w:rPr>
          <w:rFonts w:asciiTheme="minorHAnsi" w:hAnsiTheme="minorHAnsi" w:cstheme="minorHAnsi"/>
          <w:noProof/>
          <w:sz w:val="20"/>
          <w:szCs w:val="20"/>
        </w:rPr>
        <w:t>(June 2016), 610–625. Https://Doi.Org/10.1016/J.Econmod.2017.04.028</w:t>
      </w:r>
    </w:p>
    <w:p w14:paraId="47B4A0DF" w14:textId="7EF50A7D"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W</w:t>
      </w:r>
      <w:r w:rsidRPr="00F720A0">
        <w:rPr>
          <w:rFonts w:asciiTheme="minorHAnsi" w:hAnsiTheme="minorHAnsi" w:cstheme="minorHAnsi"/>
          <w:noProof/>
          <w:sz w:val="20"/>
          <w:szCs w:val="20"/>
          <w:lang w:val="id-ID"/>
        </w:rPr>
        <w:t>ibowo</w:t>
      </w:r>
      <w:r w:rsidRPr="00F720A0">
        <w:rPr>
          <w:rFonts w:asciiTheme="minorHAnsi" w:hAnsiTheme="minorHAnsi" w:cstheme="minorHAnsi"/>
          <w:noProof/>
          <w:sz w:val="20"/>
          <w:szCs w:val="20"/>
        </w:rPr>
        <w:t xml:space="preserve">, M. G. (2019). Quality Of Human Development Index (Hdi) </w:t>
      </w:r>
      <w:r w:rsidR="0026602A"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Muslim Countries (Case Study Of Oic Members). </w:t>
      </w:r>
      <w:r w:rsidRPr="00F720A0">
        <w:rPr>
          <w:rFonts w:asciiTheme="minorHAnsi" w:hAnsiTheme="minorHAnsi" w:cstheme="minorHAnsi"/>
          <w:i/>
          <w:iCs/>
          <w:noProof/>
          <w:sz w:val="20"/>
          <w:szCs w:val="20"/>
        </w:rPr>
        <w:t>JEBI (Jurnal Ekonomi Dan Bisnis Islam)</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4</w:t>
      </w:r>
      <w:r w:rsidRPr="00F720A0">
        <w:rPr>
          <w:rFonts w:asciiTheme="minorHAnsi" w:hAnsiTheme="minorHAnsi" w:cstheme="minorHAnsi"/>
          <w:noProof/>
          <w:sz w:val="20"/>
          <w:szCs w:val="20"/>
        </w:rPr>
        <w:t>(1), 1. Https://Doi.Org/10.15548/Jebi.V4i1.204</w:t>
      </w:r>
    </w:p>
    <w:p w14:paraId="778C70FC" w14:textId="3E67F5E8"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Wibowo, M. G., Kusuma, H., &amp; Qizam, I. (2021). The Role Of Institution </w:t>
      </w:r>
      <w:r w:rsidR="0026602A"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Macroeconomic Policy Mix </w:t>
      </w:r>
      <w:r w:rsidR="0026602A"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n Economic Growth </w:t>
      </w:r>
      <w:r w:rsidR="0026602A"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Muslim Country. </w:t>
      </w:r>
      <w:r w:rsidRPr="00F720A0">
        <w:rPr>
          <w:rFonts w:asciiTheme="minorHAnsi" w:hAnsiTheme="minorHAnsi" w:cstheme="minorHAnsi"/>
          <w:i/>
          <w:iCs/>
          <w:noProof/>
          <w:sz w:val="20"/>
          <w:szCs w:val="20"/>
        </w:rPr>
        <w:t xml:space="preserve">International Journal </w:t>
      </w:r>
      <w:r w:rsidR="0026602A" w:rsidRPr="00F720A0">
        <w:rPr>
          <w:rFonts w:asciiTheme="minorHAnsi" w:hAnsiTheme="minorHAnsi" w:cstheme="minorHAnsi"/>
          <w:i/>
          <w:iCs/>
          <w:noProof/>
          <w:sz w:val="20"/>
          <w:szCs w:val="20"/>
          <w:lang w:val="id-ID"/>
        </w:rPr>
        <w:t>o</w:t>
      </w:r>
      <w:r w:rsidRPr="00F720A0">
        <w:rPr>
          <w:rFonts w:asciiTheme="minorHAnsi" w:hAnsiTheme="minorHAnsi" w:cstheme="minorHAnsi"/>
          <w:i/>
          <w:iCs/>
          <w:noProof/>
          <w:sz w:val="20"/>
          <w:szCs w:val="20"/>
        </w:rPr>
        <w:t xml:space="preserve">f Islamic Economics </w:t>
      </w:r>
      <w:r w:rsidR="0026602A" w:rsidRPr="00F720A0">
        <w:rPr>
          <w:rFonts w:asciiTheme="minorHAnsi" w:hAnsiTheme="minorHAnsi" w:cstheme="minorHAnsi"/>
          <w:i/>
          <w:iCs/>
          <w:noProof/>
          <w:sz w:val="20"/>
          <w:szCs w:val="20"/>
          <w:lang w:val="id-ID"/>
        </w:rPr>
        <w:t>a</w:t>
      </w:r>
      <w:r w:rsidRPr="00F720A0">
        <w:rPr>
          <w:rFonts w:asciiTheme="minorHAnsi" w:hAnsiTheme="minorHAnsi" w:cstheme="minorHAnsi"/>
          <w:i/>
          <w:iCs/>
          <w:noProof/>
          <w:sz w:val="20"/>
          <w:szCs w:val="20"/>
        </w:rPr>
        <w:t>nd Finance (IJIEF)</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5</w:t>
      </w:r>
      <w:r w:rsidRPr="00F720A0">
        <w:rPr>
          <w:rFonts w:asciiTheme="minorHAnsi" w:hAnsiTheme="minorHAnsi" w:cstheme="minorHAnsi"/>
          <w:noProof/>
          <w:sz w:val="20"/>
          <w:szCs w:val="20"/>
        </w:rPr>
        <w:t>(1), 59–88. Https://Doi.Org/10.18196/Ijief.V5i1.11646</w:t>
      </w:r>
    </w:p>
    <w:p w14:paraId="61D77BEA" w14:textId="193DC3D2"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Widarjono, A., &amp; Anto, M. B. H. (2020). Does Market Structure Matter </w:t>
      </w:r>
      <w:r w:rsidR="0026602A" w:rsidRPr="00F720A0">
        <w:rPr>
          <w:rFonts w:asciiTheme="minorHAnsi" w:hAnsiTheme="minorHAnsi" w:cstheme="minorHAnsi"/>
          <w:noProof/>
          <w:sz w:val="20"/>
          <w:szCs w:val="20"/>
          <w:lang w:val="id-ID"/>
        </w:rPr>
        <w:t>f</w:t>
      </w:r>
      <w:r w:rsidRPr="00F720A0">
        <w:rPr>
          <w:rFonts w:asciiTheme="minorHAnsi" w:hAnsiTheme="minorHAnsi" w:cstheme="minorHAnsi"/>
          <w:noProof/>
          <w:sz w:val="20"/>
          <w:szCs w:val="20"/>
        </w:rPr>
        <w:t xml:space="preserve">or Islamic Rural Banks’ Profitability? </w:t>
      </w:r>
      <w:r w:rsidRPr="00F720A0">
        <w:rPr>
          <w:rFonts w:asciiTheme="minorHAnsi" w:hAnsiTheme="minorHAnsi" w:cstheme="minorHAnsi"/>
          <w:i/>
          <w:iCs/>
          <w:noProof/>
          <w:sz w:val="20"/>
          <w:szCs w:val="20"/>
        </w:rPr>
        <w:lastRenderedPageBreak/>
        <w:t xml:space="preserve">Jurnal Keuangan </w:t>
      </w:r>
      <w:r w:rsidR="0026602A" w:rsidRPr="00F720A0">
        <w:rPr>
          <w:rFonts w:asciiTheme="minorHAnsi" w:hAnsiTheme="minorHAnsi" w:cstheme="minorHAnsi"/>
          <w:i/>
          <w:iCs/>
          <w:noProof/>
          <w:sz w:val="20"/>
          <w:szCs w:val="20"/>
          <w:lang w:val="id-ID"/>
        </w:rPr>
        <w:t>d</w:t>
      </w:r>
      <w:r w:rsidRPr="00F720A0">
        <w:rPr>
          <w:rFonts w:asciiTheme="minorHAnsi" w:hAnsiTheme="minorHAnsi" w:cstheme="minorHAnsi"/>
          <w:i/>
          <w:iCs/>
          <w:noProof/>
          <w:sz w:val="20"/>
          <w:szCs w:val="20"/>
        </w:rPr>
        <w:t>an Perbankan</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24</w:t>
      </w:r>
      <w:r w:rsidRPr="00F720A0">
        <w:rPr>
          <w:rFonts w:asciiTheme="minorHAnsi" w:hAnsiTheme="minorHAnsi" w:cstheme="minorHAnsi"/>
          <w:noProof/>
          <w:sz w:val="20"/>
          <w:szCs w:val="20"/>
        </w:rPr>
        <w:t>(4), 393–406. Https://Doi.Org/10.26905/Jkdp.V24i4.4810</w:t>
      </w:r>
    </w:p>
    <w:p w14:paraId="22B9B054" w14:textId="74D6AE29" w:rsidR="003104E1" w:rsidRPr="00F720A0" w:rsidRDefault="003104E1" w:rsidP="003104E1">
      <w:pPr>
        <w:widowControl w:val="0"/>
        <w:autoSpaceDE w:val="0"/>
        <w:autoSpaceDN w:val="0"/>
        <w:adjustRightInd w:val="0"/>
        <w:spacing w:after="0" w:line="240" w:lineRule="auto"/>
        <w:ind w:left="480" w:hanging="480"/>
        <w:jc w:val="both"/>
        <w:rPr>
          <w:rFonts w:asciiTheme="minorHAnsi" w:hAnsiTheme="minorHAnsi" w:cstheme="minorHAnsi"/>
          <w:noProof/>
          <w:sz w:val="20"/>
          <w:szCs w:val="20"/>
        </w:rPr>
      </w:pPr>
      <w:r w:rsidRPr="00F720A0">
        <w:rPr>
          <w:rFonts w:asciiTheme="minorHAnsi" w:hAnsiTheme="minorHAnsi" w:cstheme="minorHAnsi"/>
          <w:noProof/>
          <w:sz w:val="20"/>
          <w:szCs w:val="20"/>
        </w:rPr>
        <w:t xml:space="preserve">Yolanda Y. (2017). Analysis </w:t>
      </w:r>
      <w:r w:rsidR="0026602A"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f Factors Affecting Inflation </w:t>
      </w:r>
      <w:r w:rsidR="0026602A"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Its Impact </w:t>
      </w:r>
      <w:r w:rsidR="0026602A" w:rsidRPr="00F720A0">
        <w:rPr>
          <w:rFonts w:asciiTheme="minorHAnsi" w:hAnsiTheme="minorHAnsi" w:cstheme="minorHAnsi"/>
          <w:noProof/>
          <w:sz w:val="20"/>
          <w:szCs w:val="20"/>
          <w:lang w:val="id-ID"/>
        </w:rPr>
        <w:t>o</w:t>
      </w:r>
      <w:r w:rsidRPr="00F720A0">
        <w:rPr>
          <w:rFonts w:asciiTheme="minorHAnsi" w:hAnsiTheme="minorHAnsi" w:cstheme="minorHAnsi"/>
          <w:noProof/>
          <w:sz w:val="20"/>
          <w:szCs w:val="20"/>
        </w:rPr>
        <w:t xml:space="preserve">n Human Development Index </w:t>
      </w:r>
      <w:r w:rsidR="0026602A" w:rsidRPr="00F720A0">
        <w:rPr>
          <w:rFonts w:asciiTheme="minorHAnsi" w:hAnsiTheme="minorHAnsi" w:cstheme="minorHAnsi"/>
          <w:noProof/>
          <w:sz w:val="20"/>
          <w:szCs w:val="20"/>
          <w:lang w:val="id-ID"/>
        </w:rPr>
        <w:t>a</w:t>
      </w:r>
      <w:r w:rsidRPr="00F720A0">
        <w:rPr>
          <w:rFonts w:asciiTheme="minorHAnsi" w:hAnsiTheme="minorHAnsi" w:cstheme="minorHAnsi"/>
          <w:noProof/>
          <w:sz w:val="20"/>
          <w:szCs w:val="20"/>
        </w:rPr>
        <w:t xml:space="preserve">nd Poverty </w:t>
      </w:r>
      <w:r w:rsidR="0026602A" w:rsidRPr="00F720A0">
        <w:rPr>
          <w:rFonts w:asciiTheme="minorHAnsi" w:hAnsiTheme="minorHAnsi" w:cstheme="minorHAnsi"/>
          <w:noProof/>
          <w:sz w:val="20"/>
          <w:szCs w:val="20"/>
          <w:lang w:val="id-ID"/>
        </w:rPr>
        <w:t>i</w:t>
      </w:r>
      <w:r w:rsidRPr="00F720A0">
        <w:rPr>
          <w:rFonts w:asciiTheme="minorHAnsi" w:hAnsiTheme="minorHAnsi" w:cstheme="minorHAnsi"/>
          <w:noProof/>
          <w:sz w:val="20"/>
          <w:szCs w:val="20"/>
        </w:rPr>
        <w:t xml:space="preserve">n Indonesia. </w:t>
      </w:r>
      <w:r w:rsidRPr="00F720A0">
        <w:rPr>
          <w:rFonts w:asciiTheme="minorHAnsi" w:hAnsiTheme="minorHAnsi" w:cstheme="minorHAnsi"/>
          <w:i/>
          <w:iCs/>
          <w:noProof/>
          <w:sz w:val="20"/>
          <w:szCs w:val="20"/>
        </w:rPr>
        <w:t>European Research Studies Journal</w:t>
      </w:r>
      <w:r w:rsidRPr="00F720A0">
        <w:rPr>
          <w:rFonts w:asciiTheme="minorHAnsi" w:hAnsiTheme="minorHAnsi" w:cstheme="minorHAnsi"/>
          <w:noProof/>
          <w:sz w:val="20"/>
          <w:szCs w:val="20"/>
        </w:rPr>
        <w:t xml:space="preserve">, </w:t>
      </w:r>
      <w:r w:rsidRPr="00F720A0">
        <w:rPr>
          <w:rFonts w:asciiTheme="minorHAnsi" w:hAnsiTheme="minorHAnsi" w:cstheme="minorHAnsi"/>
          <w:i/>
          <w:iCs/>
          <w:noProof/>
          <w:sz w:val="20"/>
          <w:szCs w:val="20"/>
        </w:rPr>
        <w:t>XX</w:t>
      </w:r>
      <w:r w:rsidRPr="00F720A0">
        <w:rPr>
          <w:rFonts w:asciiTheme="minorHAnsi" w:hAnsiTheme="minorHAnsi" w:cstheme="minorHAnsi"/>
          <w:noProof/>
          <w:sz w:val="20"/>
          <w:szCs w:val="20"/>
        </w:rPr>
        <w:t>(4), 38–56.</w:t>
      </w:r>
    </w:p>
    <w:p w14:paraId="4A5ED21C" w14:textId="608EA473" w:rsidR="003104E1" w:rsidRPr="00106630" w:rsidRDefault="003104E1">
      <w:pPr>
        <w:spacing w:after="0"/>
        <w:jc w:val="both"/>
        <w:rPr>
          <w:rFonts w:ascii="Garamond" w:hAnsi="Garamond"/>
        </w:rPr>
      </w:pPr>
      <w:r w:rsidRPr="00F720A0">
        <w:rPr>
          <w:rFonts w:asciiTheme="minorHAnsi" w:hAnsiTheme="minorHAnsi" w:cstheme="minorHAnsi"/>
          <w:sz w:val="20"/>
          <w:szCs w:val="20"/>
        </w:rPr>
        <w:fldChar w:fldCharType="end"/>
      </w:r>
    </w:p>
    <w:p w14:paraId="52BEFE43" w14:textId="77777777" w:rsidR="006E3934" w:rsidRPr="00106630" w:rsidRDefault="006E3934">
      <w:pPr>
        <w:spacing w:after="0"/>
        <w:jc w:val="both"/>
        <w:rPr>
          <w:rFonts w:ascii="Garamond" w:hAnsi="Garamond"/>
        </w:rPr>
      </w:pPr>
    </w:p>
    <w:p w14:paraId="05BD774E" w14:textId="77777777" w:rsidR="00CA695E" w:rsidRPr="00106630" w:rsidRDefault="00CA695E">
      <w:pPr>
        <w:spacing w:after="0"/>
        <w:jc w:val="both"/>
        <w:rPr>
          <w:rFonts w:ascii="Garamond" w:hAnsi="Garamond"/>
        </w:rPr>
      </w:pPr>
    </w:p>
    <w:p w14:paraId="00000037" w14:textId="77777777" w:rsidR="008213D5" w:rsidRPr="00106630" w:rsidRDefault="008213D5">
      <w:pPr>
        <w:spacing w:after="0"/>
        <w:jc w:val="both"/>
        <w:rPr>
          <w:rFonts w:ascii="Garamond" w:hAnsi="Garamond"/>
          <w:b/>
          <w:sz w:val="28"/>
          <w:szCs w:val="28"/>
        </w:rPr>
      </w:pPr>
    </w:p>
    <w:p w14:paraId="00000038" w14:textId="77777777" w:rsidR="008213D5" w:rsidRDefault="008213D5">
      <w:pPr>
        <w:spacing w:after="0"/>
        <w:jc w:val="both"/>
      </w:pPr>
    </w:p>
    <w:p w14:paraId="00000039" w14:textId="77777777" w:rsidR="008213D5" w:rsidRPr="003141C6" w:rsidRDefault="008213D5">
      <w:pPr>
        <w:spacing w:after="0"/>
        <w:jc w:val="both"/>
        <w:rPr>
          <w:lang w:val="en-US"/>
        </w:rPr>
      </w:pPr>
    </w:p>
    <w:sectPr w:rsidR="008213D5" w:rsidRPr="003141C6">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451E1" w14:textId="77777777" w:rsidR="009E5A72" w:rsidRDefault="009E5A72" w:rsidP="00407747">
      <w:pPr>
        <w:spacing w:after="0" w:line="240" w:lineRule="auto"/>
      </w:pPr>
      <w:r>
        <w:separator/>
      </w:r>
    </w:p>
  </w:endnote>
  <w:endnote w:type="continuationSeparator" w:id="0">
    <w:p w14:paraId="73FBE1E3" w14:textId="77777777" w:rsidR="009E5A72" w:rsidRDefault="009E5A72" w:rsidP="0040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675891"/>
      <w:docPartObj>
        <w:docPartGallery w:val="Page Numbers (Bottom of Page)"/>
        <w:docPartUnique/>
      </w:docPartObj>
    </w:sdtPr>
    <w:sdtEndPr>
      <w:rPr>
        <w:noProof/>
      </w:rPr>
    </w:sdtEndPr>
    <w:sdtContent>
      <w:p w14:paraId="59DDBF51" w14:textId="7032B2B9" w:rsidR="00B20A98" w:rsidRDefault="00B20A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D8E7A6" w14:textId="77777777" w:rsidR="00B20A98" w:rsidRDefault="00B2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A6FC2" w14:textId="77777777" w:rsidR="009E5A72" w:rsidRDefault="009E5A72" w:rsidP="00407747">
      <w:pPr>
        <w:spacing w:after="0" w:line="240" w:lineRule="auto"/>
      </w:pPr>
      <w:r>
        <w:separator/>
      </w:r>
    </w:p>
  </w:footnote>
  <w:footnote w:type="continuationSeparator" w:id="0">
    <w:p w14:paraId="22B41E74" w14:textId="77777777" w:rsidR="009E5A72" w:rsidRDefault="009E5A72" w:rsidP="00407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566B" w14:textId="26911E71" w:rsidR="00B20A98" w:rsidRDefault="00B20A98">
    <w:pPr>
      <w:pStyle w:val="Header"/>
      <w:jc w:val="right"/>
    </w:pPr>
  </w:p>
  <w:p w14:paraId="216E019F" w14:textId="77777777" w:rsidR="00B20A98" w:rsidRDefault="00B2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103EE"/>
    <w:multiLevelType w:val="hybridMultilevel"/>
    <w:tmpl w:val="FBA0BF9E"/>
    <w:lvl w:ilvl="0" w:tplc="97C606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2A0C4947"/>
    <w:multiLevelType w:val="hybridMultilevel"/>
    <w:tmpl w:val="1E0AB8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1DF6F8C"/>
    <w:multiLevelType w:val="hybridMultilevel"/>
    <w:tmpl w:val="7AF45C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1977FE0"/>
    <w:multiLevelType w:val="hybridMultilevel"/>
    <w:tmpl w:val="14B234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0547F4B"/>
    <w:multiLevelType w:val="hybridMultilevel"/>
    <w:tmpl w:val="6BB443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679E5B54"/>
    <w:multiLevelType w:val="hybridMultilevel"/>
    <w:tmpl w:val="6D04A0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54D66B2"/>
    <w:multiLevelType w:val="hybridMultilevel"/>
    <w:tmpl w:val="D038A5A6"/>
    <w:lvl w:ilvl="0" w:tplc="9D44D8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3D5"/>
    <w:rsid w:val="000008D1"/>
    <w:rsid w:val="00010A31"/>
    <w:rsid w:val="00013392"/>
    <w:rsid w:val="00015469"/>
    <w:rsid w:val="000173A8"/>
    <w:rsid w:val="00023BAA"/>
    <w:rsid w:val="000276B9"/>
    <w:rsid w:val="000331AC"/>
    <w:rsid w:val="000351F2"/>
    <w:rsid w:val="00035346"/>
    <w:rsid w:val="00036B33"/>
    <w:rsid w:val="000434D1"/>
    <w:rsid w:val="00047BB4"/>
    <w:rsid w:val="000504E5"/>
    <w:rsid w:val="00054E94"/>
    <w:rsid w:val="00056A5E"/>
    <w:rsid w:val="00075563"/>
    <w:rsid w:val="000758D2"/>
    <w:rsid w:val="00076DC7"/>
    <w:rsid w:val="00091B0B"/>
    <w:rsid w:val="00092E28"/>
    <w:rsid w:val="0009541F"/>
    <w:rsid w:val="000A0DC0"/>
    <w:rsid w:val="000A3D4A"/>
    <w:rsid w:val="000A4236"/>
    <w:rsid w:val="000B69A7"/>
    <w:rsid w:val="000C5C48"/>
    <w:rsid w:val="000E246A"/>
    <w:rsid w:val="000E41C9"/>
    <w:rsid w:val="000E4461"/>
    <w:rsid w:val="000E51CD"/>
    <w:rsid w:val="000E7ECD"/>
    <w:rsid w:val="000F0D86"/>
    <w:rsid w:val="00106630"/>
    <w:rsid w:val="001135AD"/>
    <w:rsid w:val="001223DE"/>
    <w:rsid w:val="001274AB"/>
    <w:rsid w:val="001334CC"/>
    <w:rsid w:val="001357BC"/>
    <w:rsid w:val="001367AB"/>
    <w:rsid w:val="00141D4D"/>
    <w:rsid w:val="00153BFC"/>
    <w:rsid w:val="0015703E"/>
    <w:rsid w:val="0016076E"/>
    <w:rsid w:val="00170D17"/>
    <w:rsid w:val="0017224F"/>
    <w:rsid w:val="001734E9"/>
    <w:rsid w:val="001763B8"/>
    <w:rsid w:val="00181C56"/>
    <w:rsid w:val="0018212D"/>
    <w:rsid w:val="00185A37"/>
    <w:rsid w:val="0019281C"/>
    <w:rsid w:val="001A2A5F"/>
    <w:rsid w:val="001A5F78"/>
    <w:rsid w:val="001B6BB3"/>
    <w:rsid w:val="001C3C34"/>
    <w:rsid w:val="001C4574"/>
    <w:rsid w:val="001D10C6"/>
    <w:rsid w:val="001D4DAA"/>
    <w:rsid w:val="001E0684"/>
    <w:rsid w:val="001E23D2"/>
    <w:rsid w:val="001E2F2B"/>
    <w:rsid w:val="001F45CE"/>
    <w:rsid w:val="001F64B5"/>
    <w:rsid w:val="002001B6"/>
    <w:rsid w:val="002003C1"/>
    <w:rsid w:val="00200895"/>
    <w:rsid w:val="00203595"/>
    <w:rsid w:val="0020361D"/>
    <w:rsid w:val="00206723"/>
    <w:rsid w:val="0020700E"/>
    <w:rsid w:val="002126D0"/>
    <w:rsid w:val="00216624"/>
    <w:rsid w:val="00220EC1"/>
    <w:rsid w:val="002240A2"/>
    <w:rsid w:val="002302B0"/>
    <w:rsid w:val="002314CD"/>
    <w:rsid w:val="00232102"/>
    <w:rsid w:val="002340E1"/>
    <w:rsid w:val="002367DC"/>
    <w:rsid w:val="002408F4"/>
    <w:rsid w:val="00240BAD"/>
    <w:rsid w:val="00242A8F"/>
    <w:rsid w:val="002436E6"/>
    <w:rsid w:val="00245397"/>
    <w:rsid w:val="00246051"/>
    <w:rsid w:val="00246725"/>
    <w:rsid w:val="00253645"/>
    <w:rsid w:val="002563A0"/>
    <w:rsid w:val="00260313"/>
    <w:rsid w:val="002603AD"/>
    <w:rsid w:val="002613B2"/>
    <w:rsid w:val="002623D4"/>
    <w:rsid w:val="00265CA6"/>
    <w:rsid w:val="0026602A"/>
    <w:rsid w:val="00267F1C"/>
    <w:rsid w:val="00276074"/>
    <w:rsid w:val="0028028A"/>
    <w:rsid w:val="00282E11"/>
    <w:rsid w:val="002835E5"/>
    <w:rsid w:val="0028481C"/>
    <w:rsid w:val="00295065"/>
    <w:rsid w:val="002959DE"/>
    <w:rsid w:val="0029725B"/>
    <w:rsid w:val="002A0CB8"/>
    <w:rsid w:val="002A5B48"/>
    <w:rsid w:val="002B1DEF"/>
    <w:rsid w:val="002B2002"/>
    <w:rsid w:val="002C43E9"/>
    <w:rsid w:val="002E34CD"/>
    <w:rsid w:val="002E4251"/>
    <w:rsid w:val="002E701A"/>
    <w:rsid w:val="002E768D"/>
    <w:rsid w:val="002F5ABF"/>
    <w:rsid w:val="002F796E"/>
    <w:rsid w:val="0030346A"/>
    <w:rsid w:val="00306C22"/>
    <w:rsid w:val="003104E1"/>
    <w:rsid w:val="003141C6"/>
    <w:rsid w:val="003161C4"/>
    <w:rsid w:val="00321A09"/>
    <w:rsid w:val="00323E81"/>
    <w:rsid w:val="003247C8"/>
    <w:rsid w:val="00324FC0"/>
    <w:rsid w:val="0033629D"/>
    <w:rsid w:val="00344D28"/>
    <w:rsid w:val="00362F1E"/>
    <w:rsid w:val="00364874"/>
    <w:rsid w:val="00366040"/>
    <w:rsid w:val="00376D31"/>
    <w:rsid w:val="0038135E"/>
    <w:rsid w:val="00382928"/>
    <w:rsid w:val="0038295D"/>
    <w:rsid w:val="00383E0B"/>
    <w:rsid w:val="003866CF"/>
    <w:rsid w:val="00386ED6"/>
    <w:rsid w:val="00387D04"/>
    <w:rsid w:val="0039147C"/>
    <w:rsid w:val="00393DBB"/>
    <w:rsid w:val="003A1806"/>
    <w:rsid w:val="003A3617"/>
    <w:rsid w:val="003A53FF"/>
    <w:rsid w:val="003A5605"/>
    <w:rsid w:val="003A6F5B"/>
    <w:rsid w:val="003A7984"/>
    <w:rsid w:val="003A7BD5"/>
    <w:rsid w:val="003B1D01"/>
    <w:rsid w:val="003B421E"/>
    <w:rsid w:val="003B50FB"/>
    <w:rsid w:val="003B744A"/>
    <w:rsid w:val="003B7CD1"/>
    <w:rsid w:val="003C274B"/>
    <w:rsid w:val="003C2919"/>
    <w:rsid w:val="003C4A8C"/>
    <w:rsid w:val="003D2AE8"/>
    <w:rsid w:val="003D3AFF"/>
    <w:rsid w:val="003D4C58"/>
    <w:rsid w:val="003D62FE"/>
    <w:rsid w:val="003E1A8C"/>
    <w:rsid w:val="003E6DC3"/>
    <w:rsid w:val="003F5112"/>
    <w:rsid w:val="004053D6"/>
    <w:rsid w:val="00407747"/>
    <w:rsid w:val="00407E32"/>
    <w:rsid w:val="00415F2F"/>
    <w:rsid w:val="00421918"/>
    <w:rsid w:val="0042737E"/>
    <w:rsid w:val="00432D57"/>
    <w:rsid w:val="004335A4"/>
    <w:rsid w:val="00443258"/>
    <w:rsid w:val="0044715F"/>
    <w:rsid w:val="00451AD4"/>
    <w:rsid w:val="004533E0"/>
    <w:rsid w:val="00455946"/>
    <w:rsid w:val="004572A4"/>
    <w:rsid w:val="00462B73"/>
    <w:rsid w:val="004714B5"/>
    <w:rsid w:val="00475EB9"/>
    <w:rsid w:val="004816EF"/>
    <w:rsid w:val="004843F7"/>
    <w:rsid w:val="0049055B"/>
    <w:rsid w:val="00490E85"/>
    <w:rsid w:val="004A0892"/>
    <w:rsid w:val="004A682D"/>
    <w:rsid w:val="004A6F35"/>
    <w:rsid w:val="004B0BEF"/>
    <w:rsid w:val="004B157C"/>
    <w:rsid w:val="004B2410"/>
    <w:rsid w:val="004B49A0"/>
    <w:rsid w:val="004C4762"/>
    <w:rsid w:val="004D4C3F"/>
    <w:rsid w:val="004E2183"/>
    <w:rsid w:val="004E2C1C"/>
    <w:rsid w:val="004F6285"/>
    <w:rsid w:val="00501DDF"/>
    <w:rsid w:val="00504AA7"/>
    <w:rsid w:val="00504AF5"/>
    <w:rsid w:val="00505ABD"/>
    <w:rsid w:val="00507B17"/>
    <w:rsid w:val="005128FC"/>
    <w:rsid w:val="00513E85"/>
    <w:rsid w:val="00514483"/>
    <w:rsid w:val="005147F4"/>
    <w:rsid w:val="00521DC1"/>
    <w:rsid w:val="0052230F"/>
    <w:rsid w:val="005244DF"/>
    <w:rsid w:val="0053216C"/>
    <w:rsid w:val="00532B3D"/>
    <w:rsid w:val="005365B9"/>
    <w:rsid w:val="0054377A"/>
    <w:rsid w:val="0054401F"/>
    <w:rsid w:val="005458E9"/>
    <w:rsid w:val="00551259"/>
    <w:rsid w:val="00556534"/>
    <w:rsid w:val="00556FEF"/>
    <w:rsid w:val="00561A56"/>
    <w:rsid w:val="00562DCE"/>
    <w:rsid w:val="00566F5E"/>
    <w:rsid w:val="00567CAE"/>
    <w:rsid w:val="00572354"/>
    <w:rsid w:val="005800DB"/>
    <w:rsid w:val="00581668"/>
    <w:rsid w:val="00585A8A"/>
    <w:rsid w:val="0058664A"/>
    <w:rsid w:val="00594B62"/>
    <w:rsid w:val="005A2E74"/>
    <w:rsid w:val="005A4363"/>
    <w:rsid w:val="005A4376"/>
    <w:rsid w:val="005C4006"/>
    <w:rsid w:val="005C4570"/>
    <w:rsid w:val="005C669B"/>
    <w:rsid w:val="005D0DD8"/>
    <w:rsid w:val="005D1FC6"/>
    <w:rsid w:val="005E704B"/>
    <w:rsid w:val="00600967"/>
    <w:rsid w:val="00606A8E"/>
    <w:rsid w:val="00606E56"/>
    <w:rsid w:val="0061079C"/>
    <w:rsid w:val="00613B79"/>
    <w:rsid w:val="00614230"/>
    <w:rsid w:val="0061599D"/>
    <w:rsid w:val="0061694E"/>
    <w:rsid w:val="00621092"/>
    <w:rsid w:val="00627551"/>
    <w:rsid w:val="00634BE2"/>
    <w:rsid w:val="006479C1"/>
    <w:rsid w:val="00647AE8"/>
    <w:rsid w:val="00654488"/>
    <w:rsid w:val="006545E3"/>
    <w:rsid w:val="006577EA"/>
    <w:rsid w:val="00671BC7"/>
    <w:rsid w:val="00672687"/>
    <w:rsid w:val="00674AC5"/>
    <w:rsid w:val="00686229"/>
    <w:rsid w:val="00691CBF"/>
    <w:rsid w:val="006A06B6"/>
    <w:rsid w:val="006A0F38"/>
    <w:rsid w:val="006A48BD"/>
    <w:rsid w:val="006B3BF2"/>
    <w:rsid w:val="006B56F1"/>
    <w:rsid w:val="006C006F"/>
    <w:rsid w:val="006C2C64"/>
    <w:rsid w:val="006C33E3"/>
    <w:rsid w:val="006C3A7A"/>
    <w:rsid w:val="006C5850"/>
    <w:rsid w:val="006C7412"/>
    <w:rsid w:val="006D004F"/>
    <w:rsid w:val="006D3049"/>
    <w:rsid w:val="006E3934"/>
    <w:rsid w:val="006F1346"/>
    <w:rsid w:val="006F1759"/>
    <w:rsid w:val="00703999"/>
    <w:rsid w:val="00704F9A"/>
    <w:rsid w:val="007062BC"/>
    <w:rsid w:val="00714E2A"/>
    <w:rsid w:val="00714EF2"/>
    <w:rsid w:val="00732FE4"/>
    <w:rsid w:val="007539DC"/>
    <w:rsid w:val="00753FFD"/>
    <w:rsid w:val="00754BE5"/>
    <w:rsid w:val="0075777D"/>
    <w:rsid w:val="007608FB"/>
    <w:rsid w:val="00765E44"/>
    <w:rsid w:val="007707F6"/>
    <w:rsid w:val="007745B9"/>
    <w:rsid w:val="00775ACA"/>
    <w:rsid w:val="0078091A"/>
    <w:rsid w:val="00790429"/>
    <w:rsid w:val="00794B5B"/>
    <w:rsid w:val="00795032"/>
    <w:rsid w:val="00795191"/>
    <w:rsid w:val="0079671D"/>
    <w:rsid w:val="007B3B9B"/>
    <w:rsid w:val="007C44E7"/>
    <w:rsid w:val="007D03E1"/>
    <w:rsid w:val="007D07A1"/>
    <w:rsid w:val="007D3143"/>
    <w:rsid w:val="007E5AEA"/>
    <w:rsid w:val="007E6C21"/>
    <w:rsid w:val="007E74F8"/>
    <w:rsid w:val="007F25E7"/>
    <w:rsid w:val="007F5A90"/>
    <w:rsid w:val="00800C8D"/>
    <w:rsid w:val="008013C8"/>
    <w:rsid w:val="00801F94"/>
    <w:rsid w:val="00801FD5"/>
    <w:rsid w:val="00803632"/>
    <w:rsid w:val="00805208"/>
    <w:rsid w:val="008063D9"/>
    <w:rsid w:val="008065B1"/>
    <w:rsid w:val="008066BA"/>
    <w:rsid w:val="00814023"/>
    <w:rsid w:val="008213D5"/>
    <w:rsid w:val="00823847"/>
    <w:rsid w:val="00823C90"/>
    <w:rsid w:val="00823FB2"/>
    <w:rsid w:val="00836665"/>
    <w:rsid w:val="00837921"/>
    <w:rsid w:val="00840848"/>
    <w:rsid w:val="00864A0B"/>
    <w:rsid w:val="00865EDC"/>
    <w:rsid w:val="0087056E"/>
    <w:rsid w:val="008711F1"/>
    <w:rsid w:val="00871E40"/>
    <w:rsid w:val="008731D3"/>
    <w:rsid w:val="0087385D"/>
    <w:rsid w:val="00873943"/>
    <w:rsid w:val="00875CA4"/>
    <w:rsid w:val="0087687F"/>
    <w:rsid w:val="00880B72"/>
    <w:rsid w:val="008825A8"/>
    <w:rsid w:val="008838D2"/>
    <w:rsid w:val="008849FA"/>
    <w:rsid w:val="008928E9"/>
    <w:rsid w:val="0089367A"/>
    <w:rsid w:val="00896937"/>
    <w:rsid w:val="008A2BC5"/>
    <w:rsid w:val="008A4FF0"/>
    <w:rsid w:val="008B2698"/>
    <w:rsid w:val="008B5385"/>
    <w:rsid w:val="008B6966"/>
    <w:rsid w:val="008C1D7B"/>
    <w:rsid w:val="008C41B2"/>
    <w:rsid w:val="008D0375"/>
    <w:rsid w:val="008D4044"/>
    <w:rsid w:val="008E0719"/>
    <w:rsid w:val="008E7A95"/>
    <w:rsid w:val="008F0A1C"/>
    <w:rsid w:val="008F215D"/>
    <w:rsid w:val="008F2FA3"/>
    <w:rsid w:val="008F753C"/>
    <w:rsid w:val="009100A9"/>
    <w:rsid w:val="00910487"/>
    <w:rsid w:val="0092063E"/>
    <w:rsid w:val="00921312"/>
    <w:rsid w:val="00934645"/>
    <w:rsid w:val="0094005C"/>
    <w:rsid w:val="00943348"/>
    <w:rsid w:val="00952582"/>
    <w:rsid w:val="009536AC"/>
    <w:rsid w:val="00955388"/>
    <w:rsid w:val="009566BC"/>
    <w:rsid w:val="00957272"/>
    <w:rsid w:val="0096262D"/>
    <w:rsid w:val="00964F1C"/>
    <w:rsid w:val="0096555C"/>
    <w:rsid w:val="00966535"/>
    <w:rsid w:val="00980652"/>
    <w:rsid w:val="00984B86"/>
    <w:rsid w:val="00992C54"/>
    <w:rsid w:val="009938BC"/>
    <w:rsid w:val="00995153"/>
    <w:rsid w:val="00996833"/>
    <w:rsid w:val="009A199F"/>
    <w:rsid w:val="009A2A61"/>
    <w:rsid w:val="009A2E85"/>
    <w:rsid w:val="009A6162"/>
    <w:rsid w:val="009B1F6F"/>
    <w:rsid w:val="009B6C01"/>
    <w:rsid w:val="009C10F4"/>
    <w:rsid w:val="009D0D87"/>
    <w:rsid w:val="009E2BB2"/>
    <w:rsid w:val="009E4054"/>
    <w:rsid w:val="009E5280"/>
    <w:rsid w:val="009E5A72"/>
    <w:rsid w:val="009F7912"/>
    <w:rsid w:val="009F7E96"/>
    <w:rsid w:val="00A009FA"/>
    <w:rsid w:val="00A0556B"/>
    <w:rsid w:val="00A27AB6"/>
    <w:rsid w:val="00A31AB4"/>
    <w:rsid w:val="00A329BB"/>
    <w:rsid w:val="00A41006"/>
    <w:rsid w:val="00A50FA8"/>
    <w:rsid w:val="00A54E81"/>
    <w:rsid w:val="00A55CC8"/>
    <w:rsid w:val="00A62CA3"/>
    <w:rsid w:val="00A62CBF"/>
    <w:rsid w:val="00A6335D"/>
    <w:rsid w:val="00A70525"/>
    <w:rsid w:val="00A72EDF"/>
    <w:rsid w:val="00A73E71"/>
    <w:rsid w:val="00A77E82"/>
    <w:rsid w:val="00A8043E"/>
    <w:rsid w:val="00A8347E"/>
    <w:rsid w:val="00A85093"/>
    <w:rsid w:val="00A94062"/>
    <w:rsid w:val="00A94068"/>
    <w:rsid w:val="00A94CE1"/>
    <w:rsid w:val="00A9560B"/>
    <w:rsid w:val="00AA1147"/>
    <w:rsid w:val="00AB2B7D"/>
    <w:rsid w:val="00AB45B8"/>
    <w:rsid w:val="00AB6F55"/>
    <w:rsid w:val="00AC0179"/>
    <w:rsid w:val="00AC6B54"/>
    <w:rsid w:val="00AD4D04"/>
    <w:rsid w:val="00AE0521"/>
    <w:rsid w:val="00AF3ADB"/>
    <w:rsid w:val="00AF53A7"/>
    <w:rsid w:val="00B006D0"/>
    <w:rsid w:val="00B0187A"/>
    <w:rsid w:val="00B02417"/>
    <w:rsid w:val="00B10EA3"/>
    <w:rsid w:val="00B1759D"/>
    <w:rsid w:val="00B17A45"/>
    <w:rsid w:val="00B20A98"/>
    <w:rsid w:val="00B23137"/>
    <w:rsid w:val="00B325A1"/>
    <w:rsid w:val="00B33425"/>
    <w:rsid w:val="00B36ECF"/>
    <w:rsid w:val="00B37C40"/>
    <w:rsid w:val="00B46321"/>
    <w:rsid w:val="00B471B9"/>
    <w:rsid w:val="00B47E96"/>
    <w:rsid w:val="00B5310B"/>
    <w:rsid w:val="00B544FE"/>
    <w:rsid w:val="00B63B34"/>
    <w:rsid w:val="00B64A72"/>
    <w:rsid w:val="00B658E7"/>
    <w:rsid w:val="00B67D3A"/>
    <w:rsid w:val="00B739EC"/>
    <w:rsid w:val="00B740FB"/>
    <w:rsid w:val="00B8136F"/>
    <w:rsid w:val="00B9008F"/>
    <w:rsid w:val="00B94528"/>
    <w:rsid w:val="00BA429F"/>
    <w:rsid w:val="00BA4477"/>
    <w:rsid w:val="00BA5424"/>
    <w:rsid w:val="00BA637C"/>
    <w:rsid w:val="00BB2758"/>
    <w:rsid w:val="00BC4F64"/>
    <w:rsid w:val="00BC5849"/>
    <w:rsid w:val="00BC592A"/>
    <w:rsid w:val="00BD4424"/>
    <w:rsid w:val="00BD76C3"/>
    <w:rsid w:val="00BE2825"/>
    <w:rsid w:val="00BF236C"/>
    <w:rsid w:val="00BF2F2D"/>
    <w:rsid w:val="00BF4B9C"/>
    <w:rsid w:val="00C01AD9"/>
    <w:rsid w:val="00C201A7"/>
    <w:rsid w:val="00C2250A"/>
    <w:rsid w:val="00C272CD"/>
    <w:rsid w:val="00C304D8"/>
    <w:rsid w:val="00C313E8"/>
    <w:rsid w:val="00C31A2B"/>
    <w:rsid w:val="00C32B62"/>
    <w:rsid w:val="00C33F31"/>
    <w:rsid w:val="00C37DFF"/>
    <w:rsid w:val="00C40A1F"/>
    <w:rsid w:val="00C4591F"/>
    <w:rsid w:val="00C5493A"/>
    <w:rsid w:val="00C630B6"/>
    <w:rsid w:val="00C6597D"/>
    <w:rsid w:val="00C6647D"/>
    <w:rsid w:val="00C76253"/>
    <w:rsid w:val="00C76C5F"/>
    <w:rsid w:val="00C82E61"/>
    <w:rsid w:val="00C843EB"/>
    <w:rsid w:val="00C86356"/>
    <w:rsid w:val="00C90257"/>
    <w:rsid w:val="00C94830"/>
    <w:rsid w:val="00C95055"/>
    <w:rsid w:val="00CA068E"/>
    <w:rsid w:val="00CA1198"/>
    <w:rsid w:val="00CA3A2A"/>
    <w:rsid w:val="00CA4723"/>
    <w:rsid w:val="00CA695E"/>
    <w:rsid w:val="00CA717D"/>
    <w:rsid w:val="00CB4275"/>
    <w:rsid w:val="00CB56C7"/>
    <w:rsid w:val="00CC1A61"/>
    <w:rsid w:val="00CC71A5"/>
    <w:rsid w:val="00CC7B46"/>
    <w:rsid w:val="00CD6C63"/>
    <w:rsid w:val="00CE11E4"/>
    <w:rsid w:val="00CE2EDF"/>
    <w:rsid w:val="00CE589A"/>
    <w:rsid w:val="00CF1E00"/>
    <w:rsid w:val="00CF3234"/>
    <w:rsid w:val="00CF3F23"/>
    <w:rsid w:val="00D0185A"/>
    <w:rsid w:val="00D01AC0"/>
    <w:rsid w:val="00D0215F"/>
    <w:rsid w:val="00D040CA"/>
    <w:rsid w:val="00D106E9"/>
    <w:rsid w:val="00D11E9A"/>
    <w:rsid w:val="00D1406C"/>
    <w:rsid w:val="00D15B86"/>
    <w:rsid w:val="00D20B76"/>
    <w:rsid w:val="00D228A8"/>
    <w:rsid w:val="00D247B1"/>
    <w:rsid w:val="00D3227B"/>
    <w:rsid w:val="00D32AC2"/>
    <w:rsid w:val="00D36745"/>
    <w:rsid w:val="00D36F22"/>
    <w:rsid w:val="00D43BB2"/>
    <w:rsid w:val="00D513D4"/>
    <w:rsid w:val="00D5288B"/>
    <w:rsid w:val="00D52F00"/>
    <w:rsid w:val="00D537B5"/>
    <w:rsid w:val="00D54370"/>
    <w:rsid w:val="00D65B8B"/>
    <w:rsid w:val="00D721DF"/>
    <w:rsid w:val="00D7405D"/>
    <w:rsid w:val="00D834B0"/>
    <w:rsid w:val="00D935B4"/>
    <w:rsid w:val="00D944B9"/>
    <w:rsid w:val="00DA1AC4"/>
    <w:rsid w:val="00DA3C60"/>
    <w:rsid w:val="00DA7588"/>
    <w:rsid w:val="00DC046C"/>
    <w:rsid w:val="00DC1CE8"/>
    <w:rsid w:val="00DD11B3"/>
    <w:rsid w:val="00DD2490"/>
    <w:rsid w:val="00DD5229"/>
    <w:rsid w:val="00DD52E0"/>
    <w:rsid w:val="00DD58FC"/>
    <w:rsid w:val="00DE1C7B"/>
    <w:rsid w:val="00DF03A1"/>
    <w:rsid w:val="00DF044C"/>
    <w:rsid w:val="00DF0714"/>
    <w:rsid w:val="00E01CC1"/>
    <w:rsid w:val="00E036A3"/>
    <w:rsid w:val="00E205CC"/>
    <w:rsid w:val="00E212A6"/>
    <w:rsid w:val="00E21A58"/>
    <w:rsid w:val="00E21BA3"/>
    <w:rsid w:val="00E223A3"/>
    <w:rsid w:val="00E22BD8"/>
    <w:rsid w:val="00E26FCE"/>
    <w:rsid w:val="00E301C7"/>
    <w:rsid w:val="00E305D2"/>
    <w:rsid w:val="00E34A7F"/>
    <w:rsid w:val="00E45D97"/>
    <w:rsid w:val="00E45E99"/>
    <w:rsid w:val="00E51D68"/>
    <w:rsid w:val="00E60364"/>
    <w:rsid w:val="00E64245"/>
    <w:rsid w:val="00E6652D"/>
    <w:rsid w:val="00E80D68"/>
    <w:rsid w:val="00E90A75"/>
    <w:rsid w:val="00E92DC4"/>
    <w:rsid w:val="00E943AE"/>
    <w:rsid w:val="00E94CE0"/>
    <w:rsid w:val="00EA1717"/>
    <w:rsid w:val="00EA1A1E"/>
    <w:rsid w:val="00EA4EFA"/>
    <w:rsid w:val="00EB68FD"/>
    <w:rsid w:val="00EB7746"/>
    <w:rsid w:val="00EC5FF5"/>
    <w:rsid w:val="00EC6B7E"/>
    <w:rsid w:val="00ED0EF7"/>
    <w:rsid w:val="00ED1707"/>
    <w:rsid w:val="00ED794E"/>
    <w:rsid w:val="00EE04AD"/>
    <w:rsid w:val="00EE347A"/>
    <w:rsid w:val="00EE53DD"/>
    <w:rsid w:val="00EE5D83"/>
    <w:rsid w:val="00EF366E"/>
    <w:rsid w:val="00EF38B8"/>
    <w:rsid w:val="00EF4A57"/>
    <w:rsid w:val="00EF5BF4"/>
    <w:rsid w:val="00EF78A3"/>
    <w:rsid w:val="00EF7F13"/>
    <w:rsid w:val="00F0165F"/>
    <w:rsid w:val="00F044F7"/>
    <w:rsid w:val="00F0532C"/>
    <w:rsid w:val="00F11D26"/>
    <w:rsid w:val="00F12E9C"/>
    <w:rsid w:val="00F14584"/>
    <w:rsid w:val="00F17D78"/>
    <w:rsid w:val="00F21E56"/>
    <w:rsid w:val="00F26418"/>
    <w:rsid w:val="00F36BE0"/>
    <w:rsid w:val="00F402CE"/>
    <w:rsid w:val="00F41711"/>
    <w:rsid w:val="00F418DB"/>
    <w:rsid w:val="00F43080"/>
    <w:rsid w:val="00F457FE"/>
    <w:rsid w:val="00F51C92"/>
    <w:rsid w:val="00F541A9"/>
    <w:rsid w:val="00F54472"/>
    <w:rsid w:val="00F556F7"/>
    <w:rsid w:val="00F60C73"/>
    <w:rsid w:val="00F67C92"/>
    <w:rsid w:val="00F720A0"/>
    <w:rsid w:val="00F746D4"/>
    <w:rsid w:val="00F804EA"/>
    <w:rsid w:val="00F87555"/>
    <w:rsid w:val="00F87F34"/>
    <w:rsid w:val="00F91029"/>
    <w:rsid w:val="00F923B0"/>
    <w:rsid w:val="00F94071"/>
    <w:rsid w:val="00F96F48"/>
    <w:rsid w:val="00FA1215"/>
    <w:rsid w:val="00FB27B6"/>
    <w:rsid w:val="00FB544F"/>
    <w:rsid w:val="00FB605B"/>
    <w:rsid w:val="00FC0862"/>
    <w:rsid w:val="00FC7640"/>
    <w:rsid w:val="00FD2786"/>
    <w:rsid w:val="00FD4B05"/>
    <w:rsid w:val="00FD667F"/>
    <w:rsid w:val="00FD7A77"/>
    <w:rsid w:val="00FE0248"/>
    <w:rsid w:val="00FE3A54"/>
    <w:rsid w:val="00FE48BE"/>
    <w:rsid w:val="00FE6574"/>
    <w:rsid w:val="00FE7804"/>
    <w:rsid w:val="00FF0484"/>
    <w:rsid w:val="00FF394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287C6"/>
  <w15:docId w15:val="{94FB351B-5E7F-49ED-AE6C-C84E7AA8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D" w:eastAsia="id-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F1AB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F6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E99"/>
    <w:rPr>
      <w:rFonts w:ascii="Segoe UI" w:hAnsi="Segoe UI" w:cs="Segoe UI"/>
      <w:sz w:val="18"/>
      <w:szCs w:val="18"/>
    </w:rPr>
  </w:style>
  <w:style w:type="character" w:styleId="Emphasis">
    <w:name w:val="Emphasis"/>
    <w:basedOn w:val="DefaultParagraphFont"/>
    <w:uiPriority w:val="20"/>
    <w:qFormat/>
    <w:rsid w:val="001D66CA"/>
    <w:rPr>
      <w:i/>
      <w:iCs/>
    </w:rPr>
  </w:style>
  <w:style w:type="character" w:customStyle="1" w:styleId="Heading1Char">
    <w:name w:val="Heading 1 Char"/>
    <w:basedOn w:val="DefaultParagraphFont"/>
    <w:link w:val="Heading1"/>
    <w:uiPriority w:val="9"/>
    <w:rsid w:val="007F1AB6"/>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7F1AB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ption">
    <w:name w:val="caption"/>
    <w:basedOn w:val="Normal"/>
    <w:next w:val="Normal"/>
    <w:uiPriority w:val="35"/>
    <w:unhideWhenUsed/>
    <w:qFormat/>
    <w:rsid w:val="00CF3F23"/>
    <w:pPr>
      <w:spacing w:after="200" w:line="240" w:lineRule="auto"/>
    </w:pPr>
    <w:rPr>
      <w:rFonts w:asciiTheme="minorHAnsi" w:eastAsiaTheme="minorHAnsi" w:hAnsiTheme="minorHAnsi" w:cstheme="minorBidi"/>
      <w:i/>
      <w:iCs/>
      <w:color w:val="44546A" w:themeColor="text2"/>
      <w:sz w:val="18"/>
      <w:szCs w:val="18"/>
      <w:lang w:val="id-ID" w:eastAsia="en-US"/>
    </w:rPr>
  </w:style>
  <w:style w:type="paragraph" w:styleId="ListParagraph">
    <w:name w:val="List Paragraph"/>
    <w:aliases w:val="sub de titre 4,ANNEX,List Paragraph1,kepala,Colorful List - Accent 11,TABEL,SUB BAB2,ListKebijakan,Dalam Tabel,Char Char2,List Paragraph2,Body of text"/>
    <w:basedOn w:val="Normal"/>
    <w:link w:val="ListParagraphChar"/>
    <w:uiPriority w:val="34"/>
    <w:qFormat/>
    <w:rsid w:val="002E4251"/>
    <w:pPr>
      <w:ind w:left="720"/>
      <w:contextualSpacing/>
    </w:pPr>
  </w:style>
  <w:style w:type="character" w:customStyle="1" w:styleId="ListParagraphChar">
    <w:name w:val="List Paragraph Char"/>
    <w:aliases w:val="sub de titre 4 Char,ANNEX Char,List Paragraph1 Char,kepala Char,Colorful List - Accent 11 Char,TABEL Char,SUB BAB2 Char,ListKebijakan Char,Dalam Tabel Char,Char Char2 Char,List Paragraph2 Char,Body of text Char"/>
    <w:link w:val="ListParagraph"/>
    <w:uiPriority w:val="34"/>
    <w:qFormat/>
    <w:locked/>
    <w:rsid w:val="00C95055"/>
  </w:style>
  <w:style w:type="character" w:customStyle="1" w:styleId="Heading3Char">
    <w:name w:val="Heading 3 Char"/>
    <w:basedOn w:val="DefaultParagraphFont"/>
    <w:link w:val="Heading3"/>
    <w:uiPriority w:val="9"/>
    <w:semiHidden/>
    <w:rsid w:val="009B1F6F"/>
    <w:rPr>
      <w:b/>
      <w:sz w:val="28"/>
      <w:szCs w:val="28"/>
    </w:rPr>
  </w:style>
  <w:style w:type="table" w:styleId="PlainTable3">
    <w:name w:val="Plain Table 3"/>
    <w:basedOn w:val="TableNormal"/>
    <w:uiPriority w:val="43"/>
    <w:rsid w:val="00A62CBF"/>
    <w:pPr>
      <w:spacing w:after="0" w:line="240" w:lineRule="auto"/>
    </w:pPr>
    <w:rPr>
      <w:rFonts w:asciiTheme="minorHAnsi" w:eastAsiaTheme="minorHAnsi" w:hAnsiTheme="minorHAnsi" w:cstheme="minorBidi"/>
      <w:lang w:val="id-ID"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71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10A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407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747"/>
  </w:style>
  <w:style w:type="paragraph" w:styleId="Footer">
    <w:name w:val="footer"/>
    <w:basedOn w:val="Normal"/>
    <w:link w:val="FooterChar"/>
    <w:uiPriority w:val="99"/>
    <w:unhideWhenUsed/>
    <w:rsid w:val="00407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747"/>
  </w:style>
  <w:style w:type="table" w:styleId="GridTable2-Accent1">
    <w:name w:val="Grid Table 2 Accent 1"/>
    <w:basedOn w:val="TableNormal"/>
    <w:uiPriority w:val="47"/>
    <w:rsid w:val="00EA1A1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3">
    <w:name w:val="Grid Table 2 Accent 3"/>
    <w:basedOn w:val="TableNormal"/>
    <w:uiPriority w:val="47"/>
    <w:rsid w:val="00EA1A1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zzatu%20Dzihny\Downloads\STABILITAS%20POLITIK%20OK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id-ID"/>
              <a:t>Stabilitas Politik OKI</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id-ID"/>
        </a:p>
      </c:txPr>
    </c:title>
    <c:autoTitleDeleted val="0"/>
    <c:plotArea>
      <c:layout/>
      <c:barChart>
        <c:barDir val="bar"/>
        <c:grouping val="clustered"/>
        <c:varyColors val="0"/>
        <c:ser>
          <c:idx val="0"/>
          <c:order val="0"/>
          <c:spPr>
            <a:pattFill prst="ltUpDiag">
              <a:fgClr>
                <a:schemeClr val="accent1"/>
              </a:fgClr>
              <a:bgClr>
                <a:schemeClr val="lt1"/>
              </a:bgClr>
            </a:pattFill>
            <a:ln>
              <a:noFill/>
            </a:ln>
            <a:effectLst/>
          </c:spPr>
          <c:invertIfNegative val="0"/>
          <c:dLbls>
            <c:spPr>
              <a:solidFill>
                <a:schemeClr val="accent1">
                  <a:alpha val="70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strRef>
              <c:f>'Stabilitas Politik OKI'!$B$2:$B$57</c:f>
              <c:strCache>
                <c:ptCount val="56"/>
                <c:pt idx="0">
                  <c:v>Afghanistan</c:v>
                </c:pt>
                <c:pt idx="1">
                  <c:v>Albania</c:v>
                </c:pt>
                <c:pt idx="2">
                  <c:v>Algeria</c:v>
                </c:pt>
                <c:pt idx="3">
                  <c:v>Azerbaijan</c:v>
                </c:pt>
                <c:pt idx="4">
                  <c:v>Bahrain</c:v>
                </c:pt>
                <c:pt idx="5">
                  <c:v>Bangladesh</c:v>
                </c:pt>
                <c:pt idx="6">
                  <c:v>Benin</c:v>
                </c:pt>
                <c:pt idx="7">
                  <c:v>Brunei Darussalam</c:v>
                </c:pt>
                <c:pt idx="8">
                  <c:v>Burkina Faso</c:v>
                </c:pt>
                <c:pt idx="9">
                  <c:v>Chad</c:v>
                </c:pt>
                <c:pt idx="10">
                  <c:v>Cameroon</c:v>
                </c:pt>
                <c:pt idx="11">
                  <c:v>Comoros</c:v>
                </c:pt>
                <c:pt idx="12">
                  <c:v>Côte d'Ivoire</c:v>
                </c:pt>
                <c:pt idx="13">
                  <c:v>Djibouti</c:v>
                </c:pt>
                <c:pt idx="14">
                  <c:v>Egypt, Arab Rep.</c:v>
                </c:pt>
                <c:pt idx="15">
                  <c:v>Gabon</c:v>
                </c:pt>
                <c:pt idx="16">
                  <c:v>Gambia, The</c:v>
                </c:pt>
                <c:pt idx="17">
                  <c:v>Guinea</c:v>
                </c:pt>
                <c:pt idx="18">
                  <c:v>Guinea-Bissau</c:v>
                </c:pt>
                <c:pt idx="19">
                  <c:v>Guyana</c:v>
                </c:pt>
                <c:pt idx="20">
                  <c:v>Indonesia</c:v>
                </c:pt>
                <c:pt idx="21">
                  <c:v>Iran, Islamic Rep.</c:v>
                </c:pt>
                <c:pt idx="22">
                  <c:v>Iraq</c:v>
                </c:pt>
                <c:pt idx="23">
                  <c:v>Jordan</c:v>
                </c:pt>
                <c:pt idx="24">
                  <c:v>Kazakhstan</c:v>
                </c:pt>
                <c:pt idx="25">
                  <c:v>Kuwait</c:v>
                </c:pt>
                <c:pt idx="26">
                  <c:v>Kyrgyz Republic</c:v>
                </c:pt>
                <c:pt idx="27">
                  <c:v>Lebanon</c:v>
                </c:pt>
                <c:pt idx="28">
                  <c:v>Libya</c:v>
                </c:pt>
                <c:pt idx="29">
                  <c:v>Malaysia</c:v>
                </c:pt>
                <c:pt idx="30">
                  <c:v>Maldives</c:v>
                </c:pt>
                <c:pt idx="31">
                  <c:v>Mali</c:v>
                </c:pt>
                <c:pt idx="32">
                  <c:v>Mauritania</c:v>
                </c:pt>
                <c:pt idx="33">
                  <c:v>Morocco</c:v>
                </c:pt>
                <c:pt idx="34">
                  <c:v>Mozambique</c:v>
                </c:pt>
                <c:pt idx="35">
                  <c:v>Niger</c:v>
                </c:pt>
                <c:pt idx="36">
                  <c:v>Nigeria</c:v>
                </c:pt>
                <c:pt idx="37">
                  <c:v>Oman</c:v>
                </c:pt>
                <c:pt idx="38">
                  <c:v>Pakistan</c:v>
                </c:pt>
                <c:pt idx="39">
                  <c:v>Qatar</c:v>
                </c:pt>
                <c:pt idx="40">
                  <c:v>Sierra Leone</c:v>
                </c:pt>
                <c:pt idx="41">
                  <c:v>Senegal</c:v>
                </c:pt>
                <c:pt idx="42">
                  <c:v>Saudi Arabia</c:v>
                </c:pt>
                <c:pt idx="43">
                  <c:v>Somalia</c:v>
                </c:pt>
                <c:pt idx="44">
                  <c:v>Sudan</c:v>
                </c:pt>
                <c:pt idx="45">
                  <c:v>Suriname</c:v>
                </c:pt>
                <c:pt idx="46">
                  <c:v>Syrian Arab Republic</c:v>
                </c:pt>
                <c:pt idx="47">
                  <c:v>Tajikistan</c:v>
                </c:pt>
                <c:pt idx="48">
                  <c:v>Togo</c:v>
                </c:pt>
                <c:pt idx="49">
                  <c:v>Tunisia</c:v>
                </c:pt>
                <c:pt idx="50">
                  <c:v>Türkiye</c:v>
                </c:pt>
                <c:pt idx="51">
                  <c:v>Turkmenistan</c:v>
                </c:pt>
                <c:pt idx="52">
                  <c:v>Uganda</c:v>
                </c:pt>
                <c:pt idx="53">
                  <c:v>United Arab Emirates</c:v>
                </c:pt>
                <c:pt idx="54">
                  <c:v>Uzbekistan</c:v>
                </c:pt>
                <c:pt idx="55">
                  <c:v>Yemen, Rep.</c:v>
                </c:pt>
              </c:strCache>
            </c:strRef>
          </c:cat>
          <c:val>
            <c:numRef>
              <c:f>'Stabilitas Politik OKI'!$C$2:$C$57</c:f>
              <c:numCache>
                <c:formatCode>0.00</c:formatCode>
                <c:ptCount val="56"/>
                <c:pt idx="0">
                  <c:v>-2.5953344215046275</c:v>
                </c:pt>
                <c:pt idx="1">
                  <c:v>0.17271235788410361</c:v>
                </c:pt>
                <c:pt idx="2">
                  <c:v>-1.070834214037115</c:v>
                </c:pt>
                <c:pt idx="3">
                  <c:v>-0.68974853645671497</c:v>
                </c:pt>
                <c:pt idx="4">
                  <c:v>-0.88663485917178064</c:v>
                </c:pt>
                <c:pt idx="5">
                  <c:v>-1.1689612648703835</c:v>
                </c:pt>
                <c:pt idx="6">
                  <c:v>-2.3116479394957423E-2</c:v>
                </c:pt>
                <c:pt idx="7">
                  <c:v>1.1443948474797336</c:v>
                </c:pt>
                <c:pt idx="8">
                  <c:v>-0.96574670076370239</c:v>
                </c:pt>
                <c:pt idx="9">
                  <c:v>-1.2720787145874717</c:v>
                </c:pt>
                <c:pt idx="10">
                  <c:v>-1.0781632228331133</c:v>
                </c:pt>
                <c:pt idx="11">
                  <c:v>-0.23718384450132196</c:v>
                </c:pt>
                <c:pt idx="12">
                  <c:v>-1.0449160716750405</c:v>
                </c:pt>
                <c:pt idx="13">
                  <c:v>-0.36289745366031473</c:v>
                </c:pt>
                <c:pt idx="14">
                  <c:v>-1.3624418865550647</c:v>
                </c:pt>
                <c:pt idx="15">
                  <c:v>4.4445197351954201E-2</c:v>
                </c:pt>
                <c:pt idx="16">
                  <c:v>-1.0727092430567031E-2</c:v>
                </c:pt>
                <c:pt idx="17">
                  <c:v>-0.88246398622339417</c:v>
                </c:pt>
                <c:pt idx="18">
                  <c:v>-0.64030527255751868</c:v>
                </c:pt>
                <c:pt idx="19">
                  <c:v>-0.22268894890492613</c:v>
                </c:pt>
                <c:pt idx="20">
                  <c:v>-0.5254465287381952</c:v>
                </c:pt>
                <c:pt idx="21">
                  <c:v>-1.2651521942832253</c:v>
                </c:pt>
                <c:pt idx="22">
                  <c:v>-2.2860773693431509</c:v>
                </c:pt>
                <c:pt idx="23">
                  <c:v>-0.44864964756098663</c:v>
                </c:pt>
                <c:pt idx="24">
                  <c:v>-0.1668492779135704</c:v>
                </c:pt>
                <c:pt idx="25">
                  <c:v>0.12408984655683691</c:v>
                </c:pt>
                <c:pt idx="26">
                  <c:v>-0.66320601647550415</c:v>
                </c:pt>
                <c:pt idx="27">
                  <c:v>-1.6339983831752429</c:v>
                </c:pt>
                <c:pt idx="28">
                  <c:v>-2.1594912355596367</c:v>
                </c:pt>
                <c:pt idx="29">
                  <c:v>0.14100216680460356</c:v>
                </c:pt>
                <c:pt idx="30">
                  <c:v>0.20744479786265979</c:v>
                </c:pt>
                <c:pt idx="31">
                  <c:v>-1.8331846215508201</c:v>
                </c:pt>
                <c:pt idx="32">
                  <c:v>-0.77382401444695215</c:v>
                </c:pt>
                <c:pt idx="33">
                  <c:v>-0.38767689737406646</c:v>
                </c:pt>
                <c:pt idx="34">
                  <c:v>-0.58879357305440039</c:v>
                </c:pt>
                <c:pt idx="35">
                  <c:v>-1.2734749479727312</c:v>
                </c:pt>
                <c:pt idx="36">
                  <c:v>-1.9719423055648804</c:v>
                </c:pt>
                <c:pt idx="37">
                  <c:v>0.59596723318099976</c:v>
                </c:pt>
                <c:pt idx="38">
                  <c:v>-2.3500592383471401</c:v>
                </c:pt>
                <c:pt idx="39">
                  <c:v>0.92312052033164282</c:v>
                </c:pt>
                <c:pt idx="40">
                  <c:v>-0.14792480421337215</c:v>
                </c:pt>
                <c:pt idx="41">
                  <c:v>-0.12698950449174101</c:v>
                </c:pt>
                <c:pt idx="42">
                  <c:v>-0.52925375645810913</c:v>
                </c:pt>
                <c:pt idx="43">
                  <c:v>-2.5566824349490078</c:v>
                </c:pt>
                <c:pt idx="44">
                  <c:v>-2.0854817845604638</c:v>
                </c:pt>
                <c:pt idx="45">
                  <c:v>0.19016820598732342</c:v>
                </c:pt>
                <c:pt idx="46">
                  <c:v>-2.68006554516879</c:v>
                </c:pt>
                <c:pt idx="47">
                  <c:v>-0.80515788360075513</c:v>
                </c:pt>
                <c:pt idx="48">
                  <c:v>-0.53522749109701673</c:v>
                </c:pt>
                <c:pt idx="49">
                  <c:v>-0.81548920815641235</c:v>
                </c:pt>
                <c:pt idx="50">
                  <c:v>-1.3394180644642224</c:v>
                </c:pt>
                <c:pt idx="51">
                  <c:v>-1.2328260070220991E-2</c:v>
                </c:pt>
                <c:pt idx="52">
                  <c:v>-0.79812455719167541</c:v>
                </c:pt>
                <c:pt idx="53">
                  <c:v>0.73112945123152295</c:v>
                </c:pt>
                <c:pt idx="54">
                  <c:v>-0.36918111687356775</c:v>
                </c:pt>
                <c:pt idx="55">
                  <c:v>-2.6663874712857334</c:v>
                </c:pt>
              </c:numCache>
            </c:numRef>
          </c:val>
          <c:extLst>
            <c:ext xmlns:c16="http://schemas.microsoft.com/office/drawing/2014/chart" uri="{C3380CC4-5D6E-409C-BE32-E72D297353CC}">
              <c16:uniqueId val="{00000000-EF25-4829-B860-0C80684C75BA}"/>
            </c:ext>
          </c:extLst>
        </c:ser>
        <c:dLbls>
          <c:dLblPos val="inEnd"/>
          <c:showLegendKey val="0"/>
          <c:showVal val="1"/>
          <c:showCatName val="0"/>
          <c:showSerName val="0"/>
          <c:showPercent val="0"/>
          <c:showBubbleSize val="0"/>
        </c:dLbls>
        <c:gapWidth val="269"/>
        <c:overlap val="-20"/>
        <c:axId val="464393752"/>
        <c:axId val="464394736"/>
      </c:barChart>
      <c:catAx>
        <c:axId val="464393752"/>
        <c:scaling>
          <c:orientation val="minMax"/>
        </c:scaling>
        <c:delete val="0"/>
        <c:axPos val="l"/>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id-ID"/>
          </a:p>
        </c:txPr>
        <c:crossAx val="464394736"/>
        <c:crosses val="autoZero"/>
        <c:auto val="1"/>
        <c:lblAlgn val="ctr"/>
        <c:lblOffset val="100"/>
        <c:noMultiLvlLbl val="0"/>
      </c:catAx>
      <c:valAx>
        <c:axId val="464394736"/>
        <c:scaling>
          <c:orientation val="minMax"/>
        </c:scaling>
        <c:delete val="0"/>
        <c:axPos val="b"/>
        <c:majorGridlines>
          <c:spPr>
            <a:ln w="9525" cap="flat" cmpd="sng" algn="ctr">
              <a:solidFill>
                <a:schemeClr val="lt1">
                  <a:alpha val="2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id-ID"/>
          </a:p>
        </c:txPr>
        <c:crossAx val="464393752"/>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accent1"/>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6">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gq25qfc7q7ULh6r3XjPBtOcMcA==">AMUW2mWHzcPuPE9gtHK4Rw67giZ/BxS5BQcst6P0uaudVi+EHX2uGObkvj0YHSOkGYjsaLM235KkDIKg2Pnoufx40NsMjsoeyhBr78QVEpUkB+TF7GWsAn/iC9YIAg6lgTo7FU+GgaQF4eReEsuiW50wJOemMwbeng==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41B88B-1DB6-42B1-B0B9-1BACAA9EE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18</Pages>
  <Words>29990</Words>
  <Characters>170948</Characters>
  <Application>Microsoft Office Word</Application>
  <DocSecurity>0</DocSecurity>
  <Lines>1424</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Wafiyulloh Mubarrok</dc:creator>
  <cp:lastModifiedBy>izzatu dzihny</cp:lastModifiedBy>
  <cp:revision>113</cp:revision>
  <dcterms:created xsi:type="dcterms:W3CDTF">2020-12-07T04:42:00Z</dcterms:created>
  <dcterms:modified xsi:type="dcterms:W3CDTF">2023-09-28T21:05:00Z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b65a6f7d-43ff-3ce3-9966-4fd03839fc25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