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C850C3" w14:textId="1C0B65C7" w:rsidR="00A84979" w:rsidRPr="005F6FF4" w:rsidRDefault="00BC037B" w:rsidP="00A84979">
      <w:pPr>
        <w:jc w:val="center"/>
        <w:rPr>
          <w:rFonts w:cstheme="minorHAnsi"/>
          <w:b/>
          <w:bCs/>
          <w:sz w:val="28"/>
          <w:szCs w:val="28"/>
          <w:lang w:val="en-GB"/>
        </w:rPr>
      </w:pPr>
      <w:bookmarkStart w:id="0" w:name="_Hlk145768235"/>
      <w:r w:rsidRPr="005F6FF4">
        <w:rPr>
          <w:rFonts w:cstheme="minorHAnsi"/>
          <w:b/>
          <w:bCs/>
          <w:sz w:val="28"/>
          <w:szCs w:val="28"/>
          <w:lang w:val="en-GB"/>
        </w:rPr>
        <w:t>Digital Transformation</w:t>
      </w:r>
      <w:r w:rsidR="0038350D" w:rsidRPr="005F6FF4">
        <w:rPr>
          <w:rFonts w:cstheme="minorHAnsi"/>
          <w:b/>
          <w:bCs/>
          <w:sz w:val="28"/>
          <w:szCs w:val="28"/>
          <w:lang w:val="en-GB"/>
        </w:rPr>
        <w:t xml:space="preserve"> and </w:t>
      </w:r>
      <w:r w:rsidR="00B25C39" w:rsidRPr="005F6FF4">
        <w:rPr>
          <w:rFonts w:cstheme="minorHAnsi"/>
          <w:b/>
          <w:bCs/>
          <w:sz w:val="28"/>
          <w:szCs w:val="28"/>
          <w:lang w:val="en-GB"/>
        </w:rPr>
        <w:t xml:space="preserve">Its Impact on </w:t>
      </w:r>
      <w:r w:rsidR="0038350D" w:rsidRPr="005F6FF4">
        <w:rPr>
          <w:rFonts w:cstheme="minorHAnsi"/>
          <w:b/>
          <w:bCs/>
          <w:sz w:val="28"/>
          <w:szCs w:val="28"/>
          <w:lang w:val="en-GB"/>
        </w:rPr>
        <w:t>Inclusive Growth</w:t>
      </w:r>
      <w:r w:rsidRPr="005F6FF4">
        <w:rPr>
          <w:rFonts w:cstheme="minorHAnsi"/>
          <w:b/>
          <w:bCs/>
          <w:sz w:val="28"/>
          <w:szCs w:val="28"/>
          <w:lang w:val="en-GB"/>
        </w:rPr>
        <w:t xml:space="preserve">: </w:t>
      </w:r>
      <w:r w:rsidR="00243524" w:rsidRPr="005F6FF4">
        <w:rPr>
          <w:rFonts w:cstheme="minorHAnsi"/>
          <w:b/>
          <w:bCs/>
          <w:sz w:val="28"/>
          <w:szCs w:val="28"/>
          <w:lang w:val="en-GB"/>
        </w:rPr>
        <w:t>A Four-Decade Experience in Indonesia</w:t>
      </w:r>
    </w:p>
    <w:bookmarkEnd w:id="0"/>
    <w:p w14:paraId="16E308E1" w14:textId="41FD7FCA" w:rsidR="008E2E64" w:rsidRPr="005F6FF4" w:rsidRDefault="008E2E64" w:rsidP="008E2E64">
      <w:pPr>
        <w:ind w:firstLine="709"/>
        <w:jc w:val="center"/>
        <w:rPr>
          <w:rFonts w:cstheme="minorHAnsi"/>
          <w:b/>
          <w:bCs/>
        </w:rPr>
      </w:pPr>
      <w:r w:rsidRPr="005F6FF4">
        <w:rPr>
          <w:rFonts w:cstheme="minorHAnsi"/>
          <w:b/>
          <w:bCs/>
        </w:rPr>
        <w:t>Visi Saujaningati Kristyanto</w:t>
      </w:r>
      <w:r w:rsidRPr="005F6FF4">
        <w:rPr>
          <w:rFonts w:cstheme="minorHAnsi"/>
          <w:b/>
          <w:bCs/>
          <w:vertAlign w:val="superscript"/>
        </w:rPr>
        <w:t>1</w:t>
      </w:r>
      <w:r w:rsidRPr="005F6FF4">
        <w:rPr>
          <w:rFonts w:cstheme="minorHAnsi"/>
          <w:b/>
          <w:bCs/>
        </w:rPr>
        <w:t xml:space="preserve"> and Hidsal Jamil</w:t>
      </w:r>
      <w:r w:rsidRPr="005F6FF4">
        <w:rPr>
          <w:rFonts w:cstheme="minorHAnsi"/>
          <w:b/>
          <w:bCs/>
          <w:vertAlign w:val="superscript"/>
        </w:rPr>
        <w:t>2</w:t>
      </w:r>
    </w:p>
    <w:p w14:paraId="1ED84D12" w14:textId="77777777" w:rsidR="008E2E64" w:rsidRPr="005F6FF4" w:rsidRDefault="008E2E64" w:rsidP="008E2E64">
      <w:pPr>
        <w:spacing w:after="0"/>
        <w:ind w:firstLine="709"/>
        <w:jc w:val="center"/>
        <w:rPr>
          <w:rFonts w:cstheme="minorHAnsi"/>
          <w:bCs/>
        </w:rPr>
      </w:pPr>
      <w:r w:rsidRPr="005F6FF4">
        <w:rPr>
          <w:rFonts w:cstheme="minorHAnsi"/>
          <w:bCs/>
          <w:vertAlign w:val="superscript"/>
        </w:rPr>
        <w:t>1</w:t>
      </w:r>
      <w:r w:rsidRPr="005F6FF4">
        <w:rPr>
          <w:rFonts w:cstheme="minorHAnsi"/>
          <w:bCs/>
        </w:rPr>
        <w:t>Department of Management, Universitas Katolik Widya Mandala Surabaya, Indonesia</w:t>
      </w:r>
    </w:p>
    <w:p w14:paraId="6B118141" w14:textId="77777777" w:rsidR="008E2E64" w:rsidRPr="005F6FF4" w:rsidRDefault="008E2E64" w:rsidP="008E2E64">
      <w:pPr>
        <w:ind w:firstLine="709"/>
        <w:jc w:val="center"/>
        <w:rPr>
          <w:rFonts w:cstheme="minorHAnsi"/>
          <w:bCs/>
        </w:rPr>
      </w:pPr>
      <w:r w:rsidRPr="005F6FF4">
        <w:rPr>
          <w:rFonts w:cstheme="minorHAnsi"/>
          <w:b/>
          <w:bCs/>
        </w:rPr>
        <w:t xml:space="preserve"> </w:t>
      </w:r>
      <w:r w:rsidRPr="005F6FF4">
        <w:rPr>
          <w:rFonts w:cstheme="minorHAnsi"/>
          <w:bCs/>
          <w:vertAlign w:val="superscript"/>
        </w:rPr>
        <w:t>2*</w:t>
      </w:r>
      <w:r w:rsidRPr="005F6FF4">
        <w:rPr>
          <w:rFonts w:cstheme="minorHAnsi"/>
          <w:bCs/>
        </w:rPr>
        <w:t>Department of Economics, Universitas Brawijaya, Indonesia &amp; Pusat Kajian Ekonomi Pembangunan dan Kerakyatan (PKEPK), Indonesia</w:t>
      </w:r>
    </w:p>
    <w:p w14:paraId="5D219C7E" w14:textId="6F45B5F6" w:rsidR="008E2E64" w:rsidRPr="005F6FF4" w:rsidRDefault="008E2E64" w:rsidP="008E2E64">
      <w:pPr>
        <w:ind w:firstLine="709"/>
        <w:jc w:val="center"/>
        <w:rPr>
          <w:rFonts w:cstheme="minorHAnsi"/>
          <w:bCs/>
        </w:rPr>
      </w:pPr>
      <w:r w:rsidRPr="005F6FF4">
        <w:rPr>
          <w:rFonts w:cstheme="minorHAnsi"/>
          <w:bCs/>
        </w:rPr>
        <w:t xml:space="preserve">*Corresponding Author: </w:t>
      </w:r>
      <w:hyperlink r:id="rId6" w:history="1">
        <w:r w:rsidRPr="005F6FF4">
          <w:rPr>
            <w:rStyle w:val="Hyperlink"/>
            <w:rFonts w:cstheme="minorHAnsi"/>
            <w:bCs/>
          </w:rPr>
          <w:t>hidsaljamil@gmail.com</w:t>
        </w:r>
      </w:hyperlink>
      <w:r w:rsidRPr="005F6FF4">
        <w:rPr>
          <w:rFonts w:cstheme="minorHAnsi"/>
          <w:bCs/>
        </w:rPr>
        <w:t xml:space="preserve"> </w:t>
      </w:r>
    </w:p>
    <w:p w14:paraId="26301CE3" w14:textId="77777777" w:rsidR="00AD08D8" w:rsidRPr="005F6FF4" w:rsidRDefault="00AD08D8" w:rsidP="00DB1AB4">
      <w:pPr>
        <w:spacing w:after="0"/>
        <w:rPr>
          <w:b/>
        </w:rPr>
      </w:pPr>
    </w:p>
    <w:p w14:paraId="54FF3AC9" w14:textId="27EC100A" w:rsidR="00DB1AB4" w:rsidRPr="005F6FF4" w:rsidRDefault="00DB1AB4" w:rsidP="00DB1AB4">
      <w:pPr>
        <w:spacing w:after="0"/>
        <w:rPr>
          <w:b/>
        </w:rPr>
      </w:pPr>
      <w:r w:rsidRPr="005F6FF4">
        <w:rPr>
          <w:b/>
        </w:rPr>
        <w:t>Abstract</w:t>
      </w:r>
    </w:p>
    <w:p w14:paraId="063129DE" w14:textId="76FBF0CB" w:rsidR="00154643" w:rsidRPr="005F6FF4" w:rsidRDefault="00154643" w:rsidP="00FD6F82">
      <w:pPr>
        <w:spacing w:after="0"/>
        <w:jc w:val="both"/>
      </w:pPr>
      <w:r w:rsidRPr="005F6FF4">
        <w:t>The debate over whether digital transformation benefits or harms inclusive growth continues. Existing evidence in the literature, on the other hand, is frequently based on short study periods, subjective measurement issues, and endogeneity issues, resulting in less credible findings in previous studies.</w:t>
      </w:r>
      <w:r w:rsidR="003C7FF3" w:rsidRPr="005F6FF4">
        <w:t xml:space="preserve"> </w:t>
      </w:r>
      <w:r w:rsidR="00344786" w:rsidRPr="005F6FF4">
        <w:t xml:space="preserve">To address this gap, this study draws on four decades of Indonesian experience spanning 1980 to 2021, with a focus on two primary </w:t>
      </w:r>
      <w:r w:rsidR="00FD6F82" w:rsidRPr="005F6FF4">
        <w:t>objectives</w:t>
      </w:r>
      <w:r w:rsidR="00344786" w:rsidRPr="005F6FF4">
        <w:t>.</w:t>
      </w:r>
      <w:r w:rsidR="00FD6F82" w:rsidRPr="005F6FF4">
        <w:t xml:space="preserve"> First, this study utilises Principal Component Analysis (PCA) to assess the key factors forming the progress of digital transformation and inclusive growth. Second, the Two-Stage Least Square</w:t>
      </w:r>
      <w:r w:rsidR="00B61819" w:rsidRPr="005F6FF4">
        <w:t xml:space="preserve"> (2SLS) </w:t>
      </w:r>
      <w:r w:rsidR="00FD6F82" w:rsidRPr="005F6FF4">
        <w:t xml:space="preserve">estimation method is applied in this study to investigate the endogenous impact of digital transformation on inclusive growth. </w:t>
      </w:r>
      <w:r w:rsidR="0007603B" w:rsidRPr="005F6FF4">
        <w:t xml:space="preserve">The PCA results show that medium and high-tech manufacturing play a dominant role in representing digital transformation, while GDP per capita growth and poverty alleviation are the primary contributors to measuring inclusive growth. The 2SLS estimation shows that digital transformation significantly promotes inclusive growth in Indonesia, with its impact closely related to the previous year's digital transformation status. </w:t>
      </w:r>
      <w:r w:rsidR="007D6691" w:rsidRPr="005F6FF4">
        <w:t>When these findings are considered jointly, it is clear that the beneficial effects of digital transformation are mainly explained by how medium and high-tech manufacturing sectors can stimulate inclusive growth in the context of increasing GDP per capita and reducing poverty</w:t>
      </w:r>
      <w:r w:rsidR="003C7FF3" w:rsidRPr="005F6FF4">
        <w:t xml:space="preserve"> in Indonesia</w:t>
      </w:r>
      <w:r w:rsidR="007D6691" w:rsidRPr="005F6FF4">
        <w:t xml:space="preserve">. </w:t>
      </w:r>
    </w:p>
    <w:p w14:paraId="283116B3" w14:textId="77777777" w:rsidR="00154643" w:rsidRPr="005F6FF4" w:rsidRDefault="00154643" w:rsidP="00154643">
      <w:pPr>
        <w:spacing w:after="0"/>
        <w:jc w:val="both"/>
        <w:rPr>
          <w:rFonts w:cstheme="minorHAnsi"/>
          <w:lang w:val="en-GB"/>
        </w:rPr>
      </w:pPr>
    </w:p>
    <w:p w14:paraId="4CBED559" w14:textId="15FD3C2C" w:rsidR="00DB1AB4" w:rsidRPr="005F6FF4" w:rsidRDefault="00DB1AB4" w:rsidP="00DB1AB4">
      <w:pPr>
        <w:spacing w:after="0"/>
        <w:jc w:val="both"/>
      </w:pPr>
      <w:r w:rsidRPr="005F6FF4">
        <w:rPr>
          <w:b/>
        </w:rPr>
        <w:t>Keywords</w:t>
      </w:r>
      <w:r w:rsidRPr="005F6FF4">
        <w:t xml:space="preserve">: </w:t>
      </w:r>
      <w:r w:rsidR="000D4677" w:rsidRPr="005F6FF4">
        <w:t xml:space="preserve">Digital Transformation, Inclusive Growth, </w:t>
      </w:r>
      <w:r w:rsidR="003332FB" w:rsidRPr="005F6FF4">
        <w:t>medium and high-tech manufacturing, GDP</w:t>
      </w:r>
      <w:r w:rsidR="0007603B" w:rsidRPr="005F6FF4">
        <w:t xml:space="preserve"> per capita</w:t>
      </w:r>
      <w:r w:rsidR="003332FB" w:rsidRPr="005F6FF4">
        <w:t xml:space="preserve"> Growth, Poverty</w:t>
      </w:r>
    </w:p>
    <w:p w14:paraId="40FB63C6" w14:textId="55E9A356" w:rsidR="00DB1AB4" w:rsidRPr="005F6FF4" w:rsidRDefault="00DB1AB4" w:rsidP="006C1F9C">
      <w:pPr>
        <w:jc w:val="both"/>
      </w:pPr>
      <w:r w:rsidRPr="005F6FF4">
        <w:rPr>
          <w:b/>
        </w:rPr>
        <w:t xml:space="preserve">JEL Classification: </w:t>
      </w:r>
      <w:r w:rsidR="00DF1E30" w:rsidRPr="005F6FF4">
        <w:rPr>
          <w:bCs/>
        </w:rPr>
        <w:t xml:space="preserve">I32, </w:t>
      </w:r>
      <w:r w:rsidR="009F272B" w:rsidRPr="005F6FF4">
        <w:rPr>
          <w:bCs/>
        </w:rPr>
        <w:t xml:space="preserve">L23, </w:t>
      </w:r>
      <w:r w:rsidR="00DF1E30" w:rsidRPr="005F6FF4">
        <w:rPr>
          <w:bCs/>
        </w:rPr>
        <w:t>O14</w:t>
      </w:r>
      <w:r w:rsidR="009F272B" w:rsidRPr="005F6FF4">
        <w:rPr>
          <w:bCs/>
        </w:rPr>
        <w:t>, O47</w:t>
      </w:r>
    </w:p>
    <w:p w14:paraId="7245C708" w14:textId="426C7EB6" w:rsidR="00A03CFB" w:rsidRPr="005F6FF4" w:rsidRDefault="003F3397" w:rsidP="000B49AD">
      <w:pPr>
        <w:jc w:val="center"/>
        <w:rPr>
          <w:rFonts w:cstheme="minorHAnsi"/>
          <w:b/>
          <w:bCs/>
          <w:sz w:val="28"/>
          <w:szCs w:val="28"/>
          <w:lang w:val="en-GB"/>
        </w:rPr>
      </w:pPr>
      <w:r w:rsidRPr="005F6FF4">
        <w:rPr>
          <w:rFonts w:cstheme="minorHAnsi"/>
          <w:b/>
          <w:bCs/>
          <w:sz w:val="28"/>
          <w:szCs w:val="28"/>
          <w:lang w:val="en-GB"/>
        </w:rPr>
        <w:t>Introduction</w:t>
      </w:r>
    </w:p>
    <w:p w14:paraId="0C649EE8" w14:textId="25576207" w:rsidR="001F4C2A" w:rsidRPr="005F6FF4" w:rsidRDefault="001F4C2A" w:rsidP="00572FEF">
      <w:pPr>
        <w:jc w:val="both"/>
        <w:rPr>
          <w:rFonts w:cstheme="minorHAnsi"/>
          <w:lang w:val="en-GB"/>
        </w:rPr>
      </w:pPr>
      <w:commentRangeStart w:id="1"/>
      <w:r w:rsidRPr="005F6FF4">
        <w:rPr>
          <w:rFonts w:cstheme="minorHAnsi"/>
          <w:lang w:val="en-GB"/>
        </w:rPr>
        <w:t xml:space="preserve">Rapid advances in digital technology have </w:t>
      </w:r>
      <w:r w:rsidR="00280DF6">
        <w:rPr>
          <w:rFonts w:cstheme="minorHAnsi"/>
          <w:lang w:val="en-GB"/>
        </w:rPr>
        <w:t xml:space="preserve">led to </w:t>
      </w:r>
      <w:r w:rsidRPr="005F6FF4">
        <w:rPr>
          <w:rFonts w:cstheme="minorHAnsi"/>
          <w:lang w:val="en-GB"/>
        </w:rPr>
        <w:t>transformative changes</w:t>
      </w:r>
      <w:commentRangeEnd w:id="1"/>
      <w:r w:rsidR="00280DF6">
        <w:rPr>
          <w:rStyle w:val="CommentReference"/>
        </w:rPr>
        <w:commentReference w:id="1"/>
      </w:r>
      <w:r w:rsidRPr="005F6FF4">
        <w:rPr>
          <w:rFonts w:cstheme="minorHAnsi"/>
          <w:lang w:val="en-GB"/>
        </w:rPr>
        <w:t xml:space="preserve"> across various sectors and dimensions of society over the last few decades</w:t>
      </w:r>
      <w:r w:rsidR="003F3397" w:rsidRPr="005F6FF4">
        <w:rPr>
          <w:rFonts w:cstheme="minorHAnsi"/>
          <w:lang w:val="en-GB"/>
        </w:rPr>
        <w:t xml:space="preserve"> </w:t>
      </w:r>
      <w:r w:rsidR="003F3397" w:rsidRPr="005F6FF4">
        <w:rPr>
          <w:rFonts w:cstheme="minorHAnsi"/>
          <w:lang w:val="en-GB"/>
        </w:rPr>
        <w:fldChar w:fldCharType="begin" w:fldLock="1"/>
      </w:r>
      <w:r w:rsidR="00742A14" w:rsidRPr="005F6FF4">
        <w:rPr>
          <w:rFonts w:cstheme="minorHAnsi"/>
          <w:lang w:val="en-GB"/>
        </w:rPr>
        <w:instrText>ADDIN CSL_CITATION {"citationItems":[{"id":"ITEM-1","itemData":{"author":[{"dropping-particle":"","family":"World Bank","given":"","non-dropping-particle":"","parse-names":false,"suffix":""}],"id":"ITEM-1","issued":{"date-parts":[["2016"]]},"publisher-place":"Washington, DC","title":"World Development Report 2016 : Digital Dividends","type":"book"},"uris":["http://www.mendeley.com/documents/?uuid=80538de5-1c74-475c-9697-ccab628b57d8","http://www.mendeley.com/documents/?uuid=c8e1c0c8-b381-4dee-8a7a-2e0872dc0b34"]}],"mendeley":{"formattedCitation":"(World Bank, 2016)","plainTextFormattedCitation":"(World Bank, 2016)","previouslyFormattedCitation":"(World Bank, 2016)"},"properties":{"noteIndex":0},"schema":"https://github.com/citation-style-language/schema/raw/master/csl-citation.json"}</w:instrText>
      </w:r>
      <w:r w:rsidR="003F3397" w:rsidRPr="005F6FF4">
        <w:rPr>
          <w:rFonts w:cstheme="minorHAnsi"/>
          <w:lang w:val="en-GB"/>
        </w:rPr>
        <w:fldChar w:fldCharType="separate"/>
      </w:r>
      <w:r w:rsidR="003F3397" w:rsidRPr="005F6FF4">
        <w:rPr>
          <w:rFonts w:cstheme="minorHAnsi"/>
          <w:noProof/>
          <w:lang w:val="en-GB"/>
        </w:rPr>
        <w:t>(World Bank, 2016)</w:t>
      </w:r>
      <w:r w:rsidR="003F3397" w:rsidRPr="005F6FF4">
        <w:rPr>
          <w:rFonts w:cstheme="minorHAnsi"/>
          <w:lang w:val="en-GB"/>
        </w:rPr>
        <w:fldChar w:fldCharType="end"/>
      </w:r>
      <w:r w:rsidRPr="005F6FF4">
        <w:rPr>
          <w:rFonts w:cstheme="minorHAnsi"/>
          <w:lang w:val="en-GB"/>
        </w:rPr>
        <w:t>. This phenomenon, colloquially known as "digital transformation"</w:t>
      </w:r>
      <w:r w:rsidR="00F71A5E" w:rsidRPr="005F6FF4">
        <w:rPr>
          <w:rFonts w:cstheme="minorHAnsi"/>
          <w:lang w:val="en-GB"/>
        </w:rPr>
        <w:t xml:space="preserve"> </w:t>
      </w:r>
      <w:r w:rsidR="00F71A5E" w:rsidRPr="005F6FF4">
        <w:rPr>
          <w:rFonts w:cstheme="minorHAnsi"/>
          <w:lang w:val="en-GB"/>
        </w:rPr>
        <w:fldChar w:fldCharType="begin" w:fldLock="1"/>
      </w:r>
      <w:r w:rsidR="007D55DE" w:rsidRPr="005F6FF4">
        <w:rPr>
          <w:rFonts w:cstheme="minorHAnsi"/>
          <w:lang w:val="en-GB"/>
        </w:rPr>
        <w:instrText>ADDIN CSL_CITATION {"citationItems":[{"id":"ITEM-1","itemData":{"DOI":"10.3846/tede.2022.16766","ISSN":"2029-4913","abstract":"The paper aims to improve the methodology of the Digital Economic and Society Index (DESI), the European Commission’s newest index to assess the development of the digital economy. In particular, we investigate whether methodological changes to the structure of DESI improve its ability to capture the digital transformation of EU economies. Using the sensitivitybased analysis, we check whether the selection of weights of individual elements included in the DESI is optimal or should be improved. We also verify the importance of DESI in explaining changes in GDP per capita in EU economies. In the literature, we find that digital transformation has enabled the creation of new business models and maximized efficiency in traditional firms. Using DESI, we empirically test whether the gap between rich and poor countries in European Union can be closed or eliminated through rapid and intensive digital transformation. Our results show that the DESI – when modified by eliminating the pillars on internet services and digital public services – has the same explanatory power. Connectivity is the dimension with the largest impact on digital transformation in EU countries. We also find that DESI is a significant regressor to explain changes in GDP per capita in EU countries.","author":[{"dropping-particle":"","family":"Olczyk","given":"Magdalena","non-dropping-particle":"","parse-names":false,"suffix":""},{"dropping-particle":"","family":"Kuc-Czarnecka","given":"Marta","non-dropping-particle":"","parse-names":false,"suffix":""}],"container-title":"Technological and Economic Development of Economy","id":"ITEM-1","issue":"3","issued":{"date-parts":[["2022","4","29"]]},"page":"775-803","title":"Digital Transformation and Economic Growth – DESI Improvement and Implementation","type":"article-journal","volume":"28"},"uris":["http://www.mendeley.com/documents/?uuid=50fb77a4-0731-49c0-a231-64f70ebafced","http://www.mendeley.com/documents/?uuid=7d98a71e-d37f-4dd0-8242-45c49c309edc"]},{"id":"ITEM-2","itemData":{"DOI":"10.3390/su131911040","ISSN":"2071-1050","abstract":"Historically, new technologies have always increased the efficiency of production processes. Production process efficiency increases productivity. With the growth of productivity, there is usually an increase in sales and profit. Today’s world is mainly influenced by digital technologies. The digitization of production processes leads to the digital transformation of the business and natural economy sectors. If, like other technologies in the past, the effects of digital technologies are associated with a growth in efficiency, productivity and thus also revenues and profits, the aim of this article is to propose a model to assess the potential of a digital transformation from a macroeconomic perspective. The proposed model, which was based on a composite indicator expressing the potential for digital transformation, was quantified for a certain period and for a selected sample of countries. The potential for digital transformation can occur in any country, regardless of the purchasing power of its population and GDP per capita. We can assume that the economic benefits of digital technologies are obvious. Businesses operating in any country innovate and are driven by digital technologies. This is also reflected in employment. New workers who know how to work with digital technologies are needed. Therefore, the results of the assessments and the proposal itself serve as a basis for national policy makers to create national strategies for digital transformation.","author":[{"dropping-particle":"","family":"Corejova","given":"Tatiana","non-dropping-particle":"","parse-names":false,"suffix":""},{"dropping-particle":"","family":"Chinoracky","given":"Roman","non-dropping-particle":"","parse-names":false,"suffix":""}],"container-title":"Sustainability","id":"ITEM-2","issue":"19","issued":{"date-parts":[["2021","10","6"]]},"page":"11040","title":"Assessing the Potential for Digital Transformation","type":"article-journal","volume":"13"},"uris":["http://www.mendeley.com/documents/?uuid=3f5c0398-d8b2-4999-9f18-dbc9298095d5","http://www.mendeley.com/documents/?uuid=c6527354-595d-4f22-9317-5638c5ae2093","http://www.mendeley.com/documents/?uuid=9ebbbcc0-e8e5-4673-a3af-e222b50ef2e8"]},{"id":"ITEM-3","itemData":{"DOI":"10.1016/j.respol.2019.03.018","ISSN":"00487333","author":[{"dropping-particle":"","family":"Nambisan","given":"Satish","non-dropping-particle":"","parse-names":false,"suffix":""},{"dropping-particle":"","family":"Wright","given":"Mike","non-dropping-particle":"","parse-names":false,"suffix":""},{"dropping-particle":"","family":"Feldman","given":"Maryann","non-dropping-particle":"","parse-names":false,"suffix":""}],"container-title":"Research Policy","id":"ITEM-3","issue":"8","issued":{"date-parts":[["2019","10"]]},"page":"103773","title":"The digital transformation of innovation and entrepreneurship: Progress, challenges and key themes","type":"article-journal","volume":"48"},"uris":["http://www.mendeley.com/documents/?uuid=f43ea4f2-05b7-4555-b7bf-bee2ab3eecaf","http://www.mendeley.com/documents/?uuid=dfcbf379-6b54-4246-9dbf-31c274f34ea4","http://www.mendeley.com/documents/?uuid=cb10ccfc-4529-426f-8358-510c2db46c6f"]}],"mendeley":{"formattedCitation":"(Corejova &amp; Chinoracky, 2021; Nambisan et al., 2019; Olczyk &amp; Kuc-Czarnecka, 2022)","plainTextFormattedCitation":"(Corejova &amp; Chinoracky, 2021; Nambisan et al., 2019; Olczyk &amp; Kuc-Czarnecka, 2022)","previouslyFormattedCitation":"(Corejova &amp; Chinoracky, 2021; Nambisan et al., 2019; Olczyk &amp; Kuc-Czarnecka, 2022)"},"properties":{"noteIndex":0},"schema":"https://github.com/citation-style-language/schema/raw/master/csl-citation.json"}</w:instrText>
      </w:r>
      <w:r w:rsidR="00F71A5E" w:rsidRPr="005F6FF4">
        <w:rPr>
          <w:rFonts w:cstheme="minorHAnsi"/>
          <w:lang w:val="en-GB"/>
        </w:rPr>
        <w:fldChar w:fldCharType="separate"/>
      </w:r>
      <w:r w:rsidR="00F71A5E" w:rsidRPr="005F6FF4">
        <w:rPr>
          <w:rFonts w:cstheme="minorHAnsi"/>
          <w:noProof/>
          <w:lang w:val="en-GB"/>
        </w:rPr>
        <w:t>(Corejova &amp; Chinoracky, 2021; Nambisan et al., 2019; Olczyk &amp; Kuc-Czarnecka, 2022)</w:t>
      </w:r>
      <w:r w:rsidR="00F71A5E" w:rsidRPr="005F6FF4">
        <w:rPr>
          <w:rFonts w:cstheme="minorHAnsi"/>
          <w:lang w:val="en-GB"/>
        </w:rPr>
        <w:fldChar w:fldCharType="end"/>
      </w:r>
      <w:r w:rsidR="00E84C87" w:rsidRPr="005F6FF4">
        <w:rPr>
          <w:rFonts w:cstheme="minorHAnsi"/>
          <w:lang w:val="en-GB"/>
        </w:rPr>
        <w:t>,</w:t>
      </w:r>
      <w:r w:rsidR="003F3397" w:rsidRPr="005F6FF4">
        <w:rPr>
          <w:rFonts w:cstheme="minorHAnsi"/>
          <w:lang w:val="en-GB"/>
        </w:rPr>
        <w:t xml:space="preserve"> </w:t>
      </w:r>
      <w:r w:rsidRPr="005F6FF4">
        <w:rPr>
          <w:rFonts w:cstheme="minorHAnsi"/>
          <w:lang w:val="en-GB"/>
        </w:rPr>
        <w:t xml:space="preserve"> has created new opportunities, challenges, and new debates about the global economy and societies. At the heart of these debates is the fundamental question of whether digital transformation truly promotes inclusive growth, driving economic progress while ensuring equitable benefit distribution.</w:t>
      </w:r>
    </w:p>
    <w:p w14:paraId="23098559" w14:textId="405D9D2F" w:rsidR="00A0780D" w:rsidRPr="005F6FF4" w:rsidRDefault="001F4C2A" w:rsidP="00A0780D">
      <w:pPr>
        <w:jc w:val="both"/>
        <w:rPr>
          <w:rFonts w:cstheme="minorHAnsi"/>
          <w:lang w:val="en-GB"/>
        </w:rPr>
      </w:pPr>
      <w:r w:rsidRPr="005F6FF4">
        <w:rPr>
          <w:rFonts w:cstheme="minorHAnsi"/>
          <w:lang w:val="en-GB"/>
        </w:rPr>
        <w:t xml:space="preserve">The integration of digital technologies into various aspects of life is driving a comprehensive shift in </w:t>
      </w:r>
      <w:commentRangeStart w:id="2"/>
      <w:r w:rsidRPr="005F6FF4">
        <w:rPr>
          <w:rFonts w:cstheme="minorHAnsi"/>
          <w:lang w:val="en-GB"/>
        </w:rPr>
        <w:t>how societies work</w:t>
      </w:r>
      <w:commentRangeEnd w:id="2"/>
      <w:r w:rsidR="00280DF6">
        <w:rPr>
          <w:rStyle w:val="CommentReference"/>
        </w:rPr>
        <w:commentReference w:id="2"/>
      </w:r>
      <w:r w:rsidRPr="005F6FF4">
        <w:rPr>
          <w:rFonts w:cstheme="minorHAnsi"/>
          <w:lang w:val="en-GB"/>
        </w:rPr>
        <w:t>. Changes in communication, production processes, services, governance, and other areas often result in increased efficiency, improved connectivity, and novel forms of economic interaction</w:t>
      </w:r>
      <w:r w:rsidR="00A0780D" w:rsidRPr="005F6FF4">
        <w:rPr>
          <w:rFonts w:cstheme="minorHAnsi"/>
          <w:lang w:val="en-GB"/>
        </w:rPr>
        <w:t xml:space="preserve"> </w:t>
      </w:r>
      <w:r w:rsidR="00A0780D" w:rsidRPr="005F6FF4">
        <w:rPr>
          <w:rFonts w:cstheme="minorHAnsi"/>
          <w:lang w:val="en-GB"/>
        </w:rPr>
        <w:fldChar w:fldCharType="begin" w:fldLock="1"/>
      </w:r>
      <w:r w:rsidR="007D55DE" w:rsidRPr="005F6FF4">
        <w:rPr>
          <w:rFonts w:cstheme="minorHAnsi"/>
          <w:lang w:val="en-GB"/>
        </w:rPr>
        <w:instrText>ADDIN CSL_CITATION {"citationItems":[{"id":"ITEM-1","itemData":{"DOI":"10.1093/cje/bey023","ISSN":"0309-166X","author":[{"dropping-particle":"","family":"Pyke","given":"Frank","non-dropping-particle":"","parse-names":false,"suffix":""}],"container-title":"Cambridge Journal of Economics","id":"ITEM-1","issue":"6","issued":{"date-parts":[["2018","11","9"]]},"page":"1687-1695","title":"Managing technological change for inclusive growth","type":"article-journal","volume":"42"},"uris":["http://www.mendeley.com/documents/?uuid=d6f362b4-1c69-4d66-b3ae-abae35bcc31e","http://www.mendeley.com/documents/?uuid=2cf27168-62ef-489c-bd33-f1dc38092429"]}],"mendeley":{"formattedCitation":"(Pyke, 2018)","plainTextFormattedCitation":"(Pyke, 2018)","previouslyFormattedCitation":"(Pyke, 2018)"},"properties":{"noteIndex":0},"schema":"https://github.com/citation-style-language/schema/raw/master/csl-citation.json"}</w:instrText>
      </w:r>
      <w:r w:rsidR="00A0780D" w:rsidRPr="005F6FF4">
        <w:rPr>
          <w:rFonts w:cstheme="minorHAnsi"/>
          <w:lang w:val="en-GB"/>
        </w:rPr>
        <w:fldChar w:fldCharType="separate"/>
      </w:r>
      <w:r w:rsidR="00A0780D" w:rsidRPr="005F6FF4">
        <w:rPr>
          <w:rFonts w:cstheme="minorHAnsi"/>
          <w:noProof/>
          <w:lang w:val="en-GB"/>
        </w:rPr>
        <w:t>(Pyke, 2018)</w:t>
      </w:r>
      <w:r w:rsidR="00A0780D" w:rsidRPr="005F6FF4">
        <w:rPr>
          <w:rFonts w:cstheme="minorHAnsi"/>
          <w:lang w:val="en-GB"/>
        </w:rPr>
        <w:fldChar w:fldCharType="end"/>
      </w:r>
      <w:r w:rsidRPr="005F6FF4">
        <w:rPr>
          <w:rFonts w:cstheme="minorHAnsi"/>
          <w:lang w:val="en-GB"/>
        </w:rPr>
        <w:t>. Digital transformation proponents argue that it has the potential to stimulate inclusive growth by opening up access to information, services, and markets, allowing marginalised groups to participate in economic activities</w:t>
      </w:r>
      <w:r w:rsidR="00E84C87" w:rsidRPr="005F6FF4">
        <w:rPr>
          <w:rFonts w:cstheme="minorHAnsi"/>
          <w:lang w:val="en-GB"/>
        </w:rPr>
        <w:t xml:space="preserve"> </w:t>
      </w:r>
      <w:r w:rsidR="00F71A5E" w:rsidRPr="005F6FF4">
        <w:rPr>
          <w:rFonts w:cstheme="minorHAnsi"/>
          <w:lang w:val="en-GB"/>
        </w:rPr>
        <w:fldChar w:fldCharType="begin" w:fldLock="1"/>
      </w:r>
      <w:r w:rsidR="007D55DE" w:rsidRPr="005F6FF4">
        <w:rPr>
          <w:rFonts w:cstheme="minorHAnsi"/>
          <w:lang w:val="en-GB"/>
        </w:rPr>
        <w:instrText>ADDIN CSL_CITATION {"citationItems":[{"id":"ITEM-1","itemData":{"DOI":"10.1016/j.im.2020.103384","ISSN":"03787206","author":[{"dropping-particle":"","family":"Leong","given":"Carmen","non-dropping-particle":"","parse-names":false,"suffix":""},{"dropping-particle":"","family":"Tan","given":"Felix Ter Chian","non-dropping-particle":"","parse-names":false,"suffix":""},{"dropping-particle":"","family":"Tan","given":"Barney","non-dropping-particle":"","parse-names":false,"suffix":""},{"dropping-particle":"","family":"Faisal","given":"Fithra","non-dropping-particle":"","parse-names":false,"suffix":""}],"container-title":"Information &amp; Management","id":"ITEM-1","issue":"3","issued":{"date-parts":[["2022","4"]]},"page":"103384","title":"The emancipatory potential of digital entrepreneurship: A study of financial technology-driven inclusive growth","type":"article-journal","volume":"59"},"uris":["http://www.mendeley.com/documents/?uuid=405e6b2d-d0ff-4d5f-a5e5-6984d966731e","http://www.mendeley.com/documents/?uuid=13e80186-0b7a-41e4-96b5-8d1e9e75fcfe"]},{"id":"ITEM-2","itemData":{"DOI":"10.24891/re.20.5.904","ISSN":"20731477","abstract":"Subject. This article explores the relationship between the digital transformation of the region and the prospects for its inclusive economic growth. Objectives. The article aims to develop and test the tools for diagnosing an inclusive model of development of regional socio-economic systems in the context of digitalization. Methods. For the study, we used the methods of indicative analysis and descriptive and explicit evaluation. Results. The article presents the author-developed dynamic time series of the studied indicators for the period from 2016 to 2020 and an assessment of the qualitative and quantitative parameters of the digital transformation and inclusive development of the Volga Federal District regions. It reveals that the digital transformation of the region has the greatest impact on the parameter Growth and Development. Conclusions. The developed approach should be used to assess the current and future parameters of the development of regional socio-economic systems.","author":[{"dropping-particle":"","family":"Burganov","given":"Rafis T.","non-dropping-particle":"","parse-names":false,"suffix":""},{"dropping-particle":"","family":"Gafarov","given":"Marat R.","non-dropping-particle":"","parse-names":false,"suffix":""},{"dropping-particle":"","family":"El'shin","given":"Leonid A.","non-dropping-particle":"","parse-names":false,"suffix":""}],"container-title":"Regional Economics: Theory and Practice","id":"ITEM-2","issue":"5","issued":{"date-parts":[["2022","5","16"]]},"page":"904-919","title":"A factor analysis of digitalization impact on the region's inclusive growth","type":"article-journal","volume":"20"},"uris":["http://www.mendeley.com/documents/?uuid=72e52251-1642-4842-ab8d-e91fb176403b","http://www.mendeley.com/documents/?uuid=4b16af03-f476-43c1-b13c-cb3905f4d75b","http://www.mendeley.com/documents/?uuid=2d600b4f-c534-47c3-9c85-dcb19dbf91c4"]},{"id":"ITEM-3","itemData":{"DOI":"10.5171/2021.911090","ISSN":"21690391","abstract":"Innovation, creativity, and digital transformation have been gradually transforming societies for decades. They continue to have a significant role to play in business and socioeconomic development. Their impact on individuals and organizations has been remarkable in different industries and enterprises, especially in emerging markets, helping them become more agile and competitive while enabling a platform for growth and prosperity.","author":[{"dropping-particle":"","family":"Kamel","given":"Sherif","non-dropping-particle":"","parse-names":false,"suffix":""}],"container-title":"Journal of Internet and e-business Studies","id":"ITEM-3","issued":{"date-parts":[["2021","7","2"]]},"page":"1-10","title":"The Role of Digital Transformation in Development in Egypt","type":"article-journal"},"uris":["http://www.mendeley.com/documents/?uuid=038ef25f-ac30-4ba5-898d-67161a0b8016","http://www.mendeley.com/documents/?uuid=d65616b4-36bb-4898-acde-07fcd99c6453","http://www.mendeley.com/documents/?uuid=150b51c4-05de-4226-8e79-562c2dce63ff"]}],"mendeley":{"formattedCitation":"(Burganov et al., 2022; Kamel, 2021; Leong et al., 2022)","plainTextFormattedCitation":"(Burganov et al., 2022; Kamel, 2021; Leong et al., 2022)","previouslyFormattedCitation":"(Burganov et al., 2022; Kamel, 2021; Leong et al., 2022)"},"properties":{"noteIndex":0},"schema":"https://github.com/citation-style-language/schema/raw/master/csl-citation.json"}</w:instrText>
      </w:r>
      <w:r w:rsidR="00F71A5E" w:rsidRPr="005F6FF4">
        <w:rPr>
          <w:rFonts w:cstheme="minorHAnsi"/>
          <w:lang w:val="en-GB"/>
        </w:rPr>
        <w:fldChar w:fldCharType="separate"/>
      </w:r>
      <w:r w:rsidR="00F71A5E" w:rsidRPr="005F6FF4">
        <w:rPr>
          <w:rFonts w:cstheme="minorHAnsi"/>
          <w:noProof/>
          <w:lang w:val="en-GB"/>
        </w:rPr>
        <w:t>(Burganov et al., 2022; Kamel, 2021; Leong et al., 2022)</w:t>
      </w:r>
      <w:r w:rsidR="00F71A5E" w:rsidRPr="005F6FF4">
        <w:rPr>
          <w:rFonts w:cstheme="minorHAnsi"/>
          <w:lang w:val="en-GB"/>
        </w:rPr>
        <w:fldChar w:fldCharType="end"/>
      </w:r>
      <w:r w:rsidRPr="005F6FF4">
        <w:rPr>
          <w:rFonts w:cstheme="minorHAnsi"/>
          <w:lang w:val="en-GB"/>
        </w:rPr>
        <w:t xml:space="preserve">. However, there is a counter-argument that highlights potential negative consequences such as job </w:t>
      </w:r>
      <w:r w:rsidRPr="005F6FF4">
        <w:rPr>
          <w:rFonts w:cstheme="minorHAnsi"/>
          <w:lang w:val="en-GB"/>
        </w:rPr>
        <w:lastRenderedPageBreak/>
        <w:t>displacement</w:t>
      </w:r>
      <w:r w:rsidR="00A0780D" w:rsidRPr="005F6FF4">
        <w:rPr>
          <w:rFonts w:cstheme="minorHAnsi"/>
          <w:lang w:val="en-GB"/>
        </w:rPr>
        <w:t xml:space="preserve"> </w:t>
      </w:r>
      <w:r w:rsidR="00A0780D" w:rsidRPr="005F6FF4">
        <w:rPr>
          <w:rFonts w:cstheme="minorHAnsi"/>
          <w:lang w:val="en-GB"/>
        </w:rPr>
        <w:fldChar w:fldCharType="begin" w:fldLock="1"/>
      </w:r>
      <w:r w:rsidR="007D55DE" w:rsidRPr="005F6FF4">
        <w:rPr>
          <w:rFonts w:cstheme="minorHAnsi"/>
          <w:lang w:val="en-GB"/>
        </w:rPr>
        <w:instrText>ADDIN CSL_CITATION {"citationItems":[{"id":"ITEM-1","itemData":{"DOI":"10.1257/jep.33.2.3","ISSN":"0895-3309","abstract":"We present a framework for understanding the effects of automation and other types of technological changes on labor demand, and use it to interpret changes in US employment over the recent past. At the center of our framework is the allocation of tasks to capital and labor—the task content of production. Automation, which enables capital to replace labor in tasks it was previously engaged in, shifts the task content of production against labor because of a displacement effect. As a result, automation always reduces the labor share in value added and may reduce labor demand even as it raises productivity. The effects of automation are counterbalanced by the creation of new tasks in which labor has a comparative advantage. The introduction of new tasks changes the task content of production in favor of labor because of a reinstatement effect, and always raises the labor share and labor demand. We show how the role of changes in the task content of production—due to automation and new tasks—can be inferred from industry-level data. Our empirical decomposition suggests that the slower growth of employment over the last three decades is accounted for by an acceleration in the displacement effect, especially in manufacturing, a weaker reinstatement effect, and slower growth of productivity than in previous decades.","author":[{"dropping-particle":"","family":"Acemoglu","given":"Daron","non-dropping-particle":"","parse-names":false,"suffix":""},{"dropping-particle":"","family":"Restrepo","given":"Pascual","non-dropping-particle":"","parse-names":false,"suffix":""}],"container-title":"Journal of Economic Perspectives","id":"ITEM-1","issue":"2","issued":{"date-parts":[["2019","5","1"]]},"page":"3-30","title":"Automation and New Tasks: How Technology Displaces and Reinstates Labor","type":"article-journal","volume":"33"},"uris":["http://www.mendeley.com/documents/?uuid=745b6957-1bc3-403a-ace6-3471ce5fce80","http://www.mendeley.com/documents/?uuid=cc7a2a5a-a0f7-400f-820c-60cc5c0e4226"]}],"mendeley":{"formattedCitation":"(Acemoglu &amp; Restrepo, 2019)","plainTextFormattedCitation":"(Acemoglu &amp; Restrepo, 2019)","previouslyFormattedCitation":"(Acemoglu &amp; Restrepo, 2019)"},"properties":{"noteIndex":0},"schema":"https://github.com/citation-style-language/schema/raw/master/csl-citation.json"}</w:instrText>
      </w:r>
      <w:r w:rsidR="00A0780D" w:rsidRPr="005F6FF4">
        <w:rPr>
          <w:rFonts w:cstheme="minorHAnsi"/>
          <w:lang w:val="en-GB"/>
        </w:rPr>
        <w:fldChar w:fldCharType="separate"/>
      </w:r>
      <w:r w:rsidR="00A0780D" w:rsidRPr="005F6FF4">
        <w:rPr>
          <w:rFonts w:cstheme="minorHAnsi"/>
          <w:noProof/>
          <w:lang w:val="en-GB"/>
        </w:rPr>
        <w:t>(Acemoglu &amp; Restrepo, 2019)</w:t>
      </w:r>
      <w:r w:rsidR="00A0780D" w:rsidRPr="005F6FF4">
        <w:rPr>
          <w:rFonts w:cstheme="minorHAnsi"/>
          <w:lang w:val="en-GB"/>
        </w:rPr>
        <w:fldChar w:fldCharType="end"/>
      </w:r>
      <w:r w:rsidRPr="005F6FF4">
        <w:rPr>
          <w:rFonts w:cstheme="minorHAnsi"/>
          <w:lang w:val="en-GB"/>
        </w:rPr>
        <w:t>, increased inequality</w:t>
      </w:r>
      <w:r w:rsidR="00A0780D" w:rsidRPr="005F6FF4">
        <w:rPr>
          <w:rFonts w:cstheme="minorHAnsi"/>
          <w:lang w:val="en-GB"/>
        </w:rPr>
        <w:t xml:space="preserve"> </w:t>
      </w:r>
      <w:r w:rsidR="00A0780D" w:rsidRPr="005F6FF4">
        <w:rPr>
          <w:rFonts w:cstheme="minorHAnsi"/>
          <w:lang w:val="en-GB"/>
        </w:rPr>
        <w:fldChar w:fldCharType="begin" w:fldLock="1"/>
      </w:r>
      <w:r w:rsidR="00742A14" w:rsidRPr="005F6FF4">
        <w:rPr>
          <w:rFonts w:cstheme="minorHAnsi"/>
          <w:lang w:val="en-GB"/>
        </w:rPr>
        <w:instrText>ADDIN CSL_CITATION {"citationItems":[{"id":"ITEM-1","itemData":{"DOI":"10.1016/j.telpol.2021.102246","ISSN":"03085961","author":[{"dropping-particle":"","family":"Njangang","given":"Henri","non-dropping-particle":"","parse-names":false,"suffix":""},{"dropping-particle":"","family":"Beleck","given":"Alim","non-dropping-particle":"","parse-names":false,"suffix":""},{"dropping-particle":"","family":"Tadadjeu","given":"Sosson","non-dropping-particle":"","parse-names":false,"suffix":""},{"dropping-particle":"","family":"Kamguia","given":"Brice","non-dropping-particle":"","parse-names":false,"suffix":""}],"container-title":"Telecommunications Policy","id":"ITEM-1","issue":"2","issued":{"date-parts":[["2022","3"]]},"page":"102246","title":"Do ICTs drive wealth inequality? Evidence from a dynamic panel analysis","type":"article-journal","volume":"46"},"uris":["http://www.mendeley.com/documents/?uuid=5058d4e2-fb09-423e-9ca1-d05ea7266a73","http://www.mendeley.com/documents/?uuid=96d1858a-b54a-4cdf-8b4e-f3d579858c50"]}],"mendeley":{"formattedCitation":"(Njangang et al., 2022)","plainTextFormattedCitation":"(Njangang et al., 2022)","previouslyFormattedCitation":"(Njangang et al., 2022)"},"properties":{"noteIndex":0},"schema":"https://github.com/citation-style-language/schema/raw/master/csl-citation.json"}</w:instrText>
      </w:r>
      <w:r w:rsidR="00A0780D" w:rsidRPr="005F6FF4">
        <w:rPr>
          <w:rFonts w:cstheme="minorHAnsi"/>
          <w:lang w:val="en-GB"/>
        </w:rPr>
        <w:fldChar w:fldCharType="separate"/>
      </w:r>
      <w:r w:rsidR="00A0780D" w:rsidRPr="005F6FF4">
        <w:rPr>
          <w:rFonts w:cstheme="minorHAnsi"/>
          <w:noProof/>
          <w:lang w:val="en-GB"/>
        </w:rPr>
        <w:t>(Njangang et al., 2022)</w:t>
      </w:r>
      <w:r w:rsidR="00A0780D" w:rsidRPr="005F6FF4">
        <w:rPr>
          <w:rFonts w:cstheme="minorHAnsi"/>
          <w:lang w:val="en-GB"/>
        </w:rPr>
        <w:fldChar w:fldCharType="end"/>
      </w:r>
      <w:r w:rsidRPr="005F6FF4">
        <w:rPr>
          <w:rFonts w:cstheme="minorHAnsi"/>
          <w:lang w:val="en-GB"/>
        </w:rPr>
        <w:t>, and exacerbation of existing digital disparities</w:t>
      </w:r>
      <w:r w:rsidR="00A0780D" w:rsidRPr="005F6FF4">
        <w:rPr>
          <w:rFonts w:cstheme="minorHAnsi"/>
          <w:lang w:val="en-GB"/>
        </w:rPr>
        <w:t xml:space="preserve"> </w:t>
      </w:r>
      <w:r w:rsidR="00A0780D" w:rsidRPr="005F6FF4">
        <w:rPr>
          <w:rFonts w:cstheme="minorHAnsi"/>
          <w:lang w:val="en-GB"/>
        </w:rPr>
        <w:fldChar w:fldCharType="begin" w:fldLock="1"/>
      </w:r>
      <w:r w:rsidR="00742A14" w:rsidRPr="005F6FF4">
        <w:rPr>
          <w:rFonts w:cstheme="minorHAnsi"/>
          <w:lang w:val="en-GB"/>
        </w:rPr>
        <w:instrText>ADDIN CSL_CITATION {"citationItems":[{"id":"ITEM-1","itemData":{"DOI":"10.1016/j.tele.2015.11.001","ISSN":"07365853","author":[{"dropping-particle":"","family":"Puspitasari","given":"Lia","non-dropping-particle":"","parse-names":false,"suffix":""},{"dropping-particle":"","family":"Ishii","given":"Kenichi","non-dropping-particle":"","parse-names":false,"suffix":""}],"container-title":"Telematics and Informatics","id":"ITEM-1","issue":"2","issued":{"date-parts":[["2016","5"]]},"page":"472-483","title":"Digital divides and mobile Internet in Indonesia: Impact of smartphones","type":"article-journal","volume":"33"},"uris":["http://www.mendeley.com/documents/?uuid=e08608d5-f3e3-4e9b-bfbc-88fa7bf82650","http://www.mendeley.com/documents/?uuid=39d1d5f0-bf67-4c0b-8814-a3480f195734"]}],"mendeley":{"formattedCitation":"(Puspitasari &amp; Ishii, 2016)","plainTextFormattedCitation":"(Puspitasari &amp; Ishii, 2016)","previouslyFormattedCitation":"(Puspitasari &amp; Ishii, 2016)"},"properties":{"noteIndex":0},"schema":"https://github.com/citation-style-language/schema/raw/master/csl-citation.json"}</w:instrText>
      </w:r>
      <w:r w:rsidR="00A0780D" w:rsidRPr="005F6FF4">
        <w:rPr>
          <w:rFonts w:cstheme="minorHAnsi"/>
          <w:lang w:val="en-GB"/>
        </w:rPr>
        <w:fldChar w:fldCharType="separate"/>
      </w:r>
      <w:r w:rsidR="00A0780D" w:rsidRPr="005F6FF4">
        <w:rPr>
          <w:rFonts w:cstheme="minorHAnsi"/>
          <w:noProof/>
          <w:lang w:val="en-GB"/>
        </w:rPr>
        <w:t>(Puspitasari &amp; Ishii, 2016)</w:t>
      </w:r>
      <w:r w:rsidR="00A0780D" w:rsidRPr="005F6FF4">
        <w:rPr>
          <w:rFonts w:cstheme="minorHAnsi"/>
          <w:lang w:val="en-GB"/>
        </w:rPr>
        <w:fldChar w:fldCharType="end"/>
      </w:r>
      <w:r w:rsidRPr="005F6FF4">
        <w:rPr>
          <w:rFonts w:cstheme="minorHAnsi"/>
          <w:lang w:val="en-GB"/>
        </w:rPr>
        <w:t>.</w:t>
      </w:r>
    </w:p>
    <w:p w14:paraId="52C8F17E" w14:textId="3E57539D" w:rsidR="001F4C2A" w:rsidRPr="005F6FF4" w:rsidRDefault="001F4C2A" w:rsidP="00572FEF">
      <w:pPr>
        <w:jc w:val="both"/>
        <w:rPr>
          <w:rFonts w:cstheme="minorHAnsi"/>
          <w:color w:val="000000" w:themeColor="text1"/>
          <w:lang w:val="en-GB"/>
        </w:rPr>
      </w:pPr>
      <w:r w:rsidRPr="005F6FF4">
        <w:rPr>
          <w:rFonts w:cstheme="minorHAnsi"/>
          <w:color w:val="000000" w:themeColor="text1"/>
          <w:lang w:val="en-GB"/>
        </w:rPr>
        <w:t xml:space="preserve">While some studies argue that digital transformation can be a catalyst for inclusive growth by creating up new economic opportunities and increasing productivity, others warn that its benefits may be unevenly distributed, potentially leaving certain segments of the population behind. </w:t>
      </w:r>
      <w:commentRangeStart w:id="3"/>
      <w:r w:rsidRPr="005F6FF4">
        <w:rPr>
          <w:rFonts w:cstheme="minorHAnsi"/>
          <w:color w:val="000000" w:themeColor="text1"/>
          <w:lang w:val="en-GB"/>
        </w:rPr>
        <w:t>Concerns have been raised about less privileged groups' limited access to technology and a lack of digital skills</w:t>
      </w:r>
      <w:commentRangeEnd w:id="3"/>
      <w:r w:rsidR="00280DF6">
        <w:rPr>
          <w:rStyle w:val="CommentReference"/>
        </w:rPr>
        <w:commentReference w:id="3"/>
      </w:r>
      <w:r w:rsidRPr="005F6FF4">
        <w:rPr>
          <w:rFonts w:cstheme="minorHAnsi"/>
          <w:color w:val="000000" w:themeColor="text1"/>
          <w:lang w:val="en-GB"/>
        </w:rPr>
        <w:t>, which may limit their participation in the digital economy</w:t>
      </w:r>
      <w:r w:rsidR="00A0780D" w:rsidRPr="005F6FF4">
        <w:rPr>
          <w:rFonts w:cstheme="minorHAnsi"/>
          <w:color w:val="000000" w:themeColor="text1"/>
          <w:lang w:val="en-GB"/>
        </w:rPr>
        <w:t xml:space="preserve"> </w:t>
      </w:r>
      <w:r w:rsidR="00A0780D" w:rsidRPr="005F6FF4">
        <w:rPr>
          <w:rFonts w:cstheme="minorHAnsi"/>
          <w:color w:val="000000" w:themeColor="text1"/>
          <w:lang w:val="en-GB"/>
        </w:rPr>
        <w:fldChar w:fldCharType="begin" w:fldLock="1"/>
      </w:r>
      <w:r w:rsidR="007D55DE" w:rsidRPr="005F6FF4">
        <w:rPr>
          <w:rFonts w:cstheme="minorHAnsi"/>
          <w:color w:val="000000" w:themeColor="text1"/>
          <w:lang w:val="en-GB"/>
        </w:rPr>
        <w:instrText>ADDIN CSL_CITATION {"citationItems":[{"id":"ITEM-1","itemData":{"DOI":"10.26418/jebik.v11i2.53871","ISSN":"2550-0066","abstract":"Separate studies on the impact of internet penetration on growth and per capita income levels, inequality, and poverty levels are still being discussed. Using data from 33 Indonesian provinces between 2008 and 2020, this paper investigates whether internet penetration modulates economic growth by reducing inequality and poverty. The Two-Way Fixed Effect (TWFE) econometric model was used. Two findings can be concluded from this paper. First, Indonesia's economic growth remains less inclusive, as evidenced by rising per capita income, which tends to reduce poverty but not income inequality. Second, Indonesia's economic growth tends to be less inclusive as an unintended consequence of internet penetration. Although it strengthens the effect on poverty reduction, on the other hand, the interaction of economic growth with internet penetration tends to exacerbate income inequality. Based on these findings, the study suggests that the government should improve advanced ICT skills and lower barriers to internet adoption, particularly for the less fortunate. The internet is expected to become a tool to achieve inclusive growth through expanding a newly established middle class instead of simply the economic transformation of the poor into non-poor households under this policy.","author":[{"dropping-particle":"","family":"Jamil","given":"Hidsal","non-dropping-particle":"","parse-names":false,"suffix":""}],"container-title":"Jurnal Ekonomi Bisnis dan Kewirausahaan","id":"ITEM-1","issue":"2","issued":{"date-parts":[["2022","8","31"]]},"page":"197","title":"Less Inclusive Growth in Indonesia? The Unintended Consequences of Internet Penetration","type":"article-journal","volume":"11"},"uris":["http://www.mendeley.com/documents/?uuid=83fb998d-db20-44da-9f47-25cbfc080053","http://www.mendeley.com/documents/?uuid=81516faf-83de-44b8-b81b-f858a9dba5e6"]}],"mendeley":{"formattedCitation":"(Jamil, 2022)","plainTextFormattedCitation":"(Jamil, 2022)","previouslyFormattedCitation":"(Jamil, 2022)"},"properties":{"noteIndex":0},"schema":"https://github.com/citation-style-language/schema/raw/master/csl-citation.json"}</w:instrText>
      </w:r>
      <w:r w:rsidR="00A0780D" w:rsidRPr="005F6FF4">
        <w:rPr>
          <w:rFonts w:cstheme="minorHAnsi"/>
          <w:color w:val="000000" w:themeColor="text1"/>
          <w:lang w:val="en-GB"/>
        </w:rPr>
        <w:fldChar w:fldCharType="separate"/>
      </w:r>
      <w:r w:rsidR="00A0780D" w:rsidRPr="005F6FF4">
        <w:rPr>
          <w:rFonts w:cstheme="minorHAnsi"/>
          <w:noProof/>
          <w:color w:val="000000" w:themeColor="text1"/>
          <w:lang w:val="en-GB"/>
        </w:rPr>
        <w:t>(Jamil, 2022)</w:t>
      </w:r>
      <w:r w:rsidR="00A0780D" w:rsidRPr="005F6FF4">
        <w:rPr>
          <w:rFonts w:cstheme="minorHAnsi"/>
          <w:color w:val="000000" w:themeColor="text1"/>
          <w:lang w:val="en-GB"/>
        </w:rPr>
        <w:fldChar w:fldCharType="end"/>
      </w:r>
      <w:r w:rsidRPr="005F6FF4">
        <w:rPr>
          <w:rFonts w:cstheme="minorHAnsi"/>
          <w:color w:val="000000" w:themeColor="text1"/>
          <w:lang w:val="en-GB"/>
        </w:rPr>
        <w:t>. Furthermore, changes in job qualification requirements as a result of digital transformation may widen skill gaps if not balanced with appropriate educational and training efforts</w:t>
      </w:r>
      <w:r w:rsidR="00E84C87" w:rsidRPr="005F6FF4">
        <w:rPr>
          <w:rFonts w:cstheme="minorHAnsi"/>
          <w:color w:val="000000" w:themeColor="text1"/>
          <w:lang w:val="en-GB"/>
        </w:rPr>
        <w:t xml:space="preserve"> </w:t>
      </w:r>
      <w:r w:rsidR="00E549EA" w:rsidRPr="005F6FF4">
        <w:rPr>
          <w:rFonts w:cstheme="minorHAnsi"/>
          <w:color w:val="000000" w:themeColor="text1"/>
          <w:lang w:val="en-GB"/>
        </w:rPr>
        <w:fldChar w:fldCharType="begin" w:fldLock="1"/>
      </w:r>
      <w:r w:rsidR="007D55DE" w:rsidRPr="005F6FF4">
        <w:rPr>
          <w:rFonts w:cstheme="minorHAnsi"/>
          <w:color w:val="000000" w:themeColor="text1"/>
          <w:lang w:val="en-GB"/>
        </w:rPr>
        <w:instrText>ADDIN CSL_CITATION {"citationItems":[{"id":"ITEM-1","itemData":{"DOI":"10.1177/09504222211029796","ISSN":"0950-4222","abstract":"Developing human resources and matching job profiles are essential tasks to promote economic and social growth. The technology-related job market has undergone significant changes over recent years, mainly due to technological advances that have pushed industry toward new demands for skilled professionals. This change in required skills and competencies has led to a gap between what companies need and the professional profiles that are available in the job market. Technology companies are often unable to find an employee who meets the required profile, resulting in financial loss and extra training expenses. It is therefore essential that higher education in technology is reconsidered to address job market demands. Thus the goal of this work is to evaluate the relationship between the professional profile required by information technology (IT) companies and what students are taught on IT-related programs in higher education institutions (HEIs). The authors adopt a systemic perspective in three different qualitative approaches. They cross-check and link data on educational curricula acquired from interviews with IT human resource managers (HRMs) and student focus groups. The analysis reveals that HEIs must go beyond the transfer of knowledge and technical qualification in IT, promoting a comprehensive education that incorporates personal development goals, with a focus on developing social and emotional skills. The study focuses on the emerging economy of Brazil and presents findings from which other developing countries can learn. The results reveal the critical role of soft skills in the professional development and employability of students and the associated challenge for technical education. In conclusion, the authors also highlight the importance of partnerships between HEIs and HRMs as a fundamental strategy to fulfill the current skills gap.","author":[{"dropping-particle":"","family":"Goulart","given":"Vera G.","non-dropping-particle":"","parse-names":false,"suffix":""},{"dropping-particle":"","family":"Liboni","given":"Lara Bartocci","non-dropping-particle":"","parse-names":false,"suffix":""},{"dropping-particle":"","family":"Cezarino","given":"Luciana Oranges","non-dropping-particle":"","parse-names":false,"suffix":""}],"container-title":"Industry and Higher Education","id":"ITEM-1","issue":"2","issued":{"date-parts":[["2022","4","14"]]},"page":"118-127","title":"Balancing skills in the digital transformation era: The future of jobs and the role of higher education","type":"article-journal","volume":"36"},"uris":["http://www.mendeley.com/documents/?uuid=dc3dfaf6-06fd-44cf-ae41-eedf4b6b4134","http://www.mendeley.com/documents/?uuid=b412039d-b657-44b6-ada1-4e5622d03ffd"]},{"id":"ITEM-2","itemData":{"DOI":"10.1080/03075079.2021.1946029","ISSN":"0307-5079","author":[{"dropping-particle":"","family":"Colombari","given":"Ruggero","non-dropping-particle":"","parse-names":false,"suffix":""},{"dropping-particle":"","family":"Neirotti","given":"Paolo","non-dropping-particle":"","parse-names":false,"suffix":""}],"container-title":"Studies in Higher Education","id":"ITEM-2","issue":"8","issued":{"date-parts":[["2022","8","3"]]},"page":"1585-1600","title":"Closing the middle-skills gap widened by digitalization: how technical universities can contribute through Challenge-Based Learning","type":"article-journal","volume":"47"},"uris":["http://www.mendeley.com/documents/?uuid=25d1505f-bf00-4f73-afd7-90204fbfdad1","http://www.mendeley.com/documents/?uuid=8937682c-023e-4fab-986a-970645339ff2","http://www.mendeley.com/documents/?uuid=8eaf37cb-ea37-40c9-9fe1-34ba492f7dd8"]},{"id":"ITEM-3","itemData":{"DOI":"10.1007/s41959-020-00029-1","ISSN":"2520-8144","abstract":"The following article is based on the observation that digitalisation in the world of work does on the one hand trigger processes of change, leading to shifts and new constellations in the required qualifications. On the other hand, the effects of digitalisation on qualification requirements are moderated by work organisation. Against the background of a generalist understanding of academic and vocational qualifications, the article deals with the question what curricula correspond to the changing requirements of digitalisation under the new organizational circumstances of Industry 4.0. Turning to the discussion of preparatory qualifications for occupations in Industry 4.0, it follows the hypothesis that the technological developments that lead to a change in qualification needs also increase the potential to meet those needs. This leads to the idea of a digital signature pedagogy.","author":[{"dropping-particle":"","family":"Kuper","given":"Harm","non-dropping-particle":"","parse-names":false,"suffix":""}],"container-title":"Entrepreneurship Education","id":"ITEM-3","issue":"2","issued":{"date-parts":[["2020","6","25"]]},"page":"119-131","title":"Industry 4.0: changes in work organization and qualification requirements—challenges for academic and vocational education","type":"article-journal","volume":"3"},"uris":["http://www.mendeley.com/documents/?uuid=9256fae5-c47a-48e4-978f-b325a4090d9d","http://www.mendeley.com/documents/?uuid=7ddf3045-9d88-43db-a28b-84a9b0dec8eb","http://www.mendeley.com/documents/?uuid=107e1aab-2e6c-4763-8370-feab788689ea"]},{"id":"ITEM-4","itemData":{"DOI":"10.1257/pandp.20201063","ISSN":"2574-0768","abstract":"We extend the canonical model of skill-biased technical change by modeling the allocation of tasks to factors and allowing for automation and the creation of new tasks. In our model, factor prices depend on the set of tasks they perform. Automation can reduce real wages and generate sizable changes in inequality associated with small productivity gains. New tasks can increase or reduce inequality depending on whether they are performed by skilled or unskilled workers. Industry-level data suggest that automation significantly contributed to the rising skill premium, while new tasks reduced inequality in the past but have contributed to inequality recently.","author":[{"dropping-particle":"","family":"Acemoglu","given":"Daron","non-dropping-particle":"","parse-names":false,"suffix":""},{"dropping-particle":"","family":"Restrepo","given":"Pascual","non-dropping-particle":"","parse-names":false,"suffix":""}],"container-title":"AEA Papers and Proceedings","id":"ITEM-4","issued":{"date-parts":[["2020","5","1"]]},"page":"356-361","title":"Unpacking Skill Bias: Automation and New Tasks","type":"article-journal","volume":"110"},"uris":["http://www.mendeley.com/documents/?uuid=dc876220-87f0-495b-8bd2-f0110d392276","http://www.mendeley.com/documents/?uuid=18570aa2-7a66-49eb-abfd-b34ca7c9738e","http://www.mendeley.com/documents/?uuid=f5388025-672f-4346-bff6-9da4df486859"]}],"mendeley":{"formattedCitation":"(Acemoglu &amp; Restrepo, 2020; Colombari &amp; Neirotti, 2022; Goulart et al., 2022; Kuper, 2020)","plainTextFormattedCitation":"(Acemoglu &amp; Restrepo, 2020; Colombari &amp; Neirotti, 2022; Goulart et al., 2022; Kuper, 2020)","previouslyFormattedCitation":"(Acemoglu &amp; Restrepo, 2020; Colombari &amp; Neirotti, 2022; Goulart et al., 2022; Kuper, 2020)"},"properties":{"noteIndex":0},"schema":"https://github.com/citation-style-language/schema/raw/master/csl-citation.json"}</w:instrText>
      </w:r>
      <w:r w:rsidR="00E549EA" w:rsidRPr="005F6FF4">
        <w:rPr>
          <w:rFonts w:cstheme="minorHAnsi"/>
          <w:color w:val="000000" w:themeColor="text1"/>
          <w:lang w:val="en-GB"/>
        </w:rPr>
        <w:fldChar w:fldCharType="separate"/>
      </w:r>
      <w:r w:rsidR="00E549EA" w:rsidRPr="005F6FF4">
        <w:rPr>
          <w:rFonts w:cstheme="minorHAnsi"/>
          <w:noProof/>
          <w:color w:val="000000" w:themeColor="text1"/>
          <w:lang w:val="en-GB"/>
        </w:rPr>
        <w:t>(Acemoglu &amp; Restrepo, 2020; Colombari &amp; Neirotti, 2022; Goulart et al., 2022; Kuper, 2020)</w:t>
      </w:r>
      <w:r w:rsidR="00E549EA" w:rsidRPr="005F6FF4">
        <w:rPr>
          <w:rFonts w:cstheme="minorHAnsi"/>
          <w:color w:val="000000" w:themeColor="text1"/>
          <w:lang w:val="en-GB"/>
        </w:rPr>
        <w:fldChar w:fldCharType="end"/>
      </w:r>
      <w:r w:rsidRPr="005F6FF4">
        <w:rPr>
          <w:rFonts w:cstheme="minorHAnsi"/>
          <w:color w:val="000000" w:themeColor="text1"/>
          <w:lang w:val="en-GB"/>
        </w:rPr>
        <w:t>. In this context, it is critical to implement strategies that ensure the benefits of digital transformation are felt uniformly across every social class, thereby reducing the risk of exclusion and inequality.</w:t>
      </w:r>
    </w:p>
    <w:p w14:paraId="5F9EB6D8" w14:textId="055B30C5" w:rsidR="003F3397" w:rsidRPr="005F6FF4" w:rsidRDefault="003F3397" w:rsidP="00572FEF">
      <w:pPr>
        <w:jc w:val="both"/>
        <w:rPr>
          <w:rFonts w:cstheme="minorHAnsi"/>
          <w:lang w:val="en-GB"/>
        </w:rPr>
      </w:pPr>
      <w:r w:rsidRPr="005F6FF4">
        <w:rPr>
          <w:rFonts w:cstheme="minorHAnsi"/>
          <w:lang w:val="en-GB"/>
        </w:rPr>
        <w:t>The purpose of this study is to contribute to the ongoing debate by providing a comprehensive analysis of how digital transformation has influenced patterns of inclusive growth in Indonesia. Indonesia is an interesting case study because digital transformation is a major force shaping the country's economic and social landscape</w:t>
      </w:r>
      <w:r w:rsidR="00F71A5E" w:rsidRPr="005F6FF4">
        <w:rPr>
          <w:rFonts w:cstheme="minorHAnsi"/>
          <w:lang w:val="en-GB"/>
        </w:rPr>
        <w:t xml:space="preserve"> </w:t>
      </w:r>
      <w:r w:rsidR="00F71A5E" w:rsidRPr="005F6FF4">
        <w:rPr>
          <w:rFonts w:cstheme="minorHAnsi"/>
          <w:lang w:val="en-GB"/>
        </w:rPr>
        <w:fldChar w:fldCharType="begin" w:fldLock="1"/>
      </w:r>
      <w:r w:rsidR="00742A14" w:rsidRPr="005F6FF4">
        <w:rPr>
          <w:rFonts w:cstheme="minorHAnsi"/>
          <w:lang w:val="en-GB"/>
        </w:rPr>
        <w:instrText>ADDIN CSL_CITATION {"citationItems":[{"id":"ITEM-1","itemData":{"author":[{"dropping-particle":"","family":"World Bank","given":"","non-dropping-particle":"","parse-names":false,"suffix":""}],"id":"ITEM-1","issued":{"date-parts":[["2021"]]},"publisher-place":"Washington, DC","title":"Beyond Unicorns: Harnessing Digital Technologies for Inclusion in Indonesia","type":"report"},"uris":["http://www.mendeley.com/documents/?uuid=f6a2ceb3-5189-4d95-9174-c5882ab6751a","http://www.mendeley.com/documents/?uuid=15c23aa7-9f2f-425a-9f51-94ce30533068"]}],"mendeley":{"formattedCitation":"(World Bank, 2021)","plainTextFormattedCitation":"(World Bank, 2021)","previouslyFormattedCitation":"(World Bank, 2021)"},"properties":{"noteIndex":0},"schema":"https://github.com/citation-style-language/schema/raw/master/csl-citation.json"}</w:instrText>
      </w:r>
      <w:r w:rsidR="00F71A5E" w:rsidRPr="005F6FF4">
        <w:rPr>
          <w:rFonts w:cstheme="minorHAnsi"/>
          <w:lang w:val="en-GB"/>
        </w:rPr>
        <w:fldChar w:fldCharType="separate"/>
      </w:r>
      <w:r w:rsidR="00F71A5E" w:rsidRPr="005F6FF4">
        <w:rPr>
          <w:rFonts w:cstheme="minorHAnsi"/>
          <w:noProof/>
          <w:lang w:val="en-GB"/>
        </w:rPr>
        <w:t>(World Bank, 2021)</w:t>
      </w:r>
      <w:r w:rsidR="00F71A5E" w:rsidRPr="005F6FF4">
        <w:rPr>
          <w:rFonts w:cstheme="minorHAnsi"/>
          <w:lang w:val="en-GB"/>
        </w:rPr>
        <w:fldChar w:fldCharType="end"/>
      </w:r>
      <w:r w:rsidRPr="005F6FF4">
        <w:rPr>
          <w:rFonts w:cstheme="minorHAnsi"/>
          <w:lang w:val="en-GB"/>
        </w:rPr>
        <w:t xml:space="preserve">. Indonesia, with a population of over 270 million people and a diverse range of economic activities, provides a unique context for investigating the intricate relationship between digital transformation and inclusive growth. Over the last four decades, the country has seen rapid economic growth, political transitions, and technological advances, all of which have shaped the impact of digital transformation on inclusivity </w:t>
      </w:r>
      <w:r w:rsidRPr="005F6FF4">
        <w:rPr>
          <w:rFonts w:cstheme="minorHAnsi"/>
          <w:lang w:val="en-GB"/>
        </w:rPr>
        <w:fldChar w:fldCharType="begin" w:fldLock="1"/>
      </w:r>
      <w:r w:rsidR="00742A14" w:rsidRPr="005F6FF4">
        <w:rPr>
          <w:rFonts w:cstheme="minorHAnsi"/>
          <w:lang w:val="en-GB"/>
        </w:rPr>
        <w:instrText>ADDIN CSL_CITATION {"citationItems":[{"id":"ITEM-1","itemData":{"author":[{"dropping-particle":"","family":"World Bank","given":"","non-dropping-particle":"","parse-names":false,"suffix":""}],"id":"ITEM-1","issued":{"date-parts":[["2021"]]},"publisher-place":"Washington, DC","title":"Beyond Unicorns: Harnessing Digital Technologies for Inclusion in Indonesia","type":"report"},"uris":["http://www.mendeley.com/documents/?uuid=f6a2ceb3-5189-4d95-9174-c5882ab6751a","http://www.mendeley.com/documents/?uuid=15c23aa7-9f2f-425a-9f51-94ce30533068"]}],"mendeley":{"formattedCitation":"(World Bank, 2021)","plainTextFormattedCitation":"(World Bank, 2021)","previouslyFormattedCitation":"(World Bank, 2021)"},"properties":{"noteIndex":0},"schema":"https://github.com/citation-style-language/schema/raw/master/csl-citation.json"}</w:instrText>
      </w:r>
      <w:r w:rsidRPr="005F6FF4">
        <w:rPr>
          <w:rFonts w:cstheme="minorHAnsi"/>
          <w:lang w:val="en-GB"/>
        </w:rPr>
        <w:fldChar w:fldCharType="separate"/>
      </w:r>
      <w:r w:rsidRPr="005F6FF4">
        <w:rPr>
          <w:rFonts w:cstheme="minorHAnsi"/>
          <w:noProof/>
          <w:lang w:val="en-GB"/>
        </w:rPr>
        <w:t>(World Bank, 2021)</w:t>
      </w:r>
      <w:r w:rsidRPr="005F6FF4">
        <w:rPr>
          <w:rFonts w:cstheme="minorHAnsi"/>
          <w:lang w:val="en-GB"/>
        </w:rPr>
        <w:fldChar w:fldCharType="end"/>
      </w:r>
      <w:r w:rsidRPr="005F6FF4">
        <w:rPr>
          <w:rFonts w:cstheme="minorHAnsi"/>
          <w:lang w:val="en-GB"/>
        </w:rPr>
        <w:t>.</w:t>
      </w:r>
      <w:r w:rsidRPr="005F6FF4">
        <w:t xml:space="preserve"> </w:t>
      </w:r>
      <w:r w:rsidRPr="005F6FF4">
        <w:rPr>
          <w:rFonts w:cstheme="minorHAnsi"/>
          <w:lang w:val="en-GB"/>
        </w:rPr>
        <w:t>As a result of this research, a better understanding of how digital transformation affects inclusive growth patterns in Indonesia's diverse and dynamic context can be gained.</w:t>
      </w:r>
    </w:p>
    <w:p w14:paraId="634A44E5" w14:textId="2B16E802" w:rsidR="00FA2186" w:rsidRPr="005F6FF4" w:rsidRDefault="00A11DF9" w:rsidP="00572FEF">
      <w:pPr>
        <w:jc w:val="both"/>
        <w:rPr>
          <w:rFonts w:cstheme="minorHAnsi"/>
          <w:lang w:val="en-GB"/>
        </w:rPr>
      </w:pPr>
      <w:r w:rsidRPr="005F6FF4">
        <w:rPr>
          <w:rFonts w:cstheme="minorHAnsi"/>
          <w:lang w:val="en-GB"/>
        </w:rPr>
        <w:t xml:space="preserve">There are some significant gaps in the existing body of research on digital transformation and inclusive growth in Indonesia. Earlier studies' focus on relatively short timeframes has been a recurring limitation. </w:t>
      </w:r>
      <w:r w:rsidR="00FA2186" w:rsidRPr="005F6FF4">
        <w:rPr>
          <w:rFonts w:cstheme="minorHAnsi"/>
          <w:lang w:val="en-GB"/>
        </w:rPr>
        <w:t xml:space="preserve">For example, </w:t>
      </w:r>
      <w:r w:rsidR="009A027A" w:rsidRPr="005F6FF4">
        <w:rPr>
          <w:rFonts w:cstheme="minorHAnsi"/>
          <w:lang w:val="en-GB"/>
        </w:rPr>
        <w:fldChar w:fldCharType="begin" w:fldLock="1"/>
      </w:r>
      <w:r w:rsidR="007D55DE" w:rsidRPr="005F6FF4">
        <w:rPr>
          <w:rFonts w:cstheme="minorHAnsi"/>
          <w:lang w:val="en-GB"/>
        </w:rPr>
        <w:instrText>ADDIN CSL_CITATION {"citationItems":[{"id":"ITEM-1","itemData":{"DOI":"10.26418/jebik.v11i2.53871","ISSN":"2550-0066","abstract":"Separate studies on the impact of internet penetration on growth and per capita income levels, inequality, and poverty levels are still being discussed. Using data from 33 Indonesian provinces between 2008 and 2020, this paper investigates whether internet penetration modulates economic growth by reducing inequality and poverty. The Two-Way Fixed Effect (TWFE) econometric model was used. Two findings can be concluded from this paper. First, Indonesia's economic growth remains less inclusive, as evidenced by rising per capita income, which tends to reduce poverty but not income inequality. Second, Indonesia's economic growth tends to be less inclusive as an unintended consequence of internet penetration. Although it strengthens the effect on poverty reduction, on the other hand, the interaction of economic growth with internet penetration tends to exacerbate income inequality. Based on these findings, the study suggests that the government should improve advanced ICT skills and lower barriers to internet adoption, particularly for the less fortunate. The internet is expected to become a tool to achieve inclusive growth through expanding a newly established middle class instead of simply the economic transformation of the poor into non-poor households under this policy.","author":[{"dropping-particle":"","family":"Jamil","given":"Hidsal","non-dropping-particle":"","parse-names":false,"suffix":""}],"container-title":"Jurnal Ekonomi Bisnis dan Kewirausahaan","id":"ITEM-1","issue":"2","issued":{"date-parts":[["2022","8","31"]]},"page":"197","title":"Less Inclusive Growth in Indonesia? The Unintended Consequences of Internet Penetration","type":"article-journal","volume":"11"},"uris":["http://www.mendeley.com/documents/?uuid=83fb998d-db20-44da-9f47-25cbfc080053","http://www.mendeley.com/documents/?uuid=81516faf-83de-44b8-b81b-f858a9dba5e6"]}],"mendeley":{"formattedCitation":"(Jamil, 2022)","manualFormatting":"Jamil's study (2022)","plainTextFormattedCitation":"(Jamil, 2022)","previouslyFormattedCitation":"(Jamil, 2022)"},"properties":{"noteIndex":0},"schema":"https://github.com/citation-style-language/schema/raw/master/csl-citation.json"}</w:instrText>
      </w:r>
      <w:r w:rsidR="009A027A" w:rsidRPr="005F6FF4">
        <w:rPr>
          <w:rFonts w:cstheme="minorHAnsi"/>
          <w:lang w:val="en-GB"/>
        </w:rPr>
        <w:fldChar w:fldCharType="separate"/>
      </w:r>
      <w:r w:rsidR="009A027A" w:rsidRPr="005F6FF4">
        <w:rPr>
          <w:rFonts w:cstheme="minorHAnsi"/>
          <w:noProof/>
          <w:lang w:val="en-GB"/>
        </w:rPr>
        <w:t>Jamil's study (2022)</w:t>
      </w:r>
      <w:r w:rsidR="009A027A" w:rsidRPr="005F6FF4">
        <w:rPr>
          <w:rFonts w:cstheme="minorHAnsi"/>
          <w:lang w:val="en-GB"/>
        </w:rPr>
        <w:fldChar w:fldCharType="end"/>
      </w:r>
      <w:r w:rsidR="00FA2186" w:rsidRPr="005F6FF4">
        <w:rPr>
          <w:rFonts w:cstheme="minorHAnsi"/>
          <w:lang w:val="en-GB"/>
        </w:rPr>
        <w:t xml:space="preserve"> limited its analysis to the years 2008 to 2020, </w:t>
      </w:r>
      <w:r w:rsidR="009A027A" w:rsidRPr="005F6FF4">
        <w:rPr>
          <w:rFonts w:cstheme="minorHAnsi"/>
          <w:lang w:val="en-GB"/>
        </w:rPr>
        <w:fldChar w:fldCharType="begin" w:fldLock="1"/>
      </w:r>
      <w:r w:rsidR="00742A14" w:rsidRPr="005F6FF4">
        <w:rPr>
          <w:rFonts w:cstheme="minorHAnsi"/>
          <w:lang w:val="en-GB"/>
        </w:rPr>
        <w:instrText>ADDIN CSL_CITATION {"citationItems":[{"id":"ITEM-1","itemData":{"DOI":"10.1016/j.jpolmod.2007.06.016","ISSN":"01618938","author":[{"dropping-particle":"","family":"Noh","given":"Yong-Hwan","non-dropping-particle":"","parse-names":false,"suffix":""},{"dropping-particle":"","family":"Yoo","given":"Kyeongwon","non-dropping-particle":"","parse-names":false,"suffix":""}],"container-title":"Journal of Policy Modeling","id":"ITEM-1","issue":"6","issued":{"date-parts":[["2008","11"]]},"page":"1005-1016","title":"Internet, inequality and growth","type":"article-journal","volume":"30"},"uris":["http://www.mendeley.com/documents/?uuid=e31963af-2239-4d0d-8c52-276771d5ddf7","http://www.mendeley.com/documents/?uuid=65c067f0-3593-4a0b-81d5-a8e33f70fcb1"]}],"mendeley":{"formattedCitation":"(Noh &amp; Yoo, 2008)","manualFormatting":"Noh &amp; Yoo's (2008)","plainTextFormattedCitation":"(Noh &amp; Yoo, 2008)","previouslyFormattedCitation":"(Noh &amp; Yoo, 2008)"},"properties":{"noteIndex":0},"schema":"https://github.com/citation-style-language/schema/raw/master/csl-citation.json"}</w:instrText>
      </w:r>
      <w:r w:rsidR="009A027A" w:rsidRPr="005F6FF4">
        <w:rPr>
          <w:rFonts w:cstheme="minorHAnsi"/>
          <w:lang w:val="en-GB"/>
        </w:rPr>
        <w:fldChar w:fldCharType="separate"/>
      </w:r>
      <w:r w:rsidR="009A027A" w:rsidRPr="005F6FF4">
        <w:rPr>
          <w:rFonts w:cstheme="minorHAnsi"/>
          <w:noProof/>
          <w:lang w:val="en-GB"/>
        </w:rPr>
        <w:t>Noh &amp; Yoo's (2008)</w:t>
      </w:r>
      <w:r w:rsidR="009A027A" w:rsidRPr="005F6FF4">
        <w:rPr>
          <w:rFonts w:cstheme="minorHAnsi"/>
          <w:lang w:val="en-GB"/>
        </w:rPr>
        <w:fldChar w:fldCharType="end"/>
      </w:r>
      <w:r w:rsidR="00FA2186" w:rsidRPr="005F6FF4">
        <w:rPr>
          <w:rFonts w:cstheme="minorHAnsi"/>
          <w:lang w:val="en-GB"/>
        </w:rPr>
        <w:t xml:space="preserve"> study focused solely on the years 1995 to 2002, </w:t>
      </w:r>
      <w:r w:rsidR="004502C0" w:rsidRPr="005F6FF4">
        <w:rPr>
          <w:rFonts w:cstheme="minorHAnsi"/>
          <w:lang w:val="en-GB"/>
        </w:rPr>
        <w:fldChar w:fldCharType="begin" w:fldLock="1"/>
      </w:r>
      <w:r w:rsidR="00742A14" w:rsidRPr="005F6FF4">
        <w:rPr>
          <w:rFonts w:cstheme="minorHAnsi"/>
          <w:lang w:val="en-GB"/>
        </w:rPr>
        <w:instrText>ADDIN CSL_CITATION {"citationItems":[{"id":"ITEM-1","itemData":{"DOI":"10.1016/j.telpol.2021.102125","ISSN":"03085961","author":[{"dropping-particle":"","family":"Asongu","given":"Simplice","non-dropping-particle":"","parse-names":false,"suffix":""},{"dropping-particle":"","family":"Amari","given":"Mouna","non-dropping-particle":"","parse-names":false,"suffix":""},{"dropping-particle":"","family":"Jarboui","given":"Anis","non-dropping-particle":"","parse-names":false,"suffix":""},{"dropping-particle":"","family":"Mouakhar","given":"Khaireddine","non-dropping-particle":"","parse-names":false,"suffix":""}],"container-title":"Telecommunications Policy","id":"ITEM-1","issue":"5","issued":{"date-parts":[["2021","6"]]},"page":"102125","title":"ICT dynamics for gender inclusive intermediary education: Minimum poverty and inequality thresholds in developing countries","type":"article-journal","volume":"45"},"uris":["http://www.mendeley.com/documents/?uuid=bbb2cca5-70c4-4fcf-82da-bca7b4f4a3f8","http://www.mendeley.com/documents/?uuid=b3e8e22e-46e0-4664-a715-5593629e9260"]}],"mendeley":{"formattedCitation":"(Asongu et al., 2021)","manualFormatting":"Asongu et al. (2021)","plainTextFormattedCitation":"(Asongu et al., 2021)","previouslyFormattedCitation":"(Asongu et al., 2021)"},"properties":{"noteIndex":0},"schema":"https://github.com/citation-style-language/schema/raw/master/csl-citation.json"}</w:instrText>
      </w:r>
      <w:r w:rsidR="004502C0" w:rsidRPr="005F6FF4">
        <w:rPr>
          <w:rFonts w:cstheme="minorHAnsi"/>
          <w:lang w:val="en-GB"/>
        </w:rPr>
        <w:fldChar w:fldCharType="separate"/>
      </w:r>
      <w:r w:rsidR="004502C0" w:rsidRPr="005F6FF4">
        <w:rPr>
          <w:rFonts w:cstheme="minorHAnsi"/>
          <w:noProof/>
          <w:lang w:val="en-GB"/>
        </w:rPr>
        <w:t>Asongu et al. (2021)</w:t>
      </w:r>
      <w:r w:rsidR="004502C0" w:rsidRPr="005F6FF4">
        <w:rPr>
          <w:rFonts w:cstheme="minorHAnsi"/>
          <w:lang w:val="en-GB"/>
        </w:rPr>
        <w:fldChar w:fldCharType="end"/>
      </w:r>
      <w:r w:rsidR="00FA2186" w:rsidRPr="005F6FF4">
        <w:rPr>
          <w:rFonts w:cstheme="minorHAnsi"/>
          <w:lang w:val="en-GB"/>
        </w:rPr>
        <w:t xml:space="preserve"> considered only the years 2012 to 2016, and </w:t>
      </w:r>
      <w:r w:rsidR="004502C0" w:rsidRPr="005F6FF4">
        <w:rPr>
          <w:rFonts w:cstheme="minorHAnsi"/>
          <w:lang w:val="en-GB"/>
        </w:rPr>
        <w:fldChar w:fldCharType="begin" w:fldLock="1"/>
      </w:r>
      <w:r w:rsidR="007D55DE" w:rsidRPr="005F6FF4">
        <w:rPr>
          <w:rFonts w:cstheme="minorHAnsi"/>
          <w:lang w:val="en-GB"/>
        </w:rPr>
        <w:instrText>ADDIN CSL_CITATION {"citationItems":[{"id":"ITEM-1","itemData":{"DOI":"10.1080/13547860.2021.1981044","ISSN":"1354-7860","author":[{"dropping-particle":"","family":"Alekhina","given":"Victoriia","non-dropping-particle":"","parse-names":false,"suffix":""},{"dropping-particle":"","family":"Ganelli","given":"Giovanni","non-dropping-particle":"","parse-names":false,"suffix":""}],"container-title":"Journal of the Asia Pacific Economy","id":"ITEM-1","issue":"3","issued":{"date-parts":[["2023","7","3"]]},"page":"1196-1228","title":"Determinants of inclusive growth in ASEAN","type":"article-journal","volume":"28"},"uris":["http://www.mendeley.com/documents/?uuid=7e4d7f67-f0a7-4c4b-8c80-ca8655d35a38","http://www.mendeley.com/documents/?uuid=4b96c473-8547-4467-bf89-18b08a6d9ffb"]}],"mendeley":{"formattedCitation":"(Alekhina &amp; Ganelli, 2023)","manualFormatting":"Alekhina &amp; Ganelli's (2023)","plainTextFormattedCitation":"(Alekhina &amp; Ganelli, 2023)","previouslyFormattedCitation":"(Alekhina &amp; Ganelli, 2023)"},"properties":{"noteIndex":0},"schema":"https://github.com/citation-style-language/schema/raw/master/csl-citation.json"}</w:instrText>
      </w:r>
      <w:r w:rsidR="004502C0" w:rsidRPr="005F6FF4">
        <w:rPr>
          <w:rFonts w:cstheme="minorHAnsi"/>
          <w:lang w:val="en-GB"/>
        </w:rPr>
        <w:fldChar w:fldCharType="separate"/>
      </w:r>
      <w:r w:rsidR="004502C0" w:rsidRPr="005F6FF4">
        <w:rPr>
          <w:rFonts w:cstheme="minorHAnsi"/>
          <w:noProof/>
          <w:lang w:val="en-GB"/>
        </w:rPr>
        <w:t>Alekhina &amp; Ganelli's (2023)</w:t>
      </w:r>
      <w:r w:rsidR="004502C0" w:rsidRPr="005F6FF4">
        <w:rPr>
          <w:rFonts w:cstheme="minorHAnsi"/>
          <w:lang w:val="en-GB"/>
        </w:rPr>
        <w:fldChar w:fldCharType="end"/>
      </w:r>
      <w:r w:rsidR="00FA2186" w:rsidRPr="005F6FF4">
        <w:rPr>
          <w:rFonts w:cstheme="minorHAnsi"/>
          <w:lang w:val="en-GB"/>
        </w:rPr>
        <w:t xml:space="preserve"> study considered only the years 1992 to 2017. Those limitations may result in a lack of understanding of long-term changes and trends that may only be revealed through observations conducted over a longer timeframe.</w:t>
      </w:r>
      <w:r w:rsidR="00F71A5E" w:rsidRPr="005F6FF4">
        <w:rPr>
          <w:rFonts w:cstheme="minorHAnsi"/>
          <w:lang w:val="en-GB"/>
        </w:rPr>
        <w:t xml:space="preserve"> </w:t>
      </w:r>
    </w:p>
    <w:p w14:paraId="4E4B4B05" w14:textId="24364108" w:rsidR="00FA2186" w:rsidRPr="005F6FF4" w:rsidRDefault="00877836" w:rsidP="00877836">
      <w:pPr>
        <w:jc w:val="both"/>
        <w:rPr>
          <w:rFonts w:cstheme="minorHAnsi"/>
          <w:lang w:val="en-GB"/>
        </w:rPr>
      </w:pPr>
      <w:r w:rsidRPr="005F6FF4">
        <w:rPr>
          <w:rFonts w:cstheme="minorHAnsi"/>
          <w:lang w:val="en-GB"/>
        </w:rPr>
        <w:t>In addition</w:t>
      </w:r>
      <w:r w:rsidR="001A24E9" w:rsidRPr="005F6FF4">
        <w:rPr>
          <w:rFonts w:cstheme="minorHAnsi"/>
          <w:lang w:val="en-GB"/>
        </w:rPr>
        <w:t xml:space="preserve">, an issue with the existing literature is the application of indices with subjective weighting. Such techniques have been used in studies such as </w:t>
      </w:r>
      <w:r w:rsidRPr="005F6FF4">
        <w:rPr>
          <w:rFonts w:cstheme="minorHAnsi"/>
          <w:lang w:val="en-GB"/>
        </w:rPr>
        <w:fldChar w:fldCharType="begin" w:fldLock="1"/>
      </w:r>
      <w:r w:rsidRPr="005F6FF4">
        <w:rPr>
          <w:rFonts w:cstheme="minorHAnsi"/>
          <w:lang w:val="en-GB"/>
        </w:rPr>
        <w:instrText>ADDIN CSL_CITATION {"citationItems":[{"id":"ITEM-1","itemData":{"DOI":"10.1080/02681102.2022.2110556","ISSN":"0268-1102","author":[{"dropping-particle":"","family":"Kartiasih","given":"Fitri","non-dropping-particle":"","parse-names":false,"suffix":""},{"dropping-particle":"","family":"Djalal Nachrowi","given":"Nachrowi","non-dropping-particle":"","parse-names":false,"suffix":""},{"dropping-particle":"","family":"Wisana","given":"I Dewa Gede Karma","non-dropping-particle":"","parse-names":false,"suffix":""},{"dropping-particle":"","family":"Handayani","given":"Dwini","non-dropping-particle":"","parse-names":false,"suffix":""}],"container-title":"Information Technology for Development","id":"ITEM-1","issued":{"date-parts":[["2022","8","26"]]},"page":"1-30","title":"Inequalities of Indonesia’s regional digital development and its association with socioeconomic characteristics: a spatial and multivariate analysis","type":"article-journal"},"uris":["http://www.mendeley.com/documents/?uuid=4f0f2cea-dab0-4a15-ab28-328b4d23217c"]}],"mendeley":{"formattedCitation":"(Kartiasih et al., 2022)","manualFormatting":"Kartiasih et al. (2022)","plainTextFormattedCitation":"(Kartiasih et al., 2022)","previouslyFormattedCitation":"(Kartiasih et al., 2022)"},"properties":{"noteIndex":0},"schema":"https://github.com/citation-style-language/schema/raw/master/csl-citation.json"}</w:instrText>
      </w:r>
      <w:r w:rsidRPr="005F6FF4">
        <w:rPr>
          <w:rFonts w:cstheme="minorHAnsi"/>
          <w:lang w:val="en-GB"/>
        </w:rPr>
        <w:fldChar w:fldCharType="separate"/>
      </w:r>
      <w:r w:rsidRPr="005F6FF4">
        <w:rPr>
          <w:rFonts w:cstheme="minorHAnsi"/>
          <w:noProof/>
          <w:lang w:val="en-GB"/>
        </w:rPr>
        <w:t>Kartiasih et al. (2022)</w:t>
      </w:r>
      <w:r w:rsidRPr="005F6FF4">
        <w:rPr>
          <w:rFonts w:cstheme="minorHAnsi"/>
          <w:lang w:val="en-GB"/>
        </w:rPr>
        <w:fldChar w:fldCharType="end"/>
      </w:r>
      <w:r w:rsidRPr="005F6FF4">
        <w:rPr>
          <w:rFonts w:cstheme="minorHAnsi"/>
          <w:lang w:val="en-GB"/>
        </w:rPr>
        <w:t xml:space="preserve"> </w:t>
      </w:r>
      <w:r w:rsidR="001A24E9" w:rsidRPr="005F6FF4">
        <w:rPr>
          <w:rFonts w:cstheme="minorHAnsi"/>
          <w:lang w:val="en-GB"/>
        </w:rPr>
        <w:t xml:space="preserve">to measure digitalization and </w:t>
      </w:r>
      <w:r w:rsidRPr="005F6FF4">
        <w:rPr>
          <w:rFonts w:cstheme="minorHAnsi"/>
          <w:lang w:val="en-GB"/>
        </w:rPr>
        <w:fldChar w:fldCharType="begin" w:fldLock="1"/>
      </w:r>
      <w:r w:rsidRPr="005F6FF4">
        <w:rPr>
          <w:rFonts w:cstheme="minorHAnsi"/>
          <w:lang w:val="en-GB"/>
        </w:rPr>
        <w:instrText>ADDIN CSL_CITATION {"citationItems":[{"id":"ITEM-1","itemData":{"DOI":"10.34256/ajir2118","ISSN":"2581-8430","abstract":"This study evaluates Indonesia's achievement in inclusive economic growth by analyzing regional data from 34 provinces for the period 2016-2018. For that purpose, the study used three indicators of achieving inclusive economic growth, namely economic growth that reduces inequality, poverty, and unemployment (or increases employment), the Poverty-Equivalent Growth Rate (PEGR) method, and the technique of multiple linear regression analysis (i.e. the fixed effect model). This study’s results indicate that economic growth in Indonesia is not yet fully inclusive. Only a few provinces that have achieved inclusive growth. It was found that access to technology represented by the percentage of households owning a computer and access to energy represented by the percentage of households using LPG as the main fuel for cooking have positive effects on the acceleration of inclusive economic growth. in Indonesia.","author":[{"dropping-particle":"","family":"Rini","given":"Desi Listyo","non-dropping-particle":"","parse-names":false,"suffix":""},{"dropping-particle":"","family":"Tambunan","given":"Tulus Tahi Hamonangan","non-dropping-particle":"","parse-names":false,"suffix":""}],"container-title":"Asian Journal of Interdisciplinary Research","id":"ITEM-1","issued":{"date-parts":[["2021","3","13"]]},"page":"85-100","title":"Inclusive Economic Growth of Indonesia and Its Determinants-Recent Evidence with Provincial Data","type":"article-journal"},"uris":["http://www.mendeley.com/documents/?uuid=e4c2d914-dc8a-4e94-ada0-f07dad5710ad"]}],"mendeley":{"formattedCitation":"(Rini &amp; Tambunan, 2021)","manualFormatting":"Rini &amp; Tambunan (2021)","plainTextFormattedCitation":"(Rini &amp; Tambunan, 2021)"},"properties":{"noteIndex":0},"schema":"https://github.com/citation-style-language/schema/raw/master/csl-citation.json"}</w:instrText>
      </w:r>
      <w:r w:rsidRPr="005F6FF4">
        <w:rPr>
          <w:rFonts w:cstheme="minorHAnsi"/>
          <w:lang w:val="en-GB"/>
        </w:rPr>
        <w:fldChar w:fldCharType="separate"/>
      </w:r>
      <w:r w:rsidRPr="005F6FF4">
        <w:rPr>
          <w:rFonts w:cstheme="minorHAnsi"/>
          <w:noProof/>
          <w:lang w:val="en-GB"/>
        </w:rPr>
        <w:t>Rini &amp; Tambunan (2021)</w:t>
      </w:r>
      <w:r w:rsidRPr="005F6FF4">
        <w:rPr>
          <w:rFonts w:cstheme="minorHAnsi"/>
          <w:lang w:val="en-GB"/>
        </w:rPr>
        <w:fldChar w:fldCharType="end"/>
      </w:r>
      <w:r w:rsidR="001A24E9" w:rsidRPr="005F6FF4">
        <w:rPr>
          <w:rFonts w:cstheme="minorHAnsi"/>
          <w:lang w:val="en-GB"/>
        </w:rPr>
        <w:t xml:space="preserve"> to measure inclusive growth.</w:t>
      </w:r>
      <w:r w:rsidRPr="005F6FF4">
        <w:rPr>
          <w:rFonts w:cstheme="minorHAnsi"/>
          <w:lang w:val="en-GB"/>
        </w:rPr>
        <w:t xml:space="preserve"> </w:t>
      </w:r>
      <w:r w:rsidR="00FA2186" w:rsidRPr="005F6FF4">
        <w:rPr>
          <w:rFonts w:cstheme="minorHAnsi"/>
          <w:lang w:val="en-GB"/>
        </w:rPr>
        <w:t>These techniques have the potential to produce biased or inaccurate results when representing the intricate relationship between digital transformation and inclusive growth.</w:t>
      </w:r>
      <w:r w:rsidR="009A027A" w:rsidRPr="005F6FF4">
        <w:rPr>
          <w:rFonts w:cstheme="minorHAnsi"/>
          <w:sz w:val="20"/>
          <w:szCs w:val="20"/>
          <w:lang w:val="en-GB"/>
        </w:rPr>
        <w:t xml:space="preserve"> </w:t>
      </w:r>
      <w:r w:rsidR="009A027A" w:rsidRPr="005F6FF4">
        <w:rPr>
          <w:rFonts w:cstheme="minorHAnsi"/>
          <w:lang w:val="en-GB"/>
        </w:rPr>
        <w:t xml:space="preserve">In this context, it is also worth noting that prior research has tended to focus on a narrow set of indicators when measuring digital transformation. For instance, internet penetration rates </w:t>
      </w:r>
      <w:r w:rsidR="004502C0" w:rsidRPr="005F6FF4">
        <w:rPr>
          <w:rFonts w:cstheme="minorHAnsi"/>
          <w:lang w:val="en-GB"/>
        </w:rPr>
        <w:fldChar w:fldCharType="begin" w:fldLock="1"/>
      </w:r>
      <w:r w:rsidR="007D55DE" w:rsidRPr="005F6FF4">
        <w:rPr>
          <w:rFonts w:cstheme="minorHAnsi"/>
          <w:lang w:val="en-GB"/>
        </w:rPr>
        <w:instrText>ADDIN CSL_CITATION {"citationItems":[{"id":"ITEM-1","itemData":{"DOI":"10.26418/jebik.v11i2.53871","ISSN":"2550-0066","abstract":"Separate studies on the impact of internet penetration on growth and per capita income levels, inequality, and poverty levels are still being discussed. Using data from 33 Indonesian provinces between 2008 and 2020, this paper investigates whether internet penetration modulates economic growth by reducing inequality and poverty. The Two-Way Fixed Effect (TWFE) econometric model was used. Two findings can be concluded from this paper. First, Indonesia's economic growth remains less inclusive, as evidenced by rising per capita income, which tends to reduce poverty but not income inequality. Second, Indonesia's economic growth tends to be less inclusive as an unintended consequence of internet penetration. Although it strengthens the effect on poverty reduction, on the other hand, the interaction of economic growth with internet penetration tends to exacerbate income inequality. Based on these findings, the study suggests that the government should improve advanced ICT skills and lower barriers to internet adoption, particularly for the less fortunate. The internet is expected to become a tool to achieve inclusive growth through expanding a newly established middle class instead of simply the economic transformation of the poor into non-poor households under this policy.","author":[{"dropping-particle":"","family":"Jamil","given":"Hidsal","non-dropping-particle":"","parse-names":false,"suffix":""}],"container-title":"Jurnal Ekonomi Bisnis dan Kewirausahaan","id":"ITEM-1","issue":"2","issued":{"date-parts":[["2022","8","31"]]},"page":"197","title":"Less Inclusive Growth in Indonesia? The Unintended Consequences of Internet Penetration","type":"article-journal","volume":"11"},"uris":["http://www.mendeley.com/documents/?uuid=83fb998d-db20-44da-9f47-25cbfc080053","http://www.mendeley.com/documents/?uuid=81516faf-83de-44b8-b81b-f858a9dba5e6"]},{"id":"ITEM-2","itemData":{"DOI":"10.1016/j.telpol.2015.08.008","ISSN":"03085961","author":[{"dropping-particle":"","family":"Sujarwoto","given":"Sujarwoto","non-dropping-particle":"","parse-names":false,"suffix":""},{"dropping-particle":"","family":"Tampubolon","given":"Gindo","non-dropping-particle":"","parse-names":false,"suffix":""}],"container-title":"Telecommunications Policy","id":"ITEM-2","issue":"7","issued":{"date-parts":[["2016","7"]]},"page":"602-616","title":"Spatial inequality and the Internet divide in Indonesia 2010–2012","type":"article-journal","volume":"40"},"uris":["http://www.mendeley.com/documents/?uuid=7be3cad2-ac55-4743-84b2-ad5d3fa5826d","http://www.mendeley.com/documents/?uuid=8eff6a0f-0144-4844-a219-a932728b130f","http://www.mendeley.com/documents/?uuid=056cd8b9-8e70-4abf-a847-1d057d9cde07"]}],"mendeley":{"formattedCitation":"(Jamil, 2022; Sujarwoto &amp; Tampubolon, 2016)","plainTextFormattedCitation":"(Jamil, 2022; Sujarwoto &amp; Tampubolon, 2016)","previouslyFormattedCitation":"(Jamil, 2022; Sujarwoto &amp; Tampubolon, 2016)"},"properties":{"noteIndex":0},"schema":"https://github.com/citation-style-language/schema/raw/master/csl-citation.json"}</w:instrText>
      </w:r>
      <w:r w:rsidR="004502C0" w:rsidRPr="005F6FF4">
        <w:rPr>
          <w:rFonts w:cstheme="minorHAnsi"/>
          <w:lang w:val="en-GB"/>
        </w:rPr>
        <w:fldChar w:fldCharType="separate"/>
      </w:r>
      <w:r w:rsidR="004502C0" w:rsidRPr="005F6FF4">
        <w:rPr>
          <w:rFonts w:cstheme="minorHAnsi"/>
          <w:noProof/>
          <w:lang w:val="en-GB"/>
        </w:rPr>
        <w:t>(Jamil, 2022; Sujarwoto &amp; Tampubolon, 2016)</w:t>
      </w:r>
      <w:r w:rsidR="004502C0" w:rsidRPr="005F6FF4">
        <w:rPr>
          <w:rFonts w:cstheme="minorHAnsi"/>
          <w:lang w:val="en-GB"/>
        </w:rPr>
        <w:fldChar w:fldCharType="end"/>
      </w:r>
      <w:r w:rsidR="009A027A" w:rsidRPr="005F6FF4">
        <w:rPr>
          <w:rFonts w:cstheme="minorHAnsi"/>
          <w:lang w:val="en-GB"/>
        </w:rPr>
        <w:t xml:space="preserve">, mobile phone technology usage rates </w:t>
      </w:r>
      <w:r w:rsidR="004502C0" w:rsidRPr="005F6FF4">
        <w:rPr>
          <w:rFonts w:cstheme="minorHAnsi"/>
          <w:lang w:val="en-GB"/>
        </w:rPr>
        <w:fldChar w:fldCharType="begin" w:fldLock="1"/>
      </w:r>
      <w:r w:rsidR="007D55DE" w:rsidRPr="005F6FF4">
        <w:rPr>
          <w:rFonts w:cstheme="minorHAnsi"/>
          <w:lang w:val="en-GB"/>
        </w:rPr>
        <w:instrText>ADDIN CSL_CITATION {"citationItems":[{"id":"ITEM-1","itemData":{"DOI":"10.1016/j.tele.2023.102012","ISSN":"07365853","author":[{"dropping-particle":"","family":"Ariansyah","given":"Kasmad","non-dropping-particle":"","parse-names":false,"suffix":""},{"dropping-particle":"","family":"Barsei","given":"Adhityo Nugraha","non-dropping-particle":"","parse-names":false,"suffix":""},{"dropping-particle":"","family":"Syahr","given":"Zulfia Hanum Alfi","non-dropping-particle":"","parse-names":false,"suffix":""},{"dropping-particle":"","family":"Sipahutar","given":"Nova Yulanda Putri","non-dropping-particle":"","parse-names":false,"suffix":""},{"dropping-particle":"","family":"Damanik","given":"Marudur Pandapotan","non-dropping-particle":"","parse-names":false,"suffix":""},{"dropping-particle":"","family":"Perdananugraha","given":"Gonang May","non-dropping-particle":"","parse-names":false,"suffix":""},{"dropping-particle":"","family":"Dunan","given":"Amri","non-dropping-particle":"","parse-names":false,"suffix":""},{"dropping-particle":"","family":"Nupikso","given":"Daru","non-dropping-particle":"","parse-names":false,"suffix":""},{"dropping-particle":"","family":"Darmanto","given":"","non-dropping-particle":"","parse-names":false,"suffix":""},{"dropping-particle":"","family":"Hidayat","given":"Dayat","non-dropping-particle":"","parse-names":false,"suffix":""},{"dropping-particle":"","family":"Mudjiyanto","given":"Bambang","non-dropping-particle":"","parse-names":false,"suffix":""},{"dropping-particle":"","family":"Hermawati","given":"Istiana","non-dropping-particle":"","parse-names":false,"suffix":""},{"dropping-particle":"","family":"Suryanegara","given":"Muhammad","non-dropping-particle":"","parse-names":false,"suffix":""}],"container-title":"Telematics and Informatics","id":"ITEM-1","issued":{"date-parts":[["2023","8"]]},"page":"102012","title":"Unleashing the potential of mobile broadband: Evidence from Indonesia's underdeveloped regions on its role in reducing income inequality","type":"article-journal","volume":"82"},"uris":["http://www.mendeley.com/documents/?uuid=89a011b9-a05a-480b-a43b-8fb68a788564","http://www.mendeley.com/documents/?uuid=3fd32959-8464-431f-96ff-3fe43e3628e2"]},{"id":"ITEM-2","itemData":{"DOI":"10.18080/jtde.v8n2.253","ISSN":"2203-1693","abstract":"This paper examines the influence of mobile technologies on financial inclusion, and the matter of whether mobile technologies and financial inclusion have an impact on the income of individuals in East Indonesia, considering the data from the Survey on Financial Inclusion and Access (SOFIA) in 2017. A seemingly unrelated probit model and an ordinary least-squares model are used to compare both determinants of formal and informal financial services, as well as simple and smart mobile technologies. The study finds that mobile technologies and access to finance significantly increase the likelihood of higher incomes. Smart technologies and formal finance have higher effects on incomes compared to the effects of simple devices or semi-formal and informal finance. Significant gaps in financial access exist between individuals in accordance with gender, income, education, and location. Technologies account for a small difference in the broader access to financial services.","author":[{"dropping-particle":"","family":"Esquivias","given":"Miguel Angel","non-dropping-particle":"","parse-names":false,"suffix":""},{"dropping-particle":"","family":"Sugiharti","given":"Lilik","non-dropping-particle":"","parse-names":false,"suffix":""},{"dropping-particle":"","family":"Jayanti","given":"Ari Dwi","non-dropping-particle":"","parse-names":false,"suffix":""},{"dropping-particle":"","family":"Purwono","given":"Rudi","non-dropping-particle":"","parse-names":false,"suffix":""},{"dropping-particle":"","family":"Sethi","given":"Narayan","non-dropping-particle":"","parse-names":false,"suffix":""}],"container-title":"Journal of Telecommunications and the Digital Economy","id":"ITEM-2","issue":"2","issued":{"date-parts":[["2020","6","30"]]},"page":"123-145","title":"Mobile Technologies, Financial Inclusion, and Inclusive Growth in East Indonesia","type":"article-journal","volume":"8"},"uris":["http://www.mendeley.com/documents/?uuid=a1d3650a-82c4-4597-b0ae-3547ea5d3ad5","http://www.mendeley.com/documents/?uuid=aec1b593-6960-42a1-a727-acde23674252","http://www.mendeley.com/documents/?uuid=bd8c7ff3-3af5-4a03-9930-380ab29d1fa0"]},{"id":"ITEM-3","itemData":{"DOI":"10.1016/j.tele.2015.11.001","ISSN":"07365853","author":[{"dropping-particle":"","family":"Puspitasari","given":"Lia","non-dropping-particle":"","parse-names":false,"suffix":""},{"dropping-particle":"","family":"Ishii","given":"Kenichi","non-dropping-particle":"","parse-names":false,"suffix":""}],"container-title":"Telematics and Informatics","id":"ITEM-3","issue":"2","issued":{"date-parts":[["2016","5"]]},"page":"472-483","title":"Digital divides and mobile Internet in Indonesia: Impact of smartphones","type":"article-journal","volume":"33"},"uris":["http://www.mendeley.com/documents/?uuid=e08608d5-f3e3-4e9b-bfbc-88fa7bf82650","http://www.mendeley.com/documents/?uuid=39d1d5f0-bf67-4c0b-8814-a3480f195734","http://www.mendeley.com/documents/?uuid=fed15fdc-0e82-4b10-bb31-5582ff660681"]}],"mendeley":{"formattedCitation":"(Ariansyah et al., 2023; Esquivias et al., 2020; Puspitasari &amp; Ishii, 2016)","plainTextFormattedCitation":"(Ariansyah et al., 2023; Esquivias et al., 2020; Puspitasari &amp; Ishii, 2016)","previouslyFormattedCitation":"(Ariansyah et al., 2023; Esquivias et al., 2020; Puspitasari &amp; Ishii, 2016)"},"properties":{"noteIndex":0},"schema":"https://github.com/citation-style-language/schema/raw/master/csl-citation.json"}</w:instrText>
      </w:r>
      <w:r w:rsidR="004502C0" w:rsidRPr="005F6FF4">
        <w:rPr>
          <w:rFonts w:cstheme="minorHAnsi"/>
          <w:lang w:val="en-GB"/>
        </w:rPr>
        <w:fldChar w:fldCharType="separate"/>
      </w:r>
      <w:r w:rsidR="004502C0" w:rsidRPr="005F6FF4">
        <w:rPr>
          <w:rFonts w:cstheme="minorHAnsi"/>
          <w:noProof/>
          <w:lang w:val="en-GB"/>
        </w:rPr>
        <w:t>(Ariansyah et al., 2023; Esquivias et al., 2020; Puspitasari &amp; Ishii, 2016)</w:t>
      </w:r>
      <w:r w:rsidR="004502C0" w:rsidRPr="005F6FF4">
        <w:rPr>
          <w:rFonts w:cstheme="minorHAnsi"/>
          <w:lang w:val="en-GB"/>
        </w:rPr>
        <w:fldChar w:fldCharType="end"/>
      </w:r>
      <w:r w:rsidR="009A027A" w:rsidRPr="005F6FF4">
        <w:rPr>
          <w:rFonts w:cstheme="minorHAnsi"/>
          <w:lang w:val="en-GB"/>
        </w:rPr>
        <w:t xml:space="preserve">, fixed broadband subscriptions </w:t>
      </w:r>
      <w:r w:rsidR="004502C0" w:rsidRPr="005F6FF4">
        <w:rPr>
          <w:rFonts w:cstheme="minorHAnsi"/>
          <w:lang w:val="en-GB"/>
        </w:rPr>
        <w:fldChar w:fldCharType="begin" w:fldLock="1"/>
      </w:r>
      <w:r w:rsidR="00742A14" w:rsidRPr="005F6FF4">
        <w:rPr>
          <w:rFonts w:cstheme="minorHAnsi"/>
          <w:lang w:val="en-GB"/>
        </w:rPr>
        <w:instrText>ADDIN CSL_CITATION {"citationItems":[{"id":"ITEM-1","itemData":{"DOI":"10.1016/j.telpol.2022.102351","ISSN":"03085961","author":[{"dropping-particle":"","family":"Edquist","given":"Harald","non-dropping-particle":"","parse-names":false,"suffix":""}],"container-title":"Telecommunications Policy","id":"ITEM-1","issue":"5","issued":{"date-parts":[["2022","6"]]},"page":"102351","title":"The economic impact of mobile broadband speed","type":"article-journal","volume":"46"},"uris":["http://www.mendeley.com/documents/?uuid=46172904-9913-48d6-b061-73a7f8358b13","http://www.mendeley.com/documents/?uuid=1feaf008-4d69-4c84-b6ad-47aba63be6e9"]}],"mendeley":{"formattedCitation":"(Edquist, 2022)","plainTextFormattedCitation":"(Edquist, 2022)","previouslyFormattedCitation":"(Edquist, 2022)"},"properties":{"noteIndex":0},"schema":"https://github.com/citation-style-language/schema/raw/master/csl-citation.json"}</w:instrText>
      </w:r>
      <w:r w:rsidR="004502C0" w:rsidRPr="005F6FF4">
        <w:rPr>
          <w:rFonts w:cstheme="minorHAnsi"/>
          <w:lang w:val="en-GB"/>
        </w:rPr>
        <w:fldChar w:fldCharType="separate"/>
      </w:r>
      <w:r w:rsidR="004502C0" w:rsidRPr="005F6FF4">
        <w:rPr>
          <w:rFonts w:cstheme="minorHAnsi"/>
          <w:noProof/>
          <w:lang w:val="en-GB"/>
        </w:rPr>
        <w:t>(Edquist, 2022)</w:t>
      </w:r>
      <w:r w:rsidR="004502C0" w:rsidRPr="005F6FF4">
        <w:rPr>
          <w:rFonts w:cstheme="minorHAnsi"/>
          <w:lang w:val="en-GB"/>
        </w:rPr>
        <w:fldChar w:fldCharType="end"/>
      </w:r>
      <w:r w:rsidR="009A027A" w:rsidRPr="005F6FF4">
        <w:rPr>
          <w:rFonts w:cstheme="minorHAnsi"/>
          <w:lang w:val="en-GB"/>
        </w:rPr>
        <w:t xml:space="preserve">, and ICT exports </w:t>
      </w:r>
      <w:r w:rsidR="004502C0" w:rsidRPr="005F6FF4">
        <w:rPr>
          <w:rFonts w:cstheme="minorHAnsi"/>
          <w:lang w:val="en-GB"/>
        </w:rPr>
        <w:fldChar w:fldCharType="begin" w:fldLock="1"/>
      </w:r>
      <w:r w:rsidR="007D55DE" w:rsidRPr="005F6FF4">
        <w:rPr>
          <w:rFonts w:cstheme="minorHAnsi"/>
          <w:lang w:val="en-GB"/>
        </w:rPr>
        <w:instrText>ADDIN CSL_CITATION {"citationItems":[{"id":"ITEM-1","itemData":{"DOI":"10.21098/bemp.v22i1.1041","ISSN":"2460-9196","abstract":"This paper investigates, using annual data from 1980 to 2014, whether adoption of information and communication technologies (ICT) fosters economic growth in Indonesia. We employ an Autoregressive Distributed Lag cointegration technique on an augmented neoclassical growth model. The empirical results indicate a positive effect of ICT development on economic growth in both the long-run and short-run. The other regressors, such as total factor productivity, human capital, and capital per worker, also positively affect economic growth. From a policy perspective, the Indonesian government should promote ICT development through greater investment.","author":[{"dropping-particle":"","family":"Rath","given":"Badri Narayan","non-dropping-particle":"","parse-names":false,"suffix":""},{"dropping-particle":"","family":"Hermawan","given":"Danny","non-dropping-particle":"","parse-names":false,"suffix":""}],"container-title":"Buletin Ekonomi Moneter dan Perbankan","id":"ITEM-1","issue":"1","issued":{"date-parts":[["2019","4","30"]]},"page":"103-122","title":"Do Information and Communication Technologies Foster Economic Growth in Indonesia?","type":"article-journal","volume":"22"},"uris":["http://www.mendeley.com/documents/?uuid=5c1219e6-34c6-471d-9739-bbe1077ceffe","http://www.mendeley.com/documents/?uuid=e1b6f01f-9bf1-4a7b-843c-191b103f7f16"]}],"mendeley":{"formattedCitation":"(Rath &amp; Hermawan, 2019)","plainTextFormattedCitation":"(Rath &amp; Hermawan, 2019)","previouslyFormattedCitation":"(Rath &amp; Hermawan, 2019)"},"properties":{"noteIndex":0},"schema":"https://github.com/citation-style-language/schema/raw/master/csl-citation.json"}</w:instrText>
      </w:r>
      <w:r w:rsidR="004502C0" w:rsidRPr="005F6FF4">
        <w:rPr>
          <w:rFonts w:cstheme="minorHAnsi"/>
          <w:lang w:val="en-GB"/>
        </w:rPr>
        <w:fldChar w:fldCharType="separate"/>
      </w:r>
      <w:r w:rsidR="004502C0" w:rsidRPr="005F6FF4">
        <w:rPr>
          <w:rFonts w:cstheme="minorHAnsi"/>
          <w:noProof/>
          <w:lang w:val="en-GB"/>
        </w:rPr>
        <w:t>(Rath &amp; Hermawan, 2019)</w:t>
      </w:r>
      <w:r w:rsidR="004502C0" w:rsidRPr="005F6FF4">
        <w:rPr>
          <w:rFonts w:cstheme="minorHAnsi"/>
          <w:lang w:val="en-GB"/>
        </w:rPr>
        <w:fldChar w:fldCharType="end"/>
      </w:r>
      <w:r w:rsidR="009A027A" w:rsidRPr="005F6FF4">
        <w:rPr>
          <w:rFonts w:cstheme="minorHAnsi"/>
          <w:lang w:val="en-GB"/>
        </w:rPr>
        <w:t xml:space="preserve"> are </w:t>
      </w:r>
      <w:r w:rsidR="00554E94" w:rsidRPr="005F6FF4">
        <w:rPr>
          <w:rFonts w:cstheme="minorHAnsi"/>
          <w:lang w:val="en-GB"/>
        </w:rPr>
        <w:t>partial</w:t>
      </w:r>
      <w:r w:rsidR="009A027A" w:rsidRPr="005F6FF4">
        <w:rPr>
          <w:rFonts w:cstheme="minorHAnsi"/>
          <w:lang w:val="en-GB"/>
        </w:rPr>
        <w:t>ly used to assess digital transformation. As a result, understanding of the complexity of the digital transformation and inclusive growth phenomena may be limited, ignoring critical aspects that may not be included in the analysis.</w:t>
      </w:r>
    </w:p>
    <w:p w14:paraId="447FBA80" w14:textId="56EBA6AE" w:rsidR="009A027A" w:rsidRPr="005F6FF4" w:rsidRDefault="009A027A" w:rsidP="00572FEF">
      <w:pPr>
        <w:jc w:val="both"/>
        <w:rPr>
          <w:rFonts w:cstheme="minorHAnsi"/>
          <w:lang w:val="en-GB"/>
        </w:rPr>
      </w:pPr>
      <w:r w:rsidRPr="005F6FF4">
        <w:rPr>
          <w:rFonts w:cstheme="minorHAnsi"/>
          <w:lang w:val="en-GB"/>
        </w:rPr>
        <w:t>Hence, the aim of this research is to fill these gaps in a holistic and comprehensive manner.</w:t>
      </w:r>
      <w:r w:rsidRPr="005F6FF4">
        <w:rPr>
          <w:rFonts w:cstheme="minorHAnsi"/>
          <w:sz w:val="20"/>
          <w:szCs w:val="20"/>
          <w:lang w:val="en-GB"/>
        </w:rPr>
        <w:t xml:space="preserve"> </w:t>
      </w:r>
      <w:r w:rsidRPr="005F6FF4">
        <w:rPr>
          <w:rFonts w:cstheme="minorHAnsi"/>
          <w:lang w:val="en-GB"/>
        </w:rPr>
        <w:t xml:space="preserve">This study will span four decades (1980-2021) to provide an expanded view of the evolution of digital transformation and inclusive growth in Indonesia. Also, the Principal Component Analysis (PCA) method will be used to address subjective weighting and broaden the scope of measurement </w:t>
      </w:r>
      <w:r w:rsidRPr="005F6FF4">
        <w:rPr>
          <w:rFonts w:cstheme="minorHAnsi"/>
          <w:lang w:val="en-GB"/>
        </w:rPr>
        <w:lastRenderedPageBreak/>
        <w:t xml:space="preserve">indicators. This method allows for more precise identification of key dimensions of digital transformation and inclusive growth. The methodology used in this study aligns with that used in the studies by </w:t>
      </w:r>
      <w:r w:rsidRPr="005F6FF4">
        <w:rPr>
          <w:rFonts w:cstheme="minorHAnsi"/>
          <w:lang w:val="en-GB"/>
        </w:rPr>
        <w:fldChar w:fldCharType="begin" w:fldLock="1"/>
      </w:r>
      <w:r w:rsidR="007D55DE" w:rsidRPr="005F6FF4">
        <w:rPr>
          <w:rFonts w:cstheme="minorHAnsi"/>
          <w:lang w:val="en-GB"/>
        </w:rPr>
        <w:instrText>ADDIN CSL_CITATION {"citationItems":[{"id":"ITEM-1","itemData":{"DOI":"10.1007/s40847-023-00240-5","ISSN":"0972-5792","author":[{"dropping-particle":"","family":"Kouladoum","given":"Jean-Claude","non-dropping-particle":"","parse-names":false,"suffix":""}],"container-title":"Journal of Social and Economic Development","id":"ITEM-1","issued":{"date-parts":[["2023","3","11"]]},"title":"Digital infrastructural development and inclusive growth in Sub-Saharan Africa","type":"article-journal"},"uris":["http://www.mendeley.com/documents/?uuid=2495bd3e-f2a4-4fe4-a2fc-4d5ecf018d9a","http://www.mendeley.com/documents/?uuid=ec473e43-635d-401a-b18b-439e79afacc5"]}],"mendeley":{"formattedCitation":"(Kouladoum, 2023)","manualFormatting":"Kouladoum (2023)","plainTextFormattedCitation":"(Kouladoum, 2023)","previouslyFormattedCitation":"(Kouladoum, 2023)"},"properties":{"noteIndex":0},"schema":"https://github.com/citation-style-language/schema/raw/master/csl-citation.json"}</w:instrText>
      </w:r>
      <w:r w:rsidRPr="005F6FF4">
        <w:rPr>
          <w:rFonts w:cstheme="minorHAnsi"/>
          <w:lang w:val="en-GB"/>
        </w:rPr>
        <w:fldChar w:fldCharType="separate"/>
      </w:r>
      <w:r w:rsidRPr="005F6FF4">
        <w:rPr>
          <w:rFonts w:cstheme="minorHAnsi"/>
          <w:noProof/>
          <w:lang w:val="en-GB"/>
        </w:rPr>
        <w:t>Kouladoum (2023)</w:t>
      </w:r>
      <w:r w:rsidRPr="005F6FF4">
        <w:rPr>
          <w:rFonts w:cstheme="minorHAnsi"/>
          <w:lang w:val="en-GB"/>
        </w:rPr>
        <w:fldChar w:fldCharType="end"/>
      </w:r>
      <w:r w:rsidRPr="005F6FF4">
        <w:rPr>
          <w:rFonts w:cstheme="minorHAnsi"/>
          <w:lang w:val="en-GB"/>
        </w:rPr>
        <w:t xml:space="preserve"> and </w:t>
      </w:r>
      <w:r w:rsidRPr="005F6FF4">
        <w:rPr>
          <w:rFonts w:cstheme="minorHAnsi"/>
          <w:lang w:val="en-GB"/>
        </w:rPr>
        <w:fldChar w:fldCharType="begin" w:fldLock="1"/>
      </w:r>
      <w:r w:rsidR="007D55DE" w:rsidRPr="005F6FF4">
        <w:rPr>
          <w:rFonts w:cstheme="minorHAnsi"/>
          <w:lang w:val="en-GB"/>
        </w:rPr>
        <w:instrText>ADDIN CSL_CITATION {"citationItems":[{"id":"ITEM-1","itemData":{"DOI":"10.1007/s11205-021-02860-y","ISSN":"0303-8300","abstract":"Despite decreasing global poverty, feelings of increasing inequalities drive growing dissatisfaction with development outcomes. Inclusive development benefiting larger parts of societies will be perceived as more legitimate. Yet, there is neither a thorough agreement on what constitutes inclusive development nor a convenient measurement tool. The purpose of this paper is to address both these shortcomings in the literature. We derive a notion of inclusive development that is human-based and acknowledges all factors important for well-being. With the introduction of the Multidimensional Inclusiveness Index (MDI), we address the conceptual drawbacks of prominent approaches like the Human Development Index (HDI), Inequality-Adjusted Human Development Index and Inclusive Development Index (IDI) and extend the available data sample (by 50% compared to the HDI). The MDI consists of two subindices—one on development equity and development achievements each—and is calculated in three versions for up to 171 countries for the years 1960–2018. By applying principal component analysis, we rely on the structure of the underlying data for the aggregation of the 14 variables into the subindices. The subindices are aggregated by geometric mean. We show that regional development patterns are captured and major political events reflected in MDI country trends. Despite correlations resulting from data similarities, the MDI provides new insights when compared to HDI, IDI and gross domestic product . All three MDI versions display increasing global averages over time. These positive trends are largely driven by improvements in the achievements dimension. Despite optimistic trends in recent years, equity considerations deserve a stronger emphasis in development concepts.","author":[{"dropping-particle":"","family":"Dörffel","given":"Christoph","non-dropping-particle":"","parse-names":false,"suffix":""},{"dropping-particle":"","family":"Schuhmann","given":"Sebastian","non-dropping-particle":"","parse-names":false,"suffix":""}],"container-title":"Social Indicators Research","id":"ITEM-1","issue":"3","issued":{"date-parts":[["2022","8","17"]]},"page":"1117-1148","title":"What is Inclusive Development? Introducing the Multidimensional Inclusiveness Index","type":"article-journal","volume":"162"},"uris":["http://www.mendeley.com/documents/?uuid=009fa223-6b02-4a16-92e2-af518afd518f","http://www.mendeley.com/documents/?uuid=67146e62-2e19-449c-b267-0128058b019b"]}],"mendeley":{"formattedCitation":"(Dörffel &amp; Schuhmann, 2022)","manualFormatting":"Dörffel &amp; Schuhmann (2022)","plainTextFormattedCitation":"(Dörffel &amp; Schuhmann, 2022)","previouslyFormattedCitation":"(Dörffel &amp; Schuhmann, 2022)"},"properties":{"noteIndex":0},"schema":"https://github.com/citation-style-language/schema/raw/master/csl-citation.json"}</w:instrText>
      </w:r>
      <w:r w:rsidRPr="005F6FF4">
        <w:rPr>
          <w:rFonts w:cstheme="minorHAnsi"/>
          <w:lang w:val="en-GB"/>
        </w:rPr>
        <w:fldChar w:fldCharType="separate"/>
      </w:r>
      <w:r w:rsidRPr="005F6FF4">
        <w:rPr>
          <w:rFonts w:cstheme="minorHAnsi"/>
          <w:noProof/>
          <w:lang w:val="en-GB"/>
        </w:rPr>
        <w:t>Dörffel &amp; Schuhmann (2022)</w:t>
      </w:r>
      <w:r w:rsidRPr="005F6FF4">
        <w:rPr>
          <w:rFonts w:cstheme="minorHAnsi"/>
          <w:lang w:val="en-GB"/>
        </w:rPr>
        <w:fldChar w:fldCharType="end"/>
      </w:r>
      <w:r w:rsidRPr="005F6FF4">
        <w:rPr>
          <w:rFonts w:cstheme="minorHAnsi"/>
          <w:lang w:val="en-GB"/>
        </w:rPr>
        <w:t>.</w:t>
      </w:r>
    </w:p>
    <w:p w14:paraId="16096E96" w14:textId="164C583E" w:rsidR="009A027A" w:rsidRPr="005F6FF4" w:rsidRDefault="009A027A" w:rsidP="00572FEF">
      <w:pPr>
        <w:jc w:val="both"/>
        <w:rPr>
          <w:rFonts w:cstheme="minorHAnsi"/>
          <w:lang w:val="en-GB"/>
        </w:rPr>
      </w:pPr>
      <w:r w:rsidRPr="005F6FF4">
        <w:rPr>
          <w:rFonts w:cstheme="minorHAnsi"/>
          <w:lang w:val="en-GB"/>
        </w:rPr>
        <w:t>Beyond addressing measurement constraints, this research will make a significant contribution to developing solutions for endogeneity issues that may impact the analysis of the effects of digital transformation on inclusive growth. To address this, the study will use the Two-Stage Least Squares (2SLS) method, which allows for the consideration of endogenous factors that affect both phenomena concurrently. This research, using the 2SLS approach, is expected to provide a better understanding of the cause-and-effect relationship between Indonesia's ongoing digital transformation and inclusive growth.</w:t>
      </w:r>
      <w:r w:rsidRPr="005F6FF4">
        <w:rPr>
          <w:rFonts w:cstheme="minorHAnsi"/>
          <w:sz w:val="20"/>
          <w:szCs w:val="20"/>
          <w:lang w:val="en-GB"/>
        </w:rPr>
        <w:t xml:space="preserve"> </w:t>
      </w:r>
      <w:r w:rsidRPr="005F6FF4">
        <w:rPr>
          <w:rFonts w:cstheme="minorHAnsi"/>
          <w:lang w:val="en-GB"/>
        </w:rPr>
        <w:t>Thus, this research will make a significant contribution to elucidating the factors influencing the intricate interaction between digital transformation and inclusive growth, while also providing policymakers, stakeholders, and academics with a more precise understanding of how to foster inclusive growth in Indonesia by leveraging the potential of digital transformation.</w:t>
      </w:r>
    </w:p>
    <w:p w14:paraId="09E200CB" w14:textId="12B173C5" w:rsidR="00C0000A" w:rsidRPr="005F6FF4" w:rsidRDefault="00C0000A" w:rsidP="00572FEF">
      <w:pPr>
        <w:jc w:val="both"/>
        <w:rPr>
          <w:rFonts w:cstheme="minorHAnsi"/>
          <w:lang w:val="en-GB"/>
        </w:rPr>
      </w:pPr>
      <w:commentRangeStart w:id="4"/>
      <w:r w:rsidRPr="005F6FF4">
        <w:rPr>
          <w:rFonts w:cstheme="minorHAnsi"/>
          <w:lang w:val="en-GB"/>
        </w:rPr>
        <w:t>The following is the rest of this paper</w:t>
      </w:r>
      <w:commentRangeEnd w:id="4"/>
      <w:r w:rsidR="00502D40">
        <w:rPr>
          <w:rStyle w:val="CommentReference"/>
        </w:rPr>
        <w:commentReference w:id="4"/>
      </w:r>
      <w:r w:rsidRPr="005F6FF4">
        <w:rPr>
          <w:rFonts w:cstheme="minorHAnsi"/>
          <w:lang w:val="en-GB"/>
        </w:rPr>
        <w:t>.</w:t>
      </w:r>
      <w:r w:rsidRPr="005F6FF4">
        <w:t xml:space="preserve"> </w:t>
      </w:r>
      <w:r w:rsidRPr="005F6FF4">
        <w:rPr>
          <w:rFonts w:cstheme="minorHAnsi"/>
          <w:lang w:val="en-GB"/>
        </w:rPr>
        <w:t xml:space="preserve">The </w:t>
      </w:r>
      <w:r w:rsidRPr="005F6FF4">
        <w:rPr>
          <w:rFonts w:cstheme="minorHAnsi"/>
          <w:b/>
          <w:bCs/>
          <w:lang w:val="en-GB"/>
        </w:rPr>
        <w:t>Method</w:t>
      </w:r>
      <w:r w:rsidRPr="005F6FF4">
        <w:rPr>
          <w:rFonts w:cstheme="minorHAnsi"/>
          <w:lang w:val="en-GB"/>
        </w:rPr>
        <w:t xml:space="preserve"> section of this paper will go over how to use PCA methodology to measure digital transformation and inclusive growth, as well as how to use the 2</w:t>
      </w:r>
      <w:r w:rsidR="009A6A3F" w:rsidRPr="005F6FF4">
        <w:rPr>
          <w:rFonts w:cstheme="minorHAnsi"/>
          <w:lang w:val="en-GB"/>
        </w:rPr>
        <w:t>SLS</w:t>
      </w:r>
      <w:r w:rsidRPr="005F6FF4">
        <w:rPr>
          <w:rFonts w:cstheme="minorHAnsi"/>
          <w:lang w:val="en-GB"/>
        </w:rPr>
        <w:t xml:space="preserve"> method to estimate the impact of digital transformation on inclusive growth. The </w:t>
      </w:r>
      <w:r w:rsidRPr="005F6FF4">
        <w:rPr>
          <w:rFonts w:cstheme="minorHAnsi"/>
          <w:b/>
          <w:bCs/>
          <w:lang w:val="en-GB"/>
        </w:rPr>
        <w:t xml:space="preserve">Results </w:t>
      </w:r>
      <w:r w:rsidR="008E2E64" w:rsidRPr="005F6FF4">
        <w:rPr>
          <w:rFonts w:cstheme="minorHAnsi"/>
          <w:b/>
          <w:bCs/>
          <w:lang w:val="en-GB"/>
        </w:rPr>
        <w:t xml:space="preserve">and Discussion </w:t>
      </w:r>
      <w:r w:rsidRPr="005F6FF4">
        <w:rPr>
          <w:rFonts w:cstheme="minorHAnsi"/>
          <w:lang w:val="en-GB"/>
        </w:rPr>
        <w:t xml:space="preserve">section will delve into the most influential factors in determining the aggregate index of digital transformation and inclusive growth, as well as the statistical implications of digital transformation. </w:t>
      </w:r>
      <w:r w:rsidR="008E2E64" w:rsidRPr="005F6FF4">
        <w:rPr>
          <w:rFonts w:cstheme="minorHAnsi"/>
          <w:lang w:val="en-GB"/>
        </w:rPr>
        <w:t>T</w:t>
      </w:r>
      <w:r w:rsidRPr="005F6FF4">
        <w:rPr>
          <w:rFonts w:cstheme="minorHAnsi"/>
          <w:lang w:val="en-GB"/>
        </w:rPr>
        <w:t>h</w:t>
      </w:r>
      <w:r w:rsidR="008E2E64" w:rsidRPr="005F6FF4">
        <w:rPr>
          <w:rFonts w:cstheme="minorHAnsi"/>
          <w:lang w:val="en-GB"/>
        </w:rPr>
        <w:t>is</w:t>
      </w:r>
      <w:r w:rsidRPr="005F6FF4">
        <w:rPr>
          <w:rFonts w:cstheme="minorHAnsi"/>
          <w:lang w:val="en-GB"/>
        </w:rPr>
        <w:t xml:space="preserve"> section will</w:t>
      </w:r>
      <w:r w:rsidR="008E2E64" w:rsidRPr="005F6FF4">
        <w:rPr>
          <w:rFonts w:cstheme="minorHAnsi"/>
          <w:lang w:val="en-GB"/>
        </w:rPr>
        <w:t xml:space="preserve"> also</w:t>
      </w:r>
      <w:r w:rsidRPr="005F6FF4">
        <w:rPr>
          <w:rFonts w:cstheme="minorHAnsi"/>
          <w:lang w:val="en-GB"/>
        </w:rPr>
        <w:t xml:space="preserve"> look at the empirical justifications why digital transformation drives inclusive growth, as well as why this effect is heavily contingent on digital transformation in previous years. The research findings, as well as the implications and future research agenda for a digital transformation model capable of fostering inclusive growth, will be outlined in the </w:t>
      </w:r>
      <w:r w:rsidRPr="005F6FF4">
        <w:rPr>
          <w:rFonts w:cstheme="minorHAnsi"/>
          <w:b/>
          <w:bCs/>
          <w:lang w:val="en-GB"/>
        </w:rPr>
        <w:t>Conclusions</w:t>
      </w:r>
      <w:r w:rsidRPr="005F6FF4">
        <w:rPr>
          <w:rFonts w:cstheme="minorHAnsi"/>
          <w:lang w:val="en-GB"/>
        </w:rPr>
        <w:t xml:space="preserve"> section.</w:t>
      </w:r>
    </w:p>
    <w:p w14:paraId="2442D939" w14:textId="6F0EA6FD" w:rsidR="003F3397" w:rsidRPr="005F6FF4" w:rsidRDefault="00E302CD" w:rsidP="000B49AD">
      <w:pPr>
        <w:jc w:val="center"/>
        <w:rPr>
          <w:rFonts w:cstheme="minorHAnsi"/>
          <w:b/>
          <w:bCs/>
          <w:sz w:val="28"/>
          <w:szCs w:val="28"/>
          <w:lang w:val="en-GB"/>
        </w:rPr>
      </w:pPr>
      <w:r w:rsidRPr="005F6FF4">
        <w:rPr>
          <w:rFonts w:cstheme="minorHAnsi"/>
          <w:b/>
          <w:bCs/>
          <w:sz w:val="28"/>
          <w:szCs w:val="28"/>
          <w:lang w:val="en-GB"/>
        </w:rPr>
        <w:t xml:space="preserve">Research </w:t>
      </w:r>
      <w:r w:rsidR="003F3397" w:rsidRPr="005F6FF4">
        <w:rPr>
          <w:rFonts w:cstheme="minorHAnsi"/>
          <w:b/>
          <w:bCs/>
          <w:sz w:val="28"/>
          <w:szCs w:val="28"/>
          <w:lang w:val="en-GB"/>
        </w:rPr>
        <w:t>Method</w:t>
      </w:r>
    </w:p>
    <w:p w14:paraId="634CA566" w14:textId="7EC63C0A" w:rsidR="00BA4BFC" w:rsidRPr="005F6FF4" w:rsidRDefault="00BA4BFC" w:rsidP="00FB74E2">
      <w:pPr>
        <w:jc w:val="both"/>
        <w:rPr>
          <w:rFonts w:cstheme="minorHAnsi"/>
          <w:b/>
          <w:bCs/>
          <w:sz w:val="28"/>
          <w:szCs w:val="28"/>
          <w:lang w:val="en-GB"/>
        </w:rPr>
      </w:pPr>
      <w:r w:rsidRPr="005F6FF4">
        <w:rPr>
          <w:rFonts w:cstheme="minorHAnsi"/>
          <w:b/>
          <w:bCs/>
          <w:sz w:val="28"/>
          <w:szCs w:val="28"/>
          <w:lang w:val="en-GB"/>
        </w:rPr>
        <w:t>Data Collection and Variable Measurement</w:t>
      </w:r>
    </w:p>
    <w:p w14:paraId="35ED4E14" w14:textId="41C11030" w:rsidR="00A5012D" w:rsidRPr="005F6FF4" w:rsidRDefault="0062502E" w:rsidP="00044E9A">
      <w:pPr>
        <w:jc w:val="both"/>
        <w:rPr>
          <w:rFonts w:cstheme="minorHAnsi"/>
          <w:lang w:val="en-GB"/>
        </w:rPr>
      </w:pPr>
      <w:r w:rsidRPr="005F6FF4">
        <w:rPr>
          <w:rFonts w:cstheme="minorHAnsi"/>
          <w:lang w:val="en-GB"/>
        </w:rPr>
        <w:t xml:space="preserve">The World Development Indicator, published by the </w:t>
      </w:r>
      <w:r w:rsidR="000F1617" w:rsidRPr="005F6FF4">
        <w:rPr>
          <w:rFonts w:cstheme="minorHAnsi"/>
          <w:lang w:val="en-GB"/>
        </w:rPr>
        <w:fldChar w:fldCharType="begin" w:fldLock="1"/>
      </w:r>
      <w:r w:rsidR="005557A4" w:rsidRPr="005F6FF4">
        <w:rPr>
          <w:rFonts w:cstheme="minorHAnsi"/>
          <w:lang w:val="en-GB"/>
        </w:rPr>
        <w:instrText>ADDIN CSL_CITATION {"citationItems":[{"id":"ITEM-1","itemData":{"URL":"https://data.worldbank.org/","accessed":{"date-parts":[["2022","8","26"]]},"author":[{"dropping-particle":"","family":"World Bank","given":"","non-dropping-particle":"","parse-names":false,"suffix":""}],"id":"ITEM-1","issued":{"date-parts":[["2022"]]},"title":"World Development Indicators","type":"webpage"},"uris":["http://www.mendeley.com/documents/?uuid=64ed7ae0-3d34-491c-aba3-5b20024ca7fa"]}],"mendeley":{"formattedCitation":"(World Bank, 2022)","manualFormatting":"World Bank (2022)","plainTextFormattedCitation":"(World Bank, 2022)","previouslyFormattedCitation":"(World Bank, 2022)"},"properties":{"noteIndex":0},"schema":"https://github.com/citation-style-language/schema/raw/master/csl-citation.json"}</w:instrText>
      </w:r>
      <w:r w:rsidR="000F1617" w:rsidRPr="005F6FF4">
        <w:rPr>
          <w:rFonts w:cstheme="minorHAnsi"/>
          <w:lang w:val="en-GB"/>
        </w:rPr>
        <w:fldChar w:fldCharType="separate"/>
      </w:r>
      <w:r w:rsidR="000F1617" w:rsidRPr="005F6FF4">
        <w:rPr>
          <w:rFonts w:cstheme="minorHAnsi"/>
          <w:noProof/>
          <w:lang w:val="en-GB"/>
        </w:rPr>
        <w:t>World Bank (2022)</w:t>
      </w:r>
      <w:r w:rsidR="000F1617" w:rsidRPr="005F6FF4">
        <w:rPr>
          <w:rFonts w:cstheme="minorHAnsi"/>
          <w:lang w:val="en-GB"/>
        </w:rPr>
        <w:fldChar w:fldCharType="end"/>
      </w:r>
      <w:r w:rsidRPr="005F6FF4">
        <w:rPr>
          <w:rFonts w:cstheme="minorHAnsi"/>
          <w:lang w:val="en-GB"/>
        </w:rPr>
        <w:t xml:space="preserve">, and the V-Dem Dataset, published by the </w:t>
      </w:r>
      <w:r w:rsidR="005557A4" w:rsidRPr="005F6FF4">
        <w:rPr>
          <w:rFonts w:cstheme="minorHAnsi"/>
          <w:lang w:val="en-GB"/>
        </w:rPr>
        <w:fldChar w:fldCharType="begin" w:fldLock="1"/>
      </w:r>
      <w:r w:rsidR="0040077F" w:rsidRPr="005F6FF4">
        <w:rPr>
          <w:rFonts w:cstheme="minorHAnsi"/>
          <w:lang w:val="en-GB"/>
        </w:rPr>
        <w:instrText>ADDIN CSL_CITATION {"citationItems":[{"id":"ITEM-1","itemData":{"URL":"https://v-dem.net/data/","accessed":{"date-parts":[["2023","5","5"]]},"author":[{"dropping-particle":"","family":"V-Dem Institute","given":"","non-dropping-particle":"","parse-names":false,"suffix":""}],"container-title":"V-Dem Institute","id":"ITEM-1","issued":{"date-parts":[["2023"]]},"title":"V-Dem Institute Datasets","type":"webpage"},"uris":["http://www.mendeley.com/documents/?uuid=286c73fc-c10c-41aa-8916-c1f8b203813e"]}],"mendeley":{"formattedCitation":"(V-Dem Institute, 2023)","manualFormatting":"V-Dem Institute (2023)","plainTextFormattedCitation":"(V-Dem Institute, 2023)","previouslyFormattedCitation":"(V-Dem Institute, 2023)"},"properties":{"noteIndex":0},"schema":"https://github.com/citation-style-language/schema/raw/master/csl-citation.json"}</w:instrText>
      </w:r>
      <w:r w:rsidR="005557A4" w:rsidRPr="005F6FF4">
        <w:rPr>
          <w:rFonts w:cstheme="minorHAnsi"/>
          <w:lang w:val="en-GB"/>
        </w:rPr>
        <w:fldChar w:fldCharType="separate"/>
      </w:r>
      <w:r w:rsidR="005557A4" w:rsidRPr="005F6FF4">
        <w:rPr>
          <w:rFonts w:cstheme="minorHAnsi"/>
          <w:noProof/>
          <w:lang w:val="en-GB"/>
        </w:rPr>
        <w:t>V-Dem Institute (2023)</w:t>
      </w:r>
      <w:r w:rsidR="005557A4" w:rsidRPr="005F6FF4">
        <w:rPr>
          <w:rFonts w:cstheme="minorHAnsi"/>
          <w:lang w:val="en-GB"/>
        </w:rPr>
        <w:fldChar w:fldCharType="end"/>
      </w:r>
      <w:r w:rsidRPr="005F6FF4">
        <w:rPr>
          <w:rFonts w:cstheme="minorHAnsi"/>
          <w:lang w:val="en-GB"/>
        </w:rPr>
        <w:t xml:space="preserve">, </w:t>
      </w:r>
      <w:commentRangeStart w:id="5"/>
      <w:r w:rsidRPr="005F6FF4">
        <w:rPr>
          <w:rFonts w:cstheme="minorHAnsi"/>
          <w:lang w:val="en-GB"/>
        </w:rPr>
        <w:t>provided the data for this study</w:t>
      </w:r>
      <w:commentRangeEnd w:id="5"/>
      <w:r w:rsidR="00502D40">
        <w:rPr>
          <w:rStyle w:val="CommentReference"/>
        </w:rPr>
        <w:commentReference w:id="5"/>
      </w:r>
      <w:r w:rsidRPr="005F6FF4">
        <w:rPr>
          <w:rFonts w:cstheme="minorHAnsi"/>
          <w:lang w:val="en-GB"/>
        </w:rPr>
        <w:t>. Three variables associated with institutional quality, namely the accountability index, civil liberties index, and rule of law, were sourced from the V-Dem dataset. The World Development Indicator was used to obtain all other variables. It is worth noting that gaps in data existed in Indonesia for several years due to limitations in the government's data collection capacity, and these gaps were only filled in the early 1980s. Given the available datasets, this study employs time series data from Indonesia spanning the years 1980 to 2021.</w:t>
      </w:r>
    </w:p>
    <w:p w14:paraId="79EF5108" w14:textId="282C2584" w:rsidR="0062502E" w:rsidRPr="005F6FF4" w:rsidRDefault="00E52DCB" w:rsidP="00BA4BFC">
      <w:pPr>
        <w:jc w:val="both"/>
        <w:rPr>
          <w:rFonts w:cstheme="minorHAnsi"/>
          <w:lang w:val="en-GB"/>
        </w:rPr>
      </w:pPr>
      <w:r w:rsidRPr="005F6FF4">
        <w:rPr>
          <w:rFonts w:cstheme="minorHAnsi"/>
          <w:lang w:val="en-GB"/>
        </w:rPr>
        <w:t>M</w:t>
      </w:r>
      <w:r w:rsidR="00BA4BFC" w:rsidRPr="005F6FF4">
        <w:rPr>
          <w:rFonts w:cstheme="minorHAnsi"/>
          <w:lang w:val="en-GB"/>
        </w:rPr>
        <w:t xml:space="preserve">easuring digital transformation and inclusive growth is a critical component of this research. In this study, the examination of digital transformation and inclusive growth is carried out using Principal Component Analysis (PCA). </w:t>
      </w:r>
      <w:commentRangeStart w:id="6"/>
      <w:r w:rsidR="009A6A3F" w:rsidRPr="005F6FF4">
        <w:rPr>
          <w:rFonts w:cstheme="minorHAnsi"/>
          <w:lang w:val="en-GB"/>
        </w:rPr>
        <w:t>This method has three major advantages</w:t>
      </w:r>
      <w:commentRangeEnd w:id="6"/>
      <w:r w:rsidR="00502D40">
        <w:rPr>
          <w:rStyle w:val="CommentReference"/>
        </w:rPr>
        <w:commentReference w:id="6"/>
      </w:r>
      <w:r w:rsidRPr="005F6FF4">
        <w:rPr>
          <w:rFonts w:cstheme="minorHAnsi"/>
          <w:lang w:val="en-GB"/>
        </w:rPr>
        <w:t xml:space="preserve"> </w:t>
      </w:r>
      <w:r w:rsidRPr="005F6FF4">
        <w:rPr>
          <w:rFonts w:cstheme="minorHAnsi"/>
          <w:lang w:val="en-GB"/>
        </w:rPr>
        <w:fldChar w:fldCharType="begin" w:fldLock="1"/>
      </w:r>
      <w:r w:rsidR="0071309B" w:rsidRPr="005F6FF4">
        <w:rPr>
          <w:rFonts w:cstheme="minorHAnsi"/>
          <w:lang w:val="en-GB"/>
        </w:rPr>
        <w:instrText>ADDIN CSL_CITATION {"citationItems":[{"id":"ITEM-1","itemData":{"DOI":"10.1007/s11205-021-02860-y","ISSN":"0303-8300","abstract":"Despite decreasing global poverty, feelings of increasing inequalities drive growing dissatisfaction with development outcomes. Inclusive development benefiting larger parts of societies will be perceived as more legitimate. Yet, there is neither a thorough agreement on what constitutes inclusive development nor a convenient measurement tool. The purpose of this paper is to address both these shortcomings in the literature. We derive a notion of inclusive development that is human-based and acknowledges all factors important for well-being. With the introduction of the Multidimensional Inclusiveness Index (MDI), we address the conceptual drawbacks of prominent approaches like the Human Development Index (HDI), Inequality-Adjusted Human Development Index and Inclusive Development Index (IDI) and extend the available data sample (by 50% compared to the HDI). The MDI consists of two subindices—one on development equity and development achievements each—and is calculated in three versions for up to 171 countries for the years 1960–2018. By applying principal component analysis, we rely on the structure of the underlying data for the aggregation of the 14 variables into the subindices. The subindices are aggregated by geometric mean. We show that regional development patterns are captured and major political events reflected in MDI country trends. Despite correlations resulting from data similarities, the MDI provides new insights when compared to HDI, IDI and gross domestic product . All three MDI versions display increasing global averages over time. These positive trends are largely driven by improvements in the achievements dimension. Despite optimistic trends in recent years, equity considerations deserve a stronger emphasis in development concepts.","author":[{"dropping-particle":"","family":"Dörffel","given":"Christoph","non-dropping-particle":"","parse-names":false,"suffix":""},{"dropping-particle":"","family":"Schuhmann","given":"Sebastian","non-dropping-particle":"","parse-names":false,"suffix":""}],"container-title":"Social Indicators Research","id":"ITEM-1","issue":"3","issued":{"date-parts":[["2022","8","17"]]},"page":"1117-1148","title":"What is Inclusive Development? Introducing the Multidimensional Inclusiveness Index","type":"article-journal","volume":"162"},"uris":["http://www.mendeley.com/documents/?uuid=67146e62-2e19-449c-b267-0128058b019b"]},{"id":"ITEM-2","itemData":{"DOI":"10.1007/s40847-023-00240-5","ISSN":"0972-5792","author":[{"dropping-particle":"","family":"Kouladoum","given":"Jean-Claude","non-dropping-particle":"","parse-names":false,"suffix":""}],"container-title":"Journal of Social and Economic Development","id":"ITEM-2","issued":{"date-parts":[["2023","3","11"]]},"title":"Digital infrastructural development and inclusive growth in Sub-Saharan Africa","type":"article-journal"},"uris":["http://www.mendeley.com/documents/?uuid=2495bd3e-f2a4-4fe4-a2fc-4d5ecf018d9a","http://www.mendeley.com/documents/?uuid=ec473e43-635d-401a-b18b-439e79afacc5"]}],"mendeley":{"formattedCitation":"(Dörffel &amp; Schuhmann, 2022; Kouladoum, 2023)","manualFormatting":"(see Dörffel &amp; Schuhmann, 2022; Kouladoum, 2023)","plainTextFormattedCitation":"(Dörffel &amp; Schuhmann, 2022; Kouladoum, 2023)","previouslyFormattedCitation":"(Dörffel &amp; Schuhmann, 2022; Kouladoum, 2023)"},"properties":{"noteIndex":0},"schema":"https://github.com/citation-style-language/schema/raw/master/csl-citation.json"}</w:instrText>
      </w:r>
      <w:r w:rsidRPr="005F6FF4">
        <w:rPr>
          <w:rFonts w:cstheme="minorHAnsi"/>
          <w:lang w:val="en-GB"/>
        </w:rPr>
        <w:fldChar w:fldCharType="separate"/>
      </w:r>
      <w:r w:rsidRPr="005F6FF4">
        <w:rPr>
          <w:rFonts w:cstheme="minorHAnsi"/>
          <w:noProof/>
          <w:lang w:val="en-GB"/>
        </w:rPr>
        <w:t>(see Dörffel &amp; Schuhmann, 2022; Kouladoum, 2023)</w:t>
      </w:r>
      <w:r w:rsidRPr="005F6FF4">
        <w:rPr>
          <w:rFonts w:cstheme="minorHAnsi"/>
          <w:lang w:val="en-GB"/>
        </w:rPr>
        <w:fldChar w:fldCharType="end"/>
      </w:r>
      <w:r w:rsidR="009A6A3F" w:rsidRPr="005F6FF4">
        <w:rPr>
          <w:rFonts w:cstheme="minorHAnsi"/>
          <w:lang w:val="en-GB"/>
        </w:rPr>
        <w:t>.</w:t>
      </w:r>
      <w:r w:rsidR="009D4B9B" w:rsidRPr="005F6FF4">
        <w:rPr>
          <w:rFonts w:cstheme="minorHAnsi"/>
          <w:lang w:val="en-GB"/>
        </w:rPr>
        <w:t xml:space="preserve"> Firstly, PCA allows for the objective identification of each indicator's relative contribution to the aggregate index, ensuring that the weighting is not susceptible to subjective biases. The aforementioned approach enables a focus on the most important factors in measuring digital transformation and inclusive growth. Second</w:t>
      </w:r>
      <w:r w:rsidR="009A6A3F" w:rsidRPr="005F6FF4">
        <w:rPr>
          <w:rFonts w:cstheme="minorHAnsi"/>
          <w:lang w:val="en-GB"/>
        </w:rPr>
        <w:t xml:space="preserve">, PCA enables the efficient reduction of dimensionality of diverse indicators reflecting various aspects of digital transformation and inclusive growth into interpretable principal components, simplifying and streamlining the analysis. Finally, PCA helps to reduce multicollinearity among the indicators used, resulting in more stable and accurate analysis </w:t>
      </w:r>
      <w:r w:rsidR="009A6A3F" w:rsidRPr="005F6FF4">
        <w:rPr>
          <w:rFonts w:cstheme="minorHAnsi"/>
          <w:lang w:val="en-GB"/>
        </w:rPr>
        <w:lastRenderedPageBreak/>
        <w:t>results. As a result, PCA is an effective tool for measuring complex concepts like digital transformation and inclusive growth in a more efficient and meaningful way.</w:t>
      </w:r>
    </w:p>
    <w:p w14:paraId="2A556230" w14:textId="0ADE9793" w:rsidR="00BA4BFC" w:rsidRPr="005F6FF4" w:rsidRDefault="00BA4BFC" w:rsidP="00751292">
      <w:pPr>
        <w:jc w:val="both"/>
        <w:rPr>
          <w:rFonts w:cstheme="minorHAnsi"/>
          <w:lang w:val="en-GB"/>
        </w:rPr>
      </w:pPr>
      <w:r w:rsidRPr="005F6FF4">
        <w:rPr>
          <w:rFonts w:cstheme="minorHAnsi"/>
          <w:lang w:val="en-GB"/>
        </w:rPr>
        <w:t>There are eight comprehensive indicators that reflect digitali</w:t>
      </w:r>
      <w:r w:rsidR="007D55DE" w:rsidRPr="005F6FF4">
        <w:rPr>
          <w:rFonts w:cstheme="minorHAnsi"/>
          <w:lang w:val="en-GB"/>
        </w:rPr>
        <w:t>s</w:t>
      </w:r>
      <w:r w:rsidRPr="005F6FF4">
        <w:rPr>
          <w:rFonts w:cstheme="minorHAnsi"/>
          <w:lang w:val="en-GB"/>
        </w:rPr>
        <w:t xml:space="preserve">ation from both the demand and supply sides that can be used to measure digital transformation. </w:t>
      </w:r>
      <w:r w:rsidR="00751292" w:rsidRPr="005F6FF4">
        <w:rPr>
          <w:rFonts w:cstheme="minorHAnsi"/>
          <w:lang w:val="en-GB"/>
        </w:rPr>
        <w:t xml:space="preserve">On the demand side, mobile cellular subscriptions </w:t>
      </w:r>
      <m:oMath>
        <m:sSub>
          <m:sSubPr>
            <m:ctrlPr>
              <w:rPr>
                <w:rFonts w:ascii="Cambria Math" w:hAnsi="Cambria Math" w:cstheme="minorHAnsi"/>
                <w:i/>
                <w:lang w:val="en-GB"/>
              </w:rPr>
            </m:ctrlPr>
          </m:sSubPr>
          <m:e>
            <m:r>
              <w:rPr>
                <w:rFonts w:ascii="Cambria Math" w:hAnsi="Cambria Math" w:cstheme="minorHAnsi"/>
                <w:lang w:val="en-GB"/>
              </w:rPr>
              <m:t>(DT</m:t>
            </m:r>
          </m:e>
          <m:sub>
            <m:r>
              <w:rPr>
                <w:rFonts w:ascii="Cambria Math" w:hAnsi="Cambria Math" w:cstheme="minorHAnsi"/>
                <w:lang w:val="en-GB"/>
              </w:rPr>
              <m:t>1</m:t>
            </m:r>
          </m:sub>
        </m:sSub>
        <m:r>
          <w:rPr>
            <w:rFonts w:ascii="Cambria Math" w:eastAsiaTheme="minorEastAsia" w:hAnsi="Cambria Math" w:cstheme="minorHAnsi"/>
            <w:lang w:val="en-GB"/>
          </w:rPr>
          <m:t>)</m:t>
        </m:r>
      </m:oMath>
      <w:r w:rsidR="00751292" w:rsidRPr="005F6FF4">
        <w:rPr>
          <w:rFonts w:cstheme="minorHAnsi"/>
          <w:lang w:val="en-GB"/>
        </w:rPr>
        <w:t xml:space="preserve">, fixed telephone subscriptions </w:t>
      </w:r>
      <m:oMath>
        <m:sSub>
          <m:sSubPr>
            <m:ctrlPr>
              <w:rPr>
                <w:rFonts w:ascii="Cambria Math" w:hAnsi="Cambria Math" w:cstheme="minorHAnsi"/>
                <w:i/>
                <w:lang w:val="en-GB"/>
              </w:rPr>
            </m:ctrlPr>
          </m:sSubPr>
          <m:e>
            <m:r>
              <w:rPr>
                <w:rFonts w:ascii="Cambria Math" w:hAnsi="Cambria Math" w:cstheme="minorHAnsi"/>
                <w:lang w:val="en-GB"/>
              </w:rPr>
              <m:t>(DT</m:t>
            </m:r>
          </m:e>
          <m:sub>
            <m:r>
              <w:rPr>
                <w:rFonts w:ascii="Cambria Math" w:hAnsi="Cambria Math" w:cstheme="minorHAnsi"/>
                <w:lang w:val="en-GB"/>
              </w:rPr>
              <m:t>2</m:t>
            </m:r>
          </m:sub>
        </m:sSub>
        <m:r>
          <w:rPr>
            <w:rFonts w:ascii="Cambria Math" w:eastAsiaTheme="minorEastAsia" w:hAnsi="Cambria Math" w:cstheme="minorHAnsi"/>
            <w:lang w:val="en-GB"/>
          </w:rPr>
          <m:t>)</m:t>
        </m:r>
      </m:oMath>
      <w:r w:rsidR="00751292" w:rsidRPr="005F6FF4">
        <w:rPr>
          <w:rFonts w:cstheme="minorHAnsi"/>
          <w:lang w:val="en-GB"/>
        </w:rPr>
        <w:t xml:space="preserve">, fixed broadband subscriptions </w:t>
      </w:r>
      <m:oMath>
        <m:sSub>
          <m:sSubPr>
            <m:ctrlPr>
              <w:rPr>
                <w:rFonts w:ascii="Cambria Math" w:hAnsi="Cambria Math" w:cstheme="minorHAnsi"/>
                <w:i/>
                <w:lang w:val="en-GB"/>
              </w:rPr>
            </m:ctrlPr>
          </m:sSubPr>
          <m:e>
            <m:r>
              <w:rPr>
                <w:rFonts w:ascii="Cambria Math" w:hAnsi="Cambria Math" w:cstheme="minorHAnsi"/>
                <w:lang w:val="en-GB"/>
              </w:rPr>
              <m:t>(DT</m:t>
            </m:r>
          </m:e>
          <m:sub>
            <m:r>
              <w:rPr>
                <w:rFonts w:ascii="Cambria Math" w:hAnsi="Cambria Math" w:cstheme="minorHAnsi"/>
                <w:lang w:val="en-GB"/>
              </w:rPr>
              <m:t>3</m:t>
            </m:r>
          </m:sub>
        </m:sSub>
        <m:r>
          <w:rPr>
            <w:rFonts w:ascii="Cambria Math" w:eastAsiaTheme="minorEastAsia" w:hAnsi="Cambria Math" w:cstheme="minorHAnsi"/>
            <w:lang w:val="en-GB"/>
          </w:rPr>
          <m:t>)</m:t>
        </m:r>
      </m:oMath>
      <w:r w:rsidR="00751292" w:rsidRPr="005F6FF4">
        <w:rPr>
          <w:rFonts w:cstheme="minorHAnsi"/>
          <w:lang w:val="en-GB"/>
        </w:rPr>
        <w:t xml:space="preserve">, and internet users </w:t>
      </w:r>
      <m:oMath>
        <m:sSub>
          <m:sSubPr>
            <m:ctrlPr>
              <w:rPr>
                <w:rFonts w:ascii="Cambria Math" w:hAnsi="Cambria Math" w:cstheme="minorHAnsi"/>
                <w:i/>
                <w:lang w:val="en-GB"/>
              </w:rPr>
            </m:ctrlPr>
          </m:sSubPr>
          <m:e>
            <m:r>
              <w:rPr>
                <w:rFonts w:ascii="Cambria Math" w:hAnsi="Cambria Math" w:cstheme="minorHAnsi"/>
                <w:lang w:val="en-GB"/>
              </w:rPr>
              <m:t>(DT</m:t>
            </m:r>
          </m:e>
          <m:sub>
            <m:r>
              <w:rPr>
                <w:rFonts w:ascii="Cambria Math" w:hAnsi="Cambria Math" w:cstheme="minorHAnsi"/>
                <w:lang w:val="en-GB"/>
              </w:rPr>
              <m:t>4</m:t>
            </m:r>
          </m:sub>
        </m:sSub>
        <m:r>
          <w:rPr>
            <w:rFonts w:ascii="Cambria Math" w:eastAsiaTheme="minorEastAsia" w:hAnsi="Cambria Math" w:cstheme="minorHAnsi"/>
            <w:lang w:val="en-GB"/>
          </w:rPr>
          <m:t>)</m:t>
        </m:r>
      </m:oMath>
      <w:r w:rsidR="008E3E20" w:rsidRPr="005F6FF4">
        <w:rPr>
          <w:rFonts w:cstheme="minorHAnsi"/>
          <w:lang w:val="en-GB"/>
        </w:rPr>
        <w:t xml:space="preserve"> </w:t>
      </w:r>
      <w:r w:rsidR="00751292" w:rsidRPr="005F6FF4">
        <w:rPr>
          <w:rFonts w:cstheme="minorHAnsi"/>
          <w:lang w:val="en-GB"/>
        </w:rPr>
        <w:t xml:space="preserve">are included to measure the extent of technology adoption and connectivity among the population. Meanwhile, on the supply side, the indicators ICT goods exports </w:t>
      </w:r>
      <m:oMath>
        <m:sSub>
          <m:sSubPr>
            <m:ctrlPr>
              <w:rPr>
                <w:rFonts w:ascii="Cambria Math" w:hAnsi="Cambria Math" w:cstheme="minorHAnsi"/>
                <w:i/>
                <w:lang w:val="en-GB"/>
              </w:rPr>
            </m:ctrlPr>
          </m:sSubPr>
          <m:e>
            <m:r>
              <w:rPr>
                <w:rFonts w:ascii="Cambria Math" w:hAnsi="Cambria Math" w:cstheme="minorHAnsi"/>
                <w:lang w:val="en-GB"/>
              </w:rPr>
              <m:t>(DT</m:t>
            </m:r>
          </m:e>
          <m:sub>
            <m:r>
              <w:rPr>
                <w:rFonts w:ascii="Cambria Math" w:hAnsi="Cambria Math" w:cstheme="minorHAnsi"/>
                <w:lang w:val="en-GB"/>
              </w:rPr>
              <m:t>5</m:t>
            </m:r>
          </m:sub>
        </m:sSub>
        <m:r>
          <w:rPr>
            <w:rFonts w:ascii="Cambria Math" w:eastAsiaTheme="minorEastAsia" w:hAnsi="Cambria Math" w:cstheme="minorHAnsi"/>
            <w:lang w:val="en-GB"/>
          </w:rPr>
          <m:t>)</m:t>
        </m:r>
      </m:oMath>
      <w:r w:rsidR="00751292" w:rsidRPr="005F6FF4">
        <w:rPr>
          <w:rFonts w:cstheme="minorHAnsi"/>
          <w:lang w:val="en-GB"/>
        </w:rPr>
        <w:t xml:space="preserve">, ICT service exports </w:t>
      </w:r>
      <m:oMath>
        <m:sSub>
          <m:sSubPr>
            <m:ctrlPr>
              <w:rPr>
                <w:rFonts w:ascii="Cambria Math" w:hAnsi="Cambria Math" w:cstheme="minorHAnsi"/>
                <w:i/>
                <w:lang w:val="en-GB"/>
              </w:rPr>
            </m:ctrlPr>
          </m:sSubPr>
          <m:e>
            <m:r>
              <w:rPr>
                <w:rFonts w:ascii="Cambria Math" w:hAnsi="Cambria Math" w:cstheme="minorHAnsi"/>
                <w:lang w:val="en-GB"/>
              </w:rPr>
              <m:t>(DT</m:t>
            </m:r>
          </m:e>
          <m:sub>
            <m:r>
              <w:rPr>
                <w:rFonts w:ascii="Cambria Math" w:hAnsi="Cambria Math" w:cstheme="minorHAnsi"/>
                <w:lang w:val="en-GB"/>
              </w:rPr>
              <m:t>6</m:t>
            </m:r>
          </m:sub>
        </m:sSub>
        <m:r>
          <w:rPr>
            <w:rFonts w:ascii="Cambria Math" w:eastAsiaTheme="minorEastAsia" w:hAnsi="Cambria Math" w:cstheme="minorHAnsi"/>
            <w:lang w:val="en-GB"/>
          </w:rPr>
          <m:t>)</m:t>
        </m:r>
      </m:oMath>
      <w:r w:rsidR="00751292" w:rsidRPr="005F6FF4">
        <w:rPr>
          <w:rFonts w:cstheme="minorHAnsi"/>
          <w:lang w:val="en-GB"/>
        </w:rPr>
        <w:t xml:space="preserve">, medium and high-tech manufacturing value added </w:t>
      </w:r>
      <m:oMath>
        <m:sSub>
          <m:sSubPr>
            <m:ctrlPr>
              <w:rPr>
                <w:rFonts w:ascii="Cambria Math" w:hAnsi="Cambria Math" w:cstheme="minorHAnsi"/>
                <w:i/>
                <w:lang w:val="en-GB"/>
              </w:rPr>
            </m:ctrlPr>
          </m:sSubPr>
          <m:e>
            <m:r>
              <w:rPr>
                <w:rFonts w:ascii="Cambria Math" w:hAnsi="Cambria Math" w:cstheme="minorHAnsi"/>
                <w:lang w:val="en-GB"/>
              </w:rPr>
              <m:t>(DT</m:t>
            </m:r>
          </m:e>
          <m:sub>
            <m:r>
              <w:rPr>
                <w:rFonts w:ascii="Cambria Math" w:hAnsi="Cambria Math" w:cstheme="minorHAnsi"/>
                <w:lang w:val="en-GB"/>
              </w:rPr>
              <m:t>7</m:t>
            </m:r>
          </m:sub>
        </m:sSub>
        <m:r>
          <w:rPr>
            <w:rFonts w:ascii="Cambria Math" w:eastAsiaTheme="minorEastAsia" w:hAnsi="Cambria Math" w:cstheme="minorHAnsi"/>
            <w:lang w:val="en-GB"/>
          </w:rPr>
          <m:t>)</m:t>
        </m:r>
      </m:oMath>
      <w:r w:rsidR="00751292" w:rsidRPr="005F6FF4">
        <w:rPr>
          <w:rFonts w:cstheme="minorHAnsi"/>
          <w:lang w:val="en-GB"/>
        </w:rPr>
        <w:t xml:space="preserve">, and investment in telecoms with private participation </w:t>
      </w:r>
      <m:oMath>
        <m:sSub>
          <m:sSubPr>
            <m:ctrlPr>
              <w:rPr>
                <w:rFonts w:ascii="Cambria Math" w:hAnsi="Cambria Math" w:cstheme="minorHAnsi"/>
                <w:i/>
                <w:lang w:val="en-GB"/>
              </w:rPr>
            </m:ctrlPr>
          </m:sSubPr>
          <m:e>
            <m:r>
              <w:rPr>
                <w:rFonts w:ascii="Cambria Math" w:hAnsi="Cambria Math" w:cstheme="minorHAnsi"/>
                <w:lang w:val="en-GB"/>
              </w:rPr>
              <m:t>(DT</m:t>
            </m:r>
          </m:e>
          <m:sub>
            <m:r>
              <w:rPr>
                <w:rFonts w:ascii="Cambria Math" w:hAnsi="Cambria Math" w:cstheme="minorHAnsi"/>
                <w:lang w:val="en-GB"/>
              </w:rPr>
              <m:t>8</m:t>
            </m:r>
          </m:sub>
        </m:sSub>
        <m:r>
          <w:rPr>
            <w:rFonts w:ascii="Cambria Math" w:eastAsiaTheme="minorEastAsia" w:hAnsi="Cambria Math" w:cstheme="minorHAnsi"/>
            <w:lang w:val="en-GB"/>
          </w:rPr>
          <m:t>)</m:t>
        </m:r>
      </m:oMath>
      <w:r w:rsidR="008E3E20" w:rsidRPr="005F6FF4">
        <w:rPr>
          <w:rFonts w:cstheme="minorHAnsi"/>
          <w:lang w:val="en-GB"/>
        </w:rPr>
        <w:t xml:space="preserve"> </w:t>
      </w:r>
      <w:r w:rsidR="00751292" w:rsidRPr="005F6FF4">
        <w:rPr>
          <w:rFonts w:cstheme="minorHAnsi"/>
          <w:lang w:val="en-GB"/>
        </w:rPr>
        <w:t xml:space="preserve">are used to assess the production, export, and investment aspects of the digital economy, providing a comprehensive view of a country's digital transformation progress. </w:t>
      </w:r>
      <w:r w:rsidRPr="005F6FF4">
        <w:rPr>
          <w:rFonts w:cstheme="minorHAnsi"/>
          <w:lang w:val="en-GB"/>
        </w:rPr>
        <w:t>The first eigenvector (loading matrix) from PCA is used as the necessary weights to derive the aggregate digital transformation index (DT), resulting in the following linear combination:</w:t>
      </w:r>
    </w:p>
    <w:p w14:paraId="28A49984" w14:textId="77777777" w:rsidR="00BA4BFC" w:rsidRPr="005F6FF4" w:rsidRDefault="00BA4BFC" w:rsidP="00BA4BFC">
      <w:pPr>
        <w:jc w:val="right"/>
        <w:rPr>
          <w:rFonts w:cstheme="minorHAnsi"/>
          <w:lang w:val="en-GB"/>
        </w:rPr>
      </w:pPr>
      <m:oMath>
        <m:r>
          <w:rPr>
            <w:rFonts w:ascii="Cambria Math" w:hAnsi="Cambria Math" w:cstheme="minorHAnsi"/>
            <w:lang w:val="en-GB"/>
          </w:rPr>
          <m:t>DT=</m:t>
        </m:r>
        <m:sSub>
          <m:sSubPr>
            <m:ctrlPr>
              <w:rPr>
                <w:rFonts w:ascii="Cambria Math" w:hAnsi="Cambria Math" w:cstheme="minorHAnsi"/>
                <w:i/>
                <w:lang w:val="en-GB"/>
              </w:rPr>
            </m:ctrlPr>
          </m:sSubPr>
          <m:e>
            <m:r>
              <w:rPr>
                <w:rFonts w:ascii="Cambria Math" w:hAnsi="Cambria Math" w:cstheme="minorHAnsi"/>
                <w:lang w:val="en-GB"/>
              </w:rPr>
              <m:t>a</m:t>
            </m:r>
          </m:e>
          <m:sub>
            <m:r>
              <w:rPr>
                <w:rFonts w:ascii="Cambria Math" w:hAnsi="Cambria Math" w:cstheme="minorHAnsi"/>
                <w:lang w:val="en-GB"/>
              </w:rPr>
              <m:t>1</m:t>
            </m:r>
          </m:sub>
        </m:sSub>
        <m:sSub>
          <m:sSubPr>
            <m:ctrlPr>
              <w:rPr>
                <w:rFonts w:ascii="Cambria Math" w:hAnsi="Cambria Math" w:cstheme="minorHAnsi"/>
                <w:i/>
                <w:lang w:val="en-GB"/>
              </w:rPr>
            </m:ctrlPr>
          </m:sSubPr>
          <m:e>
            <m:r>
              <w:rPr>
                <w:rFonts w:ascii="Cambria Math" w:hAnsi="Cambria Math" w:cstheme="minorHAnsi"/>
                <w:lang w:val="en-GB"/>
              </w:rPr>
              <m:t>DT</m:t>
            </m:r>
          </m:e>
          <m:sub>
            <m:r>
              <w:rPr>
                <w:rFonts w:ascii="Cambria Math" w:hAnsi="Cambria Math" w:cstheme="minorHAnsi"/>
                <w:lang w:val="en-GB"/>
              </w:rPr>
              <m:t>1</m:t>
            </m:r>
          </m:sub>
        </m:sSub>
        <m:r>
          <w:rPr>
            <w:rFonts w:ascii="Cambria Math" w:hAnsi="Cambria Math" w:cstheme="minorHAnsi"/>
            <w:lang w:val="en-GB"/>
          </w:rPr>
          <m:t>+</m:t>
        </m:r>
        <m:sSub>
          <m:sSubPr>
            <m:ctrlPr>
              <w:rPr>
                <w:rFonts w:ascii="Cambria Math" w:hAnsi="Cambria Math" w:cstheme="minorHAnsi"/>
                <w:i/>
                <w:lang w:val="en-GB"/>
              </w:rPr>
            </m:ctrlPr>
          </m:sSubPr>
          <m:e>
            <m:r>
              <w:rPr>
                <w:rFonts w:ascii="Cambria Math" w:hAnsi="Cambria Math" w:cstheme="minorHAnsi"/>
                <w:lang w:val="en-GB"/>
              </w:rPr>
              <m:t>a</m:t>
            </m:r>
          </m:e>
          <m:sub>
            <m:r>
              <w:rPr>
                <w:rFonts w:ascii="Cambria Math" w:hAnsi="Cambria Math" w:cstheme="minorHAnsi"/>
                <w:lang w:val="en-GB"/>
              </w:rPr>
              <m:t>2</m:t>
            </m:r>
          </m:sub>
        </m:sSub>
        <m:sSub>
          <m:sSubPr>
            <m:ctrlPr>
              <w:rPr>
                <w:rFonts w:ascii="Cambria Math" w:hAnsi="Cambria Math" w:cstheme="minorHAnsi"/>
                <w:i/>
                <w:lang w:val="en-GB"/>
              </w:rPr>
            </m:ctrlPr>
          </m:sSubPr>
          <m:e>
            <m:r>
              <w:rPr>
                <w:rFonts w:ascii="Cambria Math" w:hAnsi="Cambria Math" w:cstheme="minorHAnsi"/>
                <w:lang w:val="en-GB"/>
              </w:rPr>
              <m:t>DT</m:t>
            </m:r>
          </m:e>
          <m:sub>
            <m:r>
              <w:rPr>
                <w:rFonts w:ascii="Cambria Math" w:hAnsi="Cambria Math" w:cstheme="minorHAnsi"/>
                <w:lang w:val="en-GB"/>
              </w:rPr>
              <m:t>2</m:t>
            </m:r>
          </m:sub>
        </m:sSub>
        <m:r>
          <w:rPr>
            <w:rFonts w:ascii="Cambria Math" w:hAnsi="Cambria Math" w:cstheme="minorHAnsi"/>
            <w:lang w:val="en-GB"/>
          </w:rPr>
          <m:t>+</m:t>
        </m:r>
        <m:sSub>
          <m:sSubPr>
            <m:ctrlPr>
              <w:rPr>
                <w:rFonts w:ascii="Cambria Math" w:hAnsi="Cambria Math" w:cstheme="minorHAnsi"/>
                <w:i/>
                <w:lang w:val="en-GB"/>
              </w:rPr>
            </m:ctrlPr>
          </m:sSubPr>
          <m:e>
            <m:r>
              <w:rPr>
                <w:rFonts w:ascii="Cambria Math" w:hAnsi="Cambria Math" w:cstheme="minorHAnsi"/>
                <w:lang w:val="en-GB"/>
              </w:rPr>
              <m:t>a</m:t>
            </m:r>
          </m:e>
          <m:sub>
            <m:r>
              <w:rPr>
                <w:rFonts w:ascii="Cambria Math" w:hAnsi="Cambria Math" w:cstheme="minorHAnsi"/>
                <w:lang w:val="en-GB"/>
              </w:rPr>
              <m:t>3</m:t>
            </m:r>
          </m:sub>
        </m:sSub>
        <m:sSub>
          <m:sSubPr>
            <m:ctrlPr>
              <w:rPr>
                <w:rFonts w:ascii="Cambria Math" w:hAnsi="Cambria Math" w:cstheme="minorHAnsi"/>
                <w:i/>
                <w:lang w:val="en-GB"/>
              </w:rPr>
            </m:ctrlPr>
          </m:sSubPr>
          <m:e>
            <m:r>
              <w:rPr>
                <w:rFonts w:ascii="Cambria Math" w:hAnsi="Cambria Math" w:cstheme="minorHAnsi"/>
                <w:lang w:val="en-GB"/>
              </w:rPr>
              <m:t>DT</m:t>
            </m:r>
          </m:e>
          <m:sub>
            <m:r>
              <w:rPr>
                <w:rFonts w:ascii="Cambria Math" w:hAnsi="Cambria Math" w:cstheme="minorHAnsi"/>
                <w:lang w:val="en-GB"/>
              </w:rPr>
              <m:t>3</m:t>
            </m:r>
          </m:sub>
        </m:sSub>
        <m:r>
          <w:rPr>
            <w:rFonts w:ascii="Cambria Math" w:hAnsi="Cambria Math" w:cstheme="minorHAnsi"/>
            <w:lang w:val="en-GB"/>
          </w:rPr>
          <m:t>+</m:t>
        </m:r>
        <m:sSub>
          <m:sSubPr>
            <m:ctrlPr>
              <w:rPr>
                <w:rFonts w:ascii="Cambria Math" w:hAnsi="Cambria Math" w:cstheme="minorHAnsi"/>
                <w:i/>
                <w:lang w:val="en-GB"/>
              </w:rPr>
            </m:ctrlPr>
          </m:sSubPr>
          <m:e>
            <m:r>
              <w:rPr>
                <w:rFonts w:ascii="Cambria Math" w:hAnsi="Cambria Math" w:cstheme="minorHAnsi"/>
                <w:lang w:val="en-GB"/>
              </w:rPr>
              <m:t>a</m:t>
            </m:r>
          </m:e>
          <m:sub>
            <m:r>
              <w:rPr>
                <w:rFonts w:ascii="Cambria Math" w:hAnsi="Cambria Math" w:cstheme="minorHAnsi"/>
                <w:lang w:val="en-GB"/>
              </w:rPr>
              <m:t>4</m:t>
            </m:r>
          </m:sub>
        </m:sSub>
        <m:sSub>
          <m:sSubPr>
            <m:ctrlPr>
              <w:rPr>
                <w:rFonts w:ascii="Cambria Math" w:hAnsi="Cambria Math" w:cstheme="minorHAnsi"/>
                <w:i/>
                <w:lang w:val="en-GB"/>
              </w:rPr>
            </m:ctrlPr>
          </m:sSubPr>
          <m:e>
            <m:r>
              <w:rPr>
                <w:rFonts w:ascii="Cambria Math" w:hAnsi="Cambria Math" w:cstheme="minorHAnsi"/>
                <w:lang w:val="en-GB"/>
              </w:rPr>
              <m:t>DT</m:t>
            </m:r>
          </m:e>
          <m:sub>
            <m:r>
              <w:rPr>
                <w:rFonts w:ascii="Cambria Math" w:hAnsi="Cambria Math" w:cstheme="minorHAnsi"/>
                <w:lang w:val="en-GB"/>
              </w:rPr>
              <m:t>4</m:t>
            </m:r>
          </m:sub>
        </m:sSub>
        <m:r>
          <w:rPr>
            <w:rFonts w:ascii="Cambria Math" w:hAnsi="Cambria Math" w:cstheme="minorHAnsi"/>
            <w:lang w:val="en-GB"/>
          </w:rPr>
          <m:t>+</m:t>
        </m:r>
        <m:sSub>
          <m:sSubPr>
            <m:ctrlPr>
              <w:rPr>
                <w:rFonts w:ascii="Cambria Math" w:hAnsi="Cambria Math" w:cstheme="minorHAnsi"/>
                <w:i/>
                <w:lang w:val="en-GB"/>
              </w:rPr>
            </m:ctrlPr>
          </m:sSubPr>
          <m:e>
            <m:r>
              <w:rPr>
                <w:rFonts w:ascii="Cambria Math" w:hAnsi="Cambria Math" w:cstheme="minorHAnsi"/>
                <w:lang w:val="en-GB"/>
              </w:rPr>
              <m:t>a</m:t>
            </m:r>
          </m:e>
          <m:sub>
            <m:r>
              <w:rPr>
                <w:rFonts w:ascii="Cambria Math" w:hAnsi="Cambria Math" w:cstheme="minorHAnsi"/>
                <w:lang w:val="en-GB"/>
              </w:rPr>
              <m:t>5</m:t>
            </m:r>
          </m:sub>
        </m:sSub>
        <m:sSub>
          <m:sSubPr>
            <m:ctrlPr>
              <w:rPr>
                <w:rFonts w:ascii="Cambria Math" w:hAnsi="Cambria Math" w:cstheme="minorHAnsi"/>
                <w:i/>
                <w:lang w:val="en-GB"/>
              </w:rPr>
            </m:ctrlPr>
          </m:sSubPr>
          <m:e>
            <m:r>
              <w:rPr>
                <w:rFonts w:ascii="Cambria Math" w:hAnsi="Cambria Math" w:cstheme="minorHAnsi"/>
                <w:lang w:val="en-GB"/>
              </w:rPr>
              <m:t>DT</m:t>
            </m:r>
          </m:e>
          <m:sub>
            <m:r>
              <w:rPr>
                <w:rFonts w:ascii="Cambria Math" w:hAnsi="Cambria Math" w:cstheme="minorHAnsi"/>
                <w:lang w:val="en-GB"/>
              </w:rPr>
              <m:t>5</m:t>
            </m:r>
          </m:sub>
        </m:sSub>
        <m:r>
          <w:rPr>
            <w:rFonts w:ascii="Cambria Math" w:hAnsi="Cambria Math" w:cstheme="minorHAnsi"/>
            <w:lang w:val="en-GB"/>
          </w:rPr>
          <m:t>+</m:t>
        </m:r>
        <m:sSub>
          <m:sSubPr>
            <m:ctrlPr>
              <w:rPr>
                <w:rFonts w:ascii="Cambria Math" w:hAnsi="Cambria Math" w:cstheme="minorHAnsi"/>
                <w:i/>
                <w:lang w:val="en-GB"/>
              </w:rPr>
            </m:ctrlPr>
          </m:sSubPr>
          <m:e>
            <m:r>
              <w:rPr>
                <w:rFonts w:ascii="Cambria Math" w:hAnsi="Cambria Math" w:cstheme="minorHAnsi"/>
                <w:lang w:val="en-GB"/>
              </w:rPr>
              <m:t>a</m:t>
            </m:r>
          </m:e>
          <m:sub>
            <m:r>
              <w:rPr>
                <w:rFonts w:ascii="Cambria Math" w:hAnsi="Cambria Math" w:cstheme="minorHAnsi"/>
                <w:lang w:val="en-GB"/>
              </w:rPr>
              <m:t>6</m:t>
            </m:r>
          </m:sub>
        </m:sSub>
        <m:sSub>
          <m:sSubPr>
            <m:ctrlPr>
              <w:rPr>
                <w:rFonts w:ascii="Cambria Math" w:hAnsi="Cambria Math" w:cstheme="minorHAnsi"/>
                <w:i/>
                <w:lang w:val="en-GB"/>
              </w:rPr>
            </m:ctrlPr>
          </m:sSubPr>
          <m:e>
            <m:r>
              <w:rPr>
                <w:rFonts w:ascii="Cambria Math" w:hAnsi="Cambria Math" w:cstheme="minorHAnsi"/>
                <w:lang w:val="en-GB"/>
              </w:rPr>
              <m:t>DT</m:t>
            </m:r>
          </m:e>
          <m:sub>
            <m:r>
              <w:rPr>
                <w:rFonts w:ascii="Cambria Math" w:hAnsi="Cambria Math" w:cstheme="minorHAnsi"/>
                <w:lang w:val="en-GB"/>
              </w:rPr>
              <m:t>6</m:t>
            </m:r>
          </m:sub>
        </m:sSub>
        <m:r>
          <w:rPr>
            <w:rFonts w:ascii="Cambria Math" w:hAnsi="Cambria Math" w:cstheme="minorHAnsi"/>
            <w:lang w:val="en-GB"/>
          </w:rPr>
          <m:t>+</m:t>
        </m:r>
        <m:sSub>
          <m:sSubPr>
            <m:ctrlPr>
              <w:rPr>
                <w:rFonts w:ascii="Cambria Math" w:hAnsi="Cambria Math" w:cstheme="minorHAnsi"/>
                <w:i/>
                <w:lang w:val="en-GB"/>
              </w:rPr>
            </m:ctrlPr>
          </m:sSubPr>
          <m:e>
            <m:r>
              <w:rPr>
                <w:rFonts w:ascii="Cambria Math" w:hAnsi="Cambria Math" w:cstheme="minorHAnsi"/>
                <w:lang w:val="en-GB"/>
              </w:rPr>
              <m:t>a</m:t>
            </m:r>
          </m:e>
          <m:sub>
            <m:r>
              <w:rPr>
                <w:rFonts w:ascii="Cambria Math" w:hAnsi="Cambria Math" w:cstheme="minorHAnsi"/>
                <w:lang w:val="en-GB"/>
              </w:rPr>
              <m:t>7</m:t>
            </m:r>
          </m:sub>
        </m:sSub>
        <m:sSub>
          <m:sSubPr>
            <m:ctrlPr>
              <w:rPr>
                <w:rFonts w:ascii="Cambria Math" w:hAnsi="Cambria Math" w:cstheme="minorHAnsi"/>
                <w:i/>
                <w:lang w:val="en-GB"/>
              </w:rPr>
            </m:ctrlPr>
          </m:sSubPr>
          <m:e>
            <m:r>
              <w:rPr>
                <w:rFonts w:ascii="Cambria Math" w:hAnsi="Cambria Math" w:cstheme="minorHAnsi"/>
                <w:lang w:val="en-GB"/>
              </w:rPr>
              <m:t>DT</m:t>
            </m:r>
          </m:e>
          <m:sub>
            <m:r>
              <w:rPr>
                <w:rFonts w:ascii="Cambria Math" w:hAnsi="Cambria Math" w:cstheme="minorHAnsi"/>
                <w:lang w:val="en-GB"/>
              </w:rPr>
              <m:t>7</m:t>
            </m:r>
          </m:sub>
        </m:sSub>
        <m:r>
          <w:rPr>
            <w:rFonts w:ascii="Cambria Math" w:hAnsi="Cambria Math" w:cstheme="minorHAnsi"/>
            <w:lang w:val="en-GB"/>
          </w:rPr>
          <m:t>+</m:t>
        </m:r>
        <m:sSub>
          <m:sSubPr>
            <m:ctrlPr>
              <w:rPr>
                <w:rFonts w:ascii="Cambria Math" w:hAnsi="Cambria Math" w:cstheme="minorHAnsi"/>
                <w:i/>
                <w:lang w:val="en-GB"/>
              </w:rPr>
            </m:ctrlPr>
          </m:sSubPr>
          <m:e>
            <m:r>
              <w:rPr>
                <w:rFonts w:ascii="Cambria Math" w:hAnsi="Cambria Math" w:cstheme="minorHAnsi"/>
                <w:lang w:val="en-GB"/>
              </w:rPr>
              <m:t>a</m:t>
            </m:r>
          </m:e>
          <m:sub>
            <m:r>
              <w:rPr>
                <w:rFonts w:ascii="Cambria Math" w:hAnsi="Cambria Math" w:cstheme="minorHAnsi"/>
                <w:lang w:val="en-GB"/>
              </w:rPr>
              <m:t>8</m:t>
            </m:r>
          </m:sub>
        </m:sSub>
        <m:sSub>
          <m:sSubPr>
            <m:ctrlPr>
              <w:rPr>
                <w:rFonts w:ascii="Cambria Math" w:hAnsi="Cambria Math" w:cstheme="minorHAnsi"/>
                <w:i/>
                <w:lang w:val="en-GB"/>
              </w:rPr>
            </m:ctrlPr>
          </m:sSubPr>
          <m:e>
            <m:r>
              <w:rPr>
                <w:rFonts w:ascii="Cambria Math" w:hAnsi="Cambria Math" w:cstheme="minorHAnsi"/>
                <w:lang w:val="en-GB"/>
              </w:rPr>
              <m:t>DT</m:t>
            </m:r>
          </m:e>
          <m:sub>
            <m:r>
              <w:rPr>
                <w:rFonts w:ascii="Cambria Math" w:hAnsi="Cambria Math" w:cstheme="minorHAnsi"/>
                <w:lang w:val="en-GB"/>
              </w:rPr>
              <m:t>8</m:t>
            </m:r>
          </m:sub>
        </m:sSub>
      </m:oMath>
      <w:r w:rsidRPr="005F6FF4">
        <w:rPr>
          <w:rFonts w:eastAsiaTheme="minorEastAsia" w:cstheme="minorHAnsi"/>
          <w:lang w:val="en-GB"/>
        </w:rPr>
        <w:t xml:space="preserve">               (1)</w:t>
      </w:r>
    </w:p>
    <w:p w14:paraId="4A5E1E1E" w14:textId="6A6DD969" w:rsidR="001A3442" w:rsidRPr="005F6FF4" w:rsidRDefault="00325B93" w:rsidP="007D55DE">
      <w:pPr>
        <w:jc w:val="both"/>
        <w:rPr>
          <w:rFonts w:cstheme="minorHAnsi"/>
          <w:lang w:val="en-GB"/>
        </w:rPr>
      </w:pPr>
      <w:r w:rsidRPr="005F6FF4">
        <w:rPr>
          <w:rFonts w:cstheme="minorHAnsi"/>
          <w:lang w:val="en-GB"/>
        </w:rPr>
        <w:t xml:space="preserve">On the other hand, four key indicators have been used, including GDP per capita growth </w:t>
      </w:r>
      <m:oMath>
        <m:sSub>
          <m:sSubPr>
            <m:ctrlPr>
              <w:rPr>
                <w:rFonts w:ascii="Cambria Math" w:hAnsi="Cambria Math" w:cstheme="minorHAnsi"/>
                <w:i/>
                <w:lang w:val="en-GB"/>
              </w:rPr>
            </m:ctrlPr>
          </m:sSubPr>
          <m:e>
            <m:r>
              <w:rPr>
                <w:rFonts w:ascii="Cambria Math" w:hAnsi="Cambria Math" w:cstheme="minorHAnsi"/>
                <w:lang w:val="en-GB"/>
              </w:rPr>
              <m:t>(IG</m:t>
            </m:r>
          </m:e>
          <m:sub>
            <m:r>
              <w:rPr>
                <w:rFonts w:ascii="Cambria Math" w:hAnsi="Cambria Math" w:cstheme="minorHAnsi"/>
                <w:lang w:val="en-GB"/>
              </w:rPr>
              <m:t>1</m:t>
            </m:r>
          </m:sub>
        </m:sSub>
        <m:r>
          <w:rPr>
            <w:rFonts w:ascii="Cambria Math" w:eastAsiaTheme="minorEastAsia" w:hAnsi="Cambria Math" w:cstheme="minorHAnsi"/>
            <w:lang w:val="en-GB"/>
          </w:rPr>
          <m:t>)</m:t>
        </m:r>
      </m:oMath>
      <w:r w:rsidRPr="005F6FF4">
        <w:rPr>
          <w:rFonts w:cstheme="minorHAnsi"/>
          <w:lang w:val="en-GB"/>
        </w:rPr>
        <w:t xml:space="preserve">, the poverty rate index </w:t>
      </w:r>
      <m:oMath>
        <m:sSub>
          <m:sSubPr>
            <m:ctrlPr>
              <w:rPr>
                <w:rFonts w:ascii="Cambria Math" w:hAnsi="Cambria Math" w:cstheme="minorHAnsi"/>
                <w:i/>
                <w:lang w:val="en-GB"/>
              </w:rPr>
            </m:ctrlPr>
          </m:sSubPr>
          <m:e>
            <m:r>
              <w:rPr>
                <w:rFonts w:ascii="Cambria Math" w:hAnsi="Cambria Math" w:cstheme="minorHAnsi"/>
                <w:lang w:val="en-GB"/>
              </w:rPr>
              <m:t>(IG</m:t>
            </m:r>
          </m:e>
          <m:sub>
            <m:r>
              <w:rPr>
                <w:rFonts w:ascii="Cambria Math" w:hAnsi="Cambria Math" w:cstheme="minorHAnsi"/>
                <w:lang w:val="en-GB"/>
              </w:rPr>
              <m:t>2</m:t>
            </m:r>
          </m:sub>
        </m:sSub>
        <m:r>
          <w:rPr>
            <w:rFonts w:ascii="Cambria Math" w:eastAsiaTheme="minorEastAsia" w:hAnsi="Cambria Math" w:cstheme="minorHAnsi"/>
            <w:lang w:val="en-GB"/>
          </w:rPr>
          <m:t>)</m:t>
        </m:r>
      </m:oMath>
      <w:r w:rsidRPr="005F6FF4">
        <w:rPr>
          <w:rFonts w:cstheme="minorHAnsi"/>
          <w:lang w:val="en-GB"/>
        </w:rPr>
        <w:t xml:space="preserve">, the Gini index </w:t>
      </w:r>
      <m:oMath>
        <m:sSub>
          <m:sSubPr>
            <m:ctrlPr>
              <w:rPr>
                <w:rFonts w:ascii="Cambria Math" w:hAnsi="Cambria Math" w:cstheme="minorHAnsi"/>
                <w:i/>
                <w:lang w:val="en-GB"/>
              </w:rPr>
            </m:ctrlPr>
          </m:sSubPr>
          <m:e>
            <m:r>
              <w:rPr>
                <w:rFonts w:ascii="Cambria Math" w:hAnsi="Cambria Math" w:cstheme="minorHAnsi"/>
                <w:lang w:val="en-GB"/>
              </w:rPr>
              <m:t>(IG</m:t>
            </m:r>
          </m:e>
          <m:sub>
            <m:r>
              <w:rPr>
                <w:rFonts w:ascii="Cambria Math" w:hAnsi="Cambria Math" w:cstheme="minorHAnsi"/>
                <w:lang w:val="en-GB"/>
              </w:rPr>
              <m:t>3</m:t>
            </m:r>
          </m:sub>
        </m:sSub>
        <m:r>
          <w:rPr>
            <w:rFonts w:ascii="Cambria Math" w:eastAsiaTheme="minorEastAsia" w:hAnsi="Cambria Math" w:cstheme="minorHAnsi"/>
            <w:lang w:val="en-GB"/>
          </w:rPr>
          <m:t>)</m:t>
        </m:r>
      </m:oMath>
      <w:r w:rsidRPr="005F6FF4">
        <w:rPr>
          <w:rFonts w:cstheme="minorHAnsi"/>
          <w:lang w:val="en-GB"/>
        </w:rPr>
        <w:t xml:space="preserve">, and the unemployment rate </w:t>
      </w:r>
      <m:oMath>
        <m:sSub>
          <m:sSubPr>
            <m:ctrlPr>
              <w:rPr>
                <w:rFonts w:ascii="Cambria Math" w:hAnsi="Cambria Math" w:cstheme="minorHAnsi"/>
                <w:i/>
                <w:lang w:val="en-GB"/>
              </w:rPr>
            </m:ctrlPr>
          </m:sSubPr>
          <m:e>
            <m:r>
              <w:rPr>
                <w:rFonts w:ascii="Cambria Math" w:hAnsi="Cambria Math" w:cstheme="minorHAnsi"/>
                <w:lang w:val="en-GB"/>
              </w:rPr>
              <m:t>(IG</m:t>
            </m:r>
          </m:e>
          <m:sub>
            <m:r>
              <w:rPr>
                <w:rFonts w:ascii="Cambria Math" w:hAnsi="Cambria Math" w:cstheme="minorHAnsi"/>
                <w:lang w:val="en-GB"/>
              </w:rPr>
              <m:t>4</m:t>
            </m:r>
          </m:sub>
        </m:sSub>
        <m:r>
          <w:rPr>
            <w:rFonts w:ascii="Cambria Math" w:eastAsiaTheme="minorEastAsia" w:hAnsi="Cambria Math" w:cstheme="minorHAnsi"/>
            <w:lang w:val="en-GB"/>
          </w:rPr>
          <m:t>)</m:t>
        </m:r>
      </m:oMath>
      <w:r w:rsidRPr="005F6FF4">
        <w:rPr>
          <w:rFonts w:cstheme="minorHAnsi"/>
          <w:lang w:val="en-GB"/>
        </w:rPr>
        <w:t>, as updates to the calculations previously performed by</w:t>
      </w:r>
      <w:r w:rsidR="007D55DE" w:rsidRPr="005F6FF4">
        <w:rPr>
          <w:rFonts w:cstheme="minorHAnsi"/>
          <w:lang w:val="en-GB"/>
        </w:rPr>
        <w:t xml:space="preserve"> </w:t>
      </w:r>
      <w:r w:rsidR="007D55DE" w:rsidRPr="005F6FF4">
        <w:rPr>
          <w:rFonts w:cstheme="minorHAnsi"/>
          <w:lang w:val="en-GB"/>
        </w:rPr>
        <w:fldChar w:fldCharType="begin" w:fldLock="1"/>
      </w:r>
      <w:r w:rsidR="00E52DCB" w:rsidRPr="005F6FF4">
        <w:rPr>
          <w:rFonts w:cstheme="minorHAnsi"/>
          <w:lang w:val="en-GB"/>
        </w:rPr>
        <w:instrText>ADDIN CSL_CITATION {"citationItems":[{"id":"ITEM-1","itemData":{"DOI":"10.24843/JEKT.2018.v11.i02.p04","ISSN":"2303-0186","abstract":"Saat ini, pertumbuhan inklusif menjadi isu utama dalam pembangunan ekonomi. Pertumbuhan inklusif mendorong setiap individu untuk mengakses pendidikan, kesehatan dan komponen lainnya yang menunjang standar hidup yang lebih baik. Di Jawa Timur, pertumbuhan ekonomi yang tinggi diikuti dengan tingkat ketimpangan pendapatan yang tinggi. Peran pemerintah dibutuhkan untuk mendorong pertumbuhan yang lebih berkualitas melalui adanya pembiayaan investasi dalam bentuk investasi pendidikan dan kesehatan. Tujuan dari penelitian ini adalah (i) untuk mengetahui hubungan antara pembiayaan investasi modal manusia dengan pertumbuhan ekonomi dan (ii) untuk mengetahui dampak pembiayaan investasi modal manusia terhadap inklusivitas pertumbuhan di Jawa Timur. Metode analisis menggunakan metode regresi simultan dengan dua persamaan utama. Hasil temuan menunjukkan bahwa pembiayaan investasi modal manusia berpengaruh secara signifikan terhadap pertumbuhan ekonomi. Hal ini berarti, investasi modal manusia dapat dijadikan alternatif kebijakan untuk mendorong pertumbuhan ekonomi di Jawa Timur. Namun, terdapat persoalan bahwa hanya sebagian tertentu masyarakat dengan tingkat pendidikan, kesehatan dan daya beli yang tinggi yang menikmati adanya pertumbuhan ekonomi. Temuan kedua menjelaskan bahwa inklusivitas dapat terjadi apabila pemerintah mendorong efektivitas pembiayaan sektor pendidikan yang masih terbatas pada peningkatan kuantitas namun lemah dalam kualitas dan produktivitas sektor pendidikan. Sehingga kapasitas sumberdaya manusia yang ada saat ini tidak mampu mendorong terciptanya inklusivitas pertumbuhan di Jawa Timur.","author":[{"dropping-particle":"","family":"Kristyanto","given":"Visi Saujaningati","non-dropping-particle":"","parse-names":false,"suffix":""},{"dropping-particle":"","family":"Kaluge","given":"David","non-dropping-particle":"","parse-names":false,"suffix":""}],"container-title":"Jurnal Ekonomi Kuantitatif Terapan","id":"ITEM-1","issue":"2","issued":{"date-parts":[["2018","8","13"]]},"page":"182-189","title":"Peningkatan Inklusivitas Ekonomi Melalui Pembiayaan Investasi Modal Manusia","type":"article-journal","volume":"11"},"uris":["http://www.mendeley.com/documents/?uuid=014fd49e-397c-4de1-8948-21eb8dc48567"]}],"mendeley":{"formattedCitation":"(Kristyanto &amp; Kaluge, 2018)","manualFormatting":"Kristyanto &amp; Kaluge (2018)","plainTextFormattedCitation":"(Kristyanto &amp; Kaluge, 2018)","previouslyFormattedCitation":"(Kristyanto &amp; Kaluge, 2018)"},"properties":{"noteIndex":0},"schema":"https://github.com/citation-style-language/schema/raw/master/csl-citation.json"}</w:instrText>
      </w:r>
      <w:r w:rsidR="007D55DE" w:rsidRPr="005F6FF4">
        <w:rPr>
          <w:rFonts w:cstheme="minorHAnsi"/>
          <w:lang w:val="en-GB"/>
        </w:rPr>
        <w:fldChar w:fldCharType="separate"/>
      </w:r>
      <w:r w:rsidR="007D55DE" w:rsidRPr="005F6FF4">
        <w:rPr>
          <w:rFonts w:cstheme="minorHAnsi"/>
          <w:noProof/>
          <w:lang w:val="en-GB"/>
        </w:rPr>
        <w:t>Kristyanto &amp; Kaluge (2018)</w:t>
      </w:r>
      <w:r w:rsidR="007D55DE" w:rsidRPr="005F6FF4">
        <w:rPr>
          <w:rFonts w:cstheme="minorHAnsi"/>
          <w:lang w:val="en-GB"/>
        </w:rPr>
        <w:fldChar w:fldCharType="end"/>
      </w:r>
      <w:r w:rsidR="0071309B" w:rsidRPr="005F6FF4">
        <w:rPr>
          <w:rFonts w:cstheme="minorHAnsi"/>
          <w:lang w:val="en-GB"/>
        </w:rPr>
        <w:t xml:space="preserve"> and </w:t>
      </w:r>
      <w:r w:rsidR="0071309B" w:rsidRPr="005F6FF4">
        <w:rPr>
          <w:rFonts w:cstheme="minorHAnsi"/>
          <w:lang w:val="en-GB"/>
        </w:rPr>
        <w:fldChar w:fldCharType="begin" w:fldLock="1"/>
      </w:r>
      <w:r w:rsidR="000F1617" w:rsidRPr="005F6FF4">
        <w:rPr>
          <w:rFonts w:cstheme="minorHAnsi"/>
          <w:lang w:val="en-GB"/>
        </w:rPr>
        <w:instrText>ADDIN CSL_CITATION {"citationItems":[{"id":"ITEM-1","itemData":{"author":[{"dropping-particle":"","family":"Jamil","given":"Hidsal","non-dropping-particle":"","parse-names":false,"suffix":""}],"container-title":"Jurnal Ilmiah Mahasiswa FEB","id":"ITEM-1","issue":"2","issued":{"date-parts":[["2017"]]},"title":"Implikasi Kebijakan Fiskal Era Orde Baru dan Era Reformasi dalam Mewujudkan Pertumbuhan Inklusif di Indonesia","type":"article-journal","volume":"5"},"uris":["http://www.mendeley.com/documents/?uuid=bdbae9c4-2893-4965-8a71-29b3a3217848"]}],"mendeley":{"formattedCitation":"(Jamil, 2017)","manualFormatting":"Jamil (2017)","plainTextFormattedCitation":"(Jamil, 2017)","previouslyFormattedCitation":"(Jamil, 2017)"},"properties":{"noteIndex":0},"schema":"https://github.com/citation-style-language/schema/raw/master/csl-citation.json"}</w:instrText>
      </w:r>
      <w:r w:rsidR="0071309B" w:rsidRPr="005F6FF4">
        <w:rPr>
          <w:rFonts w:cstheme="minorHAnsi"/>
          <w:lang w:val="en-GB"/>
        </w:rPr>
        <w:fldChar w:fldCharType="separate"/>
      </w:r>
      <w:r w:rsidR="0071309B" w:rsidRPr="005F6FF4">
        <w:rPr>
          <w:rFonts w:cstheme="minorHAnsi"/>
          <w:noProof/>
          <w:lang w:val="en-GB"/>
        </w:rPr>
        <w:t>Jamil (2017)</w:t>
      </w:r>
      <w:r w:rsidR="0071309B" w:rsidRPr="005F6FF4">
        <w:rPr>
          <w:rFonts w:cstheme="minorHAnsi"/>
          <w:lang w:val="en-GB"/>
        </w:rPr>
        <w:fldChar w:fldCharType="end"/>
      </w:r>
      <w:r w:rsidRPr="005F6FF4">
        <w:rPr>
          <w:rFonts w:cstheme="minorHAnsi"/>
          <w:lang w:val="en-GB"/>
        </w:rPr>
        <w:t>.</w:t>
      </w:r>
      <w:r w:rsidR="007D55DE" w:rsidRPr="005F6FF4">
        <w:rPr>
          <w:rFonts w:cstheme="minorHAnsi"/>
          <w:lang w:val="en-GB"/>
        </w:rPr>
        <w:t xml:space="preserve"> </w:t>
      </w:r>
      <w:r w:rsidR="00751292" w:rsidRPr="005F6FF4">
        <w:rPr>
          <w:rFonts w:cstheme="minorHAnsi"/>
          <w:lang w:val="en-GB"/>
        </w:rPr>
        <w:t xml:space="preserve">Although per capita GDP growth </w:t>
      </w:r>
      <m:oMath>
        <m:sSub>
          <m:sSubPr>
            <m:ctrlPr>
              <w:rPr>
                <w:rFonts w:ascii="Cambria Math" w:hAnsi="Cambria Math" w:cstheme="minorHAnsi"/>
                <w:i/>
                <w:lang w:val="en-GB"/>
              </w:rPr>
            </m:ctrlPr>
          </m:sSubPr>
          <m:e>
            <m:r>
              <w:rPr>
                <w:rFonts w:ascii="Cambria Math" w:hAnsi="Cambria Math" w:cstheme="minorHAnsi"/>
                <w:lang w:val="en-GB"/>
              </w:rPr>
              <m:t>(IG</m:t>
            </m:r>
          </m:e>
          <m:sub>
            <m:r>
              <w:rPr>
                <w:rFonts w:ascii="Cambria Math" w:hAnsi="Cambria Math" w:cstheme="minorHAnsi"/>
                <w:lang w:val="en-GB"/>
              </w:rPr>
              <m:t>1</m:t>
            </m:r>
          </m:sub>
        </m:sSub>
        <m:r>
          <w:rPr>
            <w:rFonts w:ascii="Cambria Math" w:eastAsiaTheme="minorEastAsia" w:hAnsi="Cambria Math" w:cstheme="minorHAnsi"/>
            <w:lang w:val="en-GB"/>
          </w:rPr>
          <m:t>)</m:t>
        </m:r>
      </m:oMath>
      <w:r w:rsidR="008E3E20" w:rsidRPr="005F6FF4">
        <w:rPr>
          <w:rFonts w:cstheme="minorHAnsi"/>
          <w:lang w:val="en-GB"/>
        </w:rPr>
        <w:t xml:space="preserve"> </w:t>
      </w:r>
      <w:r w:rsidR="00751292" w:rsidRPr="005F6FF4">
        <w:rPr>
          <w:rFonts w:cstheme="minorHAnsi"/>
          <w:lang w:val="en-GB"/>
        </w:rPr>
        <w:t xml:space="preserve">reflects economic progress, the poverty rate index </w:t>
      </w:r>
      <m:oMath>
        <m:sSub>
          <m:sSubPr>
            <m:ctrlPr>
              <w:rPr>
                <w:rFonts w:ascii="Cambria Math" w:hAnsi="Cambria Math" w:cstheme="minorHAnsi"/>
                <w:i/>
                <w:lang w:val="en-GB"/>
              </w:rPr>
            </m:ctrlPr>
          </m:sSubPr>
          <m:e>
            <m:r>
              <w:rPr>
                <w:rFonts w:ascii="Cambria Math" w:hAnsi="Cambria Math" w:cstheme="minorHAnsi"/>
                <w:lang w:val="en-GB"/>
              </w:rPr>
              <m:t>(IG</m:t>
            </m:r>
          </m:e>
          <m:sub>
            <m:r>
              <w:rPr>
                <w:rFonts w:ascii="Cambria Math" w:hAnsi="Cambria Math" w:cstheme="minorHAnsi"/>
                <w:lang w:val="en-GB"/>
              </w:rPr>
              <m:t>2</m:t>
            </m:r>
          </m:sub>
        </m:sSub>
        <m:r>
          <w:rPr>
            <w:rFonts w:ascii="Cambria Math" w:eastAsiaTheme="minorEastAsia" w:hAnsi="Cambria Math" w:cstheme="minorHAnsi"/>
            <w:lang w:val="en-GB"/>
          </w:rPr>
          <m:t>)</m:t>
        </m:r>
      </m:oMath>
      <w:r w:rsidR="00751292" w:rsidRPr="005F6FF4">
        <w:rPr>
          <w:rFonts w:cstheme="minorHAnsi"/>
          <w:lang w:val="en-GB"/>
        </w:rPr>
        <w:t xml:space="preserve">, Gini index </w:t>
      </w:r>
      <m:oMath>
        <m:sSub>
          <m:sSubPr>
            <m:ctrlPr>
              <w:rPr>
                <w:rFonts w:ascii="Cambria Math" w:hAnsi="Cambria Math" w:cstheme="minorHAnsi"/>
                <w:i/>
                <w:lang w:val="en-GB"/>
              </w:rPr>
            </m:ctrlPr>
          </m:sSubPr>
          <m:e>
            <m:r>
              <w:rPr>
                <w:rFonts w:ascii="Cambria Math" w:hAnsi="Cambria Math" w:cstheme="minorHAnsi"/>
                <w:lang w:val="en-GB"/>
              </w:rPr>
              <m:t>(IG</m:t>
            </m:r>
          </m:e>
          <m:sub>
            <m:r>
              <w:rPr>
                <w:rFonts w:ascii="Cambria Math" w:hAnsi="Cambria Math" w:cstheme="minorHAnsi"/>
                <w:lang w:val="en-GB"/>
              </w:rPr>
              <m:t>3</m:t>
            </m:r>
          </m:sub>
        </m:sSub>
        <m:r>
          <w:rPr>
            <w:rFonts w:ascii="Cambria Math" w:eastAsiaTheme="minorEastAsia" w:hAnsi="Cambria Math" w:cstheme="minorHAnsi"/>
            <w:lang w:val="en-GB"/>
          </w:rPr>
          <m:t>)</m:t>
        </m:r>
      </m:oMath>
      <w:r w:rsidR="00751292" w:rsidRPr="005F6FF4">
        <w:rPr>
          <w:rFonts w:cstheme="minorHAnsi"/>
          <w:lang w:val="en-GB"/>
        </w:rPr>
        <w:t xml:space="preserve">, and unemployment rate </w:t>
      </w:r>
      <m:oMath>
        <m:sSub>
          <m:sSubPr>
            <m:ctrlPr>
              <w:rPr>
                <w:rFonts w:ascii="Cambria Math" w:hAnsi="Cambria Math" w:cstheme="minorHAnsi"/>
                <w:i/>
                <w:lang w:val="en-GB"/>
              </w:rPr>
            </m:ctrlPr>
          </m:sSubPr>
          <m:e>
            <m:r>
              <w:rPr>
                <w:rFonts w:ascii="Cambria Math" w:hAnsi="Cambria Math" w:cstheme="minorHAnsi"/>
                <w:lang w:val="en-GB"/>
              </w:rPr>
              <m:t>(IG</m:t>
            </m:r>
          </m:e>
          <m:sub>
            <m:r>
              <w:rPr>
                <w:rFonts w:ascii="Cambria Math" w:hAnsi="Cambria Math" w:cstheme="minorHAnsi"/>
                <w:lang w:val="en-GB"/>
              </w:rPr>
              <m:t>4</m:t>
            </m:r>
          </m:sub>
        </m:sSub>
        <m:r>
          <w:rPr>
            <w:rFonts w:ascii="Cambria Math" w:eastAsiaTheme="minorEastAsia" w:hAnsi="Cambria Math" w:cstheme="minorHAnsi"/>
            <w:lang w:val="en-GB"/>
          </w:rPr>
          <m:t>)</m:t>
        </m:r>
      </m:oMath>
      <w:r w:rsidR="008E3E20" w:rsidRPr="005F6FF4">
        <w:rPr>
          <w:rFonts w:cstheme="minorHAnsi"/>
          <w:lang w:val="en-GB"/>
        </w:rPr>
        <w:t xml:space="preserve"> </w:t>
      </w:r>
      <w:r w:rsidR="00751292" w:rsidRPr="005F6FF4">
        <w:rPr>
          <w:rFonts w:cstheme="minorHAnsi"/>
          <w:lang w:val="en-GB"/>
        </w:rPr>
        <w:t xml:space="preserve">provide insights into people's participation in economic activities as well as the distribution of economic benefits. </w:t>
      </w:r>
      <w:r w:rsidR="001A3442" w:rsidRPr="005F6FF4">
        <w:rPr>
          <w:rFonts w:cstheme="minorHAnsi"/>
          <w:lang w:val="en-GB"/>
        </w:rPr>
        <w:t xml:space="preserve">Notably, the latter three indicators have an implicit inverse relationship with inclusive growth, implying that greater poverty, inequality, and unemployment are associated with lower inclusive growth performance. To make these last three indicators more understandable, a formula, </w:t>
      </w:r>
      <m:oMath>
        <m:r>
          <w:rPr>
            <w:rFonts w:ascii="Cambria Math" w:hAnsi="Cambria Math" w:cstheme="minorHAnsi"/>
            <w:lang w:val="en-GB"/>
          </w:rPr>
          <m:t>100-</m:t>
        </m:r>
        <m:sSub>
          <m:sSubPr>
            <m:ctrlPr>
              <w:rPr>
                <w:rFonts w:ascii="Cambria Math" w:hAnsi="Cambria Math" w:cstheme="minorHAnsi"/>
                <w:i/>
                <w:lang w:val="en-GB"/>
              </w:rPr>
            </m:ctrlPr>
          </m:sSubPr>
          <m:e>
            <m:r>
              <w:rPr>
                <w:rFonts w:ascii="Cambria Math" w:hAnsi="Cambria Math" w:cstheme="minorHAnsi"/>
                <w:lang w:val="en-GB"/>
              </w:rPr>
              <m:t>IG</m:t>
            </m:r>
          </m:e>
          <m:sub>
            <m:r>
              <w:rPr>
                <w:rFonts w:ascii="Cambria Math" w:hAnsi="Cambria Math" w:cstheme="minorHAnsi"/>
                <w:lang w:val="en-GB"/>
              </w:rPr>
              <m:t>2,3,  4</m:t>
            </m:r>
          </m:sub>
        </m:sSub>
      </m:oMath>
      <w:r w:rsidR="001A3442" w:rsidRPr="005F6FF4">
        <w:rPr>
          <w:rFonts w:cstheme="minorHAnsi"/>
          <w:lang w:val="en-GB"/>
        </w:rPr>
        <w:t xml:space="preserve">, is used to convert them. </w:t>
      </w:r>
      <w:r w:rsidR="005D5951" w:rsidRPr="005F6FF4">
        <w:rPr>
          <w:rFonts w:cstheme="minorHAnsi"/>
          <w:lang w:val="en-GB"/>
        </w:rPr>
        <w:t>Following the conversion process, these three indicators can now be interpreted as efforts to reduce poverty, inequality, and unemployment rates. T</w:t>
      </w:r>
      <w:r w:rsidR="001A3442" w:rsidRPr="005F6FF4">
        <w:rPr>
          <w:rFonts w:cstheme="minorHAnsi"/>
          <w:lang w:val="en-GB"/>
        </w:rPr>
        <w:t>he aggregate index of inclusive growth (IG) generated by the first eigenvector (loading matrix) is expressed as follows:</w:t>
      </w:r>
    </w:p>
    <w:p w14:paraId="5EE9CBC9" w14:textId="77777777" w:rsidR="00BA4BFC" w:rsidRPr="005F6FF4" w:rsidRDefault="00BA4BFC" w:rsidP="00BA4BFC">
      <w:pPr>
        <w:jc w:val="right"/>
        <w:rPr>
          <w:rFonts w:cstheme="minorHAnsi"/>
          <w:lang w:val="en-GB"/>
        </w:rPr>
      </w:pPr>
      <m:oMath>
        <m:r>
          <w:rPr>
            <w:rFonts w:ascii="Cambria Math" w:hAnsi="Cambria Math" w:cstheme="minorHAnsi"/>
            <w:lang w:val="en-GB"/>
          </w:rPr>
          <m:t>IG=</m:t>
        </m:r>
        <m:sSub>
          <m:sSubPr>
            <m:ctrlPr>
              <w:rPr>
                <w:rFonts w:ascii="Cambria Math" w:hAnsi="Cambria Math" w:cstheme="minorHAnsi"/>
                <w:i/>
                <w:lang w:val="en-GB"/>
              </w:rPr>
            </m:ctrlPr>
          </m:sSubPr>
          <m:e>
            <m:r>
              <w:rPr>
                <w:rFonts w:ascii="Cambria Math" w:hAnsi="Cambria Math" w:cstheme="minorHAnsi"/>
                <w:lang w:val="en-GB"/>
              </w:rPr>
              <m:t>a</m:t>
            </m:r>
          </m:e>
          <m:sub>
            <m:r>
              <w:rPr>
                <w:rFonts w:ascii="Cambria Math" w:hAnsi="Cambria Math" w:cstheme="minorHAnsi"/>
                <w:lang w:val="en-GB"/>
              </w:rPr>
              <m:t>1</m:t>
            </m:r>
          </m:sub>
        </m:sSub>
        <m:sSub>
          <m:sSubPr>
            <m:ctrlPr>
              <w:rPr>
                <w:rFonts w:ascii="Cambria Math" w:hAnsi="Cambria Math" w:cstheme="minorHAnsi"/>
                <w:i/>
                <w:lang w:val="en-GB"/>
              </w:rPr>
            </m:ctrlPr>
          </m:sSubPr>
          <m:e>
            <m:r>
              <w:rPr>
                <w:rFonts w:ascii="Cambria Math" w:hAnsi="Cambria Math" w:cstheme="minorHAnsi"/>
                <w:lang w:val="en-GB"/>
              </w:rPr>
              <m:t>IG</m:t>
            </m:r>
          </m:e>
          <m:sub>
            <m:r>
              <w:rPr>
                <w:rFonts w:ascii="Cambria Math" w:hAnsi="Cambria Math" w:cstheme="minorHAnsi"/>
                <w:lang w:val="en-GB"/>
              </w:rPr>
              <m:t>1</m:t>
            </m:r>
          </m:sub>
        </m:sSub>
        <m:r>
          <w:rPr>
            <w:rFonts w:ascii="Cambria Math" w:hAnsi="Cambria Math" w:cstheme="minorHAnsi"/>
            <w:lang w:val="en-GB"/>
          </w:rPr>
          <m:t>+</m:t>
        </m:r>
        <m:sSub>
          <m:sSubPr>
            <m:ctrlPr>
              <w:rPr>
                <w:rFonts w:ascii="Cambria Math" w:hAnsi="Cambria Math" w:cstheme="minorHAnsi"/>
                <w:i/>
                <w:lang w:val="en-GB"/>
              </w:rPr>
            </m:ctrlPr>
          </m:sSubPr>
          <m:e>
            <m:r>
              <w:rPr>
                <w:rFonts w:ascii="Cambria Math" w:hAnsi="Cambria Math" w:cstheme="minorHAnsi"/>
                <w:lang w:val="en-GB"/>
              </w:rPr>
              <m:t>a</m:t>
            </m:r>
          </m:e>
          <m:sub>
            <m:r>
              <w:rPr>
                <w:rFonts w:ascii="Cambria Math" w:hAnsi="Cambria Math" w:cstheme="minorHAnsi"/>
                <w:lang w:val="en-GB"/>
              </w:rPr>
              <m:t>2</m:t>
            </m:r>
          </m:sub>
        </m:sSub>
        <m:sSub>
          <m:sSubPr>
            <m:ctrlPr>
              <w:rPr>
                <w:rFonts w:ascii="Cambria Math" w:hAnsi="Cambria Math" w:cstheme="minorHAnsi"/>
                <w:i/>
                <w:lang w:val="en-GB"/>
              </w:rPr>
            </m:ctrlPr>
          </m:sSubPr>
          <m:e>
            <m:r>
              <w:rPr>
                <w:rFonts w:ascii="Cambria Math" w:hAnsi="Cambria Math" w:cstheme="minorHAnsi"/>
                <w:lang w:val="en-GB"/>
              </w:rPr>
              <m:t>(100-IG</m:t>
            </m:r>
          </m:e>
          <m:sub>
            <m:r>
              <w:rPr>
                <w:rFonts w:ascii="Cambria Math" w:hAnsi="Cambria Math" w:cstheme="minorHAnsi"/>
                <w:lang w:val="en-GB"/>
              </w:rPr>
              <m:t>2</m:t>
            </m:r>
          </m:sub>
        </m:sSub>
        <m:r>
          <w:rPr>
            <w:rFonts w:ascii="Cambria Math" w:hAnsi="Cambria Math" w:cstheme="minorHAnsi"/>
            <w:lang w:val="en-GB"/>
          </w:rPr>
          <m:t>)+</m:t>
        </m:r>
        <m:sSub>
          <m:sSubPr>
            <m:ctrlPr>
              <w:rPr>
                <w:rFonts w:ascii="Cambria Math" w:hAnsi="Cambria Math" w:cstheme="minorHAnsi"/>
                <w:i/>
                <w:lang w:val="en-GB"/>
              </w:rPr>
            </m:ctrlPr>
          </m:sSubPr>
          <m:e>
            <m:r>
              <w:rPr>
                <w:rFonts w:ascii="Cambria Math" w:hAnsi="Cambria Math" w:cstheme="minorHAnsi"/>
                <w:lang w:val="en-GB"/>
              </w:rPr>
              <m:t>a</m:t>
            </m:r>
          </m:e>
          <m:sub>
            <m:r>
              <w:rPr>
                <w:rFonts w:ascii="Cambria Math" w:hAnsi="Cambria Math" w:cstheme="minorHAnsi"/>
                <w:lang w:val="en-GB"/>
              </w:rPr>
              <m:t>3</m:t>
            </m:r>
          </m:sub>
        </m:sSub>
        <m:sSub>
          <m:sSubPr>
            <m:ctrlPr>
              <w:rPr>
                <w:rFonts w:ascii="Cambria Math" w:hAnsi="Cambria Math" w:cstheme="minorHAnsi"/>
                <w:i/>
                <w:lang w:val="en-GB"/>
              </w:rPr>
            </m:ctrlPr>
          </m:sSubPr>
          <m:e>
            <m:r>
              <w:rPr>
                <w:rFonts w:ascii="Cambria Math" w:hAnsi="Cambria Math" w:cstheme="minorHAnsi"/>
                <w:lang w:val="en-GB"/>
              </w:rPr>
              <m:t>(100-IG</m:t>
            </m:r>
          </m:e>
          <m:sub>
            <m:r>
              <w:rPr>
                <w:rFonts w:ascii="Cambria Math" w:hAnsi="Cambria Math" w:cstheme="minorHAnsi"/>
                <w:lang w:val="en-GB"/>
              </w:rPr>
              <m:t>3</m:t>
            </m:r>
          </m:sub>
        </m:sSub>
        <m:r>
          <w:rPr>
            <w:rFonts w:ascii="Cambria Math" w:hAnsi="Cambria Math" w:cstheme="minorHAnsi"/>
            <w:lang w:val="en-GB"/>
          </w:rPr>
          <m:t>)+</m:t>
        </m:r>
        <m:sSub>
          <m:sSubPr>
            <m:ctrlPr>
              <w:rPr>
                <w:rFonts w:ascii="Cambria Math" w:hAnsi="Cambria Math" w:cstheme="minorHAnsi"/>
                <w:i/>
                <w:lang w:val="en-GB"/>
              </w:rPr>
            </m:ctrlPr>
          </m:sSubPr>
          <m:e>
            <m:r>
              <w:rPr>
                <w:rFonts w:ascii="Cambria Math" w:hAnsi="Cambria Math" w:cstheme="minorHAnsi"/>
                <w:lang w:val="en-GB"/>
              </w:rPr>
              <m:t>a</m:t>
            </m:r>
          </m:e>
          <m:sub>
            <m:r>
              <w:rPr>
                <w:rFonts w:ascii="Cambria Math" w:hAnsi="Cambria Math" w:cstheme="minorHAnsi"/>
                <w:lang w:val="en-GB"/>
              </w:rPr>
              <m:t>4</m:t>
            </m:r>
          </m:sub>
        </m:sSub>
        <m:sSub>
          <m:sSubPr>
            <m:ctrlPr>
              <w:rPr>
                <w:rFonts w:ascii="Cambria Math" w:hAnsi="Cambria Math" w:cstheme="minorHAnsi"/>
                <w:i/>
                <w:lang w:val="en-GB"/>
              </w:rPr>
            </m:ctrlPr>
          </m:sSubPr>
          <m:e>
            <m:r>
              <w:rPr>
                <w:rFonts w:ascii="Cambria Math" w:hAnsi="Cambria Math" w:cstheme="minorHAnsi"/>
                <w:lang w:val="en-GB"/>
              </w:rPr>
              <m:t>(100-IG</m:t>
            </m:r>
          </m:e>
          <m:sub>
            <m:r>
              <w:rPr>
                <w:rFonts w:ascii="Cambria Math" w:hAnsi="Cambria Math" w:cstheme="minorHAnsi"/>
                <w:lang w:val="en-GB"/>
              </w:rPr>
              <m:t>4</m:t>
            </m:r>
          </m:sub>
        </m:sSub>
        <m:r>
          <w:rPr>
            <w:rFonts w:ascii="Cambria Math" w:hAnsi="Cambria Math" w:cstheme="minorHAnsi"/>
            <w:lang w:val="en-GB"/>
          </w:rPr>
          <m:t>)</m:t>
        </m:r>
      </m:oMath>
      <w:r w:rsidRPr="005F6FF4">
        <w:rPr>
          <w:rFonts w:eastAsiaTheme="minorEastAsia" w:cstheme="minorHAnsi"/>
          <w:lang w:val="en-GB"/>
        </w:rPr>
        <w:t xml:space="preserve">                          (2)</w:t>
      </w:r>
    </w:p>
    <w:p w14:paraId="3170EE2E" w14:textId="77777777" w:rsidR="0067385C" w:rsidRPr="005F6FF4" w:rsidRDefault="00325B93" w:rsidP="00BA4BFC">
      <w:pPr>
        <w:jc w:val="both"/>
      </w:pPr>
      <w:r w:rsidRPr="005F6FF4">
        <w:t xml:space="preserve">In equations (1) and (2), the values </w:t>
      </w:r>
      <m:oMath>
        <m:sSub>
          <m:sSubPr>
            <m:ctrlPr>
              <w:rPr>
                <w:rFonts w:ascii="Cambria Math" w:hAnsi="Cambria Math" w:cstheme="minorHAnsi"/>
                <w:i/>
                <w:lang w:val="en-GB"/>
              </w:rPr>
            </m:ctrlPr>
          </m:sSubPr>
          <m:e>
            <m:r>
              <w:rPr>
                <w:rFonts w:ascii="Cambria Math" w:hAnsi="Cambria Math" w:cstheme="minorHAnsi"/>
                <w:lang w:val="en-GB"/>
              </w:rPr>
              <m:t>a</m:t>
            </m:r>
          </m:e>
          <m:sub>
            <m:r>
              <w:rPr>
                <w:rFonts w:ascii="Cambria Math" w:hAnsi="Cambria Math" w:cstheme="minorHAnsi"/>
                <w:lang w:val="en-GB"/>
              </w:rPr>
              <m:t>1</m:t>
            </m:r>
          </m:sub>
        </m:sSub>
        <m:r>
          <w:rPr>
            <w:rFonts w:ascii="Cambria Math" w:hAnsi="Cambria Math" w:cstheme="minorHAnsi"/>
            <w:lang w:val="en-GB"/>
          </w:rPr>
          <m:t>,…,</m:t>
        </m:r>
        <m:sSub>
          <m:sSubPr>
            <m:ctrlPr>
              <w:rPr>
                <w:rFonts w:ascii="Cambria Math" w:hAnsi="Cambria Math" w:cstheme="minorHAnsi"/>
                <w:i/>
                <w:lang w:val="en-GB"/>
              </w:rPr>
            </m:ctrlPr>
          </m:sSubPr>
          <m:e>
            <m:r>
              <w:rPr>
                <w:rFonts w:ascii="Cambria Math" w:hAnsi="Cambria Math" w:cstheme="minorHAnsi"/>
                <w:lang w:val="en-GB"/>
              </w:rPr>
              <m:t>a</m:t>
            </m:r>
          </m:e>
          <m:sub>
            <m:r>
              <w:rPr>
                <w:rFonts w:ascii="Cambria Math" w:hAnsi="Cambria Math" w:cstheme="minorHAnsi"/>
                <w:lang w:val="en-GB"/>
              </w:rPr>
              <m:t>n</m:t>
            </m:r>
          </m:sub>
        </m:sSub>
        <m:r>
          <w:rPr>
            <w:rFonts w:ascii="Cambria Math" w:hAnsi="Cambria Math" w:cstheme="minorHAnsi"/>
            <w:lang w:val="en-GB"/>
          </w:rPr>
          <m:t>,</m:t>
        </m:r>
      </m:oMath>
      <w:r w:rsidRPr="005F6FF4">
        <w:t xml:space="preserve"> </w:t>
      </w:r>
      <w:r w:rsidR="000F1617" w:rsidRPr="005F6FF4">
        <w:t xml:space="preserve">correspond to the eigenvalue vector derived from the unrotated matrix in PCA. The unrotated matrix was chosen because it provides a more direct representation of the variance explained by each principal component, whereas the rotated matrix may introduce additional complexity and a less straightforward interpretation of the eigenvalues </w:t>
      </w:r>
      <w:r w:rsidR="000F1617" w:rsidRPr="005F6FF4">
        <w:fldChar w:fldCharType="begin" w:fldLock="1"/>
      </w:r>
      <w:r w:rsidR="000F1617" w:rsidRPr="005F6FF4">
        <w:instrText>ADDIN CSL_CITATION {"citationItems":[{"id":"ITEM-1","itemData":{"DOI":"10.1080/01621459.2017.1401542","ISSN":"0162-1459","author":[{"dropping-particle":"","family":"Aït-Sahalia","given":"Yacine","non-dropping-particle":"","parse-names":false,"suffix":""},{"dropping-particle":"","family":"Xiu","given":"Dacheng","non-dropping-particle":"","parse-names":false,"suffix":""}],"container-title":"Journal of the American Statistical Association","id":"ITEM-1","issue":"525","issued":{"date-parts":[["2019","1","2"]]},"page":"287-303","title":"Principal Component Analysis of High-Frequency Data","type":"article-journal","volume":"114"},"uris":["http://www.mendeley.com/documents/?uuid=3399db4f-00cf-4c1a-8eaa-79d32549f645"]}],"mendeley":{"formattedCitation":"(Aït-Sahalia &amp; Xiu, 2019)","plainTextFormattedCitation":"(Aït-Sahalia &amp; Xiu, 2019)","previouslyFormattedCitation":"(Aït-Sahalia &amp; Xiu, 2019)"},"properties":{"noteIndex":0},"schema":"https://github.com/citation-style-language/schema/raw/master/csl-citation.json"}</w:instrText>
      </w:r>
      <w:r w:rsidR="000F1617" w:rsidRPr="005F6FF4">
        <w:fldChar w:fldCharType="separate"/>
      </w:r>
      <w:r w:rsidR="000F1617" w:rsidRPr="005F6FF4">
        <w:rPr>
          <w:noProof/>
        </w:rPr>
        <w:t>(Aït-Sahalia &amp; Xiu, 2019)</w:t>
      </w:r>
      <w:r w:rsidR="000F1617" w:rsidRPr="005F6FF4">
        <w:fldChar w:fldCharType="end"/>
      </w:r>
      <w:r w:rsidR="000F1617" w:rsidRPr="005F6FF4">
        <w:t>.</w:t>
      </w:r>
      <w:r w:rsidR="0067385C" w:rsidRPr="005F6FF4">
        <w:t xml:space="preserve"> </w:t>
      </w:r>
    </w:p>
    <w:p w14:paraId="0D4526EC" w14:textId="77777777" w:rsidR="00923EBB" w:rsidRPr="005F6FF4" w:rsidRDefault="00754387" w:rsidP="00923EBB">
      <w:pPr>
        <w:jc w:val="both"/>
      </w:pPr>
      <w:r w:rsidRPr="005F6FF4">
        <w:rPr>
          <w:rFonts w:cstheme="minorHAnsi"/>
          <w:lang w:val="en-GB"/>
        </w:rPr>
        <w:t>In this study, t</w:t>
      </w:r>
      <w:r w:rsidR="0040077F" w:rsidRPr="005F6FF4">
        <w:rPr>
          <w:rFonts w:cstheme="minorHAnsi"/>
          <w:lang w:val="en-GB"/>
        </w:rPr>
        <w:t xml:space="preserve">he selection of control variables is rooted in a coherent rationale driven by existing literature in both the contexts of digital transformation and inclusive growth. Accountability, civil liberty, and the rule of law are identified as pivotal factors in digital transformation due to their established importance in shaping the digital landscape. By holding stakeholders accountable for their digital actions, accountability promotes transparency and trust </w:t>
      </w:r>
      <w:r w:rsidR="0040077F" w:rsidRPr="005F6FF4">
        <w:rPr>
          <w:rFonts w:cstheme="minorHAnsi"/>
          <w:lang w:val="en-GB"/>
        </w:rPr>
        <w:fldChar w:fldCharType="begin" w:fldLock="1"/>
      </w:r>
      <w:r w:rsidR="00DF7081" w:rsidRPr="005F6FF4">
        <w:rPr>
          <w:rFonts w:cstheme="minorHAnsi"/>
          <w:lang w:val="en-GB"/>
        </w:rPr>
        <w:instrText>ADDIN CSL_CITATION {"citationItems":[{"id":"ITEM-1","itemData":{"DOI":"10.1007/s40860-018-0054-5","ISSN":"2199-4668","author":[{"dropping-particle":"","family":"Crabtree","given":"Andy","non-dropping-particle":"","parse-names":false,"suffix":""},{"dropping-particle":"","family":"Lodge","given":"Tom","non-dropping-particle":"","parse-names":false,"suffix":""},{"dropping-particle":"","family":"Colley","given":"James","non-dropping-particle":"","parse-names":false,"suffix":""},{"dropping-particle":"","family":"Greenhalgh","given":"Chris","non-dropping-particle":"","parse-names":false,"suffix":""},{"dropping-particle":"","family":"Glover","given":"Kevin","non-dropping-particle":"","parse-names":false,"suffix":""},{"dropping-particle":"","family":"Haddadi","given":"Hamed","non-dropping-particle":"","parse-names":false,"suffix":""},{"dropping-particle":"","family":"Amar","given":"Yousef","non-dropping-particle":"","parse-names":false,"suffix":""},{"dropping-particle":"","family":"Mortier","given":"Richard","non-dropping-particle":"","parse-names":false,"suffix":""},{"dropping-particle":"","family":"Li","given":"Qi","non-dropping-particle":"","parse-names":false,"suffix":""},{"dropping-particle":"","family":"Moore","given":"John","non-dropping-particle":"","parse-names":false,"suffix":""},{"dropping-particle":"","family":"Wang","given":"Liang","non-dropping-particle":"","parse-names":false,"suffix":""},{"dropping-particle":"","family":"Yadav","given":"Poonam","non-dropping-particle":"","parse-names":false,"suffix":""},{"dropping-particle":"","family":"Zhao","given":"Jianxin","non-dropping-particle":"","parse-names":false,"suffix":""},{"dropping-particle":"","family":"Brown","given":"Anthony","non-dropping-particle":"","parse-names":false,"suffix":""},{"dropping-particle":"","family":"Urquhart","given":"Lachlan","non-dropping-particle":"","parse-names":false,"suffix":""},{"dropping-particle":"","family":"McAuley","given":"Derek","non-dropping-particle":"","parse-names":false,"suffix":""}],"container-title":"Journal of Reliable Intelligent Environments","id":"ITEM-1","issue":"1","issued":{"date-parts":[["2018","4","27"]]},"page":"39-55","title":"Building accountability into the Internet of Things: the IoT Databox model","type":"article-journal","volume":"4"},"uris":["http://www.mendeley.com/documents/?uuid=0cb525d7-3f39-4e9f-8077-1153d4198096"]}],"mendeley":{"formattedCitation":"(Crabtree et al., 2018)","plainTextFormattedCitation":"(Crabtree et al., 2018)","previouslyFormattedCitation":"(Crabtree et al., 2018)"},"properties":{"noteIndex":0},"schema":"https://github.com/citation-style-language/schema/raw/master/csl-citation.json"}</w:instrText>
      </w:r>
      <w:r w:rsidR="0040077F" w:rsidRPr="005F6FF4">
        <w:rPr>
          <w:rFonts w:cstheme="minorHAnsi"/>
          <w:lang w:val="en-GB"/>
        </w:rPr>
        <w:fldChar w:fldCharType="separate"/>
      </w:r>
      <w:r w:rsidR="0040077F" w:rsidRPr="005F6FF4">
        <w:rPr>
          <w:rFonts w:cstheme="minorHAnsi"/>
          <w:noProof/>
          <w:lang w:val="en-GB"/>
        </w:rPr>
        <w:t>(Crabtree et al., 2018)</w:t>
      </w:r>
      <w:r w:rsidR="0040077F" w:rsidRPr="005F6FF4">
        <w:rPr>
          <w:rFonts w:cstheme="minorHAnsi"/>
          <w:lang w:val="en-GB"/>
        </w:rPr>
        <w:fldChar w:fldCharType="end"/>
      </w:r>
      <w:r w:rsidR="0040077F" w:rsidRPr="005F6FF4">
        <w:rPr>
          <w:rFonts w:cstheme="minorHAnsi"/>
          <w:lang w:val="en-GB"/>
        </w:rPr>
        <w:t>. Individual rights in the digital space are protected by civil liberty, allowing for free engagement with technology</w:t>
      </w:r>
      <w:r w:rsidR="00DF7081" w:rsidRPr="005F6FF4">
        <w:rPr>
          <w:rFonts w:cstheme="minorHAnsi"/>
          <w:lang w:val="en-GB"/>
        </w:rPr>
        <w:t xml:space="preserve"> </w:t>
      </w:r>
      <w:r w:rsidR="00DF7081" w:rsidRPr="005F6FF4">
        <w:rPr>
          <w:rFonts w:cstheme="minorHAnsi"/>
          <w:lang w:val="en-GB"/>
        </w:rPr>
        <w:fldChar w:fldCharType="begin" w:fldLock="1"/>
      </w:r>
      <w:r w:rsidR="00DF7081" w:rsidRPr="005F6FF4">
        <w:rPr>
          <w:rFonts w:cstheme="minorHAnsi"/>
          <w:lang w:val="en-GB"/>
        </w:rPr>
        <w:instrText>ADDIN CSL_CITATION {"citationItems":[{"id":"ITEM-1","itemData":{"DOI":"10.1007/978-3-319-26425-7_3","author":[{"dropping-particle":"","family":"McDiarmid","given":"Andrew","non-dropping-particle":"","parse-names":false,"suffix":""},{"dropping-particle":"","family":"Shears","given":"Matthew","non-dropping-particle":"","parse-names":false,"suffix":""}],"container-title":"Net Neutrality Compendium","id":"ITEM-1","issued":{"date-parts":[["2016"]]},"page":"31-41","publisher":"Springer International Publishing","publisher-place":"Cham","title":"The Importance of Internet Neutrality to Protecting Human Rights Online","type":"chapter"},"uris":["http://www.mendeley.com/documents/?uuid=802087f0-45cd-41a4-943f-1b7deee6a50a"]}],"mendeley":{"formattedCitation":"(McDiarmid &amp; Shears, 2016)","plainTextFormattedCitation":"(McDiarmid &amp; Shears, 2016)","previouslyFormattedCitation":"(McDiarmid &amp; Shears, 2016)"},"properties":{"noteIndex":0},"schema":"https://github.com/citation-style-language/schema/raw/master/csl-citation.json"}</w:instrText>
      </w:r>
      <w:r w:rsidR="00DF7081" w:rsidRPr="005F6FF4">
        <w:rPr>
          <w:rFonts w:cstheme="minorHAnsi"/>
          <w:lang w:val="en-GB"/>
        </w:rPr>
        <w:fldChar w:fldCharType="separate"/>
      </w:r>
      <w:r w:rsidR="00DF7081" w:rsidRPr="005F6FF4">
        <w:rPr>
          <w:rFonts w:cstheme="minorHAnsi"/>
          <w:noProof/>
          <w:lang w:val="en-GB"/>
        </w:rPr>
        <w:t>(McDiarmid &amp; Shears, 2016)</w:t>
      </w:r>
      <w:r w:rsidR="00DF7081" w:rsidRPr="005F6FF4">
        <w:rPr>
          <w:rFonts w:cstheme="minorHAnsi"/>
          <w:lang w:val="en-GB"/>
        </w:rPr>
        <w:fldChar w:fldCharType="end"/>
      </w:r>
      <w:r w:rsidR="0040077F" w:rsidRPr="005F6FF4">
        <w:rPr>
          <w:rFonts w:cstheme="minorHAnsi"/>
          <w:lang w:val="en-GB"/>
        </w:rPr>
        <w:t>. The rule of law provides the necessary legal framework for digital activities, ensuring that established norms are followed</w:t>
      </w:r>
      <w:r w:rsidR="00DF7081" w:rsidRPr="005F6FF4">
        <w:rPr>
          <w:rFonts w:cstheme="minorHAnsi"/>
          <w:lang w:val="en-GB"/>
        </w:rPr>
        <w:t xml:space="preserve"> </w:t>
      </w:r>
      <w:r w:rsidR="00DF7081" w:rsidRPr="005F6FF4">
        <w:rPr>
          <w:rFonts w:cstheme="minorHAnsi"/>
          <w:lang w:val="en-GB"/>
        </w:rPr>
        <w:fldChar w:fldCharType="begin" w:fldLock="1"/>
      </w:r>
      <w:r w:rsidR="00DF7081" w:rsidRPr="005F6FF4">
        <w:rPr>
          <w:rFonts w:cstheme="minorHAnsi"/>
          <w:lang w:val="en-GB"/>
        </w:rPr>
        <w:instrText>ADDIN CSL_CITATION {"citationItems":[{"id":"ITEM-1","itemData":{"DOI":"10.54648/LEIE2019014","ISSN":"1566-6573","abstract":"The digital economy is dynamic, fast expanding, and truly global. The legal framework that currently applies to the digital economy is either divided, fragmented, ad hoc, out of date, or nonexistent. Some legal initiatives quixotically aim at stopping cross-border data flows, reflecting consumer fears regarding privacy and security or government fears about losing tax revenue. The fragmented regulatory environment does not help companies ‘scale up’ digital technologies; in turn, this hampers innovation and global economic growth. In addition, some less digitally developed actors complain that current rules allow or even foster unfair competition.","author":[{"dropping-particle":"","family":"Kamau","given":"Maryanne","non-dropping-particle":"","parse-names":false,"suffix":""},{"dropping-particle":"","family":"Willems","given":"Arnoud","non-dropping-particle":"","parse-names":false,"suffix":""}],"container-title":"Legal Issues of Economic Integration","id":"ITEM-1","issue":"Issue 3","issued":{"date-parts":[["2019","8","1"]]},"page":"225-246","title":"Of Binding Provisions and Trust Marks; Roadmap to a Global Legal Framework for the Digital Economy","type":"article-journal","volume":"46"},"uris":["http://www.mendeley.com/documents/?uuid=9ebdc40a-b2ea-4c95-907a-38e995f44cd2"]}],"mendeley":{"formattedCitation":"(Kamau &amp; Willems, 2019)","plainTextFormattedCitation":"(Kamau &amp; Willems, 2019)","previouslyFormattedCitation":"(Kamau &amp; Willems, 2019)"},"properties":{"noteIndex":0},"schema":"https://github.com/citation-style-language/schema/raw/master/csl-citation.json"}</w:instrText>
      </w:r>
      <w:r w:rsidR="00DF7081" w:rsidRPr="005F6FF4">
        <w:rPr>
          <w:rFonts w:cstheme="minorHAnsi"/>
          <w:lang w:val="en-GB"/>
        </w:rPr>
        <w:fldChar w:fldCharType="separate"/>
      </w:r>
      <w:r w:rsidR="00DF7081" w:rsidRPr="005F6FF4">
        <w:rPr>
          <w:rFonts w:cstheme="minorHAnsi"/>
          <w:noProof/>
          <w:lang w:val="en-GB"/>
        </w:rPr>
        <w:t>(Kamau &amp; Willems, 2019)</w:t>
      </w:r>
      <w:r w:rsidR="00DF7081" w:rsidRPr="005F6FF4">
        <w:rPr>
          <w:rFonts w:cstheme="minorHAnsi"/>
          <w:lang w:val="en-GB"/>
        </w:rPr>
        <w:fldChar w:fldCharType="end"/>
      </w:r>
      <w:r w:rsidR="0040077F" w:rsidRPr="005F6FF4">
        <w:rPr>
          <w:rFonts w:cstheme="minorHAnsi"/>
          <w:lang w:val="en-GB"/>
        </w:rPr>
        <w:t>.</w:t>
      </w:r>
      <w:r w:rsidR="00923EBB" w:rsidRPr="005F6FF4">
        <w:t xml:space="preserve"> </w:t>
      </w:r>
    </w:p>
    <w:p w14:paraId="4F2F6909" w14:textId="77777777" w:rsidR="006C1F9C" w:rsidRPr="005F6FF4" w:rsidRDefault="0040077F" w:rsidP="006C1F9C">
      <w:pPr>
        <w:jc w:val="both"/>
      </w:pPr>
      <w:r w:rsidRPr="005F6FF4">
        <w:rPr>
          <w:rFonts w:cstheme="minorHAnsi"/>
          <w:lang w:val="en-GB"/>
        </w:rPr>
        <w:t>Similarly, in the context of inclusive growth, factors such as inflation, gross domestic saving, foreign direct investment (FDI), and oil rent are selected for examination based on a consistent logic. Because of the impact of inflation on people's purchasing power, it is relevant to inclusive growth</w:t>
      </w:r>
      <w:r w:rsidR="00DF7081" w:rsidRPr="005F6FF4">
        <w:rPr>
          <w:rFonts w:cstheme="minorHAnsi"/>
          <w:lang w:val="en-GB"/>
        </w:rPr>
        <w:t xml:space="preserve"> </w:t>
      </w:r>
      <w:r w:rsidR="00DF7081" w:rsidRPr="005F6FF4">
        <w:rPr>
          <w:rFonts w:cstheme="minorHAnsi"/>
          <w:lang w:val="en-GB"/>
        </w:rPr>
        <w:fldChar w:fldCharType="begin" w:fldLock="1"/>
      </w:r>
      <w:r w:rsidR="00DF7081" w:rsidRPr="005F6FF4">
        <w:rPr>
          <w:rFonts w:cstheme="minorHAnsi"/>
          <w:lang w:val="en-GB"/>
        </w:rPr>
        <w:instrText>ADDIN CSL_CITATION {"citationItems":[{"id":"ITEM-1","itemData":{"DOI":"10.2307/2673879","ISSN":"00222879","author":[{"dropping-particle":"","family":"Easterly","given":"William","non-dropping-particle":"","parse-names":false,"suffix":""},{"dropping-particle":"","family":"Fischer","given":"Stanley","non-dropping-particle":"","parse-names":false,"suffix":""}],"container-title":"Journal of Money, Credit and Banking","id":"ITEM-1","issue":"2","issued":{"date-parts":[["2001","5"]]},"page":"160","title":"Inflation and the Poor","type":"article-journal","volume":"33"},"uris":["http://www.mendeley.com/documents/?uuid=f64b4d8d-bf3a-44c7-b7b1-4b24eb80ae26","http://www.mendeley.com/documents/?uuid=95defe39-4005-41dd-9391-6f5cc9fb96f3"]}],"mendeley":{"formattedCitation":"(Easterly &amp; Fischer, 2001)","plainTextFormattedCitation":"(Easterly &amp; Fischer, 2001)","previouslyFormattedCitation":"(Easterly &amp; Fischer, 2001)"},"properties":{"noteIndex":0},"schema":"https://github.com/citation-style-language/schema/raw/master/csl-citation.json"}</w:instrText>
      </w:r>
      <w:r w:rsidR="00DF7081" w:rsidRPr="005F6FF4">
        <w:rPr>
          <w:rFonts w:cstheme="minorHAnsi"/>
          <w:lang w:val="en-GB"/>
        </w:rPr>
        <w:fldChar w:fldCharType="separate"/>
      </w:r>
      <w:r w:rsidR="00DF7081" w:rsidRPr="005F6FF4">
        <w:rPr>
          <w:rFonts w:cstheme="minorHAnsi"/>
          <w:noProof/>
          <w:lang w:val="en-GB"/>
        </w:rPr>
        <w:t>(Easterly &amp; Fischer, 2001)</w:t>
      </w:r>
      <w:r w:rsidR="00DF7081" w:rsidRPr="005F6FF4">
        <w:rPr>
          <w:rFonts w:cstheme="minorHAnsi"/>
          <w:lang w:val="en-GB"/>
        </w:rPr>
        <w:fldChar w:fldCharType="end"/>
      </w:r>
      <w:r w:rsidRPr="005F6FF4">
        <w:rPr>
          <w:rFonts w:cstheme="minorHAnsi"/>
          <w:lang w:val="en-GB"/>
        </w:rPr>
        <w:t>, whereas gross domestic saving is required to fund inclusive initiatives</w:t>
      </w:r>
      <w:r w:rsidR="00DF7081" w:rsidRPr="005F6FF4">
        <w:rPr>
          <w:rFonts w:cstheme="minorHAnsi"/>
          <w:lang w:val="en-GB"/>
        </w:rPr>
        <w:t xml:space="preserve"> </w:t>
      </w:r>
      <w:r w:rsidR="00DF7081" w:rsidRPr="005F6FF4">
        <w:rPr>
          <w:rFonts w:cstheme="minorHAnsi"/>
          <w:lang w:val="en-GB"/>
        </w:rPr>
        <w:fldChar w:fldCharType="begin" w:fldLock="1"/>
      </w:r>
      <w:r w:rsidR="00754387" w:rsidRPr="005F6FF4">
        <w:rPr>
          <w:rFonts w:cstheme="minorHAnsi"/>
          <w:lang w:val="en-GB"/>
        </w:rPr>
        <w:instrText>ADDIN CSL_CITATION {"citationItems":[{"id":"ITEM-1","itemData":{"DOI":"10.1016/j.cosust.2017.01.013","ISSN":"18773435","author":[{"dropping-particle":"","family":"Corrado","given":"Germana","non-dropping-particle":"","parse-names":false,"suffix":""},{"dropping-particle":"","family":"Corrado","given":"Luisa","non-dropping-particle":"","parse-names":false,"suffix":""}],"container-title":"Current Opinion in Environmental Sustainability","id":"ITEM-1","issued":{"date-parts":[["2017","2"]]},"page":"19-23","title":"Inclusive finance for inclusive growth and development","type":"article-journal","volume":"24"},"uris":["http://www.mendeley.com/documents/?uuid=82ecb2e1-8327-4586-8850-df674046538d"]}],"mendeley":{"formattedCitation":"(Corrado &amp; Corrado, 2017)","plainTextFormattedCitation":"(Corrado &amp; Corrado, 2017)","previouslyFormattedCitation":"(Corrado &amp; Corrado, 2017)"},"properties":{"noteIndex":0},"schema":"https://github.com/citation-style-language/schema/raw/master/csl-citation.json"}</w:instrText>
      </w:r>
      <w:r w:rsidR="00DF7081" w:rsidRPr="005F6FF4">
        <w:rPr>
          <w:rFonts w:cstheme="minorHAnsi"/>
          <w:lang w:val="en-GB"/>
        </w:rPr>
        <w:fldChar w:fldCharType="separate"/>
      </w:r>
      <w:r w:rsidR="00DF7081" w:rsidRPr="005F6FF4">
        <w:rPr>
          <w:rFonts w:cstheme="minorHAnsi"/>
          <w:noProof/>
          <w:lang w:val="en-GB"/>
        </w:rPr>
        <w:t>(Corrado &amp; Corrado, 2017)</w:t>
      </w:r>
      <w:r w:rsidR="00DF7081" w:rsidRPr="005F6FF4">
        <w:rPr>
          <w:rFonts w:cstheme="minorHAnsi"/>
          <w:lang w:val="en-GB"/>
        </w:rPr>
        <w:fldChar w:fldCharType="end"/>
      </w:r>
      <w:r w:rsidRPr="005F6FF4">
        <w:rPr>
          <w:rFonts w:cstheme="minorHAnsi"/>
          <w:lang w:val="en-GB"/>
        </w:rPr>
        <w:t xml:space="preserve">. The potential contribution of FDI to economic growth and job creation is consistent </w:t>
      </w:r>
      <w:r w:rsidRPr="005F6FF4">
        <w:rPr>
          <w:rFonts w:cstheme="minorHAnsi"/>
          <w:lang w:val="en-GB"/>
        </w:rPr>
        <w:lastRenderedPageBreak/>
        <w:t>with inclusive growth objectives</w:t>
      </w:r>
      <w:r w:rsidR="00754387" w:rsidRPr="005F6FF4">
        <w:rPr>
          <w:rFonts w:cstheme="minorHAnsi"/>
          <w:lang w:val="en-GB"/>
        </w:rPr>
        <w:t xml:space="preserve"> </w:t>
      </w:r>
      <w:r w:rsidR="00754387" w:rsidRPr="005F6FF4">
        <w:rPr>
          <w:rFonts w:cstheme="minorHAnsi"/>
          <w:lang w:val="en-GB"/>
        </w:rPr>
        <w:fldChar w:fldCharType="begin" w:fldLock="1"/>
      </w:r>
      <w:r w:rsidR="00754387" w:rsidRPr="005F6FF4">
        <w:rPr>
          <w:rFonts w:cstheme="minorHAnsi"/>
          <w:lang w:val="en-GB"/>
        </w:rPr>
        <w:instrText>ADDIN CSL_CITATION {"citationItems":[{"id":"ITEM-1","itemData":{"DOI":"10.14254/2071-789X.2019/12-3/2","ISSN":"2071-789X","author":[{"dropping-particle":"","family":"Fazaalloh","given":"Al Muizzuddin","non-dropping-particle":"","parse-names":false,"suffix":""}],"container-title":"Economics &amp; Sociology","id":"ITEM-1","issue":"3","issued":{"date-parts":[["2019","9"]]},"page":"25-36","title":"Is foreign direct investment helpful to reduce income inequality in Indonesia?","type":"article-journal","volume":"12"},"uris":["http://www.mendeley.com/documents/?uuid=7fdc97b0-04f0-4a03-8b30-abb92b715a44"]}],"mendeley":{"formattedCitation":"(Fazaalloh, 2019)","plainTextFormattedCitation":"(Fazaalloh, 2019)","previouslyFormattedCitation":"(Fazaalloh, 2019)"},"properties":{"noteIndex":0},"schema":"https://github.com/citation-style-language/schema/raw/master/csl-citation.json"}</w:instrText>
      </w:r>
      <w:r w:rsidR="00754387" w:rsidRPr="005F6FF4">
        <w:rPr>
          <w:rFonts w:cstheme="minorHAnsi"/>
          <w:lang w:val="en-GB"/>
        </w:rPr>
        <w:fldChar w:fldCharType="separate"/>
      </w:r>
      <w:r w:rsidR="00754387" w:rsidRPr="005F6FF4">
        <w:rPr>
          <w:rFonts w:cstheme="minorHAnsi"/>
          <w:noProof/>
          <w:lang w:val="en-GB"/>
        </w:rPr>
        <w:t>(Fazaalloh, 2019)</w:t>
      </w:r>
      <w:r w:rsidR="00754387" w:rsidRPr="005F6FF4">
        <w:rPr>
          <w:rFonts w:cstheme="minorHAnsi"/>
          <w:lang w:val="en-GB"/>
        </w:rPr>
        <w:fldChar w:fldCharType="end"/>
      </w:r>
      <w:r w:rsidRPr="005F6FF4">
        <w:rPr>
          <w:rFonts w:cstheme="minorHAnsi"/>
          <w:lang w:val="en-GB"/>
        </w:rPr>
        <w:t>, and effective oil rent management can support inclusive programmes in oil-dependent economies</w:t>
      </w:r>
      <w:r w:rsidR="00754387" w:rsidRPr="005F6FF4">
        <w:rPr>
          <w:rFonts w:cstheme="minorHAnsi"/>
          <w:lang w:val="en-GB"/>
        </w:rPr>
        <w:t xml:space="preserve"> </w:t>
      </w:r>
      <w:r w:rsidR="00754387" w:rsidRPr="005F6FF4">
        <w:rPr>
          <w:rFonts w:cstheme="minorHAnsi"/>
          <w:lang w:val="en-GB"/>
        </w:rPr>
        <w:fldChar w:fldCharType="begin" w:fldLock="1"/>
      </w:r>
      <w:r w:rsidR="00A742D8" w:rsidRPr="005F6FF4">
        <w:rPr>
          <w:rFonts w:cstheme="minorHAnsi"/>
          <w:lang w:val="en-GB"/>
        </w:rPr>
        <w:instrText>ADDIN CSL_CITATION {"citationItems":[{"id":"ITEM-1","itemData":{"DOI":"10.1016/j.worlddev.2016.07.016","ISSN":"0305750X","author":[{"dropping-particle":"","family":"Havranek","given":"Tomas","non-dropping-particle":"","parse-names":false,"suffix":""},{"dropping-particle":"","family":"Horvath","given":"Roman","non-dropping-particle":"","parse-names":false,"suffix":""},{"dropping-particle":"","family":"Zeynalov","given":"Ayaz","non-dropping-particle":"","parse-names":false,"suffix":""}],"container-title":"World Development","id":"ITEM-1","issued":{"date-parts":[["2016","12"]]},"page":"134-151","title":"Natural Resources and Economic Growth: A Meta-Analysis","type":"article-journal","volume":"88"},"uris":["http://www.mendeley.com/documents/?uuid=0d1ad11d-79a8-45c3-a5e6-1a06fab19e42"]}],"mendeley":{"formattedCitation":"(Havranek et al., 2016)","plainTextFormattedCitation":"(Havranek et al., 2016)","previouslyFormattedCitation":"(Havranek et al., 2016)"},"properties":{"noteIndex":0},"schema":"https://github.com/citation-style-language/schema/raw/master/csl-citation.json"}</w:instrText>
      </w:r>
      <w:r w:rsidR="00754387" w:rsidRPr="005F6FF4">
        <w:rPr>
          <w:rFonts w:cstheme="minorHAnsi"/>
          <w:lang w:val="en-GB"/>
        </w:rPr>
        <w:fldChar w:fldCharType="separate"/>
      </w:r>
      <w:r w:rsidR="00754387" w:rsidRPr="005F6FF4">
        <w:rPr>
          <w:rFonts w:cstheme="minorHAnsi"/>
          <w:noProof/>
          <w:lang w:val="en-GB"/>
        </w:rPr>
        <w:t>(Havranek et al., 2016)</w:t>
      </w:r>
      <w:r w:rsidR="00754387" w:rsidRPr="005F6FF4">
        <w:rPr>
          <w:rFonts w:cstheme="minorHAnsi"/>
          <w:lang w:val="en-GB"/>
        </w:rPr>
        <w:fldChar w:fldCharType="end"/>
      </w:r>
      <w:r w:rsidRPr="005F6FF4">
        <w:rPr>
          <w:rFonts w:cstheme="minorHAnsi"/>
          <w:lang w:val="en-GB"/>
        </w:rPr>
        <w:t>.</w:t>
      </w:r>
      <w:r w:rsidR="0067385C" w:rsidRPr="005F6FF4">
        <w:rPr>
          <w:rFonts w:cstheme="minorHAnsi"/>
          <w:lang w:val="en-GB"/>
        </w:rPr>
        <w:t xml:space="preserve"> </w:t>
      </w:r>
      <w:r w:rsidR="006C1F9C" w:rsidRPr="005F6FF4">
        <w:t xml:space="preserve"> </w:t>
      </w:r>
    </w:p>
    <w:p w14:paraId="37BED1EF" w14:textId="7BCDB5BD" w:rsidR="00FD6F82" w:rsidRPr="005F6FF4" w:rsidRDefault="0067385C" w:rsidP="00855AB3">
      <w:pPr>
        <w:jc w:val="both"/>
        <w:rPr>
          <w:rFonts w:cstheme="minorHAnsi"/>
          <w:lang w:val="en-GB"/>
        </w:rPr>
      </w:pPr>
      <w:r w:rsidRPr="005F6FF4">
        <w:rPr>
          <w:rFonts w:cstheme="minorHAnsi"/>
          <w:lang w:val="en-GB"/>
        </w:rPr>
        <w:t>Appendix 1 contains a detailed list of the indicators used to calculate the overall digital transformation and inclusive growth index. Appendix 2, on the other hand, contains the definitions of control variables used in both the initial and subsequent regression stages. These appendices serve to provide essential research reference materials.</w:t>
      </w:r>
    </w:p>
    <w:p w14:paraId="4174234C" w14:textId="1B7E982D" w:rsidR="005F610D" w:rsidRPr="005F6FF4" w:rsidRDefault="005F610D" w:rsidP="005F610D">
      <w:pPr>
        <w:jc w:val="both"/>
        <w:rPr>
          <w:rFonts w:cstheme="minorHAnsi"/>
          <w:b/>
          <w:bCs/>
          <w:sz w:val="28"/>
          <w:szCs w:val="28"/>
          <w:lang w:val="en-GB"/>
        </w:rPr>
      </w:pPr>
      <w:r w:rsidRPr="005F6FF4">
        <w:rPr>
          <w:rFonts w:cstheme="minorHAnsi"/>
          <w:b/>
          <w:bCs/>
          <w:sz w:val="28"/>
          <w:szCs w:val="28"/>
          <w:lang w:val="en-GB"/>
        </w:rPr>
        <w:t>Estimation Strategy</w:t>
      </w:r>
    </w:p>
    <w:p w14:paraId="792D0CB8" w14:textId="40A80DFF" w:rsidR="00A23B7E" w:rsidRPr="005F6FF4" w:rsidRDefault="004333FD" w:rsidP="002E27AA">
      <w:pPr>
        <w:jc w:val="both"/>
        <w:rPr>
          <w:rFonts w:cstheme="minorHAnsi"/>
          <w:lang w:val="en-GB"/>
        </w:rPr>
      </w:pPr>
      <w:r w:rsidRPr="005F6FF4">
        <w:rPr>
          <w:rFonts w:cstheme="minorHAnsi"/>
          <w:lang w:val="en-GB"/>
        </w:rPr>
        <w:t xml:space="preserve">The Two-Stage Least Squares (2SLS) method was used in this study to address potential endogeneity issues in research on the impact of digital transformation on inclusive growth. Endogeneity occurs when there is reverse causality between variables within an analytical model, which may affect research outcomes </w:t>
      </w:r>
      <w:r w:rsidR="00452C16" w:rsidRPr="005F6FF4">
        <w:rPr>
          <w:rFonts w:cstheme="minorHAnsi"/>
          <w:lang w:val="en-GB"/>
        </w:rPr>
        <w:fldChar w:fldCharType="begin" w:fldLock="1"/>
      </w:r>
      <w:r w:rsidR="00452C16" w:rsidRPr="005F6FF4">
        <w:rPr>
          <w:rFonts w:cstheme="minorHAnsi"/>
          <w:lang w:val="en-GB"/>
        </w:rPr>
        <w:instrText>ADDIN CSL_CITATION {"citationItems":[{"id":"ITEM-1","itemData":{"DOI":"10.1257/aer.20190221","ISSN":"0002-8282","abstract":"Empirical researchers often combine multiple instrumental variables (IVs) for a single treatment using two-stage least squares (2SLS). When treatment effects are heterogeneous, a common justification for including multiple IVs is that the 2SLS estimand can be given a causal interpretation as a positively weighted average of local average treatment effects (LATEs). This justification requires the well-known monotonicity condition. However, we show that with more than one instrument, this condition can only be satisfied if choice behavior is effectively homogeneous. Based on this finding, we consider the use of multiple IVs under a weaker, partial monotonicity condition. We characterize empirically verifiable sufficient and necessary conditions for the 2SLS estimand to be a positively weighted average of LATEs under partial monotonicity. We apply these results to an empirical analysis of the returns to college with multiple instruments. We show that the standard monotonicity condition is at odds with the data. Nevertheless, our empirical checks reveal that the 2SLS estimate retains a causal interpretation as a positively weighted average of the effects of college attendance among complier groups. (JEL C26, I23, I26, J24, J31, R23)","author":[{"dropping-particle":"","family":"Mogstad","given":"Magne","non-dropping-particle":"","parse-names":false,"suffix":""},{"dropping-particle":"","family":"Torgovitsky","given":"Alexander","non-dropping-particle":"","parse-names":false,"suffix":""},{"dropping-particle":"","family":"Walters","given":"Christopher R.","non-dropping-particle":"","parse-names":false,"suffix":""}],"container-title":"American Economic Review","id":"ITEM-1","issue":"11","issued":{"date-parts":[["2021","11","1"]]},"page":"3663-3698","title":"The Causal Interpretation of Two-Stage Least Squares with Multiple Instrumental Variables","type":"article-journal","volume":"111"},"uris":["http://www.mendeley.com/documents/?uuid=5e018476-acc8-4763-9ba1-0e77d4ae7ce8"]},{"id":"ITEM-2","itemData":{"DOI":"10.1016/j.econlet.2016.06.033","ISSN":"01651765","author":[{"dropping-particle":"","family":"Pacini","given":"David","non-dropping-particle":"","parse-names":false,"suffix":""},{"dropping-particle":"","family":"Windmeijer","given":"Frank","non-dropping-particle":"","parse-names":false,"suffix":""}],"container-title":"Economics Letters","id":"ITEM-2","issued":{"date-parts":[["2016","9"]]},"page":"50-54","title":"Robust inference for the Two-Sample 2SLS estimator","type":"article-journal","volume":"146"},"uris":["http://www.mendeley.com/documents/?uuid=eea3df06-9b49-4fa6-a39d-6d2a0c00603c"]}],"mendeley":{"formattedCitation":"(Mogstad et al., 2021; Pacini &amp; Windmeijer, 2016)","plainTextFormattedCitation":"(Mogstad et al., 2021; Pacini &amp; Windmeijer, 2016)","previouslyFormattedCitation":"(Mogstad et al., 2021; Pacini &amp; Windmeijer, 2016)"},"properties":{"noteIndex":0},"schema":"https://github.com/citation-style-language/schema/raw/master/csl-citation.json"}</w:instrText>
      </w:r>
      <w:r w:rsidR="00452C16" w:rsidRPr="005F6FF4">
        <w:rPr>
          <w:rFonts w:cstheme="minorHAnsi"/>
          <w:lang w:val="en-GB"/>
        </w:rPr>
        <w:fldChar w:fldCharType="separate"/>
      </w:r>
      <w:r w:rsidR="00452C16" w:rsidRPr="005F6FF4">
        <w:rPr>
          <w:rFonts w:cstheme="minorHAnsi"/>
          <w:noProof/>
          <w:lang w:val="en-GB"/>
        </w:rPr>
        <w:t>(Mogstad et al., 2021; Pacini &amp; Windmeijer, 2016)</w:t>
      </w:r>
      <w:r w:rsidR="00452C16" w:rsidRPr="005F6FF4">
        <w:rPr>
          <w:rFonts w:cstheme="minorHAnsi"/>
          <w:lang w:val="en-GB"/>
        </w:rPr>
        <w:fldChar w:fldCharType="end"/>
      </w:r>
      <w:r w:rsidR="00A23B7E" w:rsidRPr="005F6FF4">
        <w:rPr>
          <w:rFonts w:cstheme="minorHAnsi"/>
          <w:lang w:val="en-GB"/>
        </w:rPr>
        <w:t xml:space="preserve">. </w:t>
      </w:r>
      <w:r w:rsidR="002E27AA" w:rsidRPr="005F6FF4">
        <w:rPr>
          <w:rFonts w:cstheme="minorHAnsi"/>
          <w:lang w:val="en-GB"/>
        </w:rPr>
        <w:t xml:space="preserve">In this context, there is concern that researched variables such as digital transformation and inclusive growth may interact with one another, potentially introducing bias in regression analysis. It is critical to note that digital transformation is endogenous rather than exogenous </w:t>
      </w:r>
      <w:r w:rsidR="00F129AF" w:rsidRPr="005F6FF4">
        <w:rPr>
          <w:rFonts w:cstheme="minorHAnsi"/>
          <w:lang w:val="en-GB"/>
        </w:rPr>
        <w:fldChar w:fldCharType="begin" w:fldLock="1"/>
      </w:r>
      <w:r w:rsidRPr="005F6FF4">
        <w:rPr>
          <w:rFonts w:cstheme="minorHAnsi"/>
          <w:lang w:val="en-GB"/>
        </w:rPr>
        <w:instrText>ADDIN CSL_CITATION {"citationItems":[{"id":"ITEM-1","itemData":{"DOI":"10.1016/j.tele.2017.07.007","ISSN":"07365853","author":[{"dropping-particle":"","family":"Scheerder","given":"Anique","non-dropping-particle":"","parse-names":false,"suffix":""},{"dropping-particle":"","family":"Deursen","given":"Alexander","non-dropping-particle":"van","parse-names":false,"suffix":""},{"dropping-particle":"","family":"Dijk","given":"Jan","non-dropping-particle":"van","parse-names":false,"suffix":""}],"container-title":"Telematics and Informatics","id":"ITEM-1","issue":"8","issued":{"date-parts":[["2017","12"]]},"page":"1607-1624","title":"Determinants of Internet skills, uses and outcomes. A systematic review of the second- and third-level digital divide","type":"article-journal","volume":"34"},"uris":["http://www.mendeley.com/documents/?uuid=39884828-99ef-4ecc-b3bf-2b3afa216fce"]},{"id":"ITEM-2","itemData":{"DOI":"10.1016/j.telpol.2022.102455","ISSN":"03085961","author":[{"dropping-particle":"","family":"Doyar","given":"Bayram Veli","non-dropping-particle":"","parse-names":false,"suffix":""},{"dropping-particle":"","family":"Rzali","given":"Shamsi","non-dropping-particle":"","parse-names":false,"suffix":""},{"dropping-particle":"","family":"Dikkaya","given":"Mehmet","non-dropping-particle":"","parse-names":false,"suffix":""}],"container-title":"Telecommunications Policy","id":"ITEM-2","issue":"1","issued":{"date-parts":[["2023","2"]]},"page":"102455","title":"Development of the ICT sector and the determinants of Internet use in the Southern Caucasus","type":"article-journal","volume":"47"},"uris":["http://www.mendeley.com/documents/?uuid=7ea30790-1405-43a5-b80a-1e6181aada10"]},{"id":"ITEM-3","itemData":{"DOI":"10.1016/j.telpol.2022.102464","ISSN":"03085961","author":[{"dropping-particle":"","family":"Rath","given":"Badri Narayan","non-dropping-particle":"","parse-names":false,"suffix":""},{"dropping-particle":"","family":"Panda","given":"Bibhudutta","non-dropping-particle":"","parse-names":false,"suffix":""},{"dropping-particle":"","family":"Akram","given":"Vaseem","non-dropping-particle":"","parse-names":false,"suffix":""}],"container-title":"Telecommunications Policy","id":"ITEM-3","issue":"2","issued":{"date-parts":[["2023","3"]]},"page":"102464","title":"Convergence and determinants of ICT development in case of emerging market economies","type":"article-journal","volume":"47"},"uris":["http://www.mendeley.com/documents/?uuid=4bbf67dd-a7dd-4ab9-b441-c2ec6e19a8e9"]}],"mendeley":{"formattedCitation":"(Doyar et al., 2023; Rath et al., 2023; Scheerder et al., 2017)","manualFormatting":"(see, e.g., Doyar et al., 2023; Rath et al., 2023; Scheerder et al., 2017)","plainTextFormattedCitation":"(Doyar et al., 2023; Rath et al., 2023; Scheerder et al., 2017)","previouslyFormattedCitation":"(Doyar et al., 2023; Rath et al., 2023; Scheerder et al., 2017)"},"properties":{"noteIndex":0},"schema":"https://github.com/citation-style-language/schema/raw/master/csl-citation.json"}</w:instrText>
      </w:r>
      <w:r w:rsidR="00F129AF" w:rsidRPr="005F6FF4">
        <w:rPr>
          <w:rFonts w:cstheme="minorHAnsi"/>
          <w:lang w:val="en-GB"/>
        </w:rPr>
        <w:fldChar w:fldCharType="separate"/>
      </w:r>
      <w:r w:rsidR="00F129AF" w:rsidRPr="005F6FF4">
        <w:rPr>
          <w:rFonts w:cstheme="minorHAnsi"/>
          <w:noProof/>
          <w:lang w:val="en-GB"/>
        </w:rPr>
        <w:t>(see, e.g., Doyar et al., 2023; Rath et al., 2023; Scheerder et al., 2017)</w:t>
      </w:r>
      <w:r w:rsidR="00F129AF" w:rsidRPr="005F6FF4">
        <w:rPr>
          <w:rFonts w:cstheme="minorHAnsi"/>
          <w:lang w:val="en-GB"/>
        </w:rPr>
        <w:fldChar w:fldCharType="end"/>
      </w:r>
      <w:r w:rsidR="002E27AA" w:rsidRPr="005F6FF4">
        <w:rPr>
          <w:rFonts w:cstheme="minorHAnsi"/>
          <w:lang w:val="en-GB"/>
        </w:rPr>
        <w:t>.</w:t>
      </w:r>
      <w:r w:rsidR="00A23B7E" w:rsidRPr="005F6FF4">
        <w:rPr>
          <w:rFonts w:cstheme="minorHAnsi"/>
          <w:lang w:val="en-GB"/>
        </w:rPr>
        <w:t xml:space="preserve"> </w:t>
      </w:r>
      <w:r w:rsidR="002E27AA" w:rsidRPr="005F6FF4">
        <w:rPr>
          <w:rFonts w:cstheme="minorHAnsi"/>
          <w:lang w:val="en-GB"/>
        </w:rPr>
        <w:t>To address this endogeneity, a careful analytical approach, such as the 2SLS method, is required to isolate and understand the true impact of digital transformation on inclusive growth.</w:t>
      </w:r>
    </w:p>
    <w:p w14:paraId="75C70601" w14:textId="2EE90574" w:rsidR="002E27AA" w:rsidRPr="005F6FF4" w:rsidRDefault="002E27AA" w:rsidP="002E27AA">
      <w:pPr>
        <w:jc w:val="both"/>
        <w:rPr>
          <w:rFonts w:cstheme="minorHAnsi"/>
          <w:lang w:val="en-GB"/>
        </w:rPr>
      </w:pPr>
      <w:r w:rsidRPr="005F6FF4">
        <w:rPr>
          <w:rFonts w:cstheme="minorHAnsi"/>
          <w:lang w:val="en-GB"/>
        </w:rPr>
        <w:t xml:space="preserve">The 2SLS method is a statistical method for dealing with endogeneity issues. A two-stage analysis is used in this method. In the first stage, the endogenous variable, digital transformation </w:t>
      </w:r>
      <m:oMath>
        <m:r>
          <w:rPr>
            <w:rFonts w:ascii="Cambria Math" w:eastAsiaTheme="minorEastAsia" w:hAnsi="Cambria Math" w:cstheme="minorHAnsi"/>
            <w:lang w:val="en-GB"/>
          </w:rPr>
          <m:t>(</m:t>
        </m:r>
        <m:r>
          <w:rPr>
            <w:rFonts w:ascii="Cambria Math" w:hAnsi="Cambria Math" w:cstheme="minorHAnsi"/>
            <w:lang w:val="en-GB"/>
          </w:rPr>
          <m:t>DT</m:t>
        </m:r>
        <m:r>
          <w:rPr>
            <w:rFonts w:ascii="Cambria Math" w:eastAsiaTheme="minorEastAsia" w:hAnsi="Cambria Math" w:cstheme="minorHAnsi"/>
            <w:lang w:val="en-GB"/>
          </w:rPr>
          <m:t>)</m:t>
        </m:r>
      </m:oMath>
      <w:r w:rsidRPr="005F6FF4">
        <w:rPr>
          <w:rFonts w:cstheme="minorHAnsi"/>
          <w:lang w:val="en-GB"/>
        </w:rPr>
        <w:t xml:space="preserve">, is regressed against external instrumental variables like accountability </w:t>
      </w:r>
      <m:oMath>
        <m:r>
          <w:rPr>
            <w:rFonts w:ascii="Cambria Math" w:hAnsi="Cambria Math" w:cstheme="minorHAnsi"/>
            <w:lang w:val="en-GB"/>
          </w:rPr>
          <m:t>(AI)</m:t>
        </m:r>
      </m:oMath>
      <w:r w:rsidRPr="005F6FF4">
        <w:rPr>
          <w:rFonts w:cstheme="minorHAnsi"/>
          <w:lang w:val="en-GB"/>
        </w:rPr>
        <w:t xml:space="preserve">, civil liberties </w:t>
      </w:r>
      <m:oMath>
        <m:r>
          <w:rPr>
            <w:rFonts w:ascii="Cambria Math" w:hAnsi="Cambria Math" w:cstheme="minorHAnsi"/>
            <w:lang w:val="en-GB"/>
          </w:rPr>
          <m:t>(CLI)</m:t>
        </m:r>
      </m:oMath>
      <w:r w:rsidRPr="005F6FF4">
        <w:rPr>
          <w:rFonts w:cstheme="minorHAnsi"/>
          <w:lang w:val="en-GB"/>
        </w:rPr>
        <w:t xml:space="preserve">, and the rule of law </w:t>
      </w:r>
      <m:oMath>
        <m:r>
          <w:rPr>
            <w:rFonts w:ascii="Cambria Math" w:hAnsi="Cambria Math" w:cstheme="minorHAnsi"/>
            <w:lang w:val="en-GB"/>
          </w:rPr>
          <m:t>(RLI)</m:t>
        </m:r>
      </m:oMath>
      <w:r w:rsidRPr="005F6FF4">
        <w:rPr>
          <w:rFonts w:cstheme="minorHAnsi"/>
          <w:lang w:val="en-GB"/>
        </w:rPr>
        <w:t>. The first-stage regression takes the following basic form:</w:t>
      </w:r>
    </w:p>
    <w:p w14:paraId="68D7AD63" w14:textId="49F6C0D6" w:rsidR="00A23B7E" w:rsidRPr="005F6FF4" w:rsidRDefault="00CF2B96" w:rsidP="00A23B7E">
      <w:pPr>
        <w:jc w:val="right"/>
        <w:rPr>
          <w:rFonts w:cstheme="minorHAnsi"/>
          <w:lang w:val="en-GB"/>
        </w:rPr>
      </w:pPr>
      <m:oMath>
        <m:sSub>
          <m:sSubPr>
            <m:ctrlPr>
              <w:rPr>
                <w:rFonts w:ascii="Cambria Math" w:hAnsi="Cambria Math" w:cstheme="minorHAnsi"/>
                <w:i/>
                <w:lang w:val="en-GB"/>
              </w:rPr>
            </m:ctrlPr>
          </m:sSubPr>
          <m:e>
            <m:r>
              <w:rPr>
                <w:rFonts w:ascii="Cambria Math" w:hAnsi="Cambria Math" w:cstheme="minorHAnsi"/>
                <w:lang w:val="en-GB"/>
              </w:rPr>
              <m:t>DT</m:t>
            </m:r>
          </m:e>
          <m:sub>
            <m:r>
              <w:rPr>
                <w:rFonts w:ascii="Cambria Math" w:hAnsi="Cambria Math" w:cstheme="minorHAnsi"/>
                <w:lang w:val="en-GB"/>
              </w:rPr>
              <m:t>t</m:t>
            </m:r>
          </m:sub>
        </m:sSub>
        <m:r>
          <w:rPr>
            <w:rFonts w:ascii="Cambria Math" w:hAnsi="Cambria Math" w:cstheme="minorHAnsi"/>
            <w:lang w:val="en-GB"/>
          </w:rPr>
          <m:t>=</m:t>
        </m:r>
        <m:sSub>
          <m:sSubPr>
            <m:ctrlPr>
              <w:rPr>
                <w:rFonts w:ascii="Cambria Math" w:hAnsi="Cambria Math" w:cstheme="minorHAnsi"/>
                <w:i/>
                <w:lang w:val="en-GB"/>
              </w:rPr>
            </m:ctrlPr>
          </m:sSubPr>
          <m:e>
            <m:r>
              <w:rPr>
                <w:rFonts w:ascii="Cambria Math" w:hAnsi="Cambria Math" w:cstheme="minorHAnsi"/>
                <w:lang w:val="en-GB"/>
              </w:rPr>
              <m:t>α</m:t>
            </m:r>
          </m:e>
          <m:sub>
            <m:r>
              <w:rPr>
                <w:rFonts w:ascii="Cambria Math" w:hAnsi="Cambria Math" w:cstheme="minorHAnsi"/>
                <w:lang w:val="en-GB"/>
              </w:rPr>
              <m:t>0</m:t>
            </m:r>
          </m:sub>
        </m:sSub>
        <m:r>
          <w:rPr>
            <w:rFonts w:ascii="Cambria Math" w:hAnsi="Cambria Math" w:cstheme="minorHAnsi"/>
            <w:lang w:val="en-GB"/>
          </w:rPr>
          <m:t>+</m:t>
        </m:r>
        <m:sSub>
          <m:sSubPr>
            <m:ctrlPr>
              <w:rPr>
                <w:rFonts w:ascii="Cambria Math" w:hAnsi="Cambria Math" w:cstheme="minorHAnsi"/>
                <w:i/>
                <w:lang w:val="en-GB"/>
              </w:rPr>
            </m:ctrlPr>
          </m:sSubPr>
          <m:e>
            <m:r>
              <w:rPr>
                <w:rFonts w:ascii="Cambria Math" w:hAnsi="Cambria Math" w:cstheme="minorHAnsi"/>
                <w:lang w:val="en-GB"/>
              </w:rPr>
              <m:t>α</m:t>
            </m:r>
          </m:e>
          <m:sub>
            <m:r>
              <w:rPr>
                <w:rFonts w:ascii="Cambria Math" w:hAnsi="Cambria Math" w:cstheme="minorHAnsi"/>
                <w:lang w:val="en-GB"/>
              </w:rPr>
              <m:t>1</m:t>
            </m:r>
          </m:sub>
        </m:sSub>
        <m:sSub>
          <m:sSubPr>
            <m:ctrlPr>
              <w:rPr>
                <w:rFonts w:ascii="Cambria Math" w:hAnsi="Cambria Math" w:cstheme="minorHAnsi"/>
                <w:i/>
                <w:lang w:val="en-GB"/>
              </w:rPr>
            </m:ctrlPr>
          </m:sSubPr>
          <m:e>
            <m:r>
              <w:rPr>
                <w:rFonts w:ascii="Cambria Math" w:hAnsi="Cambria Math" w:cstheme="minorHAnsi"/>
                <w:lang w:val="en-GB"/>
              </w:rPr>
              <m:t>DT</m:t>
            </m:r>
          </m:e>
          <m:sub>
            <m:r>
              <w:rPr>
                <w:rFonts w:ascii="Cambria Math" w:hAnsi="Cambria Math" w:cstheme="minorHAnsi"/>
                <w:lang w:val="en-GB"/>
              </w:rPr>
              <m:t>t-1</m:t>
            </m:r>
          </m:sub>
        </m:sSub>
        <m:r>
          <w:rPr>
            <w:rFonts w:ascii="Cambria Math" w:hAnsi="Cambria Math" w:cstheme="minorHAnsi"/>
            <w:lang w:val="en-GB"/>
          </w:rPr>
          <m:t>+</m:t>
        </m:r>
        <m:sSub>
          <m:sSubPr>
            <m:ctrlPr>
              <w:rPr>
                <w:rFonts w:ascii="Cambria Math" w:hAnsi="Cambria Math" w:cstheme="minorHAnsi"/>
                <w:i/>
                <w:lang w:val="en-GB"/>
              </w:rPr>
            </m:ctrlPr>
          </m:sSubPr>
          <m:e>
            <m:r>
              <w:rPr>
                <w:rFonts w:ascii="Cambria Math" w:hAnsi="Cambria Math" w:cstheme="minorHAnsi"/>
                <w:lang w:val="en-GB"/>
              </w:rPr>
              <m:t>α</m:t>
            </m:r>
          </m:e>
          <m:sub>
            <m:r>
              <w:rPr>
                <w:rFonts w:ascii="Cambria Math" w:hAnsi="Cambria Math" w:cstheme="minorHAnsi"/>
                <w:lang w:val="en-GB"/>
              </w:rPr>
              <m:t>2</m:t>
            </m:r>
          </m:sub>
        </m:sSub>
        <m:sSub>
          <m:sSubPr>
            <m:ctrlPr>
              <w:rPr>
                <w:rFonts w:ascii="Cambria Math" w:hAnsi="Cambria Math" w:cstheme="minorHAnsi"/>
                <w:i/>
                <w:lang w:val="en-GB"/>
              </w:rPr>
            </m:ctrlPr>
          </m:sSubPr>
          <m:e>
            <m:r>
              <w:rPr>
                <w:rFonts w:ascii="Cambria Math" w:hAnsi="Cambria Math" w:cstheme="minorHAnsi"/>
                <w:lang w:val="en-GB"/>
              </w:rPr>
              <m:t>AI</m:t>
            </m:r>
          </m:e>
          <m:sub>
            <m:r>
              <w:rPr>
                <w:rFonts w:ascii="Cambria Math" w:hAnsi="Cambria Math" w:cstheme="minorHAnsi"/>
                <w:lang w:val="en-GB"/>
              </w:rPr>
              <m:t>t-1</m:t>
            </m:r>
          </m:sub>
        </m:sSub>
        <m:r>
          <w:rPr>
            <w:rFonts w:ascii="Cambria Math" w:eastAsiaTheme="minorEastAsia" w:hAnsi="Cambria Math" w:cstheme="minorHAnsi"/>
            <w:lang w:val="en-GB"/>
          </w:rPr>
          <m:t>+</m:t>
        </m:r>
        <m:sSub>
          <m:sSubPr>
            <m:ctrlPr>
              <w:rPr>
                <w:rFonts w:ascii="Cambria Math" w:hAnsi="Cambria Math" w:cstheme="minorHAnsi"/>
                <w:i/>
                <w:lang w:val="en-GB"/>
              </w:rPr>
            </m:ctrlPr>
          </m:sSubPr>
          <m:e>
            <m:sSub>
              <m:sSubPr>
                <m:ctrlPr>
                  <w:rPr>
                    <w:rFonts w:ascii="Cambria Math" w:hAnsi="Cambria Math" w:cstheme="minorHAnsi"/>
                    <w:i/>
                    <w:lang w:val="en-GB"/>
                  </w:rPr>
                </m:ctrlPr>
              </m:sSubPr>
              <m:e>
                <m:r>
                  <w:rPr>
                    <w:rFonts w:ascii="Cambria Math" w:hAnsi="Cambria Math" w:cstheme="minorHAnsi"/>
                    <w:lang w:val="en-GB"/>
                  </w:rPr>
                  <m:t>α</m:t>
                </m:r>
              </m:e>
              <m:sub>
                <m:r>
                  <w:rPr>
                    <w:rFonts w:ascii="Cambria Math" w:hAnsi="Cambria Math" w:cstheme="minorHAnsi"/>
                    <w:lang w:val="en-GB"/>
                  </w:rPr>
                  <m:t>3</m:t>
                </m:r>
              </m:sub>
            </m:sSub>
            <m:r>
              <w:rPr>
                <w:rFonts w:ascii="Cambria Math" w:hAnsi="Cambria Math" w:cstheme="minorHAnsi"/>
                <w:lang w:val="en-GB"/>
              </w:rPr>
              <m:t>CLI</m:t>
            </m:r>
          </m:e>
          <m:sub>
            <m:r>
              <w:rPr>
                <w:rFonts w:ascii="Cambria Math" w:hAnsi="Cambria Math" w:cstheme="minorHAnsi"/>
                <w:lang w:val="en-GB"/>
              </w:rPr>
              <m:t>t-1</m:t>
            </m:r>
          </m:sub>
        </m:sSub>
        <m:r>
          <w:rPr>
            <w:rFonts w:ascii="Cambria Math" w:hAnsi="Cambria Math" w:cstheme="minorHAnsi"/>
            <w:lang w:val="en-GB"/>
          </w:rPr>
          <m:t>+</m:t>
        </m:r>
        <m:sSub>
          <m:sSubPr>
            <m:ctrlPr>
              <w:rPr>
                <w:rFonts w:ascii="Cambria Math" w:hAnsi="Cambria Math" w:cstheme="minorHAnsi"/>
                <w:i/>
                <w:lang w:val="en-GB"/>
              </w:rPr>
            </m:ctrlPr>
          </m:sSubPr>
          <m:e>
            <m:sSub>
              <m:sSubPr>
                <m:ctrlPr>
                  <w:rPr>
                    <w:rFonts w:ascii="Cambria Math" w:hAnsi="Cambria Math" w:cstheme="minorHAnsi"/>
                    <w:i/>
                    <w:lang w:val="en-GB"/>
                  </w:rPr>
                </m:ctrlPr>
              </m:sSubPr>
              <m:e>
                <m:r>
                  <w:rPr>
                    <w:rFonts w:ascii="Cambria Math" w:hAnsi="Cambria Math" w:cstheme="minorHAnsi"/>
                    <w:lang w:val="en-GB"/>
                  </w:rPr>
                  <m:t>α</m:t>
                </m:r>
              </m:e>
              <m:sub>
                <m:r>
                  <w:rPr>
                    <w:rFonts w:ascii="Cambria Math" w:hAnsi="Cambria Math" w:cstheme="minorHAnsi"/>
                    <w:lang w:val="en-GB"/>
                  </w:rPr>
                  <m:t>4</m:t>
                </m:r>
              </m:sub>
            </m:sSub>
            <m:r>
              <w:rPr>
                <w:rFonts w:ascii="Cambria Math" w:hAnsi="Cambria Math" w:cstheme="minorHAnsi"/>
                <w:lang w:val="en-GB"/>
              </w:rPr>
              <m:t>RLI</m:t>
            </m:r>
          </m:e>
          <m:sub>
            <m:r>
              <w:rPr>
                <w:rFonts w:ascii="Cambria Math" w:hAnsi="Cambria Math" w:cstheme="minorHAnsi"/>
                <w:lang w:val="en-GB"/>
              </w:rPr>
              <m:t>t-1</m:t>
            </m:r>
          </m:sub>
        </m:sSub>
        <m:r>
          <w:rPr>
            <w:rFonts w:ascii="Cambria Math" w:hAnsi="Cambria Math" w:cstheme="minorHAnsi"/>
            <w:lang w:val="en-GB"/>
          </w:rPr>
          <m:t>+</m:t>
        </m:r>
        <m:sSub>
          <m:sSubPr>
            <m:ctrlPr>
              <w:rPr>
                <w:rFonts w:ascii="Cambria Math" w:hAnsi="Cambria Math" w:cstheme="minorHAnsi"/>
                <w:i/>
                <w:lang w:val="en-GB"/>
              </w:rPr>
            </m:ctrlPr>
          </m:sSubPr>
          <m:e>
            <m:r>
              <w:rPr>
                <w:rFonts w:ascii="Cambria Math" w:hAnsi="Cambria Math" w:cstheme="minorHAnsi"/>
                <w:lang w:val="en-GB"/>
              </w:rPr>
              <m:t>ε</m:t>
            </m:r>
          </m:e>
          <m:sub>
            <m:r>
              <w:rPr>
                <w:rFonts w:ascii="Cambria Math" w:hAnsi="Cambria Math" w:cstheme="minorHAnsi"/>
                <w:lang w:val="en-GB"/>
              </w:rPr>
              <m:t>t</m:t>
            </m:r>
          </m:sub>
        </m:sSub>
      </m:oMath>
      <w:r w:rsidR="00A23B7E" w:rsidRPr="005F6FF4">
        <w:rPr>
          <w:rFonts w:eastAsiaTheme="minorEastAsia" w:cstheme="minorHAnsi"/>
          <w:lang w:val="en-GB"/>
        </w:rPr>
        <w:t xml:space="preserve">                            (3)</w:t>
      </w:r>
    </w:p>
    <w:p w14:paraId="6757A959" w14:textId="0105F88C" w:rsidR="002E27AA" w:rsidRPr="005F6FF4" w:rsidRDefault="002E27AA" w:rsidP="0026408A">
      <w:pPr>
        <w:jc w:val="both"/>
        <w:rPr>
          <w:rFonts w:cstheme="minorHAnsi"/>
          <w:lang w:val="en-GB"/>
        </w:rPr>
      </w:pPr>
      <w:r w:rsidRPr="005F6FF4">
        <w:rPr>
          <w:rFonts w:cstheme="minorHAnsi"/>
          <w:lang w:val="en-GB"/>
        </w:rPr>
        <w:t xml:space="preserve">All external instruments with a one-year lag are used in equation (3) to help meet the exogeneity assumption </w:t>
      </w:r>
      <w:r w:rsidR="00A742D8" w:rsidRPr="005F6FF4">
        <w:rPr>
          <w:rFonts w:cstheme="minorHAnsi"/>
          <w:lang w:val="en-GB"/>
        </w:rPr>
        <w:fldChar w:fldCharType="begin" w:fldLock="1"/>
      </w:r>
      <w:r w:rsidR="00452C16" w:rsidRPr="005F6FF4">
        <w:rPr>
          <w:rFonts w:cstheme="minorHAnsi"/>
          <w:lang w:val="en-GB"/>
        </w:rPr>
        <w:instrText>ADDIN CSL_CITATION {"citationItems":[{"id":"ITEM-1","itemData":{"DOI":"10.1086/690946","ISSN":"0022-3816","author":[{"dropping-particle":"","family":"Bellemare","given":"Marc F.","non-dropping-particle":"","parse-names":false,"suffix":""},{"dropping-particle":"","family":"Masaki","given":"Takaaki","non-dropping-particle":"","parse-names":false,"suffix":""},{"dropping-particle":"","family":"Pepinsky","given":"Thomas B.","non-dropping-particle":"","parse-names":false,"suffix":""}],"container-title":"The Journal of Politics","id":"ITEM-1","issue":"3","issued":{"date-parts":[["2017","7"]]},"page":"949-963","title":"Lagged Explanatory Variables and the Estimation of Causal Effect","type":"article-journal","volume":"79"},"uris":["http://www.mendeley.com/documents/?uuid=42a4a653-6c7d-46a2-bddd-a5231c52124d"]}],"mendeley":{"formattedCitation":"(Bellemare et al., 2017)","plainTextFormattedCitation":"(Bellemare et al., 2017)","previouslyFormattedCitation":"(Bellemare et al., 2017)"},"properties":{"noteIndex":0},"schema":"https://github.com/citation-style-language/schema/raw/master/csl-citation.json"}</w:instrText>
      </w:r>
      <w:r w:rsidR="00A742D8" w:rsidRPr="005F6FF4">
        <w:rPr>
          <w:rFonts w:cstheme="minorHAnsi"/>
          <w:lang w:val="en-GB"/>
        </w:rPr>
        <w:fldChar w:fldCharType="separate"/>
      </w:r>
      <w:r w:rsidR="00A742D8" w:rsidRPr="005F6FF4">
        <w:rPr>
          <w:rFonts w:cstheme="minorHAnsi"/>
          <w:noProof/>
          <w:lang w:val="en-GB"/>
        </w:rPr>
        <w:t>(Bellemare et al., 2017)</w:t>
      </w:r>
      <w:r w:rsidR="00A742D8" w:rsidRPr="005F6FF4">
        <w:rPr>
          <w:rFonts w:cstheme="minorHAnsi"/>
          <w:lang w:val="en-GB"/>
        </w:rPr>
        <w:fldChar w:fldCharType="end"/>
      </w:r>
      <w:r w:rsidR="0026408A" w:rsidRPr="005F6FF4">
        <w:rPr>
          <w:rFonts w:cstheme="minorHAnsi"/>
          <w:lang w:val="en-GB"/>
        </w:rPr>
        <w:t>.</w:t>
      </w:r>
      <w:r w:rsidRPr="005F6FF4">
        <w:t xml:space="preserve"> </w:t>
      </w:r>
      <w:r w:rsidRPr="005F6FF4">
        <w:rPr>
          <w:rFonts w:cstheme="minorHAnsi"/>
          <w:lang w:val="en-GB"/>
        </w:rPr>
        <w:t>This assumption states that instruments should not be correlated with the model's error term. It is usually easier to assume that disturbances in previous periods are uncorrelated with the current instrumental variables when using data from previous periods.</w:t>
      </w:r>
      <w:r w:rsidRPr="005F6FF4">
        <w:t xml:space="preserve"> </w:t>
      </w:r>
      <w:r w:rsidRPr="005F6FF4">
        <w:rPr>
          <w:rFonts w:cstheme="minorHAnsi"/>
          <w:lang w:val="en-GB"/>
        </w:rPr>
        <w:t xml:space="preserve">Because the data used are time series, lag dependent variables </w:t>
      </w:r>
      <m:oMath>
        <m:r>
          <w:rPr>
            <w:rFonts w:ascii="Cambria Math" w:hAnsi="Cambria Math" w:cstheme="minorHAnsi"/>
            <w:lang w:val="en-GB"/>
          </w:rPr>
          <m:t>(</m:t>
        </m:r>
        <m:sSub>
          <m:sSubPr>
            <m:ctrlPr>
              <w:rPr>
                <w:rFonts w:ascii="Cambria Math" w:hAnsi="Cambria Math" w:cstheme="minorHAnsi"/>
                <w:i/>
                <w:lang w:val="en-GB"/>
              </w:rPr>
            </m:ctrlPr>
          </m:sSubPr>
          <m:e>
            <m:r>
              <w:rPr>
                <w:rFonts w:ascii="Cambria Math" w:hAnsi="Cambria Math" w:cstheme="minorHAnsi"/>
                <w:lang w:val="en-GB"/>
              </w:rPr>
              <m:t>DT</m:t>
            </m:r>
          </m:e>
          <m:sub>
            <m:r>
              <w:rPr>
                <w:rFonts w:ascii="Cambria Math" w:hAnsi="Cambria Math" w:cstheme="minorHAnsi"/>
                <w:lang w:val="en-GB"/>
              </w:rPr>
              <m:t>t-1</m:t>
            </m:r>
          </m:sub>
        </m:sSub>
      </m:oMath>
      <w:r w:rsidRPr="005F6FF4">
        <w:rPr>
          <w:rFonts w:eastAsiaTheme="minorEastAsia" w:cstheme="minorHAnsi"/>
          <w:lang w:val="en-GB"/>
        </w:rPr>
        <w:t>)</w:t>
      </w:r>
      <w:r w:rsidRPr="005F6FF4">
        <w:rPr>
          <w:rFonts w:cstheme="minorHAnsi"/>
          <w:lang w:val="en-GB"/>
        </w:rPr>
        <w:t xml:space="preserve"> are also used as internal instruments because they exhibit better statistical properties, such as stationarity, than unprocessed data.</w:t>
      </w:r>
    </w:p>
    <w:p w14:paraId="5D1CC2D0" w14:textId="675E50A2" w:rsidR="002E27AA" w:rsidRPr="005F6FF4" w:rsidRDefault="002E27AA" w:rsidP="0026408A">
      <w:pPr>
        <w:jc w:val="both"/>
        <w:rPr>
          <w:rFonts w:cstheme="minorHAnsi"/>
          <w:lang w:val="en-GB"/>
        </w:rPr>
      </w:pPr>
      <w:r w:rsidRPr="005F6FF4">
        <w:rPr>
          <w:rFonts w:cstheme="minorHAnsi"/>
          <w:lang w:val="en-GB"/>
        </w:rPr>
        <w:t xml:space="preserve">The predicted outcomes from the first stage </w:t>
      </w:r>
      <m:oMath>
        <m:r>
          <w:rPr>
            <w:rFonts w:ascii="Cambria Math" w:hAnsi="Cambria Math" w:cstheme="minorHAnsi"/>
            <w:lang w:val="en-GB"/>
          </w:rPr>
          <m:t>(</m:t>
        </m:r>
        <m:acc>
          <m:accPr>
            <m:ctrlPr>
              <w:rPr>
                <w:rFonts w:ascii="Cambria Math" w:eastAsiaTheme="minorEastAsia" w:hAnsi="Cambria Math" w:cstheme="minorHAnsi"/>
                <w:i/>
                <w:lang w:val="en-GB"/>
              </w:rPr>
            </m:ctrlPr>
          </m:accPr>
          <m:e>
            <m:r>
              <w:rPr>
                <w:rFonts w:ascii="Cambria Math" w:hAnsi="Cambria Math" w:cstheme="minorHAnsi"/>
                <w:lang w:val="en-GB"/>
              </w:rPr>
              <m:t>DT</m:t>
            </m:r>
          </m:e>
        </m:acc>
        <m:r>
          <w:rPr>
            <w:rFonts w:ascii="Cambria Math" w:eastAsiaTheme="minorEastAsia" w:hAnsi="Cambria Math" w:cstheme="minorHAnsi"/>
            <w:lang w:val="en-GB"/>
          </w:rPr>
          <m:t>)</m:t>
        </m:r>
      </m:oMath>
      <w:r w:rsidRPr="005F6FF4">
        <w:rPr>
          <w:rFonts w:cstheme="minorHAnsi"/>
          <w:lang w:val="en-GB"/>
        </w:rPr>
        <w:t xml:space="preserve"> are then used as independent variables in the regression examining the relationship between the endogenous variable, digital transformation, and the outcome variable, inclusive growth, in the second stage. The following is the equation form for the second stage:</w:t>
      </w:r>
    </w:p>
    <w:p w14:paraId="38946E78" w14:textId="18D559E0" w:rsidR="00A23B7E" w:rsidRPr="005F6FF4" w:rsidRDefault="00CF2B96" w:rsidP="00A23B7E">
      <w:pPr>
        <w:jc w:val="right"/>
        <w:rPr>
          <w:rFonts w:cstheme="minorHAnsi"/>
          <w:lang w:val="en-GB"/>
        </w:rPr>
      </w:pPr>
      <m:oMath>
        <m:sSub>
          <m:sSubPr>
            <m:ctrlPr>
              <w:rPr>
                <w:rFonts w:ascii="Cambria Math" w:hAnsi="Cambria Math" w:cstheme="minorHAnsi"/>
                <w:i/>
                <w:lang w:val="en-GB"/>
              </w:rPr>
            </m:ctrlPr>
          </m:sSubPr>
          <m:e>
            <m:r>
              <w:rPr>
                <w:rFonts w:ascii="Cambria Math" w:hAnsi="Cambria Math" w:cstheme="minorHAnsi"/>
                <w:lang w:val="en-GB"/>
              </w:rPr>
              <m:t>IG</m:t>
            </m:r>
          </m:e>
          <m:sub>
            <m:r>
              <w:rPr>
                <w:rFonts w:ascii="Cambria Math" w:hAnsi="Cambria Math" w:cstheme="minorHAnsi"/>
                <w:lang w:val="en-GB"/>
              </w:rPr>
              <m:t>t</m:t>
            </m:r>
          </m:sub>
        </m:sSub>
        <m:r>
          <w:rPr>
            <w:rFonts w:ascii="Cambria Math" w:hAnsi="Cambria Math" w:cstheme="minorHAnsi"/>
            <w:lang w:val="en-GB"/>
          </w:rPr>
          <m:t>=</m:t>
        </m:r>
        <m:sSub>
          <m:sSubPr>
            <m:ctrlPr>
              <w:rPr>
                <w:rFonts w:ascii="Cambria Math" w:hAnsi="Cambria Math" w:cstheme="minorHAnsi"/>
                <w:i/>
                <w:lang w:val="en-GB"/>
              </w:rPr>
            </m:ctrlPr>
          </m:sSubPr>
          <m:e>
            <m:r>
              <w:rPr>
                <w:rFonts w:ascii="Cambria Math" w:hAnsi="Cambria Math" w:cstheme="minorHAnsi"/>
                <w:lang w:val="en-GB"/>
              </w:rPr>
              <m:t>β</m:t>
            </m:r>
          </m:e>
          <m:sub>
            <m:r>
              <w:rPr>
                <w:rFonts w:ascii="Cambria Math" w:hAnsi="Cambria Math" w:cstheme="minorHAnsi"/>
                <w:lang w:val="en-GB"/>
              </w:rPr>
              <m:t>0</m:t>
            </m:r>
          </m:sub>
        </m:sSub>
        <m:r>
          <w:rPr>
            <w:rFonts w:ascii="Cambria Math" w:hAnsi="Cambria Math" w:cstheme="minorHAnsi"/>
            <w:lang w:val="en-GB"/>
          </w:rPr>
          <m:t>+</m:t>
        </m:r>
        <m:sSub>
          <m:sSubPr>
            <m:ctrlPr>
              <w:rPr>
                <w:rFonts w:ascii="Cambria Math" w:hAnsi="Cambria Math" w:cstheme="minorHAnsi"/>
                <w:i/>
                <w:lang w:val="en-GB"/>
              </w:rPr>
            </m:ctrlPr>
          </m:sSubPr>
          <m:e>
            <m:r>
              <w:rPr>
                <w:rFonts w:ascii="Cambria Math" w:hAnsi="Cambria Math" w:cstheme="minorHAnsi"/>
                <w:lang w:val="en-GB"/>
              </w:rPr>
              <m:t>β</m:t>
            </m:r>
          </m:e>
          <m:sub>
            <m:r>
              <w:rPr>
                <w:rFonts w:ascii="Cambria Math" w:hAnsi="Cambria Math" w:cstheme="minorHAnsi"/>
                <w:lang w:val="en-GB"/>
              </w:rPr>
              <m:t>1</m:t>
            </m:r>
          </m:sub>
        </m:sSub>
        <m:acc>
          <m:accPr>
            <m:ctrlPr>
              <w:rPr>
                <w:rFonts w:ascii="Cambria Math" w:hAnsi="Cambria Math" w:cstheme="minorHAnsi"/>
                <w:i/>
                <w:lang w:val="en-GB"/>
              </w:rPr>
            </m:ctrlPr>
          </m:accPr>
          <m:e>
            <m:sSub>
              <m:sSubPr>
                <m:ctrlPr>
                  <w:rPr>
                    <w:rFonts w:ascii="Cambria Math" w:hAnsi="Cambria Math" w:cstheme="minorHAnsi"/>
                    <w:i/>
                    <w:lang w:val="en-GB"/>
                  </w:rPr>
                </m:ctrlPr>
              </m:sSubPr>
              <m:e>
                <m:r>
                  <w:rPr>
                    <w:rFonts w:ascii="Cambria Math" w:hAnsi="Cambria Math" w:cstheme="minorHAnsi"/>
                    <w:lang w:val="en-GB"/>
                  </w:rPr>
                  <m:t>DT</m:t>
                </m:r>
              </m:e>
              <m:sub>
                <m:r>
                  <w:rPr>
                    <w:rFonts w:ascii="Cambria Math" w:hAnsi="Cambria Math" w:cstheme="minorHAnsi"/>
                    <w:lang w:val="en-GB"/>
                  </w:rPr>
                  <m:t>t</m:t>
                </m:r>
              </m:sub>
            </m:sSub>
          </m:e>
        </m:acc>
        <m:r>
          <w:rPr>
            <w:rFonts w:ascii="Cambria Math" w:hAnsi="Cambria Math" w:cstheme="minorHAnsi"/>
            <w:lang w:val="en-GB"/>
          </w:rPr>
          <m:t>+</m:t>
        </m:r>
        <m:sSub>
          <m:sSubPr>
            <m:ctrlPr>
              <w:rPr>
                <w:rFonts w:ascii="Cambria Math" w:hAnsi="Cambria Math" w:cstheme="minorHAnsi"/>
                <w:i/>
                <w:lang w:val="en-GB"/>
              </w:rPr>
            </m:ctrlPr>
          </m:sSubPr>
          <m:e>
            <m:r>
              <w:rPr>
                <w:rFonts w:ascii="Cambria Math" w:hAnsi="Cambria Math" w:cstheme="minorHAnsi"/>
                <w:lang w:val="en-GB"/>
              </w:rPr>
              <m:t>β</m:t>
            </m:r>
          </m:e>
          <m:sub>
            <m:r>
              <w:rPr>
                <w:rFonts w:ascii="Cambria Math" w:hAnsi="Cambria Math" w:cstheme="minorHAnsi"/>
                <w:lang w:val="en-GB"/>
              </w:rPr>
              <m:t>2</m:t>
            </m:r>
          </m:sub>
        </m:sSub>
        <m:sSub>
          <m:sSubPr>
            <m:ctrlPr>
              <w:rPr>
                <w:rFonts w:ascii="Cambria Math" w:hAnsi="Cambria Math" w:cstheme="minorHAnsi"/>
                <w:i/>
                <w:lang w:val="en-GB"/>
              </w:rPr>
            </m:ctrlPr>
          </m:sSubPr>
          <m:e>
            <m:r>
              <w:rPr>
                <w:rFonts w:ascii="Cambria Math" w:hAnsi="Cambria Math" w:cstheme="minorHAnsi"/>
                <w:lang w:val="en-GB"/>
              </w:rPr>
              <m:t>IG</m:t>
            </m:r>
          </m:e>
          <m:sub>
            <m:r>
              <w:rPr>
                <w:rFonts w:ascii="Cambria Math" w:hAnsi="Cambria Math" w:cstheme="minorHAnsi"/>
                <w:lang w:val="en-GB"/>
              </w:rPr>
              <m:t>t-1</m:t>
            </m:r>
          </m:sub>
        </m:sSub>
        <m:r>
          <w:rPr>
            <w:rFonts w:ascii="Cambria Math" w:hAnsi="Cambria Math" w:cstheme="minorHAnsi"/>
            <w:lang w:val="en-GB"/>
          </w:rPr>
          <m:t>+</m:t>
        </m:r>
        <m:sSub>
          <m:sSubPr>
            <m:ctrlPr>
              <w:rPr>
                <w:rFonts w:ascii="Cambria Math" w:hAnsi="Cambria Math" w:cstheme="minorHAnsi"/>
                <w:i/>
                <w:lang w:val="en-GB"/>
              </w:rPr>
            </m:ctrlPr>
          </m:sSubPr>
          <m:e>
            <m:r>
              <w:rPr>
                <w:rFonts w:ascii="Cambria Math" w:hAnsi="Cambria Math" w:cstheme="minorHAnsi"/>
                <w:lang w:val="en-GB"/>
              </w:rPr>
              <m:t>β</m:t>
            </m:r>
          </m:e>
          <m:sub>
            <m:r>
              <w:rPr>
                <w:rFonts w:ascii="Cambria Math" w:hAnsi="Cambria Math" w:cstheme="minorHAnsi"/>
                <w:lang w:val="en-GB"/>
              </w:rPr>
              <m:t>3</m:t>
            </m:r>
          </m:sub>
        </m:sSub>
        <m:sSub>
          <m:sSubPr>
            <m:ctrlPr>
              <w:rPr>
                <w:rFonts w:ascii="Cambria Math" w:hAnsi="Cambria Math" w:cstheme="minorHAnsi"/>
                <w:i/>
                <w:lang w:val="en-GB"/>
              </w:rPr>
            </m:ctrlPr>
          </m:sSubPr>
          <m:e>
            <m:r>
              <w:rPr>
                <w:rFonts w:ascii="Cambria Math" w:hAnsi="Cambria Math" w:cstheme="minorHAnsi"/>
                <w:lang w:val="en-GB"/>
              </w:rPr>
              <m:t>I</m:t>
            </m:r>
          </m:e>
          <m:sub>
            <m:r>
              <w:rPr>
                <w:rFonts w:ascii="Cambria Math" w:hAnsi="Cambria Math" w:cstheme="minorHAnsi"/>
                <w:lang w:val="en-GB"/>
              </w:rPr>
              <m:t>t</m:t>
            </m:r>
          </m:sub>
        </m:sSub>
        <m:r>
          <w:rPr>
            <w:rFonts w:ascii="Cambria Math" w:eastAsiaTheme="minorEastAsia" w:hAnsi="Cambria Math" w:cstheme="minorHAnsi"/>
            <w:lang w:val="en-GB"/>
          </w:rPr>
          <m:t>+</m:t>
        </m:r>
        <m:sSub>
          <m:sSubPr>
            <m:ctrlPr>
              <w:rPr>
                <w:rFonts w:ascii="Cambria Math" w:hAnsi="Cambria Math" w:cstheme="minorHAnsi"/>
                <w:i/>
                <w:lang w:val="en-GB"/>
              </w:rPr>
            </m:ctrlPr>
          </m:sSubPr>
          <m:e>
            <m:r>
              <w:rPr>
                <w:rFonts w:ascii="Cambria Math" w:hAnsi="Cambria Math" w:cstheme="minorHAnsi"/>
                <w:lang w:val="en-GB"/>
              </w:rPr>
              <m:t>β</m:t>
            </m:r>
          </m:e>
          <m:sub>
            <m:r>
              <w:rPr>
                <w:rFonts w:ascii="Cambria Math" w:hAnsi="Cambria Math" w:cstheme="minorHAnsi"/>
                <w:lang w:val="en-GB"/>
              </w:rPr>
              <m:t>4</m:t>
            </m:r>
          </m:sub>
        </m:sSub>
        <m:sSub>
          <m:sSubPr>
            <m:ctrlPr>
              <w:rPr>
                <w:rFonts w:ascii="Cambria Math" w:hAnsi="Cambria Math" w:cstheme="minorHAnsi"/>
                <w:i/>
                <w:lang w:val="en-GB"/>
              </w:rPr>
            </m:ctrlPr>
          </m:sSubPr>
          <m:e>
            <m:r>
              <w:rPr>
                <w:rFonts w:ascii="Cambria Math" w:hAnsi="Cambria Math" w:cstheme="minorHAnsi"/>
                <w:lang w:val="en-GB"/>
              </w:rPr>
              <m:t>GDS</m:t>
            </m:r>
          </m:e>
          <m:sub>
            <m:r>
              <w:rPr>
                <w:rFonts w:ascii="Cambria Math" w:hAnsi="Cambria Math" w:cstheme="minorHAnsi"/>
                <w:lang w:val="en-GB"/>
              </w:rPr>
              <m:t>t</m:t>
            </m:r>
          </m:sub>
        </m:sSub>
        <m:r>
          <w:rPr>
            <w:rFonts w:ascii="Cambria Math" w:eastAsiaTheme="minorEastAsia" w:hAnsi="Cambria Math" w:cstheme="minorHAnsi"/>
            <w:lang w:val="en-GB"/>
          </w:rPr>
          <m:t>+</m:t>
        </m:r>
        <m:sSub>
          <m:sSubPr>
            <m:ctrlPr>
              <w:rPr>
                <w:rFonts w:ascii="Cambria Math" w:hAnsi="Cambria Math" w:cstheme="minorHAnsi"/>
                <w:i/>
                <w:lang w:val="en-GB"/>
              </w:rPr>
            </m:ctrlPr>
          </m:sSubPr>
          <m:e>
            <m:r>
              <w:rPr>
                <w:rFonts w:ascii="Cambria Math" w:hAnsi="Cambria Math" w:cstheme="minorHAnsi"/>
                <w:lang w:val="en-GB"/>
              </w:rPr>
              <m:t>β</m:t>
            </m:r>
          </m:e>
          <m:sub>
            <m:r>
              <w:rPr>
                <w:rFonts w:ascii="Cambria Math" w:hAnsi="Cambria Math" w:cstheme="minorHAnsi"/>
                <w:lang w:val="en-GB"/>
              </w:rPr>
              <m:t>5</m:t>
            </m:r>
          </m:sub>
        </m:sSub>
        <m:sSub>
          <m:sSubPr>
            <m:ctrlPr>
              <w:rPr>
                <w:rFonts w:ascii="Cambria Math" w:hAnsi="Cambria Math" w:cstheme="minorHAnsi"/>
                <w:i/>
                <w:lang w:val="en-GB"/>
              </w:rPr>
            </m:ctrlPr>
          </m:sSubPr>
          <m:e>
            <m:r>
              <w:rPr>
                <w:rFonts w:ascii="Cambria Math" w:hAnsi="Cambria Math" w:cstheme="minorHAnsi"/>
                <w:lang w:val="en-GB"/>
              </w:rPr>
              <m:t>FDI</m:t>
            </m:r>
          </m:e>
          <m:sub>
            <m:r>
              <w:rPr>
                <w:rFonts w:ascii="Cambria Math" w:hAnsi="Cambria Math" w:cstheme="minorHAnsi"/>
                <w:lang w:val="en-GB"/>
              </w:rPr>
              <m:t>t</m:t>
            </m:r>
          </m:sub>
        </m:sSub>
        <m:r>
          <w:rPr>
            <w:rFonts w:ascii="Cambria Math" w:hAnsi="Cambria Math" w:cstheme="minorHAnsi"/>
            <w:lang w:val="en-GB"/>
          </w:rPr>
          <m:t>+</m:t>
        </m:r>
        <m:sSub>
          <m:sSubPr>
            <m:ctrlPr>
              <w:rPr>
                <w:rFonts w:ascii="Cambria Math" w:hAnsi="Cambria Math" w:cstheme="minorHAnsi"/>
                <w:i/>
                <w:lang w:val="en-GB"/>
              </w:rPr>
            </m:ctrlPr>
          </m:sSubPr>
          <m:e>
            <m:r>
              <w:rPr>
                <w:rFonts w:ascii="Cambria Math" w:hAnsi="Cambria Math" w:cstheme="minorHAnsi"/>
                <w:lang w:val="en-GB"/>
              </w:rPr>
              <m:t>β</m:t>
            </m:r>
          </m:e>
          <m:sub>
            <m:r>
              <w:rPr>
                <w:rFonts w:ascii="Cambria Math" w:hAnsi="Cambria Math" w:cstheme="minorHAnsi"/>
                <w:lang w:val="en-GB"/>
              </w:rPr>
              <m:t>6</m:t>
            </m:r>
          </m:sub>
        </m:sSub>
        <m:sSub>
          <m:sSubPr>
            <m:ctrlPr>
              <w:rPr>
                <w:rFonts w:ascii="Cambria Math" w:hAnsi="Cambria Math" w:cstheme="minorHAnsi"/>
                <w:i/>
                <w:lang w:val="en-GB"/>
              </w:rPr>
            </m:ctrlPr>
          </m:sSubPr>
          <m:e>
            <m:r>
              <w:rPr>
                <w:rFonts w:ascii="Cambria Math" w:hAnsi="Cambria Math" w:cstheme="minorHAnsi"/>
                <w:lang w:val="en-GB"/>
              </w:rPr>
              <m:t>OIL</m:t>
            </m:r>
          </m:e>
          <m:sub>
            <m:r>
              <w:rPr>
                <w:rFonts w:ascii="Cambria Math" w:hAnsi="Cambria Math" w:cstheme="minorHAnsi"/>
                <w:lang w:val="en-GB"/>
              </w:rPr>
              <m:t>t</m:t>
            </m:r>
          </m:sub>
        </m:sSub>
        <m:r>
          <w:rPr>
            <w:rFonts w:ascii="Cambria Math" w:hAnsi="Cambria Math" w:cstheme="minorHAnsi"/>
            <w:lang w:val="en-GB"/>
          </w:rPr>
          <m:t>+</m:t>
        </m:r>
        <m:sSub>
          <m:sSubPr>
            <m:ctrlPr>
              <w:rPr>
                <w:rFonts w:ascii="Cambria Math" w:hAnsi="Cambria Math" w:cstheme="minorHAnsi"/>
                <w:i/>
                <w:lang w:val="en-GB"/>
              </w:rPr>
            </m:ctrlPr>
          </m:sSubPr>
          <m:e>
            <m:r>
              <w:rPr>
                <w:rFonts w:ascii="Cambria Math" w:hAnsi="Cambria Math" w:cstheme="minorHAnsi"/>
                <w:lang w:val="en-GB"/>
              </w:rPr>
              <m:t>e</m:t>
            </m:r>
          </m:e>
          <m:sub>
            <m:r>
              <w:rPr>
                <w:rFonts w:ascii="Cambria Math" w:hAnsi="Cambria Math" w:cstheme="minorHAnsi"/>
                <w:lang w:val="en-GB"/>
              </w:rPr>
              <m:t>t</m:t>
            </m:r>
          </m:sub>
        </m:sSub>
      </m:oMath>
      <w:r w:rsidR="00A23B7E" w:rsidRPr="005F6FF4">
        <w:rPr>
          <w:rFonts w:eastAsiaTheme="minorEastAsia" w:cstheme="minorHAnsi"/>
          <w:lang w:val="en-GB"/>
        </w:rPr>
        <w:t xml:space="preserve">                    (</w:t>
      </w:r>
      <w:r w:rsidR="00834F98" w:rsidRPr="005F6FF4">
        <w:rPr>
          <w:rFonts w:eastAsiaTheme="minorEastAsia" w:cstheme="minorHAnsi"/>
          <w:lang w:val="en-GB"/>
        </w:rPr>
        <w:t>4</w:t>
      </w:r>
      <w:r w:rsidR="00A23B7E" w:rsidRPr="005F6FF4">
        <w:rPr>
          <w:rFonts w:eastAsiaTheme="minorEastAsia" w:cstheme="minorHAnsi"/>
          <w:lang w:val="en-GB"/>
        </w:rPr>
        <w:t>)</w:t>
      </w:r>
    </w:p>
    <w:p w14:paraId="4A148E63" w14:textId="3C26732D" w:rsidR="002E27AA" w:rsidRPr="005F6FF4" w:rsidRDefault="002E27AA" w:rsidP="00C05585">
      <w:pPr>
        <w:jc w:val="both"/>
        <w:rPr>
          <w:rFonts w:cstheme="minorHAnsi"/>
          <w:lang w:val="en-GB"/>
        </w:rPr>
      </w:pPr>
      <w:r w:rsidRPr="005F6FF4">
        <w:rPr>
          <w:rFonts w:cstheme="minorHAnsi"/>
          <w:lang w:val="en-GB"/>
        </w:rPr>
        <w:t xml:space="preserve">where, inclusive growth </w:t>
      </w:r>
      <m:oMath>
        <m:d>
          <m:dPr>
            <m:ctrlPr>
              <w:rPr>
                <w:rFonts w:ascii="Cambria Math" w:eastAsiaTheme="minorEastAsia" w:hAnsi="Cambria Math" w:cstheme="minorHAnsi"/>
                <w:i/>
                <w:lang w:val="en-GB"/>
              </w:rPr>
            </m:ctrlPr>
          </m:dPr>
          <m:e>
            <m:r>
              <w:rPr>
                <w:rFonts w:ascii="Cambria Math" w:hAnsi="Cambria Math" w:cstheme="minorHAnsi"/>
                <w:lang w:val="en-GB"/>
              </w:rPr>
              <m:t>IG</m:t>
            </m:r>
          </m:e>
        </m:d>
      </m:oMath>
      <w:r w:rsidRPr="005F6FF4">
        <w:rPr>
          <w:rFonts w:cstheme="minorHAnsi"/>
          <w:lang w:val="en-GB"/>
        </w:rPr>
        <w:t xml:space="preserve"> is influenced not only by the endogenous variable, digital transformation </w:t>
      </w:r>
      <m:oMath>
        <m:r>
          <w:rPr>
            <w:rFonts w:ascii="Cambria Math" w:hAnsi="Cambria Math" w:cstheme="minorHAnsi"/>
            <w:lang w:val="en-GB"/>
          </w:rPr>
          <m:t>(</m:t>
        </m:r>
        <m:acc>
          <m:accPr>
            <m:ctrlPr>
              <w:rPr>
                <w:rFonts w:ascii="Cambria Math" w:eastAsiaTheme="minorEastAsia" w:hAnsi="Cambria Math" w:cstheme="minorHAnsi"/>
                <w:i/>
                <w:lang w:val="en-GB"/>
              </w:rPr>
            </m:ctrlPr>
          </m:accPr>
          <m:e>
            <m:r>
              <w:rPr>
                <w:rFonts w:ascii="Cambria Math" w:hAnsi="Cambria Math" w:cstheme="minorHAnsi"/>
                <w:lang w:val="en-GB"/>
              </w:rPr>
              <m:t>DT</m:t>
            </m:r>
          </m:e>
        </m:acc>
        <m:r>
          <w:rPr>
            <w:rFonts w:ascii="Cambria Math" w:eastAsiaTheme="minorEastAsia" w:hAnsi="Cambria Math" w:cstheme="minorHAnsi"/>
            <w:lang w:val="en-GB"/>
          </w:rPr>
          <m:t>)</m:t>
        </m:r>
      </m:oMath>
      <w:r w:rsidRPr="005F6FF4">
        <w:rPr>
          <w:rFonts w:cstheme="minorHAnsi"/>
          <w:lang w:val="en-GB"/>
        </w:rPr>
        <w:t xml:space="preserve">, but also by control variables such as inflation </w:t>
      </w:r>
      <m:oMath>
        <m:r>
          <w:rPr>
            <w:rFonts w:ascii="Cambria Math" w:eastAsiaTheme="minorEastAsia" w:hAnsi="Cambria Math" w:cstheme="minorHAnsi"/>
            <w:lang w:val="en-GB"/>
          </w:rPr>
          <m:t>(</m:t>
        </m:r>
        <m:r>
          <w:rPr>
            <w:rFonts w:ascii="Cambria Math" w:hAnsi="Cambria Math" w:cstheme="minorHAnsi"/>
            <w:lang w:val="en-GB"/>
          </w:rPr>
          <m:t>I)</m:t>
        </m:r>
      </m:oMath>
      <w:r w:rsidRPr="005F6FF4">
        <w:rPr>
          <w:rFonts w:cstheme="minorHAnsi"/>
          <w:lang w:val="en-GB"/>
        </w:rPr>
        <w:t xml:space="preserve">, gross domestic savings </w:t>
      </w:r>
      <m:oMath>
        <m:r>
          <w:rPr>
            <w:rFonts w:ascii="Cambria Math" w:eastAsiaTheme="minorEastAsia" w:hAnsi="Cambria Math" w:cstheme="minorHAnsi"/>
            <w:lang w:val="en-GB"/>
          </w:rPr>
          <m:t>(</m:t>
        </m:r>
        <m:r>
          <w:rPr>
            <w:rFonts w:ascii="Cambria Math" w:hAnsi="Cambria Math" w:cstheme="minorHAnsi"/>
            <w:lang w:val="en-GB"/>
          </w:rPr>
          <m:t>GDS)</m:t>
        </m:r>
      </m:oMath>
      <w:r w:rsidRPr="005F6FF4">
        <w:rPr>
          <w:rFonts w:cstheme="minorHAnsi"/>
          <w:lang w:val="en-GB"/>
        </w:rPr>
        <w:t xml:space="preserve">, foreign direct investment </w:t>
      </w:r>
      <m:oMath>
        <m:r>
          <w:rPr>
            <w:rFonts w:ascii="Cambria Math" w:eastAsiaTheme="minorEastAsia" w:hAnsi="Cambria Math" w:cstheme="minorHAnsi"/>
            <w:lang w:val="en-GB"/>
          </w:rPr>
          <m:t>(</m:t>
        </m:r>
        <m:r>
          <w:rPr>
            <w:rFonts w:ascii="Cambria Math" w:hAnsi="Cambria Math" w:cstheme="minorHAnsi"/>
            <w:lang w:val="en-GB"/>
          </w:rPr>
          <m:t>FDI)</m:t>
        </m:r>
      </m:oMath>
      <w:r w:rsidRPr="005F6FF4">
        <w:rPr>
          <w:rFonts w:cstheme="minorHAnsi"/>
          <w:lang w:val="en-GB"/>
        </w:rPr>
        <w:t xml:space="preserve">, and oil rents </w:t>
      </w:r>
      <m:oMath>
        <m:r>
          <w:rPr>
            <w:rFonts w:ascii="Cambria Math" w:eastAsiaTheme="minorEastAsia" w:hAnsi="Cambria Math" w:cstheme="minorHAnsi"/>
            <w:lang w:val="en-GB"/>
          </w:rPr>
          <m:t>(</m:t>
        </m:r>
        <m:r>
          <w:rPr>
            <w:rFonts w:ascii="Cambria Math" w:hAnsi="Cambria Math" w:cstheme="minorHAnsi"/>
            <w:lang w:val="en-GB"/>
          </w:rPr>
          <m:t>OIL)</m:t>
        </m:r>
      </m:oMath>
      <w:r w:rsidRPr="005F6FF4">
        <w:rPr>
          <w:rFonts w:cstheme="minorHAnsi"/>
          <w:lang w:val="en-GB"/>
        </w:rPr>
        <w:t xml:space="preserve">. Similar to equation (3), inclusive growth is also affected by lags of its dependent variable </w:t>
      </w:r>
      <m:oMath>
        <m:d>
          <m:dPr>
            <m:ctrlPr>
              <w:rPr>
                <w:rFonts w:ascii="Cambria Math" w:eastAsiaTheme="minorEastAsia" w:hAnsi="Cambria Math" w:cstheme="minorHAnsi"/>
                <w:i/>
                <w:lang w:val="en-GB"/>
              </w:rPr>
            </m:ctrlPr>
          </m:dPr>
          <m:e>
            <m:sSub>
              <m:sSubPr>
                <m:ctrlPr>
                  <w:rPr>
                    <w:rFonts w:ascii="Cambria Math" w:hAnsi="Cambria Math" w:cstheme="minorHAnsi"/>
                    <w:i/>
                    <w:lang w:val="en-GB"/>
                  </w:rPr>
                </m:ctrlPr>
              </m:sSubPr>
              <m:e>
                <m:r>
                  <w:rPr>
                    <w:rFonts w:ascii="Cambria Math" w:hAnsi="Cambria Math" w:cstheme="minorHAnsi"/>
                    <w:lang w:val="en-GB"/>
                  </w:rPr>
                  <m:t>IG</m:t>
                </m:r>
              </m:e>
              <m:sub>
                <m:r>
                  <w:rPr>
                    <w:rFonts w:ascii="Cambria Math" w:hAnsi="Cambria Math" w:cstheme="minorHAnsi"/>
                    <w:lang w:val="en-GB"/>
                  </w:rPr>
                  <m:t>t-1</m:t>
                </m:r>
              </m:sub>
            </m:sSub>
            <m:ctrlPr>
              <w:rPr>
                <w:rFonts w:ascii="Cambria Math" w:hAnsi="Cambria Math" w:cstheme="minorHAnsi"/>
                <w:i/>
                <w:lang w:val="en-GB"/>
              </w:rPr>
            </m:ctrlPr>
          </m:e>
        </m:d>
      </m:oMath>
      <w:r w:rsidRPr="005F6FF4">
        <w:rPr>
          <w:rFonts w:cstheme="minorHAnsi"/>
          <w:lang w:val="en-GB"/>
        </w:rPr>
        <w:t>, with the expectation that the stationarity properties of the time series data used can be obtained.</w:t>
      </w:r>
    </w:p>
    <w:p w14:paraId="51CF197D" w14:textId="406A4EEB" w:rsidR="002E27AA" w:rsidRPr="005F6FF4" w:rsidRDefault="002E27AA" w:rsidP="00C05585">
      <w:pPr>
        <w:jc w:val="both"/>
        <w:rPr>
          <w:rFonts w:cstheme="minorHAnsi"/>
          <w:lang w:val="en-GB"/>
        </w:rPr>
      </w:pPr>
      <w:r w:rsidRPr="005F6FF4">
        <w:rPr>
          <w:rFonts w:cstheme="minorHAnsi"/>
          <w:lang w:val="en-GB"/>
        </w:rPr>
        <w:t xml:space="preserve">A weak instrument test was performed in accordance with the 2SLS procedure by comparing the Kleibergen-Paap F-statistic with a Stock-Yogo critical value of 16.38 in the first-stage regression </w:t>
      </w:r>
      <w:r w:rsidRPr="005F6FF4">
        <w:rPr>
          <w:rFonts w:cstheme="minorHAnsi"/>
          <w:lang w:val="en-GB"/>
        </w:rPr>
        <w:fldChar w:fldCharType="begin" w:fldLock="1"/>
      </w:r>
      <w:r w:rsidR="00D8496E" w:rsidRPr="005F6FF4">
        <w:rPr>
          <w:rFonts w:cstheme="minorHAnsi"/>
          <w:lang w:val="en-GB"/>
        </w:rPr>
        <w:instrText>ADDIN CSL_CITATION {"citationItems":[{"id":"ITEM-1","itemData":{"DOI":"10.1016/j.jeconom.2005.02.011","ISSN":"03044076","author":[{"dropping-particle":"","family":"Kleibergen","given":"Frank","non-dropping-particle":"","parse-names":false,"suffix":""},{"dropping-particle":"","family":"Paap","given":"Richard","non-dropping-particle":"","parse-names":false,"suffix":""}],"container-title":"Journal of Econometrics","id":"ITEM-1","issue":"1","issued":{"date-parts":[["2006","7"]]},"page":"97-126","title":"Generalized reduced rank tests using the singular value decomposition","type":"article-journal","volume":"133"},"uris":["http://www.mendeley.com/documents/?uuid=430dc0b9-5df9-453f-8beb-fbd65852f0de"]},{"id":"ITEM-2","itemData":{"author":[{"dropping-particle":"","family":"Stock","given":"James H.","non-dropping-particle":"","parse-names":false,"suffix":""},{"dropping-particle":"","family":"Yogo","given":"Motohiro","non-dropping-particle":"","parse-names":false,"suffix":""}],"chapter-number":"5","container-title":"Identification and Inference for Econometric Models: Essays in Honor of Thomas Rothenberg","editor":[{"dropping-particle":"","family":"Andrews","given":"Donald W. K.","non-dropping-particle":"","parse-names":false,"suffix":""},{"dropping-particle":"","family":"Stock","given":"James H.","non-dropping-particle":"","parse-names":false,"suffix":""}],"id":"ITEM-2","issued":{"date-parts":[["2005"]]},"page":"80–108","publisher":"Cambridge University Press","publisher-place":"Cambridge","title":"Testing for weak instruments in linear IV regression","type":"chapter"},"uris":["http://www.mendeley.com/documents/?uuid=b9e54616-b4df-46e8-89e4-744df41c6f70"]}],"mendeley":{"formattedCitation":"(Kleibergen &amp; Paap, 2006; Stock &amp; Yogo, 2005)","manualFormatting":"(see Kleibergen &amp; Paap, 2006 and Stock &amp; Yogo, 2005, respectively)","plainTextFormattedCitation":"(Kleibergen &amp; Paap, 2006; Stock &amp; Yogo, 2005)","previouslyFormattedCitation":"(Kleibergen &amp; Paap, 2006; Stock &amp; Yogo, 2005)"},"properties":{"noteIndex":0},"schema":"https://github.com/citation-style-language/schema/raw/master/csl-citation.json"}</w:instrText>
      </w:r>
      <w:r w:rsidRPr="005F6FF4">
        <w:rPr>
          <w:rFonts w:cstheme="minorHAnsi"/>
          <w:lang w:val="en-GB"/>
        </w:rPr>
        <w:fldChar w:fldCharType="separate"/>
      </w:r>
      <w:r w:rsidRPr="005F6FF4">
        <w:rPr>
          <w:rFonts w:cstheme="minorHAnsi"/>
          <w:noProof/>
          <w:lang w:val="en-GB"/>
        </w:rPr>
        <w:t>(</w:t>
      </w:r>
      <w:r w:rsidR="0077421B" w:rsidRPr="005F6FF4">
        <w:rPr>
          <w:rFonts w:cstheme="minorHAnsi"/>
          <w:noProof/>
          <w:lang w:val="en-GB"/>
        </w:rPr>
        <w:t xml:space="preserve">see </w:t>
      </w:r>
      <w:r w:rsidRPr="005F6FF4">
        <w:rPr>
          <w:rFonts w:cstheme="minorHAnsi"/>
          <w:noProof/>
          <w:lang w:val="en-GB"/>
        </w:rPr>
        <w:t>Kleibergen &amp; Paap, 2006</w:t>
      </w:r>
      <w:r w:rsidR="0077421B" w:rsidRPr="005F6FF4">
        <w:rPr>
          <w:rFonts w:cstheme="minorHAnsi"/>
          <w:noProof/>
          <w:lang w:val="en-GB"/>
        </w:rPr>
        <w:t xml:space="preserve"> and</w:t>
      </w:r>
      <w:r w:rsidRPr="005F6FF4">
        <w:rPr>
          <w:rFonts w:cstheme="minorHAnsi"/>
          <w:noProof/>
          <w:lang w:val="en-GB"/>
        </w:rPr>
        <w:t xml:space="preserve"> Stock &amp; Yogo, 2005</w:t>
      </w:r>
      <w:r w:rsidR="0077421B" w:rsidRPr="005F6FF4">
        <w:rPr>
          <w:rFonts w:cstheme="minorHAnsi"/>
          <w:noProof/>
          <w:lang w:val="en-GB"/>
        </w:rPr>
        <w:t>, respectively</w:t>
      </w:r>
      <w:r w:rsidRPr="005F6FF4">
        <w:rPr>
          <w:rFonts w:cstheme="minorHAnsi"/>
          <w:noProof/>
          <w:lang w:val="en-GB"/>
        </w:rPr>
        <w:t>)</w:t>
      </w:r>
      <w:r w:rsidRPr="005F6FF4">
        <w:rPr>
          <w:rFonts w:cstheme="minorHAnsi"/>
          <w:lang w:val="en-GB"/>
        </w:rPr>
        <w:fldChar w:fldCharType="end"/>
      </w:r>
      <w:r w:rsidRPr="005F6FF4">
        <w:rPr>
          <w:rFonts w:cstheme="minorHAnsi"/>
          <w:lang w:val="en-GB"/>
        </w:rPr>
        <w:t xml:space="preserve">. This step is critical to ensuring that the instruments used in the analysis are robust enough to deal with endogeneity issues. If the </w:t>
      </w:r>
      <w:r w:rsidRPr="005F6FF4">
        <w:rPr>
          <w:rFonts w:cstheme="minorHAnsi"/>
          <w:lang w:val="en-GB"/>
        </w:rPr>
        <w:lastRenderedPageBreak/>
        <w:t>Kleibergen-Paap F-statistic exceeds the critical Stock-Yogo value, the instruments used are strong enough to support the analysis and reduce potential bias in regression results.</w:t>
      </w:r>
    </w:p>
    <w:p w14:paraId="2919D0EC" w14:textId="766822A8" w:rsidR="008046E2" w:rsidRPr="005F6FF4" w:rsidRDefault="002E27AA" w:rsidP="002E27AA">
      <w:pPr>
        <w:jc w:val="both"/>
        <w:rPr>
          <w:rFonts w:cstheme="minorHAnsi"/>
          <w:lang w:val="en-GB"/>
        </w:rPr>
      </w:pPr>
      <w:r w:rsidRPr="005F6FF4">
        <w:rPr>
          <w:rFonts w:cstheme="minorHAnsi"/>
          <w:lang w:val="en-GB"/>
        </w:rPr>
        <w:t>Furthermore, because this study uses time series data, regression diagnostics are required. The Durbin Test can be used to detect autocorrelation in regression residuals, indicating dependence among time series observations</w:t>
      </w:r>
      <w:r w:rsidR="007C285A" w:rsidRPr="005F6FF4">
        <w:rPr>
          <w:rFonts w:cstheme="minorHAnsi"/>
          <w:lang w:val="en-GB"/>
        </w:rPr>
        <w:t xml:space="preserve"> </w:t>
      </w:r>
      <w:r w:rsidR="007C285A" w:rsidRPr="005F6FF4">
        <w:rPr>
          <w:rFonts w:cstheme="minorHAnsi"/>
          <w:lang w:val="en-GB"/>
        </w:rPr>
        <w:fldChar w:fldCharType="begin" w:fldLock="1"/>
      </w:r>
      <w:r w:rsidR="00D8496E" w:rsidRPr="005F6FF4">
        <w:rPr>
          <w:rFonts w:cstheme="minorHAnsi"/>
          <w:lang w:val="en-GB"/>
        </w:rPr>
        <w:instrText>ADDIN CSL_CITATION {"citationItems":[{"id":"ITEM-1","itemData":{"DOI":"https://doi.org/10.18034/ABCJAR.V3I2.415","author":[{"dropping-particle":"","family":"Akter","given":"Jesmin","non-dropping-particle":"","parse-names":false,"suffix":""}],"container-title":"ABC Journal of Advanced Research","id":"ITEM-1","issue":"2","issued":{"date-parts":[["2014"]]},"title":"Bootstrapped Durbin– Watson Test of Autocorrelation for Small Samples","type":"article-journal","volume":"3"},"uris":["http://www.mendeley.com/documents/?uuid=14a3ec71-d1bb-4c7b-af3c-4c0e7b345d2d"]}],"mendeley":{"formattedCitation":"(Akter, 2014)","plainTextFormattedCitation":"(Akter, 2014)","previouslyFormattedCitation":"(Akter, 2014)"},"properties":{"noteIndex":0},"schema":"https://github.com/citation-style-language/schema/raw/master/csl-citation.json"}</w:instrText>
      </w:r>
      <w:r w:rsidR="007C285A" w:rsidRPr="005F6FF4">
        <w:rPr>
          <w:rFonts w:cstheme="minorHAnsi"/>
          <w:lang w:val="en-GB"/>
        </w:rPr>
        <w:fldChar w:fldCharType="separate"/>
      </w:r>
      <w:r w:rsidR="007C285A" w:rsidRPr="005F6FF4">
        <w:rPr>
          <w:rFonts w:cstheme="minorHAnsi"/>
          <w:noProof/>
          <w:lang w:val="en-GB"/>
        </w:rPr>
        <w:t>(Akter, 2014)</w:t>
      </w:r>
      <w:r w:rsidR="007C285A" w:rsidRPr="005F6FF4">
        <w:rPr>
          <w:rFonts w:cstheme="minorHAnsi"/>
          <w:lang w:val="en-GB"/>
        </w:rPr>
        <w:fldChar w:fldCharType="end"/>
      </w:r>
      <w:r w:rsidRPr="005F6FF4">
        <w:rPr>
          <w:rFonts w:cstheme="minorHAnsi"/>
          <w:lang w:val="en-GB"/>
        </w:rPr>
        <w:t>. Significant Durbin Test results indicate the presence of autocorrelation, which requires further investigation. The Breusch-Pagan/Cook-Weisberg test can also be used to test for heteroskedasticity in the data</w:t>
      </w:r>
      <w:r w:rsidR="002E55BC" w:rsidRPr="005F6FF4">
        <w:rPr>
          <w:rFonts w:cstheme="minorHAnsi"/>
          <w:lang w:val="en-GB"/>
        </w:rPr>
        <w:t xml:space="preserve"> </w:t>
      </w:r>
      <w:r w:rsidR="002E55BC" w:rsidRPr="005F6FF4">
        <w:rPr>
          <w:rFonts w:cstheme="minorHAnsi"/>
          <w:lang w:val="en-GB"/>
        </w:rPr>
        <w:fldChar w:fldCharType="begin" w:fldLock="1"/>
      </w:r>
      <w:r w:rsidR="007C285A" w:rsidRPr="005F6FF4">
        <w:rPr>
          <w:rFonts w:cstheme="minorHAnsi"/>
          <w:lang w:val="en-GB"/>
        </w:rPr>
        <w:instrText>ADDIN CSL_CITATION {"citationItems":[{"id":"ITEM-1","itemData":{"DOI":"10.1007/s10986-007-0018-6","ISSN":"0363-1672","author":[{"dropping-particle":"","family":"Račkauskas","given":"A.","non-dropping-particle":"","parse-names":false,"suffix":""},{"dropping-particle":"","family":"Zuokas","given":"D.","non-dropping-particle":"","parse-names":false,"suffix":""}],"container-title":"Lithuanian Mathematical Journal","id":"ITEM-1","issue":"3","issued":{"date-parts":[["2007","7"]]},"page":"248-265","title":"New tests of heteroskedasticity in linear regression model","type":"article-journal","volume":"47"},"uris":["http://www.mendeley.com/documents/?uuid=7fe724e1-512a-471a-a7b8-29a1a18abac1"]}],"mendeley":{"formattedCitation":"(Račkauskas &amp; Zuokas, 2007)","plainTextFormattedCitation":"(Račkauskas &amp; Zuokas, 2007)","previouslyFormattedCitation":"(Račkauskas &amp; Zuokas, 2007)"},"properties":{"noteIndex":0},"schema":"https://github.com/citation-style-language/schema/raw/master/csl-citation.json"}</w:instrText>
      </w:r>
      <w:r w:rsidR="002E55BC" w:rsidRPr="005F6FF4">
        <w:rPr>
          <w:rFonts w:cstheme="minorHAnsi"/>
          <w:lang w:val="en-GB"/>
        </w:rPr>
        <w:fldChar w:fldCharType="separate"/>
      </w:r>
      <w:r w:rsidR="002E55BC" w:rsidRPr="005F6FF4">
        <w:rPr>
          <w:rFonts w:cstheme="minorHAnsi"/>
          <w:noProof/>
          <w:lang w:val="en-GB"/>
        </w:rPr>
        <w:t>(Račkauskas &amp; Zuokas, 2007)</w:t>
      </w:r>
      <w:r w:rsidR="002E55BC" w:rsidRPr="005F6FF4">
        <w:rPr>
          <w:rFonts w:cstheme="minorHAnsi"/>
          <w:lang w:val="en-GB"/>
        </w:rPr>
        <w:fldChar w:fldCharType="end"/>
      </w:r>
      <w:r w:rsidRPr="005F6FF4">
        <w:rPr>
          <w:rFonts w:cstheme="minorHAnsi"/>
          <w:lang w:val="en-GB"/>
        </w:rPr>
        <w:t>. Significant results from this test indicate imbalances in the variation of residuals over time, necessitating further consideration in the analysis of regression results. By performing these regression diagnostics, we can ensure that the fundamental assumptions of regression are met, thereby increasing the reliability of the regression analysis results.</w:t>
      </w:r>
    </w:p>
    <w:p w14:paraId="652880EF" w14:textId="03745057" w:rsidR="000B49AD" w:rsidRPr="005F6FF4" w:rsidRDefault="000B49AD" w:rsidP="000B49AD">
      <w:pPr>
        <w:jc w:val="center"/>
        <w:rPr>
          <w:rFonts w:cstheme="minorHAnsi"/>
          <w:b/>
          <w:bCs/>
          <w:sz w:val="28"/>
          <w:szCs w:val="28"/>
          <w:lang w:val="en-GB"/>
        </w:rPr>
      </w:pPr>
      <w:r w:rsidRPr="005F6FF4">
        <w:rPr>
          <w:rFonts w:cstheme="minorHAnsi"/>
          <w:b/>
          <w:bCs/>
          <w:sz w:val="28"/>
          <w:szCs w:val="28"/>
          <w:lang w:val="en-GB"/>
        </w:rPr>
        <w:t>Results and Discussion</w:t>
      </w:r>
    </w:p>
    <w:p w14:paraId="05F61B29" w14:textId="2353E943" w:rsidR="00915E19" w:rsidRPr="005F6FF4" w:rsidRDefault="00725801" w:rsidP="00915E19">
      <w:pPr>
        <w:jc w:val="both"/>
        <w:rPr>
          <w:rFonts w:cstheme="minorHAnsi"/>
          <w:b/>
          <w:bCs/>
          <w:sz w:val="28"/>
          <w:szCs w:val="28"/>
          <w:lang w:val="en-GB"/>
        </w:rPr>
      </w:pPr>
      <w:r w:rsidRPr="005F6FF4">
        <w:rPr>
          <w:rFonts w:cstheme="minorHAnsi"/>
          <w:b/>
          <w:bCs/>
          <w:sz w:val="28"/>
          <w:szCs w:val="28"/>
          <w:lang w:val="en-GB"/>
        </w:rPr>
        <w:t>Results</w:t>
      </w:r>
    </w:p>
    <w:p w14:paraId="3EC48372" w14:textId="13F394CB" w:rsidR="00E3085F" w:rsidRPr="005F6FF4" w:rsidRDefault="00E3085F" w:rsidP="00E3085F">
      <w:pPr>
        <w:jc w:val="both"/>
        <w:rPr>
          <w:rFonts w:cstheme="minorHAnsi"/>
          <w:lang w:val="en-GB"/>
        </w:rPr>
      </w:pPr>
      <w:commentRangeStart w:id="7"/>
      <w:r w:rsidRPr="005F6FF4">
        <w:rPr>
          <w:rFonts w:cstheme="minorHAnsi"/>
          <w:lang w:val="en-GB"/>
        </w:rPr>
        <w:t>This section will first explain the indicators that are dominant in forming the aggregate index of digital transformation and inclusive growth before discussing the estimation results of the endogenous impact of digital transformation on inclusive growth</w:t>
      </w:r>
      <w:commentRangeEnd w:id="7"/>
      <w:r w:rsidR="00502D40">
        <w:rPr>
          <w:rStyle w:val="CommentReference"/>
        </w:rPr>
        <w:commentReference w:id="7"/>
      </w:r>
      <w:r w:rsidRPr="005F6FF4">
        <w:rPr>
          <w:rFonts w:cstheme="minorHAnsi"/>
          <w:lang w:val="en-GB"/>
        </w:rPr>
        <w:t>. To enhance understanding within the context of this analysis, detailed explanations of each indicator's contributions will be provided. The goal is to identify key components that are critical to Indonesia's PCA of digital transformation and inclusive growth.</w:t>
      </w:r>
    </w:p>
    <w:p w14:paraId="2FAFC92C" w14:textId="03B9B34E" w:rsidR="00FC6D44" w:rsidRPr="005F6FF4" w:rsidRDefault="00E3085F" w:rsidP="002A7ABA">
      <w:pPr>
        <w:spacing w:after="0"/>
        <w:jc w:val="both"/>
        <w:rPr>
          <w:rFonts w:cstheme="minorHAnsi"/>
          <w:lang w:val="en-GB"/>
        </w:rPr>
      </w:pPr>
      <w:r w:rsidRPr="005F6FF4">
        <w:rPr>
          <w:rFonts w:cstheme="minorHAnsi"/>
          <w:lang w:val="en-GB"/>
        </w:rPr>
        <w:t xml:space="preserve">The PCA results suggest the possibility of two main components, as indicated by eigenvalues greater than one in the second component (see Figure 1a). </w:t>
      </w:r>
      <w:r w:rsidR="00FF629F" w:rsidRPr="005F6FF4">
        <w:rPr>
          <w:rFonts w:cstheme="minorHAnsi"/>
          <w:lang w:val="en-GB"/>
        </w:rPr>
        <w:t>However, only the first component has been chosen for further investigation for the purposes of this study. This choice is supported by an associated Rho value of 58.07%, indicating that the majority (almost two-thirds) of the indicators used in constructing the aggregate digital transformation index are encapsulated within the first component.</w:t>
      </w:r>
      <w:r w:rsidR="00B55A95" w:rsidRPr="005F6FF4">
        <w:t xml:space="preserve"> </w:t>
      </w:r>
      <w:r w:rsidR="00B55A95" w:rsidRPr="005F6FF4">
        <w:rPr>
          <w:rFonts w:cstheme="minorHAnsi"/>
          <w:lang w:val="en-GB"/>
        </w:rPr>
        <w:t xml:space="preserve">Notably, the indicator measuring medium and high-tech manufacturing value added </w:t>
      </w:r>
      <w:r w:rsidR="00B55A95" w:rsidRPr="005F6FF4">
        <w:rPr>
          <w:rFonts w:eastAsiaTheme="minorEastAsia" w:cstheme="minorHAnsi"/>
          <w:lang w:val="en-GB"/>
        </w:rPr>
        <w:t>(</w:t>
      </w:r>
      <m:oMath>
        <m:sSub>
          <m:sSubPr>
            <m:ctrlPr>
              <w:rPr>
                <w:rFonts w:ascii="Cambria Math" w:hAnsi="Cambria Math" w:cstheme="minorHAnsi"/>
                <w:i/>
                <w:lang w:val="en-GB"/>
              </w:rPr>
            </m:ctrlPr>
          </m:sSubPr>
          <m:e>
            <m:r>
              <w:rPr>
                <w:rFonts w:ascii="Cambria Math" w:hAnsi="Cambria Math" w:cstheme="minorHAnsi"/>
                <w:lang w:val="en-GB"/>
              </w:rPr>
              <m:t>DT</m:t>
            </m:r>
          </m:e>
          <m:sub>
            <m:r>
              <w:rPr>
                <w:rFonts w:ascii="Cambria Math" w:hAnsi="Cambria Math" w:cstheme="minorHAnsi"/>
                <w:lang w:val="en-GB"/>
              </w:rPr>
              <m:t>7</m:t>
            </m:r>
          </m:sub>
        </m:sSub>
        <m:r>
          <w:rPr>
            <w:rFonts w:ascii="Cambria Math" w:hAnsi="Cambria Math" w:cstheme="minorHAnsi"/>
            <w:lang w:val="en-GB"/>
          </w:rPr>
          <m:t>)</m:t>
        </m:r>
      </m:oMath>
      <w:r w:rsidR="00B55A95" w:rsidRPr="005F6FF4">
        <w:rPr>
          <w:rFonts w:cstheme="minorHAnsi"/>
          <w:lang w:val="en-GB"/>
        </w:rPr>
        <w:t xml:space="preserve"> contributes significantly to the formation of the first component (see Figure 1b). This suggests that the variance in the digital transformation indices used in this study is primarily accounted for by value added in medium and high-tech manufacturing.</w:t>
      </w:r>
    </w:p>
    <w:p w14:paraId="06205DC7" w14:textId="77777777" w:rsidR="002A7ABA" w:rsidRPr="005F6FF4" w:rsidRDefault="002A7ABA" w:rsidP="002A7ABA">
      <w:pPr>
        <w:spacing w:after="0"/>
        <w:jc w:val="both"/>
        <w:rPr>
          <w:rFonts w:cstheme="minorHAnsi"/>
          <w:lang w:val="en-GB"/>
        </w:rPr>
      </w:pPr>
    </w:p>
    <w:p w14:paraId="0B270B88" w14:textId="0989634D" w:rsidR="001E6850" w:rsidRPr="005F6FF4" w:rsidRDefault="009C7EBE" w:rsidP="001E6850">
      <w:pPr>
        <w:spacing w:after="0"/>
        <w:jc w:val="center"/>
        <w:rPr>
          <w:rFonts w:cstheme="minorHAnsi"/>
          <w:sz w:val="28"/>
          <w:szCs w:val="28"/>
          <w:lang w:val="en-GB"/>
        </w:rPr>
      </w:pPr>
      <w:r w:rsidRPr="005F6FF4">
        <w:rPr>
          <w:rFonts w:cstheme="minorHAnsi"/>
          <w:noProof/>
          <w:sz w:val="28"/>
          <w:szCs w:val="28"/>
          <w:lang w:val="en-GB"/>
        </w:rPr>
        <w:drawing>
          <wp:inline distT="0" distB="0" distL="0" distR="0" wp14:anchorId="690ECF29" wp14:editId="45E3AE3D">
            <wp:extent cx="3018790" cy="2100253"/>
            <wp:effectExtent l="0" t="0" r="10160" b="1079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00D71599" w:rsidRPr="005F6FF4">
        <w:rPr>
          <w:rFonts w:cstheme="minorHAnsi"/>
          <w:noProof/>
          <w:sz w:val="28"/>
          <w:szCs w:val="28"/>
          <w:lang w:val="en-GB"/>
        </w:rPr>
        <w:drawing>
          <wp:inline distT="0" distB="0" distL="0" distR="0" wp14:anchorId="76B33498" wp14:editId="5913B3AF">
            <wp:extent cx="2643612" cy="2104390"/>
            <wp:effectExtent l="0" t="0" r="4445" b="1016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00597FDC" w:rsidRPr="005F6FF4">
        <w:rPr>
          <w:rFonts w:cstheme="minorHAnsi"/>
          <w:sz w:val="28"/>
          <w:szCs w:val="28"/>
          <w:lang w:val="en-GB"/>
        </w:rPr>
        <w:t xml:space="preserve"> </w:t>
      </w:r>
    </w:p>
    <w:p w14:paraId="2F6BA93C" w14:textId="137ADD18" w:rsidR="00B55A95" w:rsidRPr="005F6FF4" w:rsidRDefault="00B55A95" w:rsidP="00002F32">
      <w:pPr>
        <w:spacing w:after="0"/>
        <w:jc w:val="center"/>
        <w:rPr>
          <w:rFonts w:cstheme="minorHAnsi"/>
          <w:sz w:val="20"/>
          <w:szCs w:val="20"/>
          <w:lang w:val="en-GB"/>
        </w:rPr>
      </w:pPr>
      <w:r w:rsidRPr="005F6FF4">
        <w:rPr>
          <w:rFonts w:cstheme="minorHAnsi"/>
          <w:sz w:val="20"/>
          <w:szCs w:val="20"/>
          <w:lang w:val="en-GB"/>
        </w:rPr>
        <w:t xml:space="preserve">Note: </w:t>
      </w:r>
      <m:oMath>
        <m:r>
          <w:rPr>
            <w:rFonts w:ascii="Cambria Math" w:hAnsi="Cambria Math" w:cstheme="minorHAnsi"/>
            <w:sz w:val="20"/>
            <w:szCs w:val="20"/>
            <w:lang w:val="en-GB"/>
          </w:rPr>
          <m:t>ρ</m:t>
        </m:r>
        <m:r>
          <w:rPr>
            <w:rFonts w:ascii="Cambria Math" w:eastAsiaTheme="minorEastAsia" w:hAnsi="Cambria Math" w:cstheme="minorHAnsi"/>
            <w:sz w:val="20"/>
            <w:szCs w:val="20"/>
            <w:lang w:val="en-GB"/>
          </w:rPr>
          <m:t>=0.5807</m:t>
        </m:r>
      </m:oMath>
      <w:r w:rsidRPr="005F6FF4">
        <w:rPr>
          <w:rFonts w:eastAsiaTheme="minorEastAsia" w:cstheme="minorHAnsi"/>
          <w:sz w:val="20"/>
          <w:szCs w:val="20"/>
          <w:lang w:val="en-GB"/>
        </w:rPr>
        <w:t xml:space="preserve"> in First Component</w:t>
      </w:r>
    </w:p>
    <w:p w14:paraId="6E75AE27" w14:textId="73E19059" w:rsidR="00681F11" w:rsidRPr="005F6FF4" w:rsidRDefault="00E82A74" w:rsidP="00002F32">
      <w:pPr>
        <w:spacing w:after="0"/>
        <w:jc w:val="center"/>
        <w:rPr>
          <w:rFonts w:cstheme="minorHAnsi"/>
          <w:sz w:val="20"/>
          <w:szCs w:val="20"/>
          <w:lang w:val="en-GB"/>
        </w:rPr>
      </w:pPr>
      <w:r w:rsidRPr="005F6FF4">
        <w:rPr>
          <w:rFonts w:cstheme="minorHAnsi"/>
          <w:sz w:val="20"/>
          <w:szCs w:val="20"/>
          <w:lang w:val="en-GB"/>
        </w:rPr>
        <w:t>Source</w:t>
      </w:r>
      <w:r w:rsidR="00681F11" w:rsidRPr="005F6FF4">
        <w:rPr>
          <w:rFonts w:cstheme="minorHAnsi"/>
          <w:sz w:val="20"/>
          <w:szCs w:val="20"/>
          <w:lang w:val="en-GB"/>
        </w:rPr>
        <w:t xml:space="preserve">: </w:t>
      </w:r>
      <w:r w:rsidRPr="005F6FF4">
        <w:rPr>
          <w:rFonts w:cstheme="minorHAnsi"/>
          <w:sz w:val="20"/>
          <w:szCs w:val="20"/>
          <w:lang w:val="en-GB"/>
        </w:rPr>
        <w:t>Author’s Calculation (2023)</w:t>
      </w:r>
    </w:p>
    <w:p w14:paraId="6DA550F5" w14:textId="27DB2023" w:rsidR="001E6850" w:rsidRPr="005F6FF4" w:rsidRDefault="00E82A74" w:rsidP="001E6850">
      <w:pPr>
        <w:spacing w:after="0"/>
        <w:jc w:val="center"/>
        <w:rPr>
          <w:rFonts w:cstheme="minorHAnsi"/>
          <w:lang w:val="en-GB"/>
        </w:rPr>
      </w:pPr>
      <w:r w:rsidRPr="005F6FF4">
        <w:rPr>
          <w:rFonts w:cstheme="minorHAnsi"/>
          <w:b/>
          <w:bCs/>
          <w:lang w:val="en-GB"/>
        </w:rPr>
        <w:t>Figure 1:</w:t>
      </w:r>
      <w:r w:rsidRPr="005F6FF4">
        <w:rPr>
          <w:rFonts w:cstheme="minorHAnsi"/>
          <w:lang w:val="en-GB"/>
        </w:rPr>
        <w:t xml:space="preserve"> </w:t>
      </w:r>
      <w:r w:rsidR="009C7EBE" w:rsidRPr="005F6FF4">
        <w:rPr>
          <w:rFonts w:cstheme="minorHAnsi"/>
          <w:lang w:val="en-GB"/>
        </w:rPr>
        <w:t xml:space="preserve">Eigenvalues and </w:t>
      </w:r>
      <w:r w:rsidR="00833DD5" w:rsidRPr="005F6FF4">
        <w:rPr>
          <w:rFonts w:cstheme="minorHAnsi"/>
          <w:lang w:val="en-GB"/>
        </w:rPr>
        <w:t xml:space="preserve">First Component </w:t>
      </w:r>
      <w:r w:rsidRPr="005F6FF4">
        <w:rPr>
          <w:rFonts w:cstheme="minorHAnsi"/>
          <w:lang w:val="en-GB"/>
        </w:rPr>
        <w:t>Eigenvectors in Digital Transformation Aggregate Indices</w:t>
      </w:r>
    </w:p>
    <w:p w14:paraId="60550CFE" w14:textId="736FA899" w:rsidR="00E82A74" w:rsidRPr="005F6FF4" w:rsidRDefault="00E82A74" w:rsidP="001E6850">
      <w:pPr>
        <w:spacing w:after="0"/>
        <w:jc w:val="center"/>
        <w:rPr>
          <w:rFonts w:cstheme="minorHAnsi"/>
          <w:lang w:val="en-GB"/>
        </w:rPr>
      </w:pPr>
    </w:p>
    <w:p w14:paraId="2070C799" w14:textId="1ED0EE5C" w:rsidR="002A7ABA" w:rsidRPr="005F6FF4" w:rsidRDefault="00D42989" w:rsidP="00A84979">
      <w:pPr>
        <w:spacing w:after="0"/>
        <w:jc w:val="both"/>
        <w:rPr>
          <w:rFonts w:cstheme="minorHAnsi"/>
          <w:lang w:val="en-GB"/>
        </w:rPr>
      </w:pPr>
      <w:commentRangeStart w:id="8"/>
      <w:r w:rsidRPr="005F6FF4">
        <w:rPr>
          <w:rFonts w:cstheme="minorHAnsi"/>
          <w:lang w:val="en-GB"/>
        </w:rPr>
        <w:lastRenderedPageBreak/>
        <w:t>Furthermore, the PCA results show that only one significant main component is formed, with the first component having an eigenvalue greater than one</w:t>
      </w:r>
      <w:commentRangeEnd w:id="8"/>
      <w:r w:rsidR="00936B09">
        <w:rPr>
          <w:rStyle w:val="CommentReference"/>
        </w:rPr>
        <w:commentReference w:id="8"/>
      </w:r>
      <w:r w:rsidRPr="005F6FF4">
        <w:rPr>
          <w:rFonts w:cstheme="minorHAnsi"/>
          <w:lang w:val="en-GB"/>
        </w:rPr>
        <w:t xml:space="preserve"> (see Figure 2a). The indicators of per capita GDP growth </w:t>
      </w:r>
      <m:oMath>
        <m:sSub>
          <m:sSubPr>
            <m:ctrlPr>
              <w:rPr>
                <w:rFonts w:ascii="Cambria Math" w:hAnsi="Cambria Math" w:cstheme="minorHAnsi"/>
                <w:i/>
                <w:lang w:val="en-GB"/>
              </w:rPr>
            </m:ctrlPr>
          </m:sSubPr>
          <m:e>
            <m:r>
              <w:rPr>
                <w:rFonts w:ascii="Cambria Math" w:hAnsi="Cambria Math" w:cstheme="minorHAnsi"/>
                <w:lang w:val="en-GB"/>
              </w:rPr>
              <m:t>(IG</m:t>
            </m:r>
          </m:e>
          <m:sub>
            <m:r>
              <w:rPr>
                <w:rFonts w:ascii="Cambria Math" w:hAnsi="Cambria Math" w:cstheme="minorHAnsi"/>
                <w:lang w:val="en-GB"/>
              </w:rPr>
              <m:t>1</m:t>
            </m:r>
          </m:sub>
        </m:sSub>
        <m:r>
          <w:rPr>
            <w:rFonts w:ascii="Cambria Math" w:hAnsi="Cambria Math" w:cstheme="minorHAnsi"/>
            <w:lang w:val="en-GB"/>
          </w:rPr>
          <m:t>)</m:t>
        </m:r>
      </m:oMath>
      <w:r w:rsidR="003332FB" w:rsidRPr="005F6FF4">
        <w:rPr>
          <w:rFonts w:eastAsiaTheme="minorEastAsia" w:cstheme="minorHAnsi"/>
          <w:lang w:val="en-GB"/>
        </w:rPr>
        <w:t xml:space="preserve"> </w:t>
      </w:r>
      <w:r w:rsidRPr="005F6FF4">
        <w:rPr>
          <w:rFonts w:cstheme="minorHAnsi"/>
          <w:lang w:val="en-GB"/>
        </w:rPr>
        <w:t xml:space="preserve">and poverty alleviation </w:t>
      </w:r>
      <m:oMath>
        <m:sSub>
          <m:sSubPr>
            <m:ctrlPr>
              <w:rPr>
                <w:rFonts w:ascii="Cambria Math" w:hAnsi="Cambria Math" w:cstheme="minorHAnsi"/>
                <w:i/>
                <w:lang w:val="en-GB"/>
              </w:rPr>
            </m:ctrlPr>
          </m:sSubPr>
          <m:e>
            <m:r>
              <w:rPr>
                <w:rFonts w:ascii="Cambria Math" w:hAnsi="Cambria Math" w:cstheme="minorHAnsi"/>
                <w:lang w:val="en-GB"/>
              </w:rPr>
              <m:t>(100-IG</m:t>
            </m:r>
          </m:e>
          <m:sub>
            <m:r>
              <w:rPr>
                <w:rFonts w:ascii="Cambria Math" w:hAnsi="Cambria Math" w:cstheme="minorHAnsi"/>
                <w:lang w:val="en-GB"/>
              </w:rPr>
              <m:t>2</m:t>
            </m:r>
          </m:sub>
        </m:sSub>
        <m:r>
          <w:rPr>
            <w:rFonts w:ascii="Cambria Math" w:hAnsi="Cambria Math" w:cstheme="minorHAnsi"/>
            <w:lang w:val="en-GB"/>
          </w:rPr>
          <m:t>)</m:t>
        </m:r>
      </m:oMath>
      <w:r w:rsidRPr="005F6FF4">
        <w:rPr>
          <w:rFonts w:cstheme="minorHAnsi"/>
          <w:lang w:val="en-GB"/>
        </w:rPr>
        <w:t xml:space="preserve"> have significant eigenvectors in the context of the first component (component 1), indicating that they contribute the most to the formation of this component. In contrast, the indicators of inequality </w:t>
      </w:r>
      <m:oMath>
        <m:sSub>
          <m:sSubPr>
            <m:ctrlPr>
              <w:rPr>
                <w:rFonts w:ascii="Cambria Math" w:hAnsi="Cambria Math" w:cstheme="minorHAnsi"/>
                <w:i/>
                <w:lang w:val="en-GB"/>
              </w:rPr>
            </m:ctrlPr>
          </m:sSubPr>
          <m:e>
            <m:r>
              <w:rPr>
                <w:rFonts w:ascii="Cambria Math" w:hAnsi="Cambria Math" w:cstheme="minorHAnsi"/>
                <w:lang w:val="en-GB"/>
              </w:rPr>
              <m:t>(100-IG</m:t>
            </m:r>
          </m:e>
          <m:sub>
            <m:r>
              <w:rPr>
                <w:rFonts w:ascii="Cambria Math" w:hAnsi="Cambria Math" w:cstheme="minorHAnsi"/>
                <w:lang w:val="en-GB"/>
              </w:rPr>
              <m:t>3</m:t>
            </m:r>
          </m:sub>
        </m:sSub>
        <m:r>
          <w:rPr>
            <w:rFonts w:ascii="Cambria Math" w:hAnsi="Cambria Math" w:cstheme="minorHAnsi"/>
            <w:lang w:val="en-GB"/>
          </w:rPr>
          <m:t>)</m:t>
        </m:r>
      </m:oMath>
      <w:r w:rsidRPr="005F6FF4">
        <w:rPr>
          <w:rFonts w:cstheme="minorHAnsi"/>
          <w:lang w:val="en-GB"/>
        </w:rPr>
        <w:t xml:space="preserve"> and unemployment </w:t>
      </w:r>
      <m:oMath>
        <m:sSub>
          <m:sSubPr>
            <m:ctrlPr>
              <w:rPr>
                <w:rFonts w:ascii="Cambria Math" w:hAnsi="Cambria Math" w:cstheme="minorHAnsi"/>
                <w:i/>
                <w:lang w:val="en-GB"/>
              </w:rPr>
            </m:ctrlPr>
          </m:sSubPr>
          <m:e>
            <m:r>
              <w:rPr>
                <w:rFonts w:ascii="Cambria Math" w:hAnsi="Cambria Math" w:cstheme="minorHAnsi"/>
                <w:lang w:val="en-GB"/>
              </w:rPr>
              <m:t>(100-IG</m:t>
            </m:r>
          </m:e>
          <m:sub>
            <m:r>
              <w:rPr>
                <w:rFonts w:ascii="Cambria Math" w:hAnsi="Cambria Math" w:cstheme="minorHAnsi"/>
                <w:lang w:val="en-GB"/>
              </w:rPr>
              <m:t>4</m:t>
            </m:r>
          </m:sub>
        </m:sSub>
        <m:r>
          <w:rPr>
            <w:rFonts w:ascii="Cambria Math" w:hAnsi="Cambria Math" w:cstheme="minorHAnsi"/>
            <w:lang w:val="en-GB"/>
          </w:rPr>
          <m:t>)</m:t>
        </m:r>
      </m:oMath>
      <w:r w:rsidRPr="005F6FF4">
        <w:rPr>
          <w:rFonts w:eastAsiaTheme="minorEastAsia" w:cstheme="minorHAnsi"/>
          <w:lang w:val="en-GB"/>
        </w:rPr>
        <w:t xml:space="preserve"> </w:t>
      </w:r>
      <w:r w:rsidRPr="005F6FF4">
        <w:rPr>
          <w:rFonts w:cstheme="minorHAnsi"/>
          <w:lang w:val="en-GB"/>
        </w:rPr>
        <w:t>improvement contribute less to inclusive growth (see Figure 2b).</w:t>
      </w:r>
      <w:r w:rsidRPr="005F6FF4">
        <w:t xml:space="preserve"> </w:t>
      </w:r>
      <w:r w:rsidRPr="005F6FF4">
        <w:rPr>
          <w:rFonts w:cstheme="minorHAnsi"/>
          <w:lang w:val="en-GB"/>
        </w:rPr>
        <w:t>In other words, in this context, inclusive growth is more dominantly defined as growth accompanied by poverty alleviation, whereas improvements in inequality and unemployment contribute less and play a smaller role in representing inclusive growth in Indonesia.</w:t>
      </w:r>
    </w:p>
    <w:p w14:paraId="5054F43F" w14:textId="77777777" w:rsidR="00AD08D8" w:rsidRPr="005F6FF4" w:rsidRDefault="00AD08D8" w:rsidP="00A84979">
      <w:pPr>
        <w:spacing w:after="0"/>
        <w:jc w:val="both"/>
        <w:rPr>
          <w:rFonts w:cstheme="minorHAnsi"/>
          <w:lang w:val="en-GB"/>
        </w:rPr>
      </w:pPr>
    </w:p>
    <w:p w14:paraId="2C493014" w14:textId="687D8EE1" w:rsidR="00E82A74" w:rsidRPr="005F6FF4" w:rsidRDefault="00D71599" w:rsidP="00D71599">
      <w:pPr>
        <w:spacing w:after="0"/>
        <w:jc w:val="center"/>
        <w:rPr>
          <w:rFonts w:cstheme="minorHAnsi"/>
          <w:sz w:val="28"/>
          <w:szCs w:val="28"/>
          <w:lang w:val="en-GB"/>
        </w:rPr>
      </w:pPr>
      <w:r w:rsidRPr="005F6FF4">
        <w:rPr>
          <w:rFonts w:cstheme="minorHAnsi"/>
          <w:noProof/>
          <w:sz w:val="28"/>
          <w:szCs w:val="28"/>
          <w:lang w:val="en-GB"/>
        </w:rPr>
        <w:drawing>
          <wp:inline distT="0" distB="0" distL="0" distR="0" wp14:anchorId="2BA0766F" wp14:editId="06BAC351">
            <wp:extent cx="3018790" cy="2100253"/>
            <wp:effectExtent l="0" t="0" r="10160" b="698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001E6850" w:rsidRPr="005F6FF4">
        <w:rPr>
          <w:rFonts w:cstheme="minorHAnsi"/>
          <w:noProof/>
          <w:sz w:val="28"/>
          <w:szCs w:val="28"/>
          <w:lang w:val="en-GB"/>
        </w:rPr>
        <w:drawing>
          <wp:inline distT="0" distB="0" distL="0" distR="0" wp14:anchorId="34766E9A" wp14:editId="391C220B">
            <wp:extent cx="2643612" cy="2104390"/>
            <wp:effectExtent l="0" t="0" r="4445" b="1016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C056525" w14:textId="1DAFF803" w:rsidR="00B55A95" w:rsidRPr="005F6FF4" w:rsidRDefault="00B55A95" w:rsidP="00B55A95">
      <w:pPr>
        <w:spacing w:after="0"/>
        <w:jc w:val="center"/>
        <w:rPr>
          <w:rFonts w:cstheme="minorHAnsi"/>
          <w:sz w:val="20"/>
          <w:szCs w:val="20"/>
          <w:lang w:val="en-GB"/>
        </w:rPr>
      </w:pPr>
      <w:r w:rsidRPr="005F6FF4">
        <w:rPr>
          <w:rFonts w:cstheme="minorHAnsi"/>
          <w:sz w:val="20"/>
          <w:szCs w:val="20"/>
          <w:lang w:val="en-GB"/>
        </w:rPr>
        <w:t xml:space="preserve">Note: </w:t>
      </w:r>
      <m:oMath>
        <m:r>
          <w:rPr>
            <w:rFonts w:ascii="Cambria Math" w:hAnsi="Cambria Math" w:cstheme="minorHAnsi"/>
            <w:sz w:val="20"/>
            <w:szCs w:val="20"/>
            <w:lang w:val="en-GB"/>
          </w:rPr>
          <m:t>ρ</m:t>
        </m:r>
        <m:r>
          <w:rPr>
            <w:rFonts w:ascii="Cambria Math" w:eastAsiaTheme="minorEastAsia" w:hAnsi="Cambria Math" w:cstheme="minorHAnsi"/>
            <w:sz w:val="20"/>
            <w:szCs w:val="20"/>
            <w:lang w:val="en-GB"/>
          </w:rPr>
          <m:t>=0.6434</m:t>
        </m:r>
      </m:oMath>
      <w:r w:rsidRPr="005F6FF4">
        <w:rPr>
          <w:rFonts w:eastAsiaTheme="minorEastAsia" w:cstheme="minorHAnsi"/>
          <w:sz w:val="20"/>
          <w:szCs w:val="20"/>
          <w:lang w:val="en-GB"/>
        </w:rPr>
        <w:t xml:space="preserve"> in First Component</w:t>
      </w:r>
    </w:p>
    <w:p w14:paraId="01139713" w14:textId="6D8D2D07" w:rsidR="00E82A74" w:rsidRPr="005F6FF4" w:rsidRDefault="00B55A95" w:rsidP="001E6850">
      <w:pPr>
        <w:spacing w:after="0"/>
        <w:jc w:val="center"/>
        <w:rPr>
          <w:rFonts w:cstheme="minorHAnsi"/>
          <w:lang w:val="en-GB"/>
        </w:rPr>
      </w:pPr>
      <w:r w:rsidRPr="005F6FF4">
        <w:rPr>
          <w:rFonts w:cstheme="minorHAnsi"/>
          <w:sz w:val="20"/>
          <w:szCs w:val="20"/>
          <w:lang w:val="en-GB"/>
        </w:rPr>
        <w:t xml:space="preserve">Source: </w:t>
      </w:r>
      <w:r w:rsidR="00E82A74" w:rsidRPr="005F6FF4">
        <w:rPr>
          <w:rFonts w:cstheme="minorHAnsi"/>
          <w:sz w:val="20"/>
          <w:szCs w:val="20"/>
          <w:lang w:val="en-GB"/>
        </w:rPr>
        <w:t>Author’s Calculation (2023)</w:t>
      </w:r>
    </w:p>
    <w:p w14:paraId="309F3511" w14:textId="74BE6BA6" w:rsidR="00CD3D34" w:rsidRPr="005F6FF4" w:rsidRDefault="001E6850" w:rsidP="00CD3D34">
      <w:pPr>
        <w:spacing w:after="0"/>
        <w:jc w:val="center"/>
        <w:rPr>
          <w:rFonts w:cstheme="minorHAnsi"/>
          <w:sz w:val="20"/>
          <w:szCs w:val="20"/>
          <w:lang w:val="en-GB"/>
        </w:rPr>
      </w:pPr>
      <w:r w:rsidRPr="005F6FF4">
        <w:rPr>
          <w:rFonts w:cstheme="minorHAnsi"/>
          <w:b/>
          <w:bCs/>
          <w:sz w:val="20"/>
          <w:szCs w:val="20"/>
          <w:lang w:val="en-GB"/>
        </w:rPr>
        <w:t xml:space="preserve">Figure </w:t>
      </w:r>
      <w:r w:rsidR="00E82A74" w:rsidRPr="005F6FF4">
        <w:rPr>
          <w:rFonts w:cstheme="minorHAnsi"/>
          <w:b/>
          <w:bCs/>
          <w:sz w:val="20"/>
          <w:szCs w:val="20"/>
          <w:lang w:val="en-GB"/>
        </w:rPr>
        <w:t>2</w:t>
      </w:r>
      <w:r w:rsidRPr="005F6FF4">
        <w:rPr>
          <w:rFonts w:cstheme="minorHAnsi"/>
          <w:sz w:val="20"/>
          <w:szCs w:val="20"/>
          <w:lang w:val="en-GB"/>
        </w:rPr>
        <w:t xml:space="preserve">: </w:t>
      </w:r>
      <w:r w:rsidR="009C7EBE" w:rsidRPr="005F6FF4">
        <w:rPr>
          <w:rFonts w:cstheme="minorHAnsi"/>
          <w:lang w:val="en-GB"/>
        </w:rPr>
        <w:t xml:space="preserve">Eigenvalues and </w:t>
      </w:r>
      <w:r w:rsidR="00833DD5" w:rsidRPr="005F6FF4">
        <w:rPr>
          <w:rFonts w:cstheme="minorHAnsi"/>
          <w:lang w:val="en-GB"/>
        </w:rPr>
        <w:t xml:space="preserve">First Component </w:t>
      </w:r>
      <w:r w:rsidR="009C7EBE" w:rsidRPr="005F6FF4">
        <w:rPr>
          <w:rFonts w:cstheme="minorHAnsi"/>
          <w:lang w:val="en-GB"/>
        </w:rPr>
        <w:t>Eigenvectors in</w:t>
      </w:r>
      <w:r w:rsidR="009C7EBE" w:rsidRPr="005F6FF4">
        <w:rPr>
          <w:rFonts w:cstheme="minorHAnsi"/>
          <w:sz w:val="20"/>
          <w:szCs w:val="20"/>
          <w:lang w:val="en-GB"/>
        </w:rPr>
        <w:t xml:space="preserve"> </w:t>
      </w:r>
      <w:r w:rsidR="00E82A74" w:rsidRPr="005F6FF4">
        <w:rPr>
          <w:rFonts w:cstheme="minorHAnsi"/>
          <w:sz w:val="20"/>
          <w:szCs w:val="20"/>
          <w:lang w:val="en-GB"/>
        </w:rPr>
        <w:t>Inclusive Growth Aggregate Indices</w:t>
      </w:r>
    </w:p>
    <w:p w14:paraId="33E0AA0A" w14:textId="77777777" w:rsidR="00CD3D34" w:rsidRPr="005F6FF4" w:rsidRDefault="00CD3D34" w:rsidP="00CD3D34">
      <w:pPr>
        <w:spacing w:after="0"/>
        <w:jc w:val="center"/>
        <w:rPr>
          <w:rFonts w:cstheme="minorHAnsi"/>
          <w:sz w:val="20"/>
          <w:szCs w:val="20"/>
          <w:lang w:val="en-GB"/>
        </w:rPr>
      </w:pPr>
    </w:p>
    <w:p w14:paraId="21933059" w14:textId="5A8C6C25" w:rsidR="00CD3D34" w:rsidRPr="005F6FF4" w:rsidRDefault="00CD3D34" w:rsidP="00CD3D34">
      <w:pPr>
        <w:jc w:val="both"/>
        <w:rPr>
          <w:rFonts w:cstheme="minorHAnsi"/>
          <w:lang w:val="en-GB"/>
        </w:rPr>
      </w:pPr>
      <w:r w:rsidRPr="005F6FF4">
        <w:rPr>
          <w:rFonts w:cstheme="minorHAnsi"/>
          <w:lang w:val="en-GB"/>
        </w:rPr>
        <w:t>To test for causality, the results of calculating the aggregate indices of digital transformation and inclusive growth are estimated using the 2SLS method. Before conducting the estimation, studies must examine classical assumptions, such as autocorrelation and heteroskedasticity, using the Durbin test and the Breusch-Pagan/Cook-Weisberg test on time series data.</w:t>
      </w:r>
      <w:r w:rsidRPr="005F6FF4">
        <w:t xml:space="preserve"> </w:t>
      </w:r>
      <w:r w:rsidRPr="005F6FF4">
        <w:rPr>
          <w:rFonts w:cstheme="minorHAnsi"/>
          <w:lang w:val="en-GB"/>
        </w:rPr>
        <w:t>According to Table 1 and 2, there is no potential autocorrelation or heteroskedasticity in the first and second stage regressions. The results of the Durbin and Breusch-Pagan/Cook-Weisberg tests, which do not reject the null hypothesis, demonstrate this. As a result, this data shows no correlation of residuals across observation years and has constant variance. This enables accurate time series estimation.</w:t>
      </w:r>
    </w:p>
    <w:p w14:paraId="0A3C0674" w14:textId="18D63862" w:rsidR="00CD3D34" w:rsidRPr="005F6FF4" w:rsidRDefault="00CD3D34" w:rsidP="00CD3D34">
      <w:pPr>
        <w:jc w:val="both"/>
        <w:rPr>
          <w:rFonts w:cstheme="minorHAnsi"/>
          <w:lang w:val="en-GB"/>
        </w:rPr>
      </w:pPr>
      <w:r w:rsidRPr="005F6FF4">
        <w:rPr>
          <w:rFonts w:cstheme="minorHAnsi"/>
          <w:lang w:val="en-GB"/>
        </w:rPr>
        <w:t>Furthermore, the endogeneity test in the instrumental variable test is indicated by the Kleibergen-Paap F-statistic significantly exceeding the Stock-Yogo critical value. This shows that the instruments used are thought to be reliable for dealing with endogeneity issues. As a result, estimation using the 2SLS method can be performed with sufficient confidence and yield more accurate results when testing the cause-and-effect relationship between digital transformation and inclusive growth. This lays a solid foundation for further investigations into the impact of digital transformation on inclusive growth in Indonesia.</w:t>
      </w:r>
    </w:p>
    <w:p w14:paraId="471FC2AC" w14:textId="662AF0E6" w:rsidR="00A84979" w:rsidRPr="005F6FF4" w:rsidRDefault="00042741" w:rsidP="00AD08D8">
      <w:pPr>
        <w:jc w:val="both"/>
        <w:rPr>
          <w:rFonts w:cstheme="minorHAnsi"/>
          <w:lang w:val="en-GB"/>
        </w:rPr>
      </w:pPr>
      <w:r w:rsidRPr="005F6FF4">
        <w:rPr>
          <w:rFonts w:cstheme="minorHAnsi"/>
          <w:lang w:val="en-GB"/>
        </w:rPr>
        <w:t xml:space="preserve">Table 1 displays the results of the first-stage regression, illustrating the estimation of digital transformation determinants in Indonesia. With a significance level of 1%, the estimation results show that the previous year's digital transformation </w:t>
      </w:r>
      <m:oMath>
        <m:r>
          <w:rPr>
            <w:rFonts w:ascii="Cambria Math" w:hAnsi="Cambria Math" w:cstheme="minorHAnsi"/>
            <w:lang w:val="en-GB"/>
          </w:rPr>
          <m:t>(</m:t>
        </m:r>
        <m:sSub>
          <m:sSubPr>
            <m:ctrlPr>
              <w:rPr>
                <w:rFonts w:ascii="Cambria Math" w:hAnsi="Cambria Math" w:cstheme="minorHAnsi"/>
                <w:i/>
                <w:lang w:val="en-GB"/>
              </w:rPr>
            </m:ctrlPr>
          </m:sSubPr>
          <m:e>
            <m:r>
              <w:rPr>
                <w:rFonts w:ascii="Cambria Math" w:hAnsi="Cambria Math" w:cstheme="minorHAnsi"/>
                <w:lang w:val="en-GB"/>
              </w:rPr>
              <m:t>DT</m:t>
            </m:r>
          </m:e>
          <m:sub>
            <m:r>
              <w:rPr>
                <w:rFonts w:ascii="Cambria Math" w:hAnsi="Cambria Math" w:cstheme="minorHAnsi"/>
                <w:lang w:val="en-GB"/>
              </w:rPr>
              <m:t>t-1</m:t>
            </m:r>
          </m:sub>
        </m:sSub>
        <m:r>
          <w:rPr>
            <w:rFonts w:ascii="Cambria Math" w:hAnsi="Cambria Math" w:cstheme="minorHAnsi"/>
            <w:lang w:val="en-GB"/>
          </w:rPr>
          <m:t xml:space="preserve">) </m:t>
        </m:r>
      </m:oMath>
      <w:r w:rsidRPr="005F6FF4">
        <w:rPr>
          <w:rFonts w:cstheme="minorHAnsi"/>
          <w:lang w:val="en-GB"/>
        </w:rPr>
        <w:t>has a significant and positive influence on the current digital transformation</w:t>
      </w:r>
      <w:r w:rsidR="007912C0" w:rsidRPr="005F6FF4">
        <w:rPr>
          <w:rFonts w:cstheme="minorHAnsi"/>
          <w:lang w:val="en-GB"/>
        </w:rPr>
        <w:t xml:space="preserve"> </w:t>
      </w:r>
      <m:oMath>
        <m:sSub>
          <m:sSubPr>
            <m:ctrlPr>
              <w:rPr>
                <w:rFonts w:ascii="Cambria Math" w:hAnsi="Cambria Math" w:cstheme="minorHAnsi"/>
                <w:i/>
                <w:lang w:val="en-GB"/>
              </w:rPr>
            </m:ctrlPr>
          </m:sSubPr>
          <m:e>
            <m:r>
              <w:rPr>
                <w:rFonts w:ascii="Cambria Math" w:hAnsi="Cambria Math" w:cstheme="minorHAnsi"/>
                <w:lang w:val="en-GB"/>
              </w:rPr>
              <m:t>(DT</m:t>
            </m:r>
          </m:e>
          <m:sub>
            <m:r>
              <w:rPr>
                <w:rFonts w:ascii="Cambria Math" w:hAnsi="Cambria Math" w:cstheme="minorHAnsi"/>
                <w:lang w:val="en-GB"/>
              </w:rPr>
              <m:t>t</m:t>
            </m:r>
          </m:sub>
        </m:sSub>
        <m:r>
          <w:rPr>
            <w:rFonts w:ascii="Cambria Math" w:hAnsi="Cambria Math" w:cstheme="minorHAnsi"/>
            <w:lang w:val="en-GB"/>
          </w:rPr>
          <m:t>)</m:t>
        </m:r>
      </m:oMath>
      <w:r w:rsidRPr="005F6FF4">
        <w:rPr>
          <w:rFonts w:cstheme="minorHAnsi"/>
          <w:lang w:val="en-GB"/>
        </w:rPr>
        <w:t xml:space="preserve">, both in the absence of control variables (as seen in column 1) and when control variables (as seen in column 2) are included. These coefficient values indicate that a one-standard-deviation increase in digital transformation from the previous year will result in a 0.97 </w:t>
      </w:r>
      <w:r w:rsidRPr="005F6FF4">
        <w:rPr>
          <w:rFonts w:cstheme="minorHAnsi"/>
          <w:lang w:val="en-GB"/>
        </w:rPr>
        <w:lastRenderedPageBreak/>
        <w:t>to 1.00 standard deviation increase in digital transformation this year. According to these findings, a high level of digital transformation the previous year is followed by a significant increase in digital transformation the following year.</w:t>
      </w:r>
      <w:r w:rsidRPr="005F6FF4">
        <w:t xml:space="preserve"> </w:t>
      </w:r>
      <w:r w:rsidRPr="005F6FF4">
        <w:rPr>
          <w:rFonts w:cstheme="minorHAnsi"/>
          <w:lang w:val="en-GB"/>
        </w:rPr>
        <w:t>However, as indicated by coefficient values that are not significantly different from zero, the factor one-year lag of accountability</w:t>
      </w:r>
      <w:r w:rsidR="007912C0" w:rsidRPr="005F6FF4">
        <w:rPr>
          <w:rFonts w:cstheme="minorHAnsi"/>
          <w:lang w:val="en-GB"/>
        </w:rPr>
        <w:t xml:space="preserve"> </w:t>
      </w:r>
      <m:oMath>
        <m:r>
          <w:rPr>
            <w:rFonts w:ascii="Cambria Math" w:hAnsi="Cambria Math" w:cstheme="minorHAnsi"/>
            <w:lang w:val="en-GB"/>
          </w:rPr>
          <m:t>(</m:t>
        </m:r>
        <m:sSub>
          <m:sSubPr>
            <m:ctrlPr>
              <w:rPr>
                <w:rFonts w:ascii="Cambria Math" w:hAnsi="Cambria Math" w:cstheme="minorHAnsi"/>
                <w:i/>
                <w:lang w:val="en-GB"/>
              </w:rPr>
            </m:ctrlPr>
          </m:sSubPr>
          <m:e>
            <m:r>
              <w:rPr>
                <w:rFonts w:ascii="Cambria Math" w:hAnsi="Cambria Math" w:cstheme="minorHAnsi"/>
                <w:lang w:val="en-GB"/>
              </w:rPr>
              <m:t>AI</m:t>
            </m:r>
          </m:e>
          <m:sub>
            <m:r>
              <w:rPr>
                <w:rFonts w:ascii="Cambria Math" w:hAnsi="Cambria Math" w:cstheme="minorHAnsi"/>
                <w:lang w:val="en-GB"/>
              </w:rPr>
              <m:t>t-1</m:t>
            </m:r>
          </m:sub>
        </m:sSub>
        <m:r>
          <w:rPr>
            <w:rFonts w:ascii="Cambria Math" w:hAnsi="Cambria Math" w:cstheme="minorHAnsi"/>
            <w:lang w:val="en-GB"/>
          </w:rPr>
          <m:t>)</m:t>
        </m:r>
      </m:oMath>
      <w:r w:rsidRPr="005F6FF4">
        <w:rPr>
          <w:rFonts w:cstheme="minorHAnsi"/>
          <w:lang w:val="en-GB"/>
        </w:rPr>
        <w:t>, civil liberties</w:t>
      </w:r>
      <w:r w:rsidR="007912C0" w:rsidRPr="005F6FF4">
        <w:rPr>
          <w:rFonts w:cstheme="minorHAnsi"/>
          <w:lang w:val="en-GB"/>
        </w:rPr>
        <w:t xml:space="preserve"> </w:t>
      </w:r>
      <m:oMath>
        <m:r>
          <w:rPr>
            <w:rFonts w:ascii="Cambria Math" w:hAnsi="Cambria Math" w:cstheme="minorHAnsi"/>
            <w:lang w:val="en-GB"/>
          </w:rPr>
          <m:t>(</m:t>
        </m:r>
        <m:sSub>
          <m:sSubPr>
            <m:ctrlPr>
              <w:rPr>
                <w:rFonts w:ascii="Cambria Math" w:hAnsi="Cambria Math" w:cstheme="minorHAnsi"/>
                <w:i/>
                <w:lang w:val="en-GB"/>
              </w:rPr>
            </m:ctrlPr>
          </m:sSubPr>
          <m:e>
            <m:r>
              <w:rPr>
                <w:rFonts w:ascii="Cambria Math" w:hAnsi="Cambria Math" w:cstheme="minorHAnsi"/>
                <w:lang w:val="en-GB"/>
              </w:rPr>
              <m:t>CLI</m:t>
            </m:r>
          </m:e>
          <m:sub>
            <m:r>
              <w:rPr>
                <w:rFonts w:ascii="Cambria Math" w:hAnsi="Cambria Math" w:cstheme="minorHAnsi"/>
                <w:lang w:val="en-GB"/>
              </w:rPr>
              <m:t>t-1</m:t>
            </m:r>
          </m:sub>
        </m:sSub>
        <m:r>
          <w:rPr>
            <w:rFonts w:ascii="Cambria Math" w:hAnsi="Cambria Math" w:cstheme="minorHAnsi"/>
            <w:lang w:val="en-GB"/>
          </w:rPr>
          <m:t>)</m:t>
        </m:r>
      </m:oMath>
      <w:r w:rsidRPr="005F6FF4">
        <w:rPr>
          <w:rFonts w:cstheme="minorHAnsi"/>
          <w:lang w:val="en-GB"/>
        </w:rPr>
        <w:t xml:space="preserve">, and rule of law </w:t>
      </w:r>
      <m:oMath>
        <m:r>
          <w:rPr>
            <w:rFonts w:ascii="Cambria Math" w:hAnsi="Cambria Math" w:cstheme="minorHAnsi"/>
            <w:lang w:val="en-GB"/>
          </w:rPr>
          <m:t>(</m:t>
        </m:r>
        <m:sSub>
          <m:sSubPr>
            <m:ctrlPr>
              <w:rPr>
                <w:rFonts w:ascii="Cambria Math" w:hAnsi="Cambria Math" w:cstheme="minorHAnsi"/>
                <w:i/>
                <w:lang w:val="en-GB"/>
              </w:rPr>
            </m:ctrlPr>
          </m:sSubPr>
          <m:e>
            <m:r>
              <w:rPr>
                <w:rFonts w:ascii="Cambria Math" w:hAnsi="Cambria Math" w:cstheme="minorHAnsi"/>
                <w:lang w:val="en-GB"/>
              </w:rPr>
              <m:t>RLI</m:t>
            </m:r>
          </m:e>
          <m:sub>
            <m:r>
              <w:rPr>
                <w:rFonts w:ascii="Cambria Math" w:hAnsi="Cambria Math" w:cstheme="minorHAnsi"/>
                <w:lang w:val="en-GB"/>
              </w:rPr>
              <m:t>t-1</m:t>
            </m:r>
          </m:sub>
        </m:sSub>
        <m:r>
          <w:rPr>
            <w:rFonts w:ascii="Cambria Math" w:hAnsi="Cambria Math" w:cstheme="minorHAnsi"/>
            <w:lang w:val="en-GB"/>
          </w:rPr>
          <m:t xml:space="preserve">) </m:t>
        </m:r>
      </m:oMath>
      <w:r w:rsidRPr="005F6FF4">
        <w:rPr>
          <w:rFonts w:cstheme="minorHAnsi"/>
          <w:lang w:val="en-GB"/>
        </w:rPr>
        <w:t>has no significant influence on this year's digital transformation</w:t>
      </w:r>
      <w:r w:rsidR="007912C0" w:rsidRPr="005F6FF4">
        <w:rPr>
          <w:rFonts w:cstheme="minorHAnsi"/>
          <w:lang w:val="en-GB"/>
        </w:rPr>
        <w:t xml:space="preserve"> </w:t>
      </w:r>
      <m:oMath>
        <m:r>
          <w:rPr>
            <w:rFonts w:ascii="Cambria Math" w:hAnsi="Cambria Math" w:cstheme="minorHAnsi"/>
            <w:lang w:val="en-GB"/>
          </w:rPr>
          <m:t>(</m:t>
        </m:r>
        <m:sSub>
          <m:sSubPr>
            <m:ctrlPr>
              <w:rPr>
                <w:rFonts w:ascii="Cambria Math" w:hAnsi="Cambria Math" w:cstheme="minorHAnsi"/>
                <w:i/>
                <w:lang w:val="en-GB"/>
              </w:rPr>
            </m:ctrlPr>
          </m:sSubPr>
          <m:e>
            <m:r>
              <w:rPr>
                <w:rFonts w:ascii="Cambria Math" w:hAnsi="Cambria Math" w:cstheme="minorHAnsi"/>
                <w:lang w:val="en-GB"/>
              </w:rPr>
              <m:t>DT</m:t>
            </m:r>
          </m:e>
          <m:sub>
            <m:r>
              <w:rPr>
                <w:rFonts w:ascii="Cambria Math" w:hAnsi="Cambria Math" w:cstheme="minorHAnsi"/>
                <w:lang w:val="en-GB"/>
              </w:rPr>
              <m:t>t</m:t>
            </m:r>
          </m:sub>
        </m:sSub>
        <m:r>
          <w:rPr>
            <w:rFonts w:ascii="Cambria Math" w:hAnsi="Cambria Math" w:cstheme="minorHAnsi"/>
            <w:lang w:val="en-GB"/>
          </w:rPr>
          <m:t>)</m:t>
        </m:r>
      </m:oMath>
      <w:r w:rsidRPr="005F6FF4">
        <w:rPr>
          <w:rFonts w:cstheme="minorHAnsi"/>
          <w:lang w:val="en-GB"/>
        </w:rPr>
        <w:t>. In other words, the three external instruments used do not provide enough evidence to adequately explain current digital transformation.</w:t>
      </w:r>
    </w:p>
    <w:p w14:paraId="3B8F1963" w14:textId="77777777" w:rsidR="00A84979" w:rsidRPr="005F6FF4" w:rsidRDefault="00A84979" w:rsidP="00855AB3">
      <w:pPr>
        <w:jc w:val="both"/>
        <w:rPr>
          <w:rFonts w:cstheme="minorHAnsi"/>
          <w:lang w:val="en-GB"/>
        </w:rPr>
      </w:pPr>
    </w:p>
    <w:p w14:paraId="62C37069" w14:textId="3893299D" w:rsidR="00211D97" w:rsidRPr="005F6FF4" w:rsidRDefault="00CD3D34" w:rsidP="00102FBB">
      <w:pPr>
        <w:spacing w:after="0" w:line="240" w:lineRule="auto"/>
        <w:jc w:val="both"/>
        <w:rPr>
          <w:rFonts w:cstheme="minorHAnsi"/>
          <w:lang w:val="en-GB"/>
        </w:rPr>
      </w:pPr>
      <w:r w:rsidRPr="005F6FF4">
        <w:rPr>
          <w:rFonts w:cstheme="minorHAnsi"/>
          <w:b/>
          <w:bCs/>
          <w:lang w:val="en-GB"/>
        </w:rPr>
        <w:t>Table 1:</w:t>
      </w:r>
      <w:r w:rsidR="00102FBB" w:rsidRPr="005F6FF4">
        <w:rPr>
          <w:rFonts w:cstheme="minorHAnsi"/>
          <w:b/>
          <w:bCs/>
          <w:lang w:val="en-GB"/>
        </w:rPr>
        <w:t xml:space="preserve"> </w:t>
      </w:r>
      <w:r w:rsidR="00102FBB" w:rsidRPr="005F6FF4">
        <w:rPr>
          <w:rFonts w:cstheme="minorHAnsi"/>
          <w:lang w:val="en-GB"/>
        </w:rPr>
        <w:t>Digital Transformation Determinants in Indonesia</w:t>
      </w:r>
    </w:p>
    <w:tbl>
      <w:tblPr>
        <w:tblW w:w="9026" w:type="dxa"/>
        <w:tblLook w:val="04A0" w:firstRow="1" w:lastRow="0" w:firstColumn="1" w:lastColumn="0" w:noHBand="0" w:noVBand="1"/>
      </w:tblPr>
      <w:tblGrid>
        <w:gridCol w:w="5199"/>
        <w:gridCol w:w="1827"/>
        <w:gridCol w:w="2000"/>
      </w:tblGrid>
      <w:tr w:rsidR="00960F4F" w:rsidRPr="005F6FF4" w14:paraId="653F19EB" w14:textId="77777777" w:rsidTr="007867D5">
        <w:trPr>
          <w:trHeight w:val="256"/>
        </w:trPr>
        <w:tc>
          <w:tcPr>
            <w:tcW w:w="5207" w:type="dxa"/>
            <w:vMerge w:val="restart"/>
            <w:tcBorders>
              <w:top w:val="single" w:sz="4" w:space="0" w:color="auto"/>
              <w:left w:val="nil"/>
              <w:bottom w:val="single" w:sz="4" w:space="0" w:color="000000"/>
              <w:right w:val="nil"/>
            </w:tcBorders>
            <w:shd w:val="clear" w:color="auto" w:fill="auto"/>
            <w:noWrap/>
            <w:vAlign w:val="center"/>
            <w:hideMark/>
          </w:tcPr>
          <w:p w14:paraId="112D511C" w14:textId="77777777" w:rsidR="00960F4F" w:rsidRPr="005F6FF4" w:rsidRDefault="00960F4F" w:rsidP="005F610D">
            <w:pPr>
              <w:spacing w:after="0" w:line="240" w:lineRule="auto"/>
              <w:jc w:val="center"/>
              <w:rPr>
                <w:rFonts w:eastAsia="Times New Roman" w:cstheme="minorHAnsi"/>
                <w:b/>
                <w:bCs/>
                <w:color w:val="000000"/>
                <w:sz w:val="20"/>
                <w:szCs w:val="20"/>
                <w:lang w:val="en-GB" w:eastAsia="en-ID"/>
              </w:rPr>
            </w:pPr>
            <w:r w:rsidRPr="005F6FF4">
              <w:rPr>
                <w:rFonts w:eastAsia="Times New Roman" w:cstheme="minorHAnsi"/>
                <w:b/>
                <w:bCs/>
                <w:color w:val="000000"/>
                <w:sz w:val="20"/>
                <w:szCs w:val="20"/>
                <w:lang w:val="en-GB" w:eastAsia="en-ID"/>
              </w:rPr>
              <w:t>First Stage Regression</w:t>
            </w:r>
          </w:p>
        </w:tc>
        <w:tc>
          <w:tcPr>
            <w:tcW w:w="1830" w:type="dxa"/>
            <w:tcBorders>
              <w:top w:val="single" w:sz="4" w:space="0" w:color="auto"/>
              <w:left w:val="nil"/>
              <w:bottom w:val="single" w:sz="4" w:space="0" w:color="auto"/>
              <w:right w:val="nil"/>
            </w:tcBorders>
            <w:shd w:val="clear" w:color="auto" w:fill="auto"/>
            <w:noWrap/>
            <w:vAlign w:val="center"/>
            <w:hideMark/>
          </w:tcPr>
          <w:p w14:paraId="128D629C" w14:textId="77777777" w:rsidR="00960F4F" w:rsidRPr="005F6FF4" w:rsidRDefault="00960F4F" w:rsidP="005F610D">
            <w:pPr>
              <w:spacing w:after="0" w:line="240" w:lineRule="auto"/>
              <w:jc w:val="center"/>
              <w:rPr>
                <w:rFonts w:eastAsia="Times New Roman" w:cstheme="minorHAnsi"/>
                <w:b/>
                <w:bCs/>
                <w:color w:val="000000"/>
                <w:sz w:val="20"/>
                <w:szCs w:val="20"/>
                <w:lang w:val="en-GB" w:eastAsia="en-ID"/>
              </w:rPr>
            </w:pPr>
            <w:r w:rsidRPr="005F6FF4">
              <w:rPr>
                <w:rFonts w:eastAsia="Times New Roman" w:cstheme="minorHAnsi"/>
                <w:b/>
                <w:bCs/>
                <w:color w:val="000000"/>
                <w:sz w:val="20"/>
                <w:szCs w:val="20"/>
                <w:lang w:val="en-GB" w:eastAsia="en-ID"/>
              </w:rPr>
              <w:t>(1)</w:t>
            </w:r>
          </w:p>
        </w:tc>
        <w:tc>
          <w:tcPr>
            <w:tcW w:w="1989" w:type="dxa"/>
            <w:tcBorders>
              <w:top w:val="single" w:sz="4" w:space="0" w:color="auto"/>
              <w:left w:val="nil"/>
              <w:bottom w:val="single" w:sz="4" w:space="0" w:color="auto"/>
              <w:right w:val="nil"/>
            </w:tcBorders>
            <w:shd w:val="clear" w:color="auto" w:fill="auto"/>
            <w:noWrap/>
            <w:vAlign w:val="center"/>
            <w:hideMark/>
          </w:tcPr>
          <w:p w14:paraId="550CC06E" w14:textId="77777777" w:rsidR="00960F4F" w:rsidRPr="005F6FF4" w:rsidRDefault="00960F4F" w:rsidP="005F610D">
            <w:pPr>
              <w:spacing w:after="0" w:line="240" w:lineRule="auto"/>
              <w:jc w:val="center"/>
              <w:rPr>
                <w:rFonts w:eastAsia="Times New Roman" w:cstheme="minorHAnsi"/>
                <w:b/>
                <w:bCs/>
                <w:color w:val="000000"/>
                <w:sz w:val="20"/>
                <w:szCs w:val="20"/>
                <w:lang w:val="en-GB" w:eastAsia="en-ID"/>
              </w:rPr>
            </w:pPr>
            <w:r w:rsidRPr="005F6FF4">
              <w:rPr>
                <w:rFonts w:eastAsia="Times New Roman" w:cstheme="minorHAnsi"/>
                <w:b/>
                <w:bCs/>
                <w:color w:val="000000"/>
                <w:sz w:val="20"/>
                <w:szCs w:val="20"/>
                <w:lang w:val="en-GB" w:eastAsia="en-ID"/>
              </w:rPr>
              <w:t>(2)</w:t>
            </w:r>
          </w:p>
        </w:tc>
      </w:tr>
      <w:tr w:rsidR="00960F4F" w:rsidRPr="005F6FF4" w14:paraId="6F48DB5A" w14:textId="77777777" w:rsidTr="007867D5">
        <w:trPr>
          <w:trHeight w:val="256"/>
        </w:trPr>
        <w:tc>
          <w:tcPr>
            <w:tcW w:w="5207" w:type="dxa"/>
            <w:vMerge/>
            <w:tcBorders>
              <w:top w:val="single" w:sz="4" w:space="0" w:color="auto"/>
              <w:left w:val="nil"/>
              <w:bottom w:val="single" w:sz="4" w:space="0" w:color="000000"/>
              <w:right w:val="nil"/>
            </w:tcBorders>
            <w:vAlign w:val="center"/>
            <w:hideMark/>
          </w:tcPr>
          <w:p w14:paraId="40D24408" w14:textId="77777777" w:rsidR="00960F4F" w:rsidRPr="005F6FF4" w:rsidRDefault="00960F4F" w:rsidP="005F610D">
            <w:pPr>
              <w:spacing w:after="0" w:line="240" w:lineRule="auto"/>
              <w:rPr>
                <w:rFonts w:eastAsia="Times New Roman" w:cstheme="minorHAnsi"/>
                <w:b/>
                <w:bCs/>
                <w:color w:val="000000"/>
                <w:sz w:val="20"/>
                <w:szCs w:val="20"/>
                <w:lang w:val="en-GB" w:eastAsia="en-ID"/>
              </w:rPr>
            </w:pPr>
          </w:p>
        </w:tc>
        <w:tc>
          <w:tcPr>
            <w:tcW w:w="1830" w:type="dxa"/>
            <w:tcBorders>
              <w:top w:val="nil"/>
              <w:left w:val="nil"/>
              <w:bottom w:val="single" w:sz="4" w:space="0" w:color="auto"/>
              <w:right w:val="nil"/>
            </w:tcBorders>
            <w:shd w:val="clear" w:color="auto" w:fill="auto"/>
            <w:noWrap/>
            <w:vAlign w:val="center"/>
            <w:hideMark/>
          </w:tcPr>
          <w:p w14:paraId="5D88C3D1" w14:textId="2471E54A" w:rsidR="00960F4F" w:rsidRPr="005F6FF4" w:rsidRDefault="00102FBB" w:rsidP="005F610D">
            <w:pPr>
              <w:spacing w:after="0" w:line="240" w:lineRule="auto"/>
              <w:jc w:val="center"/>
              <w:rPr>
                <w:rFonts w:eastAsia="Times New Roman" w:cstheme="minorHAnsi"/>
                <w:b/>
                <w:bCs/>
                <w:color w:val="000000"/>
                <w:sz w:val="20"/>
                <w:szCs w:val="20"/>
                <w:lang w:val="en-GB" w:eastAsia="en-ID"/>
              </w:rPr>
            </w:pPr>
            <w:r w:rsidRPr="005F6FF4">
              <w:rPr>
                <w:rFonts w:eastAsiaTheme="minorEastAsia"/>
                <w:lang w:val="en-GB"/>
              </w:rPr>
              <w:t xml:space="preserve">Digital Transformation, </w:t>
            </w:r>
            <m:oMath>
              <m:sSub>
                <m:sSubPr>
                  <m:ctrlPr>
                    <w:rPr>
                      <w:rFonts w:ascii="Cambria Math" w:hAnsi="Cambria Math" w:cstheme="minorHAnsi"/>
                      <w:i/>
                      <w:lang w:val="en-GB"/>
                    </w:rPr>
                  </m:ctrlPr>
                </m:sSubPr>
                <m:e>
                  <m:r>
                    <w:rPr>
                      <w:rFonts w:ascii="Cambria Math" w:hAnsi="Cambria Math" w:cstheme="minorHAnsi"/>
                      <w:lang w:val="en-GB"/>
                    </w:rPr>
                    <m:t>DT</m:t>
                  </m:r>
                </m:e>
                <m:sub>
                  <m:r>
                    <w:rPr>
                      <w:rFonts w:ascii="Cambria Math" w:hAnsi="Cambria Math" w:cstheme="minorHAnsi"/>
                      <w:lang w:val="en-GB"/>
                    </w:rPr>
                    <m:t>t</m:t>
                  </m:r>
                </m:sub>
              </m:sSub>
            </m:oMath>
          </w:p>
        </w:tc>
        <w:tc>
          <w:tcPr>
            <w:tcW w:w="1989" w:type="dxa"/>
            <w:tcBorders>
              <w:top w:val="nil"/>
              <w:left w:val="nil"/>
              <w:bottom w:val="single" w:sz="4" w:space="0" w:color="auto"/>
              <w:right w:val="nil"/>
            </w:tcBorders>
            <w:shd w:val="clear" w:color="auto" w:fill="auto"/>
            <w:noWrap/>
            <w:vAlign w:val="center"/>
            <w:hideMark/>
          </w:tcPr>
          <w:p w14:paraId="62CD0BC1" w14:textId="7747418F" w:rsidR="00960F4F" w:rsidRPr="005F6FF4" w:rsidRDefault="00102FBB" w:rsidP="00102FBB">
            <w:pPr>
              <w:spacing w:after="0" w:line="240" w:lineRule="auto"/>
              <w:jc w:val="center"/>
              <w:rPr>
                <w:rFonts w:eastAsiaTheme="minorEastAsia"/>
                <w:lang w:val="en-GB"/>
              </w:rPr>
            </w:pPr>
            <w:r w:rsidRPr="005F6FF4">
              <w:rPr>
                <w:rFonts w:eastAsiaTheme="minorEastAsia"/>
                <w:lang w:val="en-GB"/>
              </w:rPr>
              <w:t>Digital Transformation,</w:t>
            </w:r>
            <m:oMath>
              <m:sSub>
                <m:sSubPr>
                  <m:ctrlPr>
                    <w:rPr>
                      <w:rFonts w:ascii="Cambria Math" w:hAnsi="Cambria Math" w:cstheme="minorHAnsi"/>
                      <w:i/>
                      <w:lang w:val="en-GB"/>
                    </w:rPr>
                  </m:ctrlPr>
                </m:sSubPr>
                <m:e>
                  <m:r>
                    <w:rPr>
                      <w:rFonts w:ascii="Cambria Math" w:hAnsi="Cambria Math" w:cstheme="minorHAnsi"/>
                      <w:lang w:val="en-GB"/>
                    </w:rPr>
                    <m:t>DT</m:t>
                  </m:r>
                </m:e>
                <m:sub>
                  <m:r>
                    <w:rPr>
                      <w:rFonts w:ascii="Cambria Math" w:hAnsi="Cambria Math" w:cstheme="minorHAnsi"/>
                      <w:lang w:val="en-GB"/>
                    </w:rPr>
                    <m:t>t</m:t>
                  </m:r>
                </m:sub>
              </m:sSub>
            </m:oMath>
          </w:p>
        </w:tc>
      </w:tr>
      <w:tr w:rsidR="00960F4F" w:rsidRPr="005F6FF4" w14:paraId="669D3B1F" w14:textId="77777777" w:rsidTr="007867D5">
        <w:trPr>
          <w:trHeight w:val="256"/>
        </w:trPr>
        <w:tc>
          <w:tcPr>
            <w:tcW w:w="5207" w:type="dxa"/>
            <w:tcBorders>
              <w:top w:val="nil"/>
              <w:left w:val="nil"/>
              <w:bottom w:val="nil"/>
              <w:right w:val="nil"/>
            </w:tcBorders>
            <w:shd w:val="clear" w:color="auto" w:fill="auto"/>
            <w:noWrap/>
            <w:vAlign w:val="bottom"/>
            <w:hideMark/>
          </w:tcPr>
          <w:p w14:paraId="59140FA5" w14:textId="61D56B2B" w:rsidR="00960F4F" w:rsidRPr="005F6FF4" w:rsidRDefault="00102FBB" w:rsidP="005F610D">
            <w:pPr>
              <w:spacing w:after="0" w:line="240" w:lineRule="auto"/>
              <w:rPr>
                <w:rFonts w:eastAsia="Times New Roman" w:cstheme="minorHAnsi"/>
                <w:color w:val="000000"/>
                <w:sz w:val="20"/>
                <w:szCs w:val="20"/>
                <w:lang w:val="en-GB" w:eastAsia="en-ID"/>
              </w:rPr>
            </w:pPr>
            <w:r w:rsidRPr="005F6FF4">
              <w:rPr>
                <w:rFonts w:eastAsiaTheme="minorEastAsia"/>
                <w:lang w:val="en-GB"/>
              </w:rPr>
              <w:t xml:space="preserve">One-year lag of Digital Transformation, </w:t>
            </w:r>
            <m:oMath>
              <m:sSub>
                <m:sSubPr>
                  <m:ctrlPr>
                    <w:rPr>
                      <w:rFonts w:ascii="Cambria Math" w:hAnsi="Cambria Math" w:cstheme="minorHAnsi"/>
                      <w:i/>
                      <w:lang w:val="en-GB"/>
                    </w:rPr>
                  </m:ctrlPr>
                </m:sSubPr>
                <m:e>
                  <m:r>
                    <w:rPr>
                      <w:rFonts w:ascii="Cambria Math" w:hAnsi="Cambria Math" w:cstheme="minorHAnsi"/>
                      <w:lang w:val="en-GB"/>
                    </w:rPr>
                    <m:t>DT</m:t>
                  </m:r>
                </m:e>
                <m:sub>
                  <m:r>
                    <w:rPr>
                      <w:rFonts w:ascii="Cambria Math" w:hAnsi="Cambria Math" w:cstheme="minorHAnsi"/>
                      <w:lang w:val="en-GB"/>
                    </w:rPr>
                    <m:t>t-1</m:t>
                  </m:r>
                </m:sub>
              </m:sSub>
            </m:oMath>
          </w:p>
        </w:tc>
        <w:tc>
          <w:tcPr>
            <w:tcW w:w="1830" w:type="dxa"/>
            <w:tcBorders>
              <w:top w:val="nil"/>
              <w:left w:val="nil"/>
              <w:bottom w:val="nil"/>
              <w:right w:val="nil"/>
            </w:tcBorders>
            <w:shd w:val="clear" w:color="auto" w:fill="auto"/>
            <w:noWrap/>
            <w:vAlign w:val="bottom"/>
            <w:hideMark/>
          </w:tcPr>
          <w:p w14:paraId="71A901D5" w14:textId="77777777" w:rsidR="00960F4F" w:rsidRPr="005F6FF4" w:rsidRDefault="00960F4F" w:rsidP="005F610D">
            <w:pPr>
              <w:spacing w:after="0" w:line="240" w:lineRule="auto"/>
              <w:jc w:val="right"/>
              <w:rPr>
                <w:rFonts w:eastAsia="Times New Roman" w:cstheme="minorHAnsi"/>
                <w:color w:val="000000"/>
                <w:sz w:val="20"/>
                <w:szCs w:val="20"/>
                <w:lang w:val="en-GB" w:eastAsia="en-ID"/>
              </w:rPr>
            </w:pPr>
            <w:r w:rsidRPr="005F6FF4">
              <w:rPr>
                <w:rFonts w:eastAsia="Times New Roman" w:cstheme="minorHAnsi"/>
                <w:color w:val="000000"/>
                <w:sz w:val="20"/>
                <w:szCs w:val="20"/>
                <w:lang w:val="en-GB" w:eastAsia="en-ID"/>
              </w:rPr>
              <w:t>1.0045***</w:t>
            </w:r>
          </w:p>
        </w:tc>
        <w:tc>
          <w:tcPr>
            <w:tcW w:w="1989" w:type="dxa"/>
            <w:tcBorders>
              <w:top w:val="nil"/>
              <w:left w:val="nil"/>
              <w:bottom w:val="nil"/>
              <w:right w:val="nil"/>
            </w:tcBorders>
            <w:shd w:val="clear" w:color="auto" w:fill="auto"/>
            <w:noWrap/>
            <w:vAlign w:val="bottom"/>
            <w:hideMark/>
          </w:tcPr>
          <w:p w14:paraId="7BB840DC" w14:textId="77777777" w:rsidR="00960F4F" w:rsidRPr="005F6FF4" w:rsidRDefault="00960F4F" w:rsidP="005F610D">
            <w:pPr>
              <w:spacing w:after="0" w:line="240" w:lineRule="auto"/>
              <w:jc w:val="right"/>
              <w:rPr>
                <w:rFonts w:eastAsia="Times New Roman" w:cstheme="minorHAnsi"/>
                <w:color w:val="000000"/>
                <w:sz w:val="20"/>
                <w:szCs w:val="20"/>
                <w:lang w:val="en-GB" w:eastAsia="en-ID"/>
              </w:rPr>
            </w:pPr>
            <w:r w:rsidRPr="005F6FF4">
              <w:rPr>
                <w:rFonts w:eastAsia="Times New Roman" w:cstheme="minorHAnsi"/>
                <w:color w:val="000000"/>
                <w:sz w:val="20"/>
                <w:szCs w:val="20"/>
                <w:lang w:val="en-GB" w:eastAsia="en-ID"/>
              </w:rPr>
              <w:t>0.9735***</w:t>
            </w:r>
          </w:p>
        </w:tc>
      </w:tr>
      <w:tr w:rsidR="00960F4F" w:rsidRPr="005F6FF4" w14:paraId="48B1F7C9" w14:textId="77777777" w:rsidTr="007867D5">
        <w:trPr>
          <w:trHeight w:val="256"/>
        </w:trPr>
        <w:tc>
          <w:tcPr>
            <w:tcW w:w="5207" w:type="dxa"/>
            <w:tcBorders>
              <w:top w:val="nil"/>
              <w:left w:val="nil"/>
              <w:bottom w:val="nil"/>
              <w:right w:val="nil"/>
            </w:tcBorders>
            <w:shd w:val="clear" w:color="auto" w:fill="auto"/>
            <w:noWrap/>
            <w:vAlign w:val="bottom"/>
            <w:hideMark/>
          </w:tcPr>
          <w:p w14:paraId="38F1F033" w14:textId="77777777" w:rsidR="00960F4F" w:rsidRPr="005F6FF4" w:rsidRDefault="00960F4F" w:rsidP="005F610D">
            <w:pPr>
              <w:spacing w:after="0" w:line="240" w:lineRule="auto"/>
              <w:jc w:val="right"/>
              <w:rPr>
                <w:rFonts w:eastAsia="Times New Roman" w:cstheme="minorHAnsi"/>
                <w:color w:val="000000"/>
                <w:sz w:val="20"/>
                <w:szCs w:val="20"/>
                <w:lang w:val="en-GB" w:eastAsia="en-ID"/>
              </w:rPr>
            </w:pPr>
          </w:p>
        </w:tc>
        <w:tc>
          <w:tcPr>
            <w:tcW w:w="1830" w:type="dxa"/>
            <w:tcBorders>
              <w:top w:val="nil"/>
              <w:left w:val="nil"/>
              <w:bottom w:val="nil"/>
              <w:right w:val="nil"/>
            </w:tcBorders>
            <w:shd w:val="clear" w:color="auto" w:fill="auto"/>
            <w:noWrap/>
            <w:vAlign w:val="bottom"/>
            <w:hideMark/>
          </w:tcPr>
          <w:p w14:paraId="3498A97F" w14:textId="77777777" w:rsidR="00960F4F" w:rsidRPr="005F6FF4" w:rsidRDefault="00960F4F" w:rsidP="005F610D">
            <w:pPr>
              <w:spacing w:after="0" w:line="240" w:lineRule="auto"/>
              <w:jc w:val="right"/>
              <w:rPr>
                <w:rFonts w:eastAsia="Times New Roman" w:cstheme="minorHAnsi"/>
                <w:color w:val="000000"/>
                <w:sz w:val="20"/>
                <w:szCs w:val="20"/>
                <w:lang w:val="en-GB" w:eastAsia="en-ID"/>
              </w:rPr>
            </w:pPr>
            <w:r w:rsidRPr="005F6FF4">
              <w:rPr>
                <w:rFonts w:eastAsia="Times New Roman" w:cstheme="minorHAnsi"/>
                <w:color w:val="000000"/>
                <w:sz w:val="20"/>
                <w:szCs w:val="20"/>
                <w:lang w:val="en-GB" w:eastAsia="en-ID"/>
              </w:rPr>
              <w:t>(0.0251)</w:t>
            </w:r>
          </w:p>
        </w:tc>
        <w:tc>
          <w:tcPr>
            <w:tcW w:w="1989" w:type="dxa"/>
            <w:tcBorders>
              <w:top w:val="nil"/>
              <w:left w:val="nil"/>
              <w:bottom w:val="nil"/>
              <w:right w:val="nil"/>
            </w:tcBorders>
            <w:shd w:val="clear" w:color="auto" w:fill="auto"/>
            <w:noWrap/>
            <w:vAlign w:val="bottom"/>
            <w:hideMark/>
          </w:tcPr>
          <w:p w14:paraId="5FAB463A" w14:textId="77777777" w:rsidR="00960F4F" w:rsidRPr="005F6FF4" w:rsidRDefault="00960F4F" w:rsidP="005F610D">
            <w:pPr>
              <w:spacing w:after="0" w:line="240" w:lineRule="auto"/>
              <w:jc w:val="right"/>
              <w:rPr>
                <w:rFonts w:eastAsia="Times New Roman" w:cstheme="minorHAnsi"/>
                <w:color w:val="000000"/>
                <w:sz w:val="20"/>
                <w:szCs w:val="20"/>
                <w:lang w:val="en-GB" w:eastAsia="en-ID"/>
              </w:rPr>
            </w:pPr>
            <w:r w:rsidRPr="005F6FF4">
              <w:rPr>
                <w:rFonts w:eastAsia="Times New Roman" w:cstheme="minorHAnsi"/>
                <w:color w:val="000000"/>
                <w:sz w:val="20"/>
                <w:szCs w:val="20"/>
                <w:lang w:val="en-GB" w:eastAsia="en-ID"/>
              </w:rPr>
              <w:t>(0.0629)</w:t>
            </w:r>
          </w:p>
        </w:tc>
      </w:tr>
      <w:tr w:rsidR="00960F4F" w:rsidRPr="005F6FF4" w14:paraId="1AFF6521" w14:textId="77777777" w:rsidTr="007867D5">
        <w:trPr>
          <w:trHeight w:val="256"/>
        </w:trPr>
        <w:tc>
          <w:tcPr>
            <w:tcW w:w="5207" w:type="dxa"/>
            <w:tcBorders>
              <w:top w:val="nil"/>
              <w:left w:val="nil"/>
              <w:bottom w:val="nil"/>
              <w:right w:val="nil"/>
            </w:tcBorders>
            <w:shd w:val="clear" w:color="auto" w:fill="auto"/>
            <w:noWrap/>
            <w:vAlign w:val="bottom"/>
            <w:hideMark/>
          </w:tcPr>
          <w:p w14:paraId="6E7BB641" w14:textId="396B3BDF" w:rsidR="00960F4F" w:rsidRPr="005F6FF4" w:rsidRDefault="00102FBB" w:rsidP="005F610D">
            <w:pPr>
              <w:spacing w:after="0" w:line="240" w:lineRule="auto"/>
              <w:rPr>
                <w:rFonts w:eastAsia="Times New Roman" w:cstheme="minorHAnsi"/>
                <w:color w:val="000000"/>
                <w:sz w:val="20"/>
                <w:szCs w:val="20"/>
                <w:lang w:val="en-GB" w:eastAsia="en-ID"/>
              </w:rPr>
            </w:pPr>
            <w:r w:rsidRPr="005F6FF4">
              <w:rPr>
                <w:rFonts w:eastAsiaTheme="minorEastAsia"/>
                <w:lang w:val="en-GB"/>
              </w:rPr>
              <w:t xml:space="preserve">One-year lag of Accountability Index, </w:t>
            </w:r>
            <m:oMath>
              <m:sSub>
                <m:sSubPr>
                  <m:ctrlPr>
                    <w:rPr>
                      <w:rFonts w:ascii="Cambria Math" w:hAnsi="Cambria Math" w:cstheme="minorHAnsi"/>
                      <w:i/>
                      <w:lang w:val="en-GB"/>
                    </w:rPr>
                  </m:ctrlPr>
                </m:sSubPr>
                <m:e>
                  <m:r>
                    <w:rPr>
                      <w:rFonts w:ascii="Cambria Math" w:hAnsi="Cambria Math" w:cstheme="minorHAnsi"/>
                      <w:lang w:val="en-GB"/>
                    </w:rPr>
                    <m:t>AI</m:t>
                  </m:r>
                </m:e>
                <m:sub>
                  <m:r>
                    <w:rPr>
                      <w:rFonts w:ascii="Cambria Math" w:hAnsi="Cambria Math" w:cstheme="minorHAnsi"/>
                      <w:lang w:val="en-GB"/>
                    </w:rPr>
                    <m:t>t-1</m:t>
                  </m:r>
                </m:sub>
              </m:sSub>
            </m:oMath>
          </w:p>
        </w:tc>
        <w:tc>
          <w:tcPr>
            <w:tcW w:w="1830" w:type="dxa"/>
            <w:tcBorders>
              <w:top w:val="nil"/>
              <w:left w:val="nil"/>
              <w:bottom w:val="nil"/>
              <w:right w:val="nil"/>
            </w:tcBorders>
            <w:shd w:val="clear" w:color="auto" w:fill="auto"/>
            <w:noWrap/>
            <w:vAlign w:val="bottom"/>
            <w:hideMark/>
          </w:tcPr>
          <w:p w14:paraId="1B0BCC75" w14:textId="77777777" w:rsidR="00960F4F" w:rsidRPr="005F6FF4" w:rsidRDefault="00960F4F" w:rsidP="005F610D">
            <w:pPr>
              <w:spacing w:after="0" w:line="240" w:lineRule="auto"/>
              <w:jc w:val="right"/>
              <w:rPr>
                <w:rFonts w:eastAsia="Times New Roman" w:cstheme="minorHAnsi"/>
                <w:color w:val="000000"/>
                <w:sz w:val="20"/>
                <w:szCs w:val="20"/>
                <w:lang w:val="en-GB" w:eastAsia="en-ID"/>
              </w:rPr>
            </w:pPr>
            <w:r w:rsidRPr="005F6FF4">
              <w:rPr>
                <w:rFonts w:eastAsia="Times New Roman" w:cstheme="minorHAnsi"/>
                <w:color w:val="000000"/>
                <w:sz w:val="20"/>
                <w:szCs w:val="20"/>
                <w:lang w:val="en-GB" w:eastAsia="en-ID"/>
              </w:rPr>
              <w:t>-</w:t>
            </w:r>
          </w:p>
        </w:tc>
        <w:tc>
          <w:tcPr>
            <w:tcW w:w="1989" w:type="dxa"/>
            <w:tcBorders>
              <w:top w:val="nil"/>
              <w:left w:val="nil"/>
              <w:bottom w:val="nil"/>
              <w:right w:val="nil"/>
            </w:tcBorders>
            <w:shd w:val="clear" w:color="auto" w:fill="auto"/>
            <w:noWrap/>
            <w:vAlign w:val="bottom"/>
            <w:hideMark/>
          </w:tcPr>
          <w:p w14:paraId="2EAF6D43" w14:textId="77777777" w:rsidR="00960F4F" w:rsidRPr="005F6FF4" w:rsidRDefault="00960F4F" w:rsidP="005F610D">
            <w:pPr>
              <w:spacing w:after="0" w:line="240" w:lineRule="auto"/>
              <w:jc w:val="right"/>
              <w:rPr>
                <w:rFonts w:eastAsia="Times New Roman" w:cstheme="minorHAnsi"/>
                <w:color w:val="000000"/>
                <w:sz w:val="20"/>
                <w:szCs w:val="20"/>
                <w:lang w:val="en-GB" w:eastAsia="en-ID"/>
              </w:rPr>
            </w:pPr>
            <w:r w:rsidRPr="005F6FF4">
              <w:rPr>
                <w:rFonts w:eastAsia="Times New Roman" w:cstheme="minorHAnsi"/>
                <w:color w:val="000000"/>
                <w:sz w:val="20"/>
                <w:szCs w:val="20"/>
                <w:lang w:val="en-GB" w:eastAsia="en-ID"/>
              </w:rPr>
              <w:t>0.4982</w:t>
            </w:r>
          </w:p>
        </w:tc>
      </w:tr>
      <w:tr w:rsidR="00960F4F" w:rsidRPr="005F6FF4" w14:paraId="3358F5CE" w14:textId="77777777" w:rsidTr="007867D5">
        <w:trPr>
          <w:trHeight w:val="256"/>
        </w:trPr>
        <w:tc>
          <w:tcPr>
            <w:tcW w:w="5207" w:type="dxa"/>
            <w:tcBorders>
              <w:top w:val="nil"/>
              <w:left w:val="nil"/>
              <w:bottom w:val="nil"/>
              <w:right w:val="nil"/>
            </w:tcBorders>
            <w:shd w:val="clear" w:color="auto" w:fill="auto"/>
            <w:noWrap/>
            <w:vAlign w:val="bottom"/>
            <w:hideMark/>
          </w:tcPr>
          <w:p w14:paraId="52D768E5" w14:textId="77777777" w:rsidR="00960F4F" w:rsidRPr="005F6FF4" w:rsidRDefault="00960F4F" w:rsidP="005F610D">
            <w:pPr>
              <w:spacing w:after="0" w:line="240" w:lineRule="auto"/>
              <w:jc w:val="right"/>
              <w:rPr>
                <w:rFonts w:eastAsia="Times New Roman" w:cstheme="minorHAnsi"/>
                <w:color w:val="000000"/>
                <w:sz w:val="20"/>
                <w:szCs w:val="20"/>
                <w:lang w:val="en-GB" w:eastAsia="en-ID"/>
              </w:rPr>
            </w:pPr>
          </w:p>
        </w:tc>
        <w:tc>
          <w:tcPr>
            <w:tcW w:w="1830" w:type="dxa"/>
            <w:tcBorders>
              <w:top w:val="nil"/>
              <w:left w:val="nil"/>
              <w:bottom w:val="nil"/>
              <w:right w:val="nil"/>
            </w:tcBorders>
            <w:shd w:val="clear" w:color="auto" w:fill="auto"/>
            <w:noWrap/>
            <w:vAlign w:val="bottom"/>
            <w:hideMark/>
          </w:tcPr>
          <w:p w14:paraId="2CE00517" w14:textId="77777777" w:rsidR="00960F4F" w:rsidRPr="005F6FF4" w:rsidRDefault="00960F4F" w:rsidP="005F610D">
            <w:pPr>
              <w:spacing w:after="0" w:line="240" w:lineRule="auto"/>
              <w:rPr>
                <w:rFonts w:eastAsia="Times New Roman" w:cstheme="minorHAnsi"/>
                <w:sz w:val="20"/>
                <w:szCs w:val="20"/>
                <w:lang w:val="en-GB" w:eastAsia="en-ID"/>
              </w:rPr>
            </w:pPr>
          </w:p>
        </w:tc>
        <w:tc>
          <w:tcPr>
            <w:tcW w:w="1989" w:type="dxa"/>
            <w:tcBorders>
              <w:top w:val="nil"/>
              <w:left w:val="nil"/>
              <w:bottom w:val="nil"/>
              <w:right w:val="nil"/>
            </w:tcBorders>
            <w:shd w:val="clear" w:color="auto" w:fill="auto"/>
            <w:noWrap/>
            <w:vAlign w:val="bottom"/>
            <w:hideMark/>
          </w:tcPr>
          <w:p w14:paraId="29300C6A" w14:textId="77777777" w:rsidR="00960F4F" w:rsidRPr="005F6FF4" w:rsidRDefault="00960F4F" w:rsidP="005F610D">
            <w:pPr>
              <w:spacing w:after="0" w:line="240" w:lineRule="auto"/>
              <w:jc w:val="right"/>
              <w:rPr>
                <w:rFonts w:eastAsia="Times New Roman" w:cstheme="minorHAnsi"/>
                <w:color w:val="000000"/>
                <w:sz w:val="20"/>
                <w:szCs w:val="20"/>
                <w:lang w:val="en-GB" w:eastAsia="en-ID"/>
              </w:rPr>
            </w:pPr>
            <w:r w:rsidRPr="005F6FF4">
              <w:rPr>
                <w:rFonts w:eastAsia="Times New Roman" w:cstheme="minorHAnsi"/>
                <w:color w:val="000000"/>
                <w:sz w:val="20"/>
                <w:szCs w:val="20"/>
                <w:lang w:val="en-GB" w:eastAsia="en-ID"/>
              </w:rPr>
              <w:t>(2.1770)</w:t>
            </w:r>
          </w:p>
        </w:tc>
      </w:tr>
      <w:tr w:rsidR="00960F4F" w:rsidRPr="005F6FF4" w14:paraId="04D92941" w14:textId="77777777" w:rsidTr="007867D5">
        <w:trPr>
          <w:trHeight w:val="256"/>
        </w:trPr>
        <w:tc>
          <w:tcPr>
            <w:tcW w:w="5207" w:type="dxa"/>
            <w:tcBorders>
              <w:top w:val="nil"/>
              <w:left w:val="nil"/>
              <w:bottom w:val="nil"/>
              <w:right w:val="nil"/>
            </w:tcBorders>
            <w:shd w:val="clear" w:color="auto" w:fill="auto"/>
            <w:noWrap/>
            <w:vAlign w:val="bottom"/>
            <w:hideMark/>
          </w:tcPr>
          <w:p w14:paraId="76DABB9F" w14:textId="1F589269" w:rsidR="00960F4F" w:rsidRPr="005F6FF4" w:rsidRDefault="00102FBB" w:rsidP="005F610D">
            <w:pPr>
              <w:spacing w:after="0" w:line="240" w:lineRule="auto"/>
              <w:rPr>
                <w:rFonts w:eastAsia="Times New Roman" w:cstheme="minorHAnsi"/>
                <w:color w:val="000000"/>
                <w:sz w:val="20"/>
                <w:szCs w:val="20"/>
                <w:lang w:val="en-GB" w:eastAsia="en-ID"/>
              </w:rPr>
            </w:pPr>
            <w:r w:rsidRPr="005F6FF4">
              <w:rPr>
                <w:rFonts w:eastAsiaTheme="minorEastAsia"/>
                <w:lang w:val="en-GB"/>
              </w:rPr>
              <w:t xml:space="preserve">One-year lag of </w:t>
            </w:r>
            <w:r w:rsidR="00960F4F" w:rsidRPr="005F6FF4">
              <w:rPr>
                <w:rFonts w:eastAsia="Times New Roman" w:cstheme="minorHAnsi"/>
                <w:color w:val="000000"/>
                <w:sz w:val="20"/>
                <w:szCs w:val="20"/>
                <w:lang w:val="en-GB" w:eastAsia="en-ID"/>
              </w:rPr>
              <w:t>Civil Liberty Index</w:t>
            </w:r>
            <w:r w:rsidRPr="005F6FF4">
              <w:rPr>
                <w:rFonts w:eastAsia="Times New Roman" w:cstheme="minorHAnsi"/>
                <w:color w:val="000000"/>
                <w:sz w:val="20"/>
                <w:szCs w:val="20"/>
                <w:lang w:val="en-GB" w:eastAsia="en-ID"/>
              </w:rPr>
              <w:t xml:space="preserve">, </w:t>
            </w:r>
            <m:oMath>
              <m:sSub>
                <m:sSubPr>
                  <m:ctrlPr>
                    <w:rPr>
                      <w:rFonts w:ascii="Cambria Math" w:hAnsi="Cambria Math" w:cstheme="minorHAnsi"/>
                      <w:i/>
                      <w:lang w:val="en-GB"/>
                    </w:rPr>
                  </m:ctrlPr>
                </m:sSubPr>
                <m:e>
                  <m:r>
                    <w:rPr>
                      <w:rFonts w:ascii="Cambria Math" w:hAnsi="Cambria Math" w:cstheme="minorHAnsi"/>
                      <w:lang w:val="en-GB"/>
                    </w:rPr>
                    <m:t>CLI</m:t>
                  </m:r>
                </m:e>
                <m:sub>
                  <m:r>
                    <w:rPr>
                      <w:rFonts w:ascii="Cambria Math" w:hAnsi="Cambria Math" w:cstheme="minorHAnsi"/>
                      <w:lang w:val="en-GB"/>
                    </w:rPr>
                    <m:t>t-1</m:t>
                  </m:r>
                </m:sub>
              </m:sSub>
            </m:oMath>
          </w:p>
        </w:tc>
        <w:tc>
          <w:tcPr>
            <w:tcW w:w="1830" w:type="dxa"/>
            <w:tcBorders>
              <w:top w:val="nil"/>
              <w:left w:val="nil"/>
              <w:bottom w:val="nil"/>
              <w:right w:val="nil"/>
            </w:tcBorders>
            <w:shd w:val="clear" w:color="auto" w:fill="auto"/>
            <w:noWrap/>
            <w:vAlign w:val="bottom"/>
            <w:hideMark/>
          </w:tcPr>
          <w:p w14:paraId="405CB028" w14:textId="77777777" w:rsidR="00960F4F" w:rsidRPr="005F6FF4" w:rsidRDefault="00960F4F" w:rsidP="005F610D">
            <w:pPr>
              <w:spacing w:after="0" w:line="240" w:lineRule="auto"/>
              <w:jc w:val="right"/>
              <w:rPr>
                <w:rFonts w:eastAsia="Times New Roman" w:cstheme="minorHAnsi"/>
                <w:color w:val="000000"/>
                <w:sz w:val="20"/>
                <w:szCs w:val="20"/>
                <w:lang w:val="en-GB" w:eastAsia="en-ID"/>
              </w:rPr>
            </w:pPr>
            <w:r w:rsidRPr="005F6FF4">
              <w:rPr>
                <w:rFonts w:eastAsia="Times New Roman" w:cstheme="minorHAnsi"/>
                <w:color w:val="000000"/>
                <w:sz w:val="20"/>
                <w:szCs w:val="20"/>
                <w:lang w:val="en-GB" w:eastAsia="en-ID"/>
              </w:rPr>
              <w:t>-</w:t>
            </w:r>
          </w:p>
        </w:tc>
        <w:tc>
          <w:tcPr>
            <w:tcW w:w="1989" w:type="dxa"/>
            <w:tcBorders>
              <w:top w:val="nil"/>
              <w:left w:val="nil"/>
              <w:bottom w:val="nil"/>
              <w:right w:val="nil"/>
            </w:tcBorders>
            <w:shd w:val="clear" w:color="auto" w:fill="auto"/>
            <w:noWrap/>
            <w:vAlign w:val="bottom"/>
            <w:hideMark/>
          </w:tcPr>
          <w:p w14:paraId="3EDECFDD" w14:textId="77777777" w:rsidR="00960F4F" w:rsidRPr="005F6FF4" w:rsidRDefault="00960F4F" w:rsidP="005F610D">
            <w:pPr>
              <w:spacing w:after="0" w:line="240" w:lineRule="auto"/>
              <w:jc w:val="right"/>
              <w:rPr>
                <w:rFonts w:eastAsia="Times New Roman" w:cstheme="minorHAnsi"/>
                <w:color w:val="000000"/>
                <w:sz w:val="20"/>
                <w:szCs w:val="20"/>
                <w:lang w:val="en-GB" w:eastAsia="en-ID"/>
              </w:rPr>
            </w:pPr>
            <w:r w:rsidRPr="005F6FF4">
              <w:rPr>
                <w:rFonts w:eastAsia="Times New Roman" w:cstheme="minorHAnsi"/>
                <w:color w:val="000000"/>
                <w:sz w:val="20"/>
                <w:szCs w:val="20"/>
                <w:lang w:val="en-GB" w:eastAsia="en-ID"/>
              </w:rPr>
              <w:t>-0.6440</w:t>
            </w:r>
          </w:p>
        </w:tc>
      </w:tr>
      <w:tr w:rsidR="00960F4F" w:rsidRPr="005F6FF4" w14:paraId="44455B99" w14:textId="77777777" w:rsidTr="007867D5">
        <w:trPr>
          <w:trHeight w:val="256"/>
        </w:trPr>
        <w:tc>
          <w:tcPr>
            <w:tcW w:w="5207" w:type="dxa"/>
            <w:tcBorders>
              <w:top w:val="nil"/>
              <w:left w:val="nil"/>
              <w:bottom w:val="nil"/>
              <w:right w:val="nil"/>
            </w:tcBorders>
            <w:shd w:val="clear" w:color="auto" w:fill="auto"/>
            <w:noWrap/>
            <w:vAlign w:val="bottom"/>
            <w:hideMark/>
          </w:tcPr>
          <w:p w14:paraId="1A105F88" w14:textId="77777777" w:rsidR="00960F4F" w:rsidRPr="005F6FF4" w:rsidRDefault="00960F4F" w:rsidP="005F610D">
            <w:pPr>
              <w:spacing w:after="0" w:line="240" w:lineRule="auto"/>
              <w:jc w:val="right"/>
              <w:rPr>
                <w:rFonts w:eastAsia="Times New Roman" w:cstheme="minorHAnsi"/>
                <w:color w:val="000000"/>
                <w:sz w:val="20"/>
                <w:szCs w:val="20"/>
                <w:lang w:val="en-GB" w:eastAsia="en-ID"/>
              </w:rPr>
            </w:pPr>
          </w:p>
        </w:tc>
        <w:tc>
          <w:tcPr>
            <w:tcW w:w="1830" w:type="dxa"/>
            <w:tcBorders>
              <w:top w:val="nil"/>
              <w:left w:val="nil"/>
              <w:bottom w:val="nil"/>
              <w:right w:val="nil"/>
            </w:tcBorders>
            <w:shd w:val="clear" w:color="auto" w:fill="auto"/>
            <w:noWrap/>
            <w:vAlign w:val="bottom"/>
            <w:hideMark/>
          </w:tcPr>
          <w:p w14:paraId="012DB1BD" w14:textId="77777777" w:rsidR="00960F4F" w:rsidRPr="005F6FF4" w:rsidRDefault="00960F4F" w:rsidP="005F610D">
            <w:pPr>
              <w:spacing w:after="0" w:line="240" w:lineRule="auto"/>
              <w:rPr>
                <w:rFonts w:eastAsia="Times New Roman" w:cstheme="minorHAnsi"/>
                <w:sz w:val="20"/>
                <w:szCs w:val="20"/>
                <w:lang w:val="en-GB" w:eastAsia="en-ID"/>
              </w:rPr>
            </w:pPr>
          </w:p>
        </w:tc>
        <w:tc>
          <w:tcPr>
            <w:tcW w:w="1989" w:type="dxa"/>
            <w:tcBorders>
              <w:top w:val="nil"/>
              <w:left w:val="nil"/>
              <w:bottom w:val="nil"/>
              <w:right w:val="nil"/>
            </w:tcBorders>
            <w:shd w:val="clear" w:color="auto" w:fill="auto"/>
            <w:noWrap/>
            <w:vAlign w:val="bottom"/>
            <w:hideMark/>
          </w:tcPr>
          <w:p w14:paraId="51083E28" w14:textId="77777777" w:rsidR="00960F4F" w:rsidRPr="005F6FF4" w:rsidRDefault="00960F4F" w:rsidP="005F610D">
            <w:pPr>
              <w:spacing w:after="0" w:line="240" w:lineRule="auto"/>
              <w:jc w:val="right"/>
              <w:rPr>
                <w:rFonts w:eastAsia="Times New Roman" w:cstheme="minorHAnsi"/>
                <w:color w:val="000000"/>
                <w:sz w:val="20"/>
                <w:szCs w:val="20"/>
                <w:lang w:val="en-GB" w:eastAsia="en-ID"/>
              </w:rPr>
            </w:pPr>
            <w:r w:rsidRPr="005F6FF4">
              <w:rPr>
                <w:rFonts w:eastAsia="Times New Roman" w:cstheme="minorHAnsi"/>
                <w:color w:val="000000"/>
                <w:sz w:val="20"/>
                <w:szCs w:val="20"/>
                <w:lang w:val="en-GB" w:eastAsia="en-ID"/>
              </w:rPr>
              <w:t>(3.8511)</w:t>
            </w:r>
          </w:p>
        </w:tc>
      </w:tr>
      <w:tr w:rsidR="00960F4F" w:rsidRPr="005F6FF4" w14:paraId="2CAB61A1" w14:textId="77777777" w:rsidTr="007867D5">
        <w:trPr>
          <w:trHeight w:val="256"/>
        </w:trPr>
        <w:tc>
          <w:tcPr>
            <w:tcW w:w="5207" w:type="dxa"/>
            <w:tcBorders>
              <w:top w:val="nil"/>
              <w:left w:val="nil"/>
              <w:bottom w:val="nil"/>
              <w:right w:val="nil"/>
            </w:tcBorders>
            <w:shd w:val="clear" w:color="auto" w:fill="auto"/>
            <w:noWrap/>
            <w:vAlign w:val="bottom"/>
            <w:hideMark/>
          </w:tcPr>
          <w:p w14:paraId="33D7E46F" w14:textId="1E135A3C" w:rsidR="00960F4F" w:rsidRPr="005F6FF4" w:rsidRDefault="00102FBB" w:rsidP="005F610D">
            <w:pPr>
              <w:spacing w:after="0" w:line="240" w:lineRule="auto"/>
              <w:rPr>
                <w:rFonts w:eastAsia="Times New Roman" w:cstheme="minorHAnsi"/>
                <w:color w:val="000000"/>
                <w:sz w:val="20"/>
                <w:szCs w:val="20"/>
                <w:lang w:val="en-GB" w:eastAsia="en-ID"/>
              </w:rPr>
            </w:pPr>
            <w:r w:rsidRPr="005F6FF4">
              <w:rPr>
                <w:rFonts w:eastAsiaTheme="minorEastAsia"/>
                <w:lang w:val="en-GB"/>
              </w:rPr>
              <w:t xml:space="preserve">One-year lag of </w:t>
            </w:r>
            <w:r w:rsidR="00960F4F" w:rsidRPr="005F6FF4">
              <w:rPr>
                <w:rFonts w:eastAsia="Times New Roman" w:cstheme="minorHAnsi"/>
                <w:color w:val="000000"/>
                <w:sz w:val="20"/>
                <w:szCs w:val="20"/>
                <w:lang w:val="en-GB" w:eastAsia="en-ID"/>
              </w:rPr>
              <w:t>Rule of Law</w:t>
            </w:r>
            <w:r w:rsidRPr="005F6FF4">
              <w:rPr>
                <w:rFonts w:eastAsia="Times New Roman" w:cstheme="minorHAnsi"/>
                <w:color w:val="000000"/>
                <w:sz w:val="20"/>
                <w:szCs w:val="20"/>
                <w:lang w:val="en-GB" w:eastAsia="en-ID"/>
              </w:rPr>
              <w:t xml:space="preserve"> Index, </w:t>
            </w:r>
            <m:oMath>
              <m:sSub>
                <m:sSubPr>
                  <m:ctrlPr>
                    <w:rPr>
                      <w:rFonts w:ascii="Cambria Math" w:hAnsi="Cambria Math" w:cstheme="minorHAnsi"/>
                      <w:i/>
                      <w:lang w:val="en-GB"/>
                    </w:rPr>
                  </m:ctrlPr>
                </m:sSubPr>
                <m:e>
                  <m:r>
                    <w:rPr>
                      <w:rFonts w:ascii="Cambria Math" w:hAnsi="Cambria Math" w:cstheme="minorHAnsi"/>
                      <w:lang w:val="en-GB"/>
                    </w:rPr>
                    <m:t>RLI</m:t>
                  </m:r>
                </m:e>
                <m:sub>
                  <m:r>
                    <w:rPr>
                      <w:rFonts w:ascii="Cambria Math" w:hAnsi="Cambria Math" w:cstheme="minorHAnsi"/>
                      <w:lang w:val="en-GB"/>
                    </w:rPr>
                    <m:t>t-1</m:t>
                  </m:r>
                </m:sub>
              </m:sSub>
            </m:oMath>
          </w:p>
        </w:tc>
        <w:tc>
          <w:tcPr>
            <w:tcW w:w="1830" w:type="dxa"/>
            <w:tcBorders>
              <w:top w:val="nil"/>
              <w:left w:val="nil"/>
              <w:bottom w:val="nil"/>
              <w:right w:val="nil"/>
            </w:tcBorders>
            <w:shd w:val="clear" w:color="auto" w:fill="auto"/>
            <w:noWrap/>
            <w:vAlign w:val="bottom"/>
            <w:hideMark/>
          </w:tcPr>
          <w:p w14:paraId="7C6346B8" w14:textId="77777777" w:rsidR="00960F4F" w:rsidRPr="005F6FF4" w:rsidRDefault="00960F4F" w:rsidP="005F610D">
            <w:pPr>
              <w:spacing w:after="0" w:line="240" w:lineRule="auto"/>
              <w:jc w:val="right"/>
              <w:rPr>
                <w:rFonts w:eastAsia="Times New Roman" w:cstheme="minorHAnsi"/>
                <w:color w:val="000000"/>
                <w:sz w:val="20"/>
                <w:szCs w:val="20"/>
                <w:lang w:val="en-GB" w:eastAsia="en-ID"/>
              </w:rPr>
            </w:pPr>
            <w:r w:rsidRPr="005F6FF4">
              <w:rPr>
                <w:rFonts w:eastAsia="Times New Roman" w:cstheme="minorHAnsi"/>
                <w:color w:val="000000"/>
                <w:sz w:val="20"/>
                <w:szCs w:val="20"/>
                <w:lang w:val="en-GB" w:eastAsia="en-ID"/>
              </w:rPr>
              <w:t>-</w:t>
            </w:r>
          </w:p>
        </w:tc>
        <w:tc>
          <w:tcPr>
            <w:tcW w:w="1989" w:type="dxa"/>
            <w:tcBorders>
              <w:top w:val="nil"/>
              <w:left w:val="nil"/>
              <w:bottom w:val="nil"/>
              <w:right w:val="nil"/>
            </w:tcBorders>
            <w:shd w:val="clear" w:color="auto" w:fill="auto"/>
            <w:noWrap/>
            <w:vAlign w:val="bottom"/>
            <w:hideMark/>
          </w:tcPr>
          <w:p w14:paraId="079CFD3A" w14:textId="77777777" w:rsidR="00960F4F" w:rsidRPr="005F6FF4" w:rsidRDefault="00960F4F" w:rsidP="005F610D">
            <w:pPr>
              <w:spacing w:after="0" w:line="240" w:lineRule="auto"/>
              <w:jc w:val="right"/>
              <w:rPr>
                <w:rFonts w:eastAsia="Times New Roman" w:cstheme="minorHAnsi"/>
                <w:color w:val="000000"/>
                <w:sz w:val="20"/>
                <w:szCs w:val="20"/>
                <w:lang w:val="en-GB" w:eastAsia="en-ID"/>
              </w:rPr>
            </w:pPr>
            <w:r w:rsidRPr="005F6FF4">
              <w:rPr>
                <w:rFonts w:eastAsia="Times New Roman" w:cstheme="minorHAnsi"/>
                <w:color w:val="000000"/>
                <w:sz w:val="20"/>
                <w:szCs w:val="20"/>
                <w:lang w:val="en-GB" w:eastAsia="en-ID"/>
              </w:rPr>
              <w:t>0.3761</w:t>
            </w:r>
          </w:p>
        </w:tc>
      </w:tr>
      <w:tr w:rsidR="00960F4F" w:rsidRPr="005F6FF4" w14:paraId="0C4368E4" w14:textId="77777777" w:rsidTr="007867D5">
        <w:trPr>
          <w:trHeight w:val="256"/>
        </w:trPr>
        <w:tc>
          <w:tcPr>
            <w:tcW w:w="5207" w:type="dxa"/>
            <w:tcBorders>
              <w:top w:val="nil"/>
              <w:left w:val="nil"/>
              <w:bottom w:val="nil"/>
              <w:right w:val="nil"/>
            </w:tcBorders>
            <w:shd w:val="clear" w:color="auto" w:fill="auto"/>
            <w:noWrap/>
            <w:vAlign w:val="bottom"/>
            <w:hideMark/>
          </w:tcPr>
          <w:p w14:paraId="45CD22DF" w14:textId="77777777" w:rsidR="00960F4F" w:rsidRPr="005F6FF4" w:rsidRDefault="00960F4F" w:rsidP="005F610D">
            <w:pPr>
              <w:spacing w:after="0" w:line="240" w:lineRule="auto"/>
              <w:jc w:val="right"/>
              <w:rPr>
                <w:rFonts w:eastAsia="Times New Roman" w:cstheme="minorHAnsi"/>
                <w:color w:val="000000"/>
                <w:sz w:val="20"/>
                <w:szCs w:val="20"/>
                <w:lang w:val="en-GB" w:eastAsia="en-ID"/>
              </w:rPr>
            </w:pPr>
          </w:p>
        </w:tc>
        <w:tc>
          <w:tcPr>
            <w:tcW w:w="1830" w:type="dxa"/>
            <w:tcBorders>
              <w:top w:val="nil"/>
              <w:left w:val="nil"/>
              <w:bottom w:val="nil"/>
              <w:right w:val="nil"/>
            </w:tcBorders>
            <w:shd w:val="clear" w:color="auto" w:fill="auto"/>
            <w:noWrap/>
            <w:vAlign w:val="bottom"/>
            <w:hideMark/>
          </w:tcPr>
          <w:p w14:paraId="69BFA67E" w14:textId="77777777" w:rsidR="00960F4F" w:rsidRPr="005F6FF4" w:rsidRDefault="00960F4F" w:rsidP="005F610D">
            <w:pPr>
              <w:spacing w:after="0" w:line="240" w:lineRule="auto"/>
              <w:rPr>
                <w:rFonts w:eastAsia="Times New Roman" w:cstheme="minorHAnsi"/>
                <w:sz w:val="20"/>
                <w:szCs w:val="20"/>
                <w:lang w:val="en-GB" w:eastAsia="en-ID"/>
              </w:rPr>
            </w:pPr>
          </w:p>
        </w:tc>
        <w:tc>
          <w:tcPr>
            <w:tcW w:w="1989" w:type="dxa"/>
            <w:tcBorders>
              <w:top w:val="nil"/>
              <w:left w:val="nil"/>
              <w:bottom w:val="nil"/>
              <w:right w:val="nil"/>
            </w:tcBorders>
            <w:shd w:val="clear" w:color="auto" w:fill="auto"/>
            <w:noWrap/>
            <w:vAlign w:val="bottom"/>
            <w:hideMark/>
          </w:tcPr>
          <w:p w14:paraId="786315AC" w14:textId="77777777" w:rsidR="00960F4F" w:rsidRPr="005F6FF4" w:rsidRDefault="00960F4F" w:rsidP="005F610D">
            <w:pPr>
              <w:spacing w:after="0" w:line="240" w:lineRule="auto"/>
              <w:jc w:val="right"/>
              <w:rPr>
                <w:rFonts w:eastAsia="Times New Roman" w:cstheme="minorHAnsi"/>
                <w:color w:val="000000"/>
                <w:sz w:val="20"/>
                <w:szCs w:val="20"/>
                <w:lang w:val="en-GB" w:eastAsia="en-ID"/>
              </w:rPr>
            </w:pPr>
            <w:r w:rsidRPr="005F6FF4">
              <w:rPr>
                <w:rFonts w:eastAsia="Times New Roman" w:cstheme="minorHAnsi"/>
                <w:color w:val="000000"/>
                <w:sz w:val="20"/>
                <w:szCs w:val="20"/>
                <w:lang w:val="en-GB" w:eastAsia="en-ID"/>
              </w:rPr>
              <w:t>(3.5102)</w:t>
            </w:r>
          </w:p>
        </w:tc>
      </w:tr>
      <w:tr w:rsidR="00960F4F" w:rsidRPr="005F6FF4" w14:paraId="7D6D8B90" w14:textId="77777777" w:rsidTr="007867D5">
        <w:trPr>
          <w:trHeight w:val="256"/>
        </w:trPr>
        <w:tc>
          <w:tcPr>
            <w:tcW w:w="5207" w:type="dxa"/>
            <w:tcBorders>
              <w:top w:val="single" w:sz="4" w:space="0" w:color="auto"/>
              <w:left w:val="nil"/>
              <w:bottom w:val="nil"/>
              <w:right w:val="nil"/>
            </w:tcBorders>
            <w:shd w:val="clear" w:color="auto" w:fill="auto"/>
            <w:noWrap/>
            <w:vAlign w:val="bottom"/>
            <w:hideMark/>
          </w:tcPr>
          <w:p w14:paraId="111B9A9E" w14:textId="77777777" w:rsidR="00960F4F" w:rsidRPr="005F6FF4" w:rsidRDefault="00960F4F" w:rsidP="005F610D">
            <w:pPr>
              <w:spacing w:after="0" w:line="240" w:lineRule="auto"/>
              <w:rPr>
                <w:rFonts w:eastAsia="Times New Roman" w:cstheme="minorHAnsi"/>
                <w:color w:val="000000"/>
                <w:sz w:val="20"/>
                <w:szCs w:val="20"/>
                <w:lang w:val="en-GB" w:eastAsia="en-ID"/>
              </w:rPr>
            </w:pPr>
            <w:r w:rsidRPr="005F6FF4">
              <w:rPr>
                <w:rFonts w:eastAsia="Times New Roman" w:cstheme="minorHAnsi"/>
                <w:color w:val="000000"/>
                <w:sz w:val="20"/>
                <w:szCs w:val="20"/>
                <w:lang w:val="en-GB" w:eastAsia="en-ID"/>
              </w:rPr>
              <w:t>N</w:t>
            </w:r>
          </w:p>
        </w:tc>
        <w:tc>
          <w:tcPr>
            <w:tcW w:w="1830" w:type="dxa"/>
            <w:tcBorders>
              <w:top w:val="single" w:sz="4" w:space="0" w:color="auto"/>
              <w:left w:val="nil"/>
              <w:bottom w:val="nil"/>
              <w:right w:val="nil"/>
            </w:tcBorders>
            <w:shd w:val="clear" w:color="auto" w:fill="auto"/>
            <w:noWrap/>
            <w:vAlign w:val="bottom"/>
            <w:hideMark/>
          </w:tcPr>
          <w:p w14:paraId="6B07642E" w14:textId="77777777" w:rsidR="00960F4F" w:rsidRPr="005F6FF4" w:rsidRDefault="00960F4F" w:rsidP="005F610D">
            <w:pPr>
              <w:spacing w:after="0" w:line="240" w:lineRule="auto"/>
              <w:jc w:val="right"/>
              <w:rPr>
                <w:rFonts w:eastAsia="Times New Roman" w:cstheme="minorHAnsi"/>
                <w:color w:val="000000"/>
                <w:sz w:val="20"/>
                <w:szCs w:val="20"/>
                <w:lang w:val="en-GB" w:eastAsia="en-ID"/>
              </w:rPr>
            </w:pPr>
            <w:r w:rsidRPr="005F6FF4">
              <w:rPr>
                <w:rFonts w:eastAsia="Times New Roman" w:cstheme="minorHAnsi"/>
                <w:color w:val="000000"/>
                <w:sz w:val="20"/>
                <w:szCs w:val="20"/>
                <w:lang w:val="en-GB" w:eastAsia="en-ID"/>
              </w:rPr>
              <w:t>41</w:t>
            </w:r>
          </w:p>
        </w:tc>
        <w:tc>
          <w:tcPr>
            <w:tcW w:w="1989" w:type="dxa"/>
            <w:tcBorders>
              <w:top w:val="single" w:sz="4" w:space="0" w:color="auto"/>
              <w:left w:val="nil"/>
              <w:bottom w:val="nil"/>
              <w:right w:val="nil"/>
            </w:tcBorders>
            <w:shd w:val="clear" w:color="auto" w:fill="auto"/>
            <w:noWrap/>
            <w:vAlign w:val="bottom"/>
            <w:hideMark/>
          </w:tcPr>
          <w:p w14:paraId="159B2F2D" w14:textId="77777777" w:rsidR="00960F4F" w:rsidRPr="005F6FF4" w:rsidRDefault="00960F4F" w:rsidP="005F610D">
            <w:pPr>
              <w:spacing w:after="0" w:line="240" w:lineRule="auto"/>
              <w:jc w:val="right"/>
              <w:rPr>
                <w:rFonts w:eastAsia="Times New Roman" w:cstheme="minorHAnsi"/>
                <w:color w:val="000000"/>
                <w:sz w:val="20"/>
                <w:szCs w:val="20"/>
                <w:lang w:val="en-GB" w:eastAsia="en-ID"/>
              </w:rPr>
            </w:pPr>
            <w:r w:rsidRPr="005F6FF4">
              <w:rPr>
                <w:rFonts w:eastAsia="Times New Roman" w:cstheme="minorHAnsi"/>
                <w:color w:val="000000"/>
                <w:sz w:val="20"/>
                <w:szCs w:val="20"/>
                <w:lang w:val="en-GB" w:eastAsia="en-ID"/>
              </w:rPr>
              <w:t>41</w:t>
            </w:r>
          </w:p>
        </w:tc>
      </w:tr>
      <w:tr w:rsidR="00960F4F" w:rsidRPr="005F6FF4" w14:paraId="379D3B0A" w14:textId="77777777" w:rsidTr="007867D5">
        <w:trPr>
          <w:trHeight w:val="256"/>
        </w:trPr>
        <w:tc>
          <w:tcPr>
            <w:tcW w:w="5207" w:type="dxa"/>
            <w:tcBorders>
              <w:top w:val="nil"/>
              <w:left w:val="nil"/>
              <w:bottom w:val="nil"/>
              <w:right w:val="nil"/>
            </w:tcBorders>
            <w:shd w:val="clear" w:color="auto" w:fill="auto"/>
            <w:noWrap/>
            <w:vAlign w:val="bottom"/>
            <w:hideMark/>
          </w:tcPr>
          <w:p w14:paraId="6E9018AF" w14:textId="77777777" w:rsidR="00960F4F" w:rsidRPr="005F6FF4" w:rsidRDefault="00960F4F" w:rsidP="005F610D">
            <w:pPr>
              <w:spacing w:after="0" w:line="240" w:lineRule="auto"/>
              <w:rPr>
                <w:rFonts w:eastAsia="Times New Roman" w:cstheme="minorHAnsi"/>
                <w:color w:val="000000"/>
                <w:sz w:val="20"/>
                <w:szCs w:val="20"/>
                <w:lang w:val="en-GB" w:eastAsia="en-ID"/>
              </w:rPr>
            </w:pPr>
            <w:r w:rsidRPr="005F6FF4">
              <w:rPr>
                <w:rFonts w:eastAsia="Times New Roman" w:cstheme="minorHAnsi"/>
                <w:color w:val="000000"/>
                <w:sz w:val="20"/>
                <w:szCs w:val="20"/>
                <w:lang w:val="en-GB" w:eastAsia="en-ID"/>
              </w:rPr>
              <w:t>R-squared</w:t>
            </w:r>
          </w:p>
        </w:tc>
        <w:tc>
          <w:tcPr>
            <w:tcW w:w="1830" w:type="dxa"/>
            <w:tcBorders>
              <w:top w:val="nil"/>
              <w:left w:val="nil"/>
              <w:bottom w:val="nil"/>
              <w:right w:val="nil"/>
            </w:tcBorders>
            <w:shd w:val="clear" w:color="auto" w:fill="auto"/>
            <w:noWrap/>
            <w:vAlign w:val="bottom"/>
            <w:hideMark/>
          </w:tcPr>
          <w:p w14:paraId="290FD7B4" w14:textId="77777777" w:rsidR="00960F4F" w:rsidRPr="005F6FF4" w:rsidRDefault="00960F4F" w:rsidP="005F610D">
            <w:pPr>
              <w:spacing w:after="0" w:line="240" w:lineRule="auto"/>
              <w:jc w:val="right"/>
              <w:rPr>
                <w:rFonts w:eastAsia="Times New Roman" w:cstheme="minorHAnsi"/>
                <w:color w:val="000000"/>
                <w:sz w:val="20"/>
                <w:szCs w:val="20"/>
                <w:lang w:val="en-GB" w:eastAsia="en-ID"/>
              </w:rPr>
            </w:pPr>
            <w:r w:rsidRPr="005F6FF4">
              <w:rPr>
                <w:rFonts w:eastAsia="Times New Roman" w:cstheme="minorHAnsi"/>
                <w:color w:val="000000"/>
                <w:sz w:val="20"/>
                <w:szCs w:val="20"/>
                <w:lang w:val="en-GB" w:eastAsia="en-ID"/>
              </w:rPr>
              <w:t>0.9763</w:t>
            </w:r>
          </w:p>
        </w:tc>
        <w:tc>
          <w:tcPr>
            <w:tcW w:w="1989" w:type="dxa"/>
            <w:tcBorders>
              <w:top w:val="nil"/>
              <w:left w:val="nil"/>
              <w:bottom w:val="nil"/>
              <w:right w:val="nil"/>
            </w:tcBorders>
            <w:shd w:val="clear" w:color="auto" w:fill="auto"/>
            <w:noWrap/>
            <w:vAlign w:val="bottom"/>
            <w:hideMark/>
          </w:tcPr>
          <w:p w14:paraId="5FD2DE0B" w14:textId="77777777" w:rsidR="00960F4F" w:rsidRPr="005F6FF4" w:rsidRDefault="00960F4F" w:rsidP="005F610D">
            <w:pPr>
              <w:spacing w:after="0" w:line="240" w:lineRule="auto"/>
              <w:jc w:val="right"/>
              <w:rPr>
                <w:rFonts w:eastAsia="Times New Roman" w:cstheme="minorHAnsi"/>
                <w:color w:val="000000"/>
                <w:sz w:val="20"/>
                <w:szCs w:val="20"/>
                <w:lang w:val="en-GB" w:eastAsia="en-ID"/>
              </w:rPr>
            </w:pPr>
            <w:r w:rsidRPr="005F6FF4">
              <w:rPr>
                <w:rFonts w:eastAsia="Times New Roman" w:cstheme="minorHAnsi"/>
                <w:color w:val="000000"/>
                <w:sz w:val="20"/>
                <w:szCs w:val="20"/>
                <w:lang w:val="en-GB" w:eastAsia="en-ID"/>
              </w:rPr>
              <w:t>0.9765</w:t>
            </w:r>
          </w:p>
        </w:tc>
      </w:tr>
      <w:tr w:rsidR="00960F4F" w:rsidRPr="005F6FF4" w14:paraId="4B6761D6" w14:textId="77777777" w:rsidTr="007867D5">
        <w:trPr>
          <w:trHeight w:val="256"/>
        </w:trPr>
        <w:tc>
          <w:tcPr>
            <w:tcW w:w="5207" w:type="dxa"/>
            <w:tcBorders>
              <w:top w:val="single" w:sz="4" w:space="0" w:color="auto"/>
              <w:left w:val="nil"/>
              <w:bottom w:val="nil"/>
              <w:right w:val="nil"/>
            </w:tcBorders>
            <w:shd w:val="clear" w:color="auto" w:fill="auto"/>
            <w:noWrap/>
            <w:vAlign w:val="bottom"/>
            <w:hideMark/>
          </w:tcPr>
          <w:p w14:paraId="25EECFD1" w14:textId="77777777" w:rsidR="00960F4F" w:rsidRPr="005F6FF4" w:rsidRDefault="00960F4F" w:rsidP="005F610D">
            <w:pPr>
              <w:spacing w:after="0" w:line="240" w:lineRule="auto"/>
              <w:rPr>
                <w:rFonts w:eastAsia="Times New Roman" w:cstheme="minorHAnsi"/>
                <w:b/>
                <w:bCs/>
                <w:color w:val="000000"/>
                <w:sz w:val="20"/>
                <w:szCs w:val="20"/>
                <w:lang w:val="en-GB" w:eastAsia="en-ID"/>
              </w:rPr>
            </w:pPr>
            <w:r w:rsidRPr="005F6FF4">
              <w:rPr>
                <w:rFonts w:eastAsia="Times New Roman" w:cstheme="minorHAnsi"/>
                <w:b/>
                <w:bCs/>
                <w:color w:val="000000"/>
                <w:sz w:val="20"/>
                <w:szCs w:val="20"/>
                <w:lang w:val="en-GB" w:eastAsia="en-ID"/>
              </w:rPr>
              <w:t>Regression Diagnostics for Time Series:</w:t>
            </w:r>
          </w:p>
        </w:tc>
        <w:tc>
          <w:tcPr>
            <w:tcW w:w="1830" w:type="dxa"/>
            <w:tcBorders>
              <w:top w:val="single" w:sz="4" w:space="0" w:color="auto"/>
              <w:left w:val="nil"/>
              <w:bottom w:val="nil"/>
              <w:right w:val="nil"/>
            </w:tcBorders>
            <w:shd w:val="clear" w:color="auto" w:fill="auto"/>
            <w:noWrap/>
            <w:vAlign w:val="bottom"/>
            <w:hideMark/>
          </w:tcPr>
          <w:p w14:paraId="55A74EF4" w14:textId="77777777" w:rsidR="00960F4F" w:rsidRPr="005F6FF4" w:rsidRDefault="00960F4F" w:rsidP="005F610D">
            <w:pPr>
              <w:spacing w:after="0" w:line="240" w:lineRule="auto"/>
              <w:jc w:val="right"/>
              <w:rPr>
                <w:rFonts w:eastAsia="Times New Roman" w:cstheme="minorHAnsi"/>
                <w:color w:val="000000"/>
                <w:sz w:val="20"/>
                <w:szCs w:val="20"/>
                <w:lang w:val="en-GB" w:eastAsia="en-ID"/>
              </w:rPr>
            </w:pPr>
            <w:r w:rsidRPr="005F6FF4">
              <w:rPr>
                <w:rFonts w:eastAsia="Times New Roman" w:cstheme="minorHAnsi"/>
                <w:color w:val="000000"/>
                <w:sz w:val="20"/>
                <w:szCs w:val="20"/>
                <w:lang w:val="en-GB" w:eastAsia="en-ID"/>
              </w:rPr>
              <w:t> </w:t>
            </w:r>
          </w:p>
        </w:tc>
        <w:tc>
          <w:tcPr>
            <w:tcW w:w="1989" w:type="dxa"/>
            <w:tcBorders>
              <w:top w:val="single" w:sz="4" w:space="0" w:color="auto"/>
              <w:left w:val="nil"/>
              <w:bottom w:val="nil"/>
              <w:right w:val="nil"/>
            </w:tcBorders>
            <w:shd w:val="clear" w:color="auto" w:fill="auto"/>
            <w:noWrap/>
            <w:vAlign w:val="bottom"/>
            <w:hideMark/>
          </w:tcPr>
          <w:p w14:paraId="0E8CD22B" w14:textId="77777777" w:rsidR="00960F4F" w:rsidRPr="005F6FF4" w:rsidRDefault="00960F4F" w:rsidP="005F610D">
            <w:pPr>
              <w:spacing w:after="0" w:line="240" w:lineRule="auto"/>
              <w:rPr>
                <w:rFonts w:eastAsia="Times New Roman" w:cstheme="minorHAnsi"/>
                <w:color w:val="000000"/>
                <w:sz w:val="20"/>
                <w:szCs w:val="20"/>
                <w:lang w:val="en-GB" w:eastAsia="en-ID"/>
              </w:rPr>
            </w:pPr>
            <w:r w:rsidRPr="005F6FF4">
              <w:rPr>
                <w:rFonts w:eastAsia="Times New Roman" w:cstheme="minorHAnsi"/>
                <w:color w:val="000000"/>
                <w:sz w:val="20"/>
                <w:szCs w:val="20"/>
                <w:lang w:val="en-GB" w:eastAsia="en-ID"/>
              </w:rPr>
              <w:t> </w:t>
            </w:r>
          </w:p>
        </w:tc>
      </w:tr>
      <w:tr w:rsidR="00960F4F" w:rsidRPr="005F6FF4" w14:paraId="7FE428CB" w14:textId="77777777" w:rsidTr="00855AB3">
        <w:trPr>
          <w:trHeight w:val="256"/>
        </w:trPr>
        <w:tc>
          <w:tcPr>
            <w:tcW w:w="5207" w:type="dxa"/>
            <w:tcBorders>
              <w:top w:val="nil"/>
              <w:left w:val="nil"/>
              <w:bottom w:val="nil"/>
              <w:right w:val="nil"/>
            </w:tcBorders>
            <w:shd w:val="clear" w:color="auto" w:fill="auto"/>
            <w:noWrap/>
            <w:vAlign w:val="bottom"/>
            <w:hideMark/>
          </w:tcPr>
          <w:p w14:paraId="58211AA5" w14:textId="77777777" w:rsidR="00960F4F" w:rsidRPr="005F6FF4" w:rsidRDefault="00960F4F" w:rsidP="005F610D">
            <w:pPr>
              <w:spacing w:after="0" w:line="240" w:lineRule="auto"/>
              <w:rPr>
                <w:rFonts w:eastAsia="Times New Roman" w:cstheme="minorHAnsi"/>
                <w:color w:val="000000"/>
                <w:sz w:val="20"/>
                <w:szCs w:val="20"/>
                <w:lang w:val="en-GB" w:eastAsia="en-ID"/>
              </w:rPr>
            </w:pPr>
            <w:r w:rsidRPr="005F6FF4">
              <w:rPr>
                <w:rFonts w:eastAsia="Times New Roman" w:cstheme="minorHAnsi"/>
                <w:color w:val="000000"/>
                <w:sz w:val="20"/>
                <w:szCs w:val="20"/>
                <w:lang w:val="en-GB" w:eastAsia="en-ID"/>
              </w:rPr>
              <w:t>Durbin's alternative test for autocorrelation</w:t>
            </w:r>
          </w:p>
        </w:tc>
        <w:tc>
          <w:tcPr>
            <w:tcW w:w="1830" w:type="dxa"/>
            <w:tcBorders>
              <w:top w:val="nil"/>
              <w:left w:val="nil"/>
              <w:right w:val="nil"/>
            </w:tcBorders>
            <w:shd w:val="clear" w:color="auto" w:fill="auto"/>
            <w:noWrap/>
            <w:vAlign w:val="bottom"/>
            <w:hideMark/>
          </w:tcPr>
          <w:p w14:paraId="090805DC" w14:textId="77777777" w:rsidR="00960F4F" w:rsidRPr="005F6FF4" w:rsidRDefault="00960F4F" w:rsidP="005F610D">
            <w:pPr>
              <w:spacing w:after="0" w:line="240" w:lineRule="auto"/>
              <w:jc w:val="right"/>
              <w:rPr>
                <w:rFonts w:eastAsia="Times New Roman" w:cstheme="minorHAnsi"/>
                <w:color w:val="000000"/>
                <w:sz w:val="20"/>
                <w:szCs w:val="20"/>
                <w:lang w:val="en-GB" w:eastAsia="en-ID"/>
              </w:rPr>
            </w:pPr>
            <w:r w:rsidRPr="005F6FF4">
              <w:rPr>
                <w:rFonts w:eastAsia="Times New Roman" w:cstheme="minorHAnsi"/>
                <w:color w:val="000000"/>
                <w:sz w:val="20"/>
                <w:szCs w:val="20"/>
                <w:lang w:val="en-GB" w:eastAsia="en-ID"/>
              </w:rPr>
              <w:t>0.2318</w:t>
            </w:r>
          </w:p>
        </w:tc>
        <w:tc>
          <w:tcPr>
            <w:tcW w:w="1989" w:type="dxa"/>
            <w:tcBorders>
              <w:top w:val="nil"/>
              <w:left w:val="nil"/>
              <w:right w:val="nil"/>
            </w:tcBorders>
            <w:shd w:val="clear" w:color="auto" w:fill="auto"/>
            <w:noWrap/>
            <w:vAlign w:val="bottom"/>
            <w:hideMark/>
          </w:tcPr>
          <w:p w14:paraId="13D57B34" w14:textId="77777777" w:rsidR="00960F4F" w:rsidRPr="005F6FF4" w:rsidRDefault="00960F4F" w:rsidP="005F610D">
            <w:pPr>
              <w:spacing w:after="0" w:line="240" w:lineRule="auto"/>
              <w:jc w:val="right"/>
              <w:rPr>
                <w:rFonts w:eastAsia="Times New Roman" w:cstheme="minorHAnsi"/>
                <w:color w:val="000000"/>
                <w:sz w:val="20"/>
                <w:szCs w:val="20"/>
                <w:lang w:val="en-GB" w:eastAsia="en-ID"/>
              </w:rPr>
            </w:pPr>
            <w:r w:rsidRPr="005F6FF4">
              <w:rPr>
                <w:rFonts w:eastAsia="Times New Roman" w:cstheme="minorHAnsi"/>
                <w:color w:val="000000"/>
                <w:sz w:val="20"/>
                <w:szCs w:val="20"/>
                <w:lang w:val="en-GB" w:eastAsia="en-ID"/>
              </w:rPr>
              <w:t>0.2268</w:t>
            </w:r>
          </w:p>
        </w:tc>
      </w:tr>
      <w:tr w:rsidR="00960F4F" w:rsidRPr="005F6FF4" w14:paraId="5C9422B1" w14:textId="77777777" w:rsidTr="00855AB3">
        <w:trPr>
          <w:trHeight w:val="256"/>
        </w:trPr>
        <w:tc>
          <w:tcPr>
            <w:tcW w:w="5207" w:type="dxa"/>
            <w:tcBorders>
              <w:top w:val="nil"/>
              <w:left w:val="nil"/>
              <w:bottom w:val="single" w:sz="4" w:space="0" w:color="auto"/>
              <w:right w:val="nil"/>
            </w:tcBorders>
            <w:shd w:val="clear" w:color="auto" w:fill="auto"/>
            <w:noWrap/>
            <w:vAlign w:val="bottom"/>
            <w:hideMark/>
          </w:tcPr>
          <w:p w14:paraId="6EFDE8B5" w14:textId="77777777" w:rsidR="00960F4F" w:rsidRPr="005F6FF4" w:rsidRDefault="00960F4F" w:rsidP="005F610D">
            <w:pPr>
              <w:spacing w:after="0" w:line="240" w:lineRule="auto"/>
              <w:rPr>
                <w:rFonts w:eastAsia="Times New Roman" w:cstheme="minorHAnsi"/>
                <w:color w:val="000000"/>
                <w:sz w:val="20"/>
                <w:szCs w:val="20"/>
                <w:lang w:val="en-GB" w:eastAsia="en-ID"/>
              </w:rPr>
            </w:pPr>
            <w:r w:rsidRPr="005F6FF4">
              <w:rPr>
                <w:rFonts w:eastAsia="Times New Roman" w:cstheme="minorHAnsi"/>
                <w:color w:val="000000"/>
                <w:sz w:val="20"/>
                <w:szCs w:val="20"/>
                <w:lang w:val="en-GB" w:eastAsia="en-ID"/>
              </w:rPr>
              <w:t xml:space="preserve">Breusch-Pagan/Cook-Weisberg test for heteroskedasticity </w:t>
            </w:r>
          </w:p>
        </w:tc>
        <w:tc>
          <w:tcPr>
            <w:tcW w:w="1830" w:type="dxa"/>
            <w:tcBorders>
              <w:top w:val="nil"/>
              <w:left w:val="nil"/>
              <w:bottom w:val="single" w:sz="4" w:space="0" w:color="auto"/>
              <w:right w:val="nil"/>
            </w:tcBorders>
            <w:shd w:val="clear" w:color="auto" w:fill="auto"/>
            <w:noWrap/>
            <w:vAlign w:val="bottom"/>
            <w:hideMark/>
          </w:tcPr>
          <w:p w14:paraId="1DD5566D" w14:textId="77777777" w:rsidR="00960F4F" w:rsidRPr="005F6FF4" w:rsidRDefault="00960F4F" w:rsidP="005F610D">
            <w:pPr>
              <w:spacing w:after="0" w:line="240" w:lineRule="auto"/>
              <w:jc w:val="right"/>
              <w:rPr>
                <w:rFonts w:eastAsia="Times New Roman" w:cstheme="minorHAnsi"/>
                <w:color w:val="000000"/>
                <w:sz w:val="20"/>
                <w:szCs w:val="20"/>
                <w:lang w:val="en-GB" w:eastAsia="en-ID"/>
              </w:rPr>
            </w:pPr>
            <w:r w:rsidRPr="005F6FF4">
              <w:rPr>
                <w:rFonts w:eastAsia="Times New Roman" w:cstheme="minorHAnsi"/>
                <w:color w:val="000000"/>
                <w:sz w:val="20"/>
                <w:szCs w:val="20"/>
                <w:lang w:val="en-GB" w:eastAsia="en-ID"/>
              </w:rPr>
              <w:t>0.6333</w:t>
            </w:r>
          </w:p>
        </w:tc>
        <w:tc>
          <w:tcPr>
            <w:tcW w:w="1989" w:type="dxa"/>
            <w:tcBorders>
              <w:top w:val="nil"/>
              <w:left w:val="nil"/>
              <w:bottom w:val="single" w:sz="4" w:space="0" w:color="auto"/>
              <w:right w:val="nil"/>
            </w:tcBorders>
            <w:shd w:val="clear" w:color="auto" w:fill="auto"/>
            <w:noWrap/>
            <w:vAlign w:val="bottom"/>
            <w:hideMark/>
          </w:tcPr>
          <w:p w14:paraId="1C615204" w14:textId="77777777" w:rsidR="00960F4F" w:rsidRPr="005F6FF4" w:rsidRDefault="00960F4F" w:rsidP="005F610D">
            <w:pPr>
              <w:spacing w:after="0" w:line="240" w:lineRule="auto"/>
              <w:jc w:val="right"/>
              <w:rPr>
                <w:rFonts w:eastAsia="Times New Roman" w:cstheme="minorHAnsi"/>
                <w:color w:val="000000"/>
                <w:sz w:val="20"/>
                <w:szCs w:val="20"/>
                <w:lang w:val="en-GB" w:eastAsia="en-ID"/>
              </w:rPr>
            </w:pPr>
            <w:r w:rsidRPr="005F6FF4">
              <w:rPr>
                <w:rFonts w:eastAsia="Times New Roman" w:cstheme="minorHAnsi"/>
                <w:color w:val="000000"/>
                <w:sz w:val="20"/>
                <w:szCs w:val="20"/>
                <w:lang w:val="en-GB" w:eastAsia="en-ID"/>
              </w:rPr>
              <w:t>0.5817</w:t>
            </w:r>
          </w:p>
        </w:tc>
      </w:tr>
      <w:tr w:rsidR="00960F4F" w:rsidRPr="005F6FF4" w14:paraId="7FD8DDEE" w14:textId="77777777" w:rsidTr="00855AB3">
        <w:trPr>
          <w:trHeight w:val="256"/>
        </w:trPr>
        <w:tc>
          <w:tcPr>
            <w:tcW w:w="5207" w:type="dxa"/>
            <w:tcBorders>
              <w:top w:val="nil"/>
              <w:left w:val="nil"/>
              <w:bottom w:val="nil"/>
            </w:tcBorders>
            <w:shd w:val="clear" w:color="auto" w:fill="auto"/>
            <w:noWrap/>
            <w:vAlign w:val="bottom"/>
            <w:hideMark/>
          </w:tcPr>
          <w:p w14:paraId="3A03C5D4" w14:textId="77777777" w:rsidR="00960F4F" w:rsidRPr="005F6FF4" w:rsidRDefault="00960F4F" w:rsidP="005F610D">
            <w:pPr>
              <w:spacing w:after="0" w:line="240" w:lineRule="auto"/>
              <w:rPr>
                <w:rFonts w:eastAsia="Times New Roman" w:cstheme="minorHAnsi"/>
                <w:b/>
                <w:bCs/>
                <w:color w:val="000000"/>
                <w:sz w:val="20"/>
                <w:szCs w:val="20"/>
                <w:lang w:val="en-GB" w:eastAsia="en-ID"/>
              </w:rPr>
            </w:pPr>
            <w:r w:rsidRPr="005F6FF4">
              <w:rPr>
                <w:rFonts w:eastAsia="Times New Roman" w:cstheme="minorHAnsi"/>
                <w:b/>
                <w:bCs/>
                <w:color w:val="000000"/>
                <w:sz w:val="20"/>
                <w:szCs w:val="20"/>
                <w:lang w:val="en-GB" w:eastAsia="en-ID"/>
              </w:rPr>
              <w:t>Weak Instrument Test:</w:t>
            </w:r>
          </w:p>
        </w:tc>
        <w:tc>
          <w:tcPr>
            <w:tcW w:w="1830" w:type="dxa"/>
            <w:tcBorders>
              <w:top w:val="single" w:sz="4" w:space="0" w:color="auto"/>
              <w:bottom w:val="nil"/>
            </w:tcBorders>
            <w:shd w:val="clear" w:color="auto" w:fill="auto"/>
            <w:noWrap/>
            <w:vAlign w:val="bottom"/>
            <w:hideMark/>
          </w:tcPr>
          <w:p w14:paraId="3DC93493" w14:textId="77777777" w:rsidR="00960F4F" w:rsidRPr="005F6FF4" w:rsidRDefault="00960F4F" w:rsidP="005F610D">
            <w:pPr>
              <w:spacing w:after="0" w:line="240" w:lineRule="auto"/>
              <w:rPr>
                <w:rFonts w:eastAsia="Times New Roman" w:cstheme="minorHAnsi"/>
                <w:b/>
                <w:bCs/>
                <w:color w:val="000000"/>
                <w:sz w:val="20"/>
                <w:szCs w:val="20"/>
                <w:lang w:val="en-GB" w:eastAsia="en-ID"/>
              </w:rPr>
            </w:pPr>
          </w:p>
        </w:tc>
        <w:tc>
          <w:tcPr>
            <w:tcW w:w="1989" w:type="dxa"/>
            <w:tcBorders>
              <w:top w:val="single" w:sz="4" w:space="0" w:color="auto"/>
              <w:left w:val="nil"/>
              <w:bottom w:val="nil"/>
              <w:right w:val="nil"/>
            </w:tcBorders>
            <w:shd w:val="clear" w:color="auto" w:fill="auto"/>
            <w:noWrap/>
            <w:vAlign w:val="bottom"/>
            <w:hideMark/>
          </w:tcPr>
          <w:p w14:paraId="6AF2CE15" w14:textId="77777777" w:rsidR="00960F4F" w:rsidRPr="005F6FF4" w:rsidRDefault="00960F4F" w:rsidP="005F610D">
            <w:pPr>
              <w:spacing w:after="0" w:line="240" w:lineRule="auto"/>
              <w:jc w:val="right"/>
              <w:rPr>
                <w:rFonts w:eastAsia="Times New Roman" w:cstheme="minorHAnsi"/>
                <w:sz w:val="20"/>
                <w:szCs w:val="20"/>
                <w:lang w:val="en-GB" w:eastAsia="en-ID"/>
              </w:rPr>
            </w:pPr>
          </w:p>
        </w:tc>
      </w:tr>
      <w:tr w:rsidR="00960F4F" w:rsidRPr="005F6FF4" w14:paraId="44835841" w14:textId="77777777" w:rsidTr="00855AB3">
        <w:trPr>
          <w:trHeight w:val="256"/>
        </w:trPr>
        <w:tc>
          <w:tcPr>
            <w:tcW w:w="5207" w:type="dxa"/>
            <w:tcBorders>
              <w:top w:val="nil"/>
              <w:left w:val="nil"/>
              <w:bottom w:val="nil"/>
            </w:tcBorders>
            <w:shd w:val="clear" w:color="auto" w:fill="auto"/>
            <w:noWrap/>
            <w:vAlign w:val="bottom"/>
            <w:hideMark/>
          </w:tcPr>
          <w:p w14:paraId="3DC6FFA7" w14:textId="063B028D" w:rsidR="00960F4F" w:rsidRPr="005F6FF4" w:rsidRDefault="00BB0B5B" w:rsidP="005F610D">
            <w:pPr>
              <w:spacing w:after="0" w:line="240" w:lineRule="auto"/>
              <w:rPr>
                <w:rFonts w:eastAsia="Times New Roman" w:cstheme="minorHAnsi"/>
                <w:color w:val="000000"/>
                <w:sz w:val="20"/>
                <w:szCs w:val="20"/>
                <w:lang w:val="en-GB" w:eastAsia="en-ID"/>
              </w:rPr>
            </w:pPr>
            <w:r w:rsidRPr="005F6FF4">
              <w:rPr>
                <w:rFonts w:cstheme="minorHAnsi"/>
                <w:lang w:val="en-GB"/>
              </w:rPr>
              <w:t>Kleibergen-Paap F-statistic</w:t>
            </w:r>
          </w:p>
        </w:tc>
        <w:tc>
          <w:tcPr>
            <w:tcW w:w="1830" w:type="dxa"/>
            <w:tcBorders>
              <w:top w:val="nil"/>
            </w:tcBorders>
            <w:shd w:val="clear" w:color="auto" w:fill="auto"/>
            <w:noWrap/>
            <w:vAlign w:val="bottom"/>
            <w:hideMark/>
          </w:tcPr>
          <w:p w14:paraId="164A7DD1" w14:textId="77777777" w:rsidR="00960F4F" w:rsidRPr="005F6FF4" w:rsidRDefault="00960F4F" w:rsidP="005F610D">
            <w:pPr>
              <w:spacing w:after="0" w:line="240" w:lineRule="auto"/>
              <w:jc w:val="right"/>
              <w:rPr>
                <w:rFonts w:eastAsia="Times New Roman" w:cstheme="minorHAnsi"/>
                <w:color w:val="000000"/>
                <w:sz w:val="20"/>
                <w:szCs w:val="20"/>
                <w:lang w:val="en-GB" w:eastAsia="en-ID"/>
              </w:rPr>
            </w:pPr>
            <w:r w:rsidRPr="005F6FF4">
              <w:rPr>
                <w:rFonts w:eastAsia="Times New Roman" w:cstheme="minorHAnsi"/>
                <w:color w:val="000000"/>
                <w:sz w:val="20"/>
                <w:szCs w:val="20"/>
                <w:lang w:val="en-GB" w:eastAsia="en-ID"/>
              </w:rPr>
              <w:t>1603.66</w:t>
            </w:r>
          </w:p>
        </w:tc>
        <w:tc>
          <w:tcPr>
            <w:tcW w:w="1989" w:type="dxa"/>
            <w:tcBorders>
              <w:top w:val="nil"/>
              <w:left w:val="nil"/>
              <w:right w:val="nil"/>
            </w:tcBorders>
            <w:shd w:val="clear" w:color="auto" w:fill="auto"/>
            <w:noWrap/>
            <w:vAlign w:val="bottom"/>
            <w:hideMark/>
          </w:tcPr>
          <w:p w14:paraId="42C96DBA" w14:textId="77777777" w:rsidR="00960F4F" w:rsidRPr="005F6FF4" w:rsidRDefault="00960F4F" w:rsidP="005F610D">
            <w:pPr>
              <w:spacing w:after="0" w:line="240" w:lineRule="auto"/>
              <w:jc w:val="right"/>
              <w:rPr>
                <w:rFonts w:eastAsia="Times New Roman" w:cstheme="minorHAnsi"/>
                <w:color w:val="000000"/>
                <w:sz w:val="20"/>
                <w:szCs w:val="20"/>
                <w:lang w:val="en-GB" w:eastAsia="en-ID"/>
              </w:rPr>
            </w:pPr>
            <w:r w:rsidRPr="005F6FF4">
              <w:rPr>
                <w:rFonts w:eastAsia="Times New Roman" w:cstheme="minorHAnsi"/>
                <w:color w:val="000000"/>
                <w:sz w:val="20"/>
                <w:szCs w:val="20"/>
                <w:lang w:val="en-GB" w:eastAsia="en-ID"/>
              </w:rPr>
              <w:t>374.06</w:t>
            </w:r>
          </w:p>
        </w:tc>
      </w:tr>
      <w:tr w:rsidR="00960F4F" w:rsidRPr="005F6FF4" w14:paraId="44575413" w14:textId="77777777" w:rsidTr="00855AB3">
        <w:trPr>
          <w:trHeight w:val="256"/>
        </w:trPr>
        <w:tc>
          <w:tcPr>
            <w:tcW w:w="5207" w:type="dxa"/>
            <w:tcBorders>
              <w:top w:val="nil"/>
              <w:left w:val="nil"/>
              <w:bottom w:val="single" w:sz="4" w:space="0" w:color="auto"/>
            </w:tcBorders>
            <w:shd w:val="clear" w:color="auto" w:fill="auto"/>
            <w:noWrap/>
            <w:vAlign w:val="bottom"/>
            <w:hideMark/>
          </w:tcPr>
          <w:p w14:paraId="7DDD8DBA" w14:textId="77777777" w:rsidR="00960F4F" w:rsidRPr="005F6FF4" w:rsidRDefault="00960F4F" w:rsidP="005F610D">
            <w:pPr>
              <w:spacing w:after="0" w:line="240" w:lineRule="auto"/>
              <w:rPr>
                <w:rFonts w:eastAsia="Times New Roman" w:cstheme="minorHAnsi"/>
                <w:color w:val="000000"/>
                <w:sz w:val="20"/>
                <w:szCs w:val="20"/>
                <w:lang w:val="en-GB" w:eastAsia="en-ID"/>
              </w:rPr>
            </w:pPr>
            <w:r w:rsidRPr="005F6FF4">
              <w:rPr>
                <w:rFonts w:eastAsia="Times New Roman" w:cstheme="minorHAnsi"/>
                <w:color w:val="000000"/>
                <w:sz w:val="20"/>
                <w:szCs w:val="20"/>
                <w:lang w:val="en-GB" w:eastAsia="en-ID"/>
              </w:rPr>
              <w:t>Stock-Yogo critical value</w:t>
            </w:r>
          </w:p>
        </w:tc>
        <w:tc>
          <w:tcPr>
            <w:tcW w:w="1830" w:type="dxa"/>
            <w:tcBorders>
              <w:top w:val="nil"/>
              <w:bottom w:val="single" w:sz="4" w:space="0" w:color="auto"/>
            </w:tcBorders>
            <w:shd w:val="clear" w:color="auto" w:fill="auto"/>
            <w:noWrap/>
            <w:vAlign w:val="center"/>
            <w:hideMark/>
          </w:tcPr>
          <w:p w14:paraId="379309CA" w14:textId="77777777" w:rsidR="00960F4F" w:rsidRPr="005F6FF4" w:rsidRDefault="00960F4F" w:rsidP="005F610D">
            <w:pPr>
              <w:spacing w:after="0" w:line="240" w:lineRule="auto"/>
              <w:jc w:val="right"/>
              <w:rPr>
                <w:rFonts w:eastAsia="Times New Roman" w:cstheme="minorHAnsi"/>
                <w:color w:val="000000"/>
                <w:sz w:val="20"/>
                <w:szCs w:val="20"/>
                <w:lang w:val="en-GB" w:eastAsia="en-ID"/>
              </w:rPr>
            </w:pPr>
            <w:r w:rsidRPr="005F6FF4">
              <w:rPr>
                <w:rFonts w:eastAsia="Times New Roman" w:cstheme="minorHAnsi"/>
                <w:color w:val="000000"/>
                <w:sz w:val="20"/>
                <w:szCs w:val="20"/>
                <w:lang w:val="en-GB" w:eastAsia="en-ID"/>
              </w:rPr>
              <w:t>16.38</w:t>
            </w:r>
          </w:p>
        </w:tc>
        <w:tc>
          <w:tcPr>
            <w:tcW w:w="1989" w:type="dxa"/>
            <w:tcBorders>
              <w:top w:val="nil"/>
              <w:left w:val="nil"/>
              <w:bottom w:val="single" w:sz="4" w:space="0" w:color="auto"/>
              <w:right w:val="nil"/>
            </w:tcBorders>
            <w:shd w:val="clear" w:color="auto" w:fill="auto"/>
            <w:noWrap/>
            <w:vAlign w:val="center"/>
            <w:hideMark/>
          </w:tcPr>
          <w:p w14:paraId="1EEB4F8B" w14:textId="77777777" w:rsidR="00960F4F" w:rsidRPr="005F6FF4" w:rsidRDefault="00960F4F" w:rsidP="005F610D">
            <w:pPr>
              <w:spacing w:after="0" w:line="240" w:lineRule="auto"/>
              <w:jc w:val="right"/>
              <w:rPr>
                <w:rFonts w:eastAsia="Times New Roman" w:cstheme="minorHAnsi"/>
                <w:color w:val="000000"/>
                <w:sz w:val="20"/>
                <w:szCs w:val="20"/>
                <w:lang w:val="en-GB" w:eastAsia="en-ID"/>
              </w:rPr>
            </w:pPr>
            <w:r w:rsidRPr="005F6FF4">
              <w:rPr>
                <w:rFonts w:eastAsia="Times New Roman" w:cstheme="minorHAnsi"/>
                <w:color w:val="000000"/>
                <w:sz w:val="20"/>
                <w:szCs w:val="20"/>
                <w:lang w:val="en-GB" w:eastAsia="en-ID"/>
              </w:rPr>
              <w:t>16.38</w:t>
            </w:r>
          </w:p>
        </w:tc>
      </w:tr>
    </w:tbl>
    <w:p w14:paraId="654128CE" w14:textId="0AD36AD1" w:rsidR="00960F4F" w:rsidRPr="005F6FF4" w:rsidRDefault="007867D5" w:rsidP="007867D5">
      <w:pPr>
        <w:rPr>
          <w:rFonts w:cstheme="minorHAnsi"/>
          <w:i/>
          <w:iCs/>
          <w:sz w:val="20"/>
          <w:szCs w:val="20"/>
          <w:shd w:val="clear" w:color="auto" w:fill="FFFFFF"/>
          <w:lang w:val="en-GB"/>
        </w:rPr>
      </w:pPr>
      <w:r w:rsidRPr="005F6FF4">
        <w:rPr>
          <w:rFonts w:cstheme="minorHAnsi"/>
          <w:i/>
          <w:iCs/>
          <w:sz w:val="20"/>
          <w:szCs w:val="20"/>
          <w:shd w:val="clear" w:color="auto" w:fill="FFFFFF"/>
          <w:lang w:val="en-GB"/>
        </w:rPr>
        <w:t>The coefficient employs standardised beta, s</w:t>
      </w:r>
      <w:r w:rsidR="00960F4F" w:rsidRPr="005F6FF4">
        <w:rPr>
          <w:rFonts w:cstheme="minorHAnsi"/>
          <w:i/>
          <w:iCs/>
          <w:sz w:val="20"/>
          <w:szCs w:val="20"/>
          <w:shd w:val="clear" w:color="auto" w:fill="FFFFFF"/>
          <w:lang w:val="en-GB"/>
        </w:rPr>
        <w:t>tandard errors in parentheses</w:t>
      </w:r>
      <w:r w:rsidRPr="005F6FF4">
        <w:rPr>
          <w:rFonts w:cstheme="minorHAnsi"/>
          <w:i/>
          <w:iCs/>
          <w:sz w:val="20"/>
          <w:szCs w:val="20"/>
          <w:shd w:val="clear" w:color="auto" w:fill="FFFFFF"/>
          <w:lang w:val="en-GB"/>
        </w:rPr>
        <w:t>,</w:t>
      </w:r>
      <w:r w:rsidR="00960F4F" w:rsidRPr="005F6FF4">
        <w:rPr>
          <w:rFonts w:cstheme="minorHAnsi"/>
          <w:i/>
          <w:iCs/>
          <w:sz w:val="20"/>
          <w:szCs w:val="20"/>
          <w:shd w:val="clear" w:color="auto" w:fill="FFFFFF"/>
          <w:lang w:val="en-GB"/>
        </w:rPr>
        <w:t xml:space="preserve"> and *** p&lt;0.01, ** p&lt;0.05, * p&lt;0.1</w:t>
      </w:r>
      <w:r w:rsidRPr="005F6FF4">
        <w:rPr>
          <w:rFonts w:cstheme="minorHAnsi"/>
          <w:i/>
          <w:iCs/>
          <w:sz w:val="20"/>
          <w:szCs w:val="20"/>
          <w:shd w:val="clear" w:color="auto" w:fill="FFFFFF"/>
          <w:lang w:val="en-GB"/>
        </w:rPr>
        <w:t xml:space="preserve">; </w:t>
      </w:r>
    </w:p>
    <w:p w14:paraId="55E7CF6A" w14:textId="02C43DC6" w:rsidR="0019049E" w:rsidRPr="005F6FF4" w:rsidRDefault="00CD3D34" w:rsidP="00DF1E30">
      <w:pPr>
        <w:spacing w:after="360"/>
        <w:rPr>
          <w:rFonts w:cstheme="minorHAnsi"/>
          <w:lang w:val="en-GB"/>
        </w:rPr>
      </w:pPr>
      <w:r w:rsidRPr="005F6FF4">
        <w:rPr>
          <w:rFonts w:cstheme="minorHAnsi"/>
          <w:lang w:val="en-GB"/>
        </w:rPr>
        <w:t>Source: Author’s Calculation (2023)</w:t>
      </w:r>
      <w:r w:rsidR="00AD08D8" w:rsidRPr="005F6FF4">
        <w:rPr>
          <w:rFonts w:cstheme="minorHAnsi"/>
          <w:lang w:val="en-GB"/>
        </w:rPr>
        <w:t>.</w:t>
      </w:r>
    </w:p>
    <w:p w14:paraId="535BD398" w14:textId="77777777" w:rsidR="00AD08D8" w:rsidRPr="005F6FF4" w:rsidRDefault="00AD08D8" w:rsidP="00AD08D8">
      <w:pPr>
        <w:spacing w:after="0" w:line="240" w:lineRule="auto"/>
        <w:jc w:val="both"/>
        <w:rPr>
          <w:rFonts w:cstheme="minorHAnsi"/>
          <w:lang w:val="en-GB"/>
        </w:rPr>
      </w:pPr>
      <w:r w:rsidRPr="005F6FF4">
        <w:rPr>
          <w:rFonts w:cstheme="minorHAnsi"/>
          <w:lang w:val="en-GB"/>
        </w:rPr>
        <w:t xml:space="preserve">The impact of endogenously-driven digital transformation and other factors on inclusive growth in Indonesia is estimated in Table 2. The estimation results show that endogenously-driven digital transformation </w:t>
      </w:r>
      <m:oMath>
        <m:acc>
          <m:accPr>
            <m:ctrlPr>
              <w:rPr>
                <w:rFonts w:ascii="Cambria Math" w:hAnsi="Cambria Math" w:cstheme="minorHAnsi"/>
                <w:i/>
                <w:lang w:val="en-GB"/>
              </w:rPr>
            </m:ctrlPr>
          </m:accPr>
          <m:e>
            <m:r>
              <w:rPr>
                <w:rFonts w:ascii="Cambria Math" w:hAnsi="Cambria Math" w:cstheme="minorHAnsi"/>
                <w:lang w:val="en-GB"/>
              </w:rPr>
              <m:t>(</m:t>
            </m:r>
            <m:sSub>
              <m:sSubPr>
                <m:ctrlPr>
                  <w:rPr>
                    <w:rFonts w:ascii="Cambria Math" w:hAnsi="Cambria Math" w:cstheme="minorHAnsi"/>
                    <w:i/>
                    <w:lang w:val="en-GB"/>
                  </w:rPr>
                </m:ctrlPr>
              </m:sSubPr>
              <m:e>
                <m:r>
                  <w:rPr>
                    <w:rFonts w:ascii="Cambria Math" w:hAnsi="Cambria Math" w:cstheme="minorHAnsi"/>
                    <w:lang w:val="en-GB"/>
                  </w:rPr>
                  <m:t>DT</m:t>
                </m:r>
              </m:e>
              <m:sub>
                <m:r>
                  <w:rPr>
                    <w:rFonts w:ascii="Cambria Math" w:hAnsi="Cambria Math" w:cstheme="minorHAnsi"/>
                    <w:lang w:val="en-GB"/>
                  </w:rPr>
                  <m:t>t</m:t>
                </m:r>
              </m:sub>
            </m:sSub>
            <m:r>
              <w:rPr>
                <w:rFonts w:ascii="Cambria Math" w:hAnsi="Cambria Math" w:cstheme="minorHAnsi"/>
                <w:lang w:val="en-GB"/>
              </w:rPr>
              <m:t>)</m:t>
            </m:r>
          </m:e>
        </m:acc>
      </m:oMath>
      <w:r w:rsidRPr="005F6FF4">
        <w:rPr>
          <w:rFonts w:eastAsiaTheme="minorEastAsia" w:cstheme="minorHAnsi"/>
          <w:lang w:val="en-GB"/>
        </w:rPr>
        <w:t xml:space="preserve"> </w:t>
      </w:r>
      <w:r w:rsidRPr="005F6FF4">
        <w:rPr>
          <w:rFonts w:cstheme="minorHAnsi"/>
          <w:lang w:val="en-GB"/>
        </w:rPr>
        <w:t xml:space="preserve">has a significant and positive impact on inclusive growth </w:t>
      </w:r>
      <m:oMath>
        <m:r>
          <w:rPr>
            <w:rFonts w:ascii="Cambria Math" w:hAnsi="Cambria Math" w:cstheme="minorHAnsi"/>
            <w:lang w:val="en-GB"/>
          </w:rPr>
          <m:t>(</m:t>
        </m:r>
        <m:sSub>
          <m:sSubPr>
            <m:ctrlPr>
              <w:rPr>
                <w:rFonts w:ascii="Cambria Math" w:hAnsi="Cambria Math" w:cstheme="minorHAnsi"/>
                <w:i/>
                <w:lang w:val="en-GB"/>
              </w:rPr>
            </m:ctrlPr>
          </m:sSubPr>
          <m:e>
            <m:r>
              <w:rPr>
                <w:rFonts w:ascii="Cambria Math" w:hAnsi="Cambria Math" w:cstheme="minorHAnsi"/>
                <w:lang w:val="en-GB"/>
              </w:rPr>
              <m:t>IG</m:t>
            </m:r>
          </m:e>
          <m:sub>
            <m:r>
              <w:rPr>
                <w:rFonts w:ascii="Cambria Math" w:hAnsi="Cambria Math" w:cstheme="minorHAnsi"/>
                <w:lang w:val="en-GB"/>
              </w:rPr>
              <m:t>t</m:t>
            </m:r>
          </m:sub>
        </m:sSub>
        <m:r>
          <w:rPr>
            <w:rFonts w:ascii="Cambria Math" w:hAnsi="Cambria Math" w:cstheme="minorHAnsi"/>
            <w:lang w:val="en-GB"/>
          </w:rPr>
          <m:t>)</m:t>
        </m:r>
      </m:oMath>
      <w:r w:rsidRPr="005F6FF4">
        <w:rPr>
          <w:rFonts w:cstheme="minorHAnsi"/>
          <w:lang w:val="en-GB"/>
        </w:rPr>
        <w:t>, both when only the one-year lag of inclusive growth is considered (as shown in column 1) and when various control variables are included (as shown in column 2), with a significance level of 10%.</w:t>
      </w:r>
      <w:r w:rsidRPr="005F6FF4">
        <w:t xml:space="preserve"> </w:t>
      </w:r>
      <w:r w:rsidRPr="005F6FF4">
        <w:rPr>
          <w:rFonts w:cstheme="minorHAnsi"/>
          <w:lang w:val="en-GB"/>
        </w:rPr>
        <w:t xml:space="preserve">The coefficient values indicate that each one-standard-deviation increase in digital transformation leads to an increase in inclusive growth of approximately 0.12 to 0.13 standard deviations. Furthermore, the lagged dependent variable </w:t>
      </w:r>
      <m:oMath>
        <m:d>
          <m:dPr>
            <m:ctrlPr>
              <w:rPr>
                <w:rFonts w:ascii="Cambria Math" w:hAnsi="Cambria Math" w:cstheme="minorHAnsi"/>
                <w:i/>
                <w:lang w:val="en-GB"/>
              </w:rPr>
            </m:ctrlPr>
          </m:dPr>
          <m:e>
            <m:sSub>
              <m:sSubPr>
                <m:ctrlPr>
                  <w:rPr>
                    <w:rFonts w:ascii="Cambria Math" w:hAnsi="Cambria Math" w:cstheme="minorHAnsi"/>
                    <w:i/>
                    <w:lang w:val="en-GB"/>
                  </w:rPr>
                </m:ctrlPr>
              </m:sSubPr>
              <m:e>
                <m:r>
                  <w:rPr>
                    <w:rFonts w:ascii="Cambria Math" w:hAnsi="Cambria Math" w:cstheme="minorHAnsi"/>
                    <w:lang w:val="en-GB"/>
                  </w:rPr>
                  <m:t>IG</m:t>
                </m:r>
              </m:e>
              <m:sub>
                <m:r>
                  <w:rPr>
                    <w:rFonts w:ascii="Cambria Math" w:hAnsi="Cambria Math" w:cstheme="minorHAnsi"/>
                    <w:lang w:val="en-GB"/>
                  </w:rPr>
                  <m:t>t-1</m:t>
                </m:r>
              </m:sub>
            </m:sSub>
          </m:e>
        </m:d>
        <m:r>
          <w:rPr>
            <w:rFonts w:ascii="Cambria Math" w:hAnsi="Cambria Math" w:cstheme="minorHAnsi"/>
            <w:lang w:val="en-GB"/>
          </w:rPr>
          <m:t xml:space="preserve"> </m:t>
        </m:r>
      </m:oMath>
      <w:r w:rsidRPr="005F6FF4">
        <w:rPr>
          <w:rFonts w:cstheme="minorHAnsi"/>
          <w:lang w:val="en-GB"/>
        </w:rPr>
        <w:t xml:space="preserve">has significant and positive effects on inclusive growth </w:t>
      </w:r>
      <m:oMath>
        <m:r>
          <w:rPr>
            <w:rFonts w:ascii="Cambria Math" w:hAnsi="Cambria Math" w:cstheme="minorHAnsi"/>
            <w:lang w:val="en-GB"/>
          </w:rPr>
          <m:t>(</m:t>
        </m:r>
        <m:sSub>
          <m:sSubPr>
            <m:ctrlPr>
              <w:rPr>
                <w:rFonts w:ascii="Cambria Math" w:hAnsi="Cambria Math" w:cstheme="minorHAnsi"/>
                <w:i/>
                <w:lang w:val="en-GB"/>
              </w:rPr>
            </m:ctrlPr>
          </m:sSubPr>
          <m:e>
            <m:r>
              <w:rPr>
                <w:rFonts w:ascii="Cambria Math" w:hAnsi="Cambria Math" w:cstheme="minorHAnsi"/>
                <w:lang w:val="en-GB"/>
              </w:rPr>
              <m:t>IG</m:t>
            </m:r>
          </m:e>
          <m:sub>
            <m:r>
              <w:rPr>
                <w:rFonts w:ascii="Cambria Math" w:hAnsi="Cambria Math" w:cstheme="minorHAnsi"/>
                <w:lang w:val="en-GB"/>
              </w:rPr>
              <m:t>t</m:t>
            </m:r>
          </m:sub>
        </m:sSub>
        <m:r>
          <w:rPr>
            <w:rFonts w:ascii="Cambria Math" w:hAnsi="Cambria Math" w:cstheme="minorHAnsi"/>
            <w:lang w:val="en-GB"/>
          </w:rPr>
          <m:t>)</m:t>
        </m:r>
      </m:oMath>
      <w:r w:rsidRPr="005F6FF4">
        <w:rPr>
          <w:rFonts w:cstheme="minorHAnsi"/>
          <w:lang w:val="en-GB"/>
        </w:rPr>
        <w:t xml:space="preserve">, whether considered independently (column 1) or with the inclusion of control variables (column 2). This suggests that inclusive growth has persistent effects. In comparison, with a significance level of 1%, inflation </w:t>
      </w:r>
      <m:oMath>
        <m:sSub>
          <m:sSubPr>
            <m:ctrlPr>
              <w:rPr>
                <w:rFonts w:ascii="Cambria Math" w:hAnsi="Cambria Math" w:cstheme="minorHAnsi"/>
                <w:i/>
                <w:lang w:val="en-GB"/>
              </w:rPr>
            </m:ctrlPr>
          </m:sSubPr>
          <m:e>
            <m:r>
              <w:rPr>
                <w:rFonts w:ascii="Cambria Math" w:hAnsi="Cambria Math" w:cstheme="minorHAnsi"/>
                <w:lang w:val="en-GB"/>
              </w:rPr>
              <m:t>(I</m:t>
            </m:r>
          </m:e>
          <m:sub>
            <m:r>
              <w:rPr>
                <w:rFonts w:ascii="Cambria Math" w:hAnsi="Cambria Math" w:cstheme="minorHAnsi"/>
                <w:lang w:val="en-GB"/>
              </w:rPr>
              <m:t>t</m:t>
            </m:r>
          </m:sub>
        </m:sSub>
        <m:r>
          <w:rPr>
            <w:rFonts w:ascii="Cambria Math" w:hAnsi="Cambria Math" w:cstheme="minorHAnsi"/>
            <w:lang w:val="en-GB"/>
          </w:rPr>
          <m:t xml:space="preserve">) </m:t>
        </m:r>
      </m:oMath>
      <w:r w:rsidRPr="005F6FF4">
        <w:rPr>
          <w:rFonts w:cstheme="minorHAnsi"/>
          <w:lang w:val="en-GB"/>
        </w:rPr>
        <w:t xml:space="preserve">has a significant and negative impact on inclusive growth </w:t>
      </w:r>
      <m:oMath>
        <m:r>
          <w:rPr>
            <w:rFonts w:ascii="Cambria Math" w:hAnsi="Cambria Math" w:cstheme="minorHAnsi"/>
            <w:lang w:val="en-GB"/>
          </w:rPr>
          <m:t>(</m:t>
        </m:r>
        <m:sSub>
          <m:sSubPr>
            <m:ctrlPr>
              <w:rPr>
                <w:rFonts w:ascii="Cambria Math" w:hAnsi="Cambria Math" w:cstheme="minorHAnsi"/>
                <w:i/>
                <w:lang w:val="en-GB"/>
              </w:rPr>
            </m:ctrlPr>
          </m:sSubPr>
          <m:e>
            <m:r>
              <w:rPr>
                <w:rFonts w:ascii="Cambria Math" w:hAnsi="Cambria Math" w:cstheme="minorHAnsi"/>
                <w:lang w:val="en-GB"/>
              </w:rPr>
              <m:t>IG</m:t>
            </m:r>
          </m:e>
          <m:sub>
            <m:r>
              <w:rPr>
                <w:rFonts w:ascii="Cambria Math" w:hAnsi="Cambria Math" w:cstheme="minorHAnsi"/>
                <w:lang w:val="en-GB"/>
              </w:rPr>
              <m:t>t</m:t>
            </m:r>
          </m:sub>
        </m:sSub>
        <m:r>
          <w:rPr>
            <w:rFonts w:ascii="Cambria Math" w:hAnsi="Cambria Math" w:cstheme="minorHAnsi"/>
            <w:lang w:val="en-GB"/>
          </w:rPr>
          <m:t>)</m:t>
        </m:r>
      </m:oMath>
      <w:r w:rsidRPr="005F6FF4">
        <w:rPr>
          <w:rFonts w:cstheme="minorHAnsi"/>
          <w:lang w:val="en-GB"/>
        </w:rPr>
        <w:t>. According to the coefficient values, each one-standard-deviation increase in inflation reduces inclusive growth by approximately 0.02 standard deviations.</w:t>
      </w:r>
      <w:r w:rsidRPr="005F6FF4">
        <w:t xml:space="preserve"> </w:t>
      </w:r>
      <w:r w:rsidRPr="005F6FF4">
        <w:rPr>
          <w:rFonts w:cstheme="minorHAnsi"/>
          <w:lang w:val="en-GB"/>
        </w:rPr>
        <w:t xml:space="preserve">Control variables such as gross domestic saving </w:t>
      </w:r>
      <m:oMath>
        <m:sSub>
          <m:sSubPr>
            <m:ctrlPr>
              <w:rPr>
                <w:rFonts w:ascii="Cambria Math" w:hAnsi="Cambria Math" w:cstheme="minorHAnsi"/>
                <w:i/>
                <w:lang w:val="en-GB"/>
              </w:rPr>
            </m:ctrlPr>
          </m:sSubPr>
          <m:e>
            <m:r>
              <w:rPr>
                <w:rFonts w:ascii="Cambria Math" w:hAnsi="Cambria Math" w:cstheme="minorHAnsi"/>
                <w:lang w:val="en-GB"/>
              </w:rPr>
              <m:t>(GDS</m:t>
            </m:r>
          </m:e>
          <m:sub>
            <m:r>
              <w:rPr>
                <w:rFonts w:ascii="Cambria Math" w:hAnsi="Cambria Math" w:cstheme="minorHAnsi"/>
                <w:lang w:val="en-GB"/>
              </w:rPr>
              <m:t>t</m:t>
            </m:r>
          </m:sub>
        </m:sSub>
        <m:r>
          <w:rPr>
            <w:rFonts w:ascii="Cambria Math" w:hAnsi="Cambria Math" w:cstheme="minorHAnsi"/>
            <w:lang w:val="en-GB"/>
          </w:rPr>
          <m:t>)</m:t>
        </m:r>
      </m:oMath>
      <w:r w:rsidRPr="005F6FF4">
        <w:rPr>
          <w:rFonts w:cstheme="minorHAnsi"/>
          <w:lang w:val="en-GB"/>
        </w:rPr>
        <w:t xml:space="preserve">, net inflow of foreign direct investment </w:t>
      </w:r>
      <m:oMath>
        <m:r>
          <w:rPr>
            <w:rFonts w:ascii="Cambria Math" w:hAnsi="Cambria Math" w:cstheme="minorHAnsi"/>
            <w:lang w:val="en-GB"/>
          </w:rPr>
          <m:t>(</m:t>
        </m:r>
        <m:sSub>
          <m:sSubPr>
            <m:ctrlPr>
              <w:rPr>
                <w:rFonts w:ascii="Cambria Math" w:hAnsi="Cambria Math" w:cstheme="minorHAnsi"/>
                <w:i/>
                <w:lang w:val="en-GB"/>
              </w:rPr>
            </m:ctrlPr>
          </m:sSubPr>
          <m:e>
            <m:r>
              <w:rPr>
                <w:rFonts w:ascii="Cambria Math" w:hAnsi="Cambria Math" w:cstheme="minorHAnsi"/>
                <w:lang w:val="en-GB"/>
              </w:rPr>
              <m:t>FDI</m:t>
            </m:r>
          </m:e>
          <m:sub>
            <m:r>
              <w:rPr>
                <w:rFonts w:ascii="Cambria Math" w:hAnsi="Cambria Math" w:cstheme="minorHAnsi"/>
                <w:lang w:val="en-GB"/>
              </w:rPr>
              <m:t>t</m:t>
            </m:r>
          </m:sub>
        </m:sSub>
        <m:r>
          <w:rPr>
            <w:rFonts w:ascii="Cambria Math" w:hAnsi="Cambria Math" w:cstheme="minorHAnsi"/>
            <w:lang w:val="en-GB"/>
          </w:rPr>
          <m:t>)</m:t>
        </m:r>
      </m:oMath>
      <w:r w:rsidRPr="005F6FF4">
        <w:rPr>
          <w:rFonts w:cstheme="minorHAnsi"/>
          <w:lang w:val="en-GB"/>
        </w:rPr>
        <w:t xml:space="preserve">, and oil rents </w:t>
      </w:r>
      <m:oMath>
        <m:r>
          <w:rPr>
            <w:rFonts w:ascii="Cambria Math" w:hAnsi="Cambria Math" w:cstheme="minorHAnsi"/>
            <w:lang w:val="en-GB"/>
          </w:rPr>
          <m:t>(</m:t>
        </m:r>
        <m:sSub>
          <m:sSubPr>
            <m:ctrlPr>
              <w:rPr>
                <w:rFonts w:ascii="Cambria Math" w:hAnsi="Cambria Math" w:cstheme="minorHAnsi"/>
                <w:i/>
                <w:lang w:val="en-GB"/>
              </w:rPr>
            </m:ctrlPr>
          </m:sSubPr>
          <m:e>
            <m:r>
              <w:rPr>
                <w:rFonts w:ascii="Cambria Math" w:hAnsi="Cambria Math" w:cstheme="minorHAnsi"/>
                <w:lang w:val="en-GB"/>
              </w:rPr>
              <m:t>OIL</m:t>
            </m:r>
          </m:e>
          <m:sub>
            <m:r>
              <w:rPr>
                <w:rFonts w:ascii="Cambria Math" w:hAnsi="Cambria Math" w:cstheme="minorHAnsi"/>
                <w:lang w:val="en-GB"/>
              </w:rPr>
              <m:t>t</m:t>
            </m:r>
          </m:sub>
        </m:sSub>
        <m:r>
          <w:rPr>
            <w:rFonts w:ascii="Cambria Math" w:hAnsi="Cambria Math" w:cstheme="minorHAnsi"/>
            <w:lang w:val="en-GB"/>
          </w:rPr>
          <m:t>)</m:t>
        </m:r>
      </m:oMath>
      <w:r w:rsidRPr="005F6FF4">
        <w:rPr>
          <w:rFonts w:cstheme="minorHAnsi"/>
          <w:lang w:val="en-GB"/>
        </w:rPr>
        <w:t xml:space="preserve"> have no significant effects on inclusive growth. In other words, the effect of these three control variables is statistically indistinguishable from zero.</w:t>
      </w:r>
    </w:p>
    <w:p w14:paraId="3D828602" w14:textId="77777777" w:rsidR="00AD08D8" w:rsidRPr="005F6FF4" w:rsidRDefault="00AD08D8" w:rsidP="00DF1E30">
      <w:pPr>
        <w:spacing w:after="360"/>
        <w:rPr>
          <w:rFonts w:cstheme="minorHAnsi"/>
          <w:lang w:val="en-GB"/>
        </w:rPr>
      </w:pPr>
    </w:p>
    <w:p w14:paraId="0C7757B0" w14:textId="77D7C0A6" w:rsidR="00102FBB" w:rsidRPr="005F6FF4" w:rsidRDefault="00102FBB" w:rsidP="00102FBB">
      <w:pPr>
        <w:spacing w:after="0" w:line="240" w:lineRule="auto"/>
        <w:jc w:val="both"/>
        <w:rPr>
          <w:rFonts w:cstheme="minorHAnsi"/>
          <w:lang w:val="en-GB"/>
        </w:rPr>
      </w:pPr>
      <w:r w:rsidRPr="005F6FF4">
        <w:rPr>
          <w:rFonts w:cstheme="minorHAnsi"/>
          <w:b/>
          <w:bCs/>
          <w:lang w:val="en-GB"/>
        </w:rPr>
        <w:lastRenderedPageBreak/>
        <w:t xml:space="preserve">Table 2: </w:t>
      </w:r>
      <w:r w:rsidR="007867D5" w:rsidRPr="005F6FF4">
        <w:rPr>
          <w:rFonts w:cstheme="minorHAnsi"/>
          <w:lang w:val="en-GB"/>
        </w:rPr>
        <w:t>Estimated Impact of Digital Transformation and Others on Indonesian Inclusive Growth</w:t>
      </w:r>
      <w:r w:rsidR="00AD08D8" w:rsidRPr="005F6FF4">
        <w:rPr>
          <w:rFonts w:cstheme="minorHAnsi"/>
          <w:lang w:val="en-GB"/>
        </w:rPr>
        <w:t xml:space="preserve"> </w:t>
      </w:r>
    </w:p>
    <w:tbl>
      <w:tblPr>
        <w:tblW w:w="9043" w:type="dxa"/>
        <w:tblLook w:val="04A0" w:firstRow="1" w:lastRow="0" w:firstColumn="1" w:lastColumn="0" w:noHBand="0" w:noVBand="1"/>
      </w:tblPr>
      <w:tblGrid>
        <w:gridCol w:w="6767"/>
        <w:gridCol w:w="1133"/>
        <w:gridCol w:w="1143"/>
      </w:tblGrid>
      <w:tr w:rsidR="00960F4F" w:rsidRPr="005F6FF4" w14:paraId="3D7BF72F" w14:textId="77777777" w:rsidTr="006C1F9C">
        <w:trPr>
          <w:trHeight w:val="226"/>
        </w:trPr>
        <w:tc>
          <w:tcPr>
            <w:tcW w:w="6767" w:type="dxa"/>
            <w:vMerge w:val="restart"/>
            <w:tcBorders>
              <w:top w:val="single" w:sz="4" w:space="0" w:color="auto"/>
              <w:left w:val="nil"/>
              <w:bottom w:val="single" w:sz="4" w:space="0" w:color="000000"/>
              <w:right w:val="nil"/>
            </w:tcBorders>
            <w:shd w:val="clear" w:color="auto" w:fill="auto"/>
            <w:noWrap/>
            <w:vAlign w:val="center"/>
            <w:hideMark/>
          </w:tcPr>
          <w:p w14:paraId="0FC740C1" w14:textId="77777777" w:rsidR="00960F4F" w:rsidRPr="005F6FF4" w:rsidRDefault="00960F4F" w:rsidP="005F610D">
            <w:pPr>
              <w:spacing w:after="0" w:line="240" w:lineRule="auto"/>
              <w:jc w:val="center"/>
              <w:rPr>
                <w:rFonts w:eastAsia="Times New Roman" w:cstheme="minorHAnsi"/>
                <w:b/>
                <w:bCs/>
                <w:color w:val="000000"/>
                <w:sz w:val="20"/>
                <w:szCs w:val="20"/>
                <w:lang w:val="en-GB" w:eastAsia="en-ID"/>
              </w:rPr>
            </w:pPr>
            <w:r w:rsidRPr="005F6FF4">
              <w:rPr>
                <w:rFonts w:eastAsia="Times New Roman" w:cstheme="minorHAnsi"/>
                <w:b/>
                <w:bCs/>
                <w:color w:val="000000"/>
                <w:sz w:val="20"/>
                <w:szCs w:val="20"/>
                <w:lang w:val="en-GB" w:eastAsia="en-ID"/>
              </w:rPr>
              <w:t>Second Stage Regression</w:t>
            </w:r>
          </w:p>
        </w:tc>
        <w:tc>
          <w:tcPr>
            <w:tcW w:w="1133" w:type="dxa"/>
            <w:tcBorders>
              <w:top w:val="single" w:sz="4" w:space="0" w:color="auto"/>
              <w:left w:val="nil"/>
              <w:bottom w:val="single" w:sz="4" w:space="0" w:color="auto"/>
              <w:right w:val="nil"/>
            </w:tcBorders>
            <w:shd w:val="clear" w:color="auto" w:fill="auto"/>
            <w:noWrap/>
            <w:vAlign w:val="center"/>
            <w:hideMark/>
          </w:tcPr>
          <w:p w14:paraId="6A0BDE63" w14:textId="77777777" w:rsidR="00960F4F" w:rsidRPr="005F6FF4" w:rsidRDefault="00960F4F" w:rsidP="005F610D">
            <w:pPr>
              <w:spacing w:after="0" w:line="240" w:lineRule="auto"/>
              <w:jc w:val="center"/>
              <w:rPr>
                <w:rFonts w:eastAsia="Times New Roman" w:cstheme="minorHAnsi"/>
                <w:b/>
                <w:bCs/>
                <w:color w:val="000000"/>
                <w:sz w:val="20"/>
                <w:szCs w:val="20"/>
                <w:lang w:val="en-GB" w:eastAsia="en-ID"/>
              </w:rPr>
            </w:pPr>
            <w:r w:rsidRPr="005F6FF4">
              <w:rPr>
                <w:rFonts w:eastAsia="Times New Roman" w:cstheme="minorHAnsi"/>
                <w:b/>
                <w:bCs/>
                <w:color w:val="000000"/>
                <w:sz w:val="20"/>
                <w:szCs w:val="20"/>
                <w:lang w:val="en-GB" w:eastAsia="en-ID"/>
              </w:rPr>
              <w:t>(1)</w:t>
            </w:r>
          </w:p>
        </w:tc>
        <w:tc>
          <w:tcPr>
            <w:tcW w:w="1143" w:type="dxa"/>
            <w:tcBorders>
              <w:top w:val="single" w:sz="4" w:space="0" w:color="auto"/>
              <w:left w:val="nil"/>
              <w:bottom w:val="single" w:sz="4" w:space="0" w:color="auto"/>
              <w:right w:val="nil"/>
            </w:tcBorders>
            <w:shd w:val="clear" w:color="auto" w:fill="auto"/>
            <w:noWrap/>
            <w:vAlign w:val="center"/>
            <w:hideMark/>
          </w:tcPr>
          <w:p w14:paraId="645F7798" w14:textId="77777777" w:rsidR="00960F4F" w:rsidRPr="005F6FF4" w:rsidRDefault="00960F4F" w:rsidP="005F610D">
            <w:pPr>
              <w:spacing w:after="0" w:line="240" w:lineRule="auto"/>
              <w:jc w:val="center"/>
              <w:rPr>
                <w:rFonts w:eastAsia="Times New Roman" w:cstheme="minorHAnsi"/>
                <w:b/>
                <w:bCs/>
                <w:color w:val="000000"/>
                <w:sz w:val="20"/>
                <w:szCs w:val="20"/>
                <w:lang w:val="en-GB" w:eastAsia="en-ID"/>
              </w:rPr>
            </w:pPr>
            <w:r w:rsidRPr="005F6FF4">
              <w:rPr>
                <w:rFonts w:eastAsia="Times New Roman" w:cstheme="minorHAnsi"/>
                <w:b/>
                <w:bCs/>
                <w:color w:val="000000"/>
                <w:sz w:val="20"/>
                <w:szCs w:val="20"/>
                <w:lang w:val="en-GB" w:eastAsia="en-ID"/>
              </w:rPr>
              <w:t>(2)</w:t>
            </w:r>
          </w:p>
        </w:tc>
      </w:tr>
      <w:tr w:rsidR="00960F4F" w:rsidRPr="005F6FF4" w14:paraId="78CD8BAB" w14:textId="77777777" w:rsidTr="006C1F9C">
        <w:trPr>
          <w:trHeight w:val="226"/>
        </w:trPr>
        <w:tc>
          <w:tcPr>
            <w:tcW w:w="6767" w:type="dxa"/>
            <w:vMerge/>
            <w:tcBorders>
              <w:top w:val="single" w:sz="4" w:space="0" w:color="auto"/>
              <w:left w:val="nil"/>
              <w:bottom w:val="single" w:sz="4" w:space="0" w:color="000000"/>
              <w:right w:val="nil"/>
            </w:tcBorders>
            <w:vAlign w:val="center"/>
            <w:hideMark/>
          </w:tcPr>
          <w:p w14:paraId="57C68E4E" w14:textId="77777777" w:rsidR="00960F4F" w:rsidRPr="005F6FF4" w:rsidRDefault="00960F4F" w:rsidP="005F610D">
            <w:pPr>
              <w:spacing w:after="0" w:line="240" w:lineRule="auto"/>
              <w:rPr>
                <w:rFonts w:eastAsia="Times New Roman" w:cstheme="minorHAnsi"/>
                <w:b/>
                <w:bCs/>
                <w:color w:val="000000"/>
                <w:sz w:val="20"/>
                <w:szCs w:val="20"/>
                <w:lang w:val="en-GB" w:eastAsia="en-ID"/>
              </w:rPr>
            </w:pPr>
          </w:p>
        </w:tc>
        <w:tc>
          <w:tcPr>
            <w:tcW w:w="1133" w:type="dxa"/>
            <w:tcBorders>
              <w:top w:val="nil"/>
              <w:left w:val="nil"/>
              <w:bottom w:val="single" w:sz="4" w:space="0" w:color="auto"/>
              <w:right w:val="nil"/>
            </w:tcBorders>
            <w:shd w:val="clear" w:color="auto" w:fill="auto"/>
            <w:noWrap/>
            <w:vAlign w:val="center"/>
            <w:hideMark/>
          </w:tcPr>
          <w:p w14:paraId="774E2411" w14:textId="0013390D" w:rsidR="00960F4F" w:rsidRPr="005F6FF4" w:rsidRDefault="007912C0" w:rsidP="006C1F9C">
            <w:pPr>
              <w:spacing w:after="0" w:line="240" w:lineRule="auto"/>
              <w:ind w:firstLine="30"/>
              <w:jc w:val="center"/>
              <w:rPr>
                <w:rFonts w:eastAsia="Times New Roman" w:cstheme="minorHAnsi"/>
                <w:b/>
                <w:bCs/>
                <w:color w:val="000000"/>
                <w:sz w:val="20"/>
                <w:szCs w:val="20"/>
                <w:lang w:val="en-GB" w:eastAsia="en-ID"/>
              </w:rPr>
            </w:pPr>
            <w:r w:rsidRPr="005F6FF4">
              <w:rPr>
                <w:rFonts w:eastAsiaTheme="minorEastAsia"/>
                <w:lang w:val="en-GB"/>
              </w:rPr>
              <w:t xml:space="preserve">Inclusive Growth, </w:t>
            </w:r>
            <m:oMath>
              <m:sSub>
                <m:sSubPr>
                  <m:ctrlPr>
                    <w:rPr>
                      <w:rFonts w:ascii="Cambria Math" w:hAnsi="Cambria Math" w:cstheme="minorHAnsi"/>
                      <w:i/>
                      <w:lang w:val="en-GB"/>
                    </w:rPr>
                  </m:ctrlPr>
                </m:sSubPr>
                <m:e>
                  <m:r>
                    <w:rPr>
                      <w:rFonts w:ascii="Cambria Math" w:hAnsi="Cambria Math" w:cstheme="minorHAnsi"/>
                      <w:lang w:val="en-GB"/>
                    </w:rPr>
                    <m:t>IG</m:t>
                  </m:r>
                </m:e>
                <m:sub>
                  <m:r>
                    <w:rPr>
                      <w:rFonts w:ascii="Cambria Math" w:hAnsi="Cambria Math" w:cstheme="minorHAnsi"/>
                      <w:lang w:val="en-GB"/>
                    </w:rPr>
                    <m:t>t</m:t>
                  </m:r>
                </m:sub>
              </m:sSub>
            </m:oMath>
          </w:p>
        </w:tc>
        <w:tc>
          <w:tcPr>
            <w:tcW w:w="1143" w:type="dxa"/>
            <w:tcBorders>
              <w:top w:val="nil"/>
              <w:left w:val="nil"/>
              <w:bottom w:val="single" w:sz="4" w:space="0" w:color="auto"/>
              <w:right w:val="nil"/>
            </w:tcBorders>
            <w:shd w:val="clear" w:color="auto" w:fill="auto"/>
            <w:noWrap/>
            <w:vAlign w:val="center"/>
            <w:hideMark/>
          </w:tcPr>
          <w:p w14:paraId="0BCAA94C" w14:textId="4601CF01" w:rsidR="00960F4F" w:rsidRPr="005F6FF4" w:rsidRDefault="007912C0" w:rsidP="005F610D">
            <w:pPr>
              <w:spacing w:after="0" w:line="240" w:lineRule="auto"/>
              <w:jc w:val="center"/>
              <w:rPr>
                <w:rFonts w:eastAsia="Times New Roman" w:cstheme="minorHAnsi"/>
                <w:b/>
                <w:bCs/>
                <w:color w:val="000000"/>
                <w:sz w:val="20"/>
                <w:szCs w:val="20"/>
                <w:lang w:val="en-GB" w:eastAsia="en-ID"/>
              </w:rPr>
            </w:pPr>
            <w:r w:rsidRPr="005F6FF4">
              <w:rPr>
                <w:rFonts w:eastAsiaTheme="minorEastAsia"/>
                <w:lang w:val="en-GB"/>
              </w:rPr>
              <w:t xml:space="preserve">Inclusive Growth, </w:t>
            </w:r>
            <m:oMath>
              <m:sSub>
                <m:sSubPr>
                  <m:ctrlPr>
                    <w:rPr>
                      <w:rFonts w:ascii="Cambria Math" w:hAnsi="Cambria Math" w:cstheme="minorHAnsi"/>
                      <w:i/>
                      <w:lang w:val="en-GB"/>
                    </w:rPr>
                  </m:ctrlPr>
                </m:sSubPr>
                <m:e>
                  <m:r>
                    <w:rPr>
                      <w:rFonts w:ascii="Cambria Math" w:hAnsi="Cambria Math" w:cstheme="minorHAnsi"/>
                      <w:lang w:val="en-GB"/>
                    </w:rPr>
                    <m:t>IG</m:t>
                  </m:r>
                </m:e>
                <m:sub>
                  <m:r>
                    <w:rPr>
                      <w:rFonts w:ascii="Cambria Math" w:hAnsi="Cambria Math" w:cstheme="minorHAnsi"/>
                      <w:lang w:val="en-GB"/>
                    </w:rPr>
                    <m:t>t</m:t>
                  </m:r>
                </m:sub>
              </m:sSub>
            </m:oMath>
          </w:p>
        </w:tc>
      </w:tr>
      <w:tr w:rsidR="00960F4F" w:rsidRPr="005F6FF4" w14:paraId="49FF52BB" w14:textId="77777777" w:rsidTr="006C1F9C">
        <w:trPr>
          <w:trHeight w:val="226"/>
        </w:trPr>
        <w:tc>
          <w:tcPr>
            <w:tcW w:w="6767" w:type="dxa"/>
            <w:tcBorders>
              <w:top w:val="nil"/>
              <w:left w:val="nil"/>
              <w:bottom w:val="nil"/>
              <w:right w:val="nil"/>
            </w:tcBorders>
            <w:shd w:val="clear" w:color="auto" w:fill="auto"/>
            <w:noWrap/>
            <w:vAlign w:val="bottom"/>
            <w:hideMark/>
          </w:tcPr>
          <w:p w14:paraId="00740EC5" w14:textId="727E5E76" w:rsidR="00960F4F" w:rsidRPr="005F6FF4" w:rsidRDefault="007912C0" w:rsidP="005F610D">
            <w:pPr>
              <w:spacing w:after="0" w:line="240" w:lineRule="auto"/>
              <w:rPr>
                <w:rFonts w:eastAsia="Times New Roman" w:cstheme="minorHAnsi"/>
                <w:color w:val="000000"/>
                <w:sz w:val="20"/>
                <w:szCs w:val="20"/>
                <w:lang w:val="en-GB" w:eastAsia="en-ID"/>
              </w:rPr>
            </w:pPr>
            <w:r w:rsidRPr="005F6FF4">
              <w:rPr>
                <w:rFonts w:eastAsiaTheme="minorEastAsia"/>
                <w:lang w:val="en-GB"/>
              </w:rPr>
              <w:t xml:space="preserve">Digital Transformation, </w:t>
            </w:r>
            <m:oMath>
              <m:acc>
                <m:accPr>
                  <m:ctrlPr>
                    <w:rPr>
                      <w:rFonts w:ascii="Cambria Math" w:hAnsi="Cambria Math" w:cstheme="minorHAnsi"/>
                      <w:i/>
                      <w:lang w:val="en-GB"/>
                    </w:rPr>
                  </m:ctrlPr>
                </m:accPr>
                <m:e>
                  <m:sSub>
                    <m:sSubPr>
                      <m:ctrlPr>
                        <w:rPr>
                          <w:rFonts w:ascii="Cambria Math" w:hAnsi="Cambria Math" w:cstheme="minorHAnsi"/>
                          <w:i/>
                          <w:lang w:val="en-GB"/>
                        </w:rPr>
                      </m:ctrlPr>
                    </m:sSubPr>
                    <m:e>
                      <m:r>
                        <w:rPr>
                          <w:rFonts w:ascii="Cambria Math" w:hAnsi="Cambria Math" w:cstheme="minorHAnsi"/>
                          <w:lang w:val="en-GB"/>
                        </w:rPr>
                        <m:t>DT</m:t>
                      </m:r>
                    </m:e>
                    <m:sub>
                      <m:r>
                        <w:rPr>
                          <w:rFonts w:ascii="Cambria Math" w:hAnsi="Cambria Math" w:cstheme="minorHAnsi"/>
                          <w:lang w:val="en-GB"/>
                        </w:rPr>
                        <m:t>t</m:t>
                      </m:r>
                    </m:sub>
                  </m:sSub>
                </m:e>
              </m:acc>
            </m:oMath>
          </w:p>
        </w:tc>
        <w:tc>
          <w:tcPr>
            <w:tcW w:w="1133" w:type="dxa"/>
            <w:tcBorders>
              <w:top w:val="nil"/>
              <w:left w:val="nil"/>
              <w:bottom w:val="nil"/>
              <w:right w:val="nil"/>
            </w:tcBorders>
            <w:shd w:val="clear" w:color="auto" w:fill="auto"/>
            <w:noWrap/>
            <w:vAlign w:val="bottom"/>
            <w:hideMark/>
          </w:tcPr>
          <w:p w14:paraId="7F67418D" w14:textId="77777777" w:rsidR="00960F4F" w:rsidRPr="005F6FF4" w:rsidRDefault="00960F4F" w:rsidP="005F610D">
            <w:pPr>
              <w:spacing w:after="0" w:line="240" w:lineRule="auto"/>
              <w:jc w:val="right"/>
              <w:rPr>
                <w:rFonts w:eastAsia="Times New Roman" w:cstheme="minorHAnsi"/>
                <w:color w:val="000000"/>
                <w:sz w:val="20"/>
                <w:szCs w:val="20"/>
                <w:lang w:val="en-GB" w:eastAsia="en-ID"/>
              </w:rPr>
            </w:pPr>
            <w:r w:rsidRPr="005F6FF4">
              <w:rPr>
                <w:rFonts w:eastAsia="Times New Roman" w:cstheme="minorHAnsi"/>
                <w:color w:val="000000"/>
                <w:sz w:val="20"/>
                <w:szCs w:val="20"/>
                <w:lang w:val="en-GB" w:eastAsia="en-ID"/>
              </w:rPr>
              <w:t>0.1193*</w:t>
            </w:r>
          </w:p>
        </w:tc>
        <w:tc>
          <w:tcPr>
            <w:tcW w:w="1143" w:type="dxa"/>
            <w:tcBorders>
              <w:top w:val="nil"/>
              <w:left w:val="nil"/>
              <w:bottom w:val="nil"/>
              <w:right w:val="nil"/>
            </w:tcBorders>
            <w:shd w:val="clear" w:color="auto" w:fill="auto"/>
            <w:noWrap/>
            <w:vAlign w:val="bottom"/>
            <w:hideMark/>
          </w:tcPr>
          <w:p w14:paraId="374AC1F3" w14:textId="77777777" w:rsidR="00960F4F" w:rsidRPr="005F6FF4" w:rsidRDefault="00960F4F" w:rsidP="005F610D">
            <w:pPr>
              <w:spacing w:after="0" w:line="240" w:lineRule="auto"/>
              <w:jc w:val="right"/>
              <w:rPr>
                <w:rFonts w:eastAsia="Times New Roman" w:cstheme="minorHAnsi"/>
                <w:color w:val="000000"/>
                <w:sz w:val="20"/>
                <w:szCs w:val="20"/>
                <w:lang w:val="en-GB" w:eastAsia="en-ID"/>
              </w:rPr>
            </w:pPr>
            <w:r w:rsidRPr="005F6FF4">
              <w:rPr>
                <w:rFonts w:eastAsia="Times New Roman" w:cstheme="minorHAnsi"/>
                <w:color w:val="000000"/>
                <w:sz w:val="20"/>
                <w:szCs w:val="20"/>
                <w:lang w:val="en-GB" w:eastAsia="en-ID"/>
              </w:rPr>
              <w:t>0.1275*</w:t>
            </w:r>
          </w:p>
        </w:tc>
      </w:tr>
      <w:tr w:rsidR="00960F4F" w:rsidRPr="005F6FF4" w14:paraId="4C19B5A1" w14:textId="77777777" w:rsidTr="006C1F9C">
        <w:trPr>
          <w:trHeight w:val="226"/>
        </w:trPr>
        <w:tc>
          <w:tcPr>
            <w:tcW w:w="6767" w:type="dxa"/>
            <w:tcBorders>
              <w:top w:val="nil"/>
              <w:left w:val="nil"/>
              <w:bottom w:val="nil"/>
              <w:right w:val="nil"/>
            </w:tcBorders>
            <w:shd w:val="clear" w:color="auto" w:fill="auto"/>
            <w:noWrap/>
            <w:vAlign w:val="bottom"/>
            <w:hideMark/>
          </w:tcPr>
          <w:p w14:paraId="6315A666" w14:textId="77777777" w:rsidR="00960F4F" w:rsidRPr="005F6FF4" w:rsidRDefault="00960F4F" w:rsidP="005F610D">
            <w:pPr>
              <w:spacing w:after="0" w:line="240" w:lineRule="auto"/>
              <w:rPr>
                <w:rFonts w:eastAsia="Times New Roman" w:cstheme="minorHAnsi"/>
                <w:color w:val="000000"/>
                <w:sz w:val="20"/>
                <w:szCs w:val="20"/>
                <w:lang w:val="en-GB" w:eastAsia="en-ID"/>
              </w:rPr>
            </w:pPr>
            <w:r w:rsidRPr="005F6FF4">
              <w:rPr>
                <w:rFonts w:eastAsia="Times New Roman" w:cstheme="minorHAnsi"/>
                <w:noProof/>
                <w:color w:val="000000"/>
                <w:sz w:val="20"/>
                <w:szCs w:val="20"/>
                <w:lang w:val="en-GB" w:eastAsia="en-ID"/>
              </w:rPr>
              <mc:AlternateContent>
                <mc:Choice Requires="wps">
                  <w:drawing>
                    <wp:anchor distT="0" distB="0" distL="114300" distR="114300" simplePos="0" relativeHeight="251659264" behindDoc="0" locked="0" layoutInCell="1" allowOverlap="1" wp14:anchorId="695DF3C8" wp14:editId="545E2855">
                      <wp:simplePos x="0" y="0"/>
                      <wp:positionH relativeFrom="column">
                        <wp:posOffset>660400</wp:posOffset>
                      </wp:positionH>
                      <wp:positionV relativeFrom="paragraph">
                        <wp:posOffset>133350</wp:posOffset>
                      </wp:positionV>
                      <wp:extent cx="6350" cy="171450"/>
                      <wp:effectExtent l="0" t="0" r="0" b="0"/>
                      <wp:wrapNone/>
                      <wp:docPr id="2" name="Text Box 2">
                        <a:extLst xmlns:a="http://schemas.openxmlformats.org/drawingml/2006/main">
                          <a:ext uri="{FF2B5EF4-FFF2-40B4-BE49-F238E27FC236}">
                            <a16:creationId xmlns:a16="http://schemas.microsoft.com/office/drawing/2014/main" id="{AC0BFA06-A24E-45CB-A7C8-D9E69C53B355}"/>
                          </a:ext>
                        </a:extLst>
                      </wp:docPr>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w:pict>
                    <v:shapetype w14:anchorId="018B80FF" id="_x0000_t202" coordsize="21600,21600" o:spt="202" path="m,l,21600r21600,l21600,xe">
                      <v:stroke joinstyle="miter"/>
                      <v:path gradientshapeok="t" o:connecttype="rect"/>
                    </v:shapetype>
                    <v:shape id="Text Box 2" o:spid="_x0000_s1026" type="#_x0000_t202" style="position:absolute;margin-left:52pt;margin-top:10.5pt;width:.5pt;height:13.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" filled="f" stroked="f">
                      <v:textbox style="mso-fit-shape-to-text:t" inset="0,0,0,0"/>
                    </v:shape>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6538"/>
            </w:tblGrid>
            <w:tr w:rsidR="00960F4F" w:rsidRPr="005F6FF4" w14:paraId="46876A41" w14:textId="77777777" w:rsidTr="006C1F9C">
              <w:trPr>
                <w:trHeight w:val="48"/>
                <w:tblCellSpacing w:w="0" w:type="dxa"/>
              </w:trPr>
              <w:tc>
                <w:tcPr>
                  <w:tcW w:w="6538" w:type="dxa"/>
                  <w:tcBorders>
                    <w:top w:val="nil"/>
                    <w:left w:val="nil"/>
                    <w:bottom w:val="nil"/>
                    <w:right w:val="nil"/>
                  </w:tcBorders>
                  <w:shd w:val="clear" w:color="auto" w:fill="auto"/>
                  <w:noWrap/>
                  <w:vAlign w:val="bottom"/>
                  <w:hideMark/>
                </w:tcPr>
                <w:p w14:paraId="509D886C" w14:textId="77777777" w:rsidR="00960F4F" w:rsidRPr="005F6FF4" w:rsidRDefault="00960F4F" w:rsidP="005F610D">
                  <w:pPr>
                    <w:spacing w:after="0" w:line="240" w:lineRule="auto"/>
                    <w:rPr>
                      <w:rFonts w:eastAsia="Times New Roman" w:cstheme="minorHAnsi"/>
                      <w:color w:val="000000"/>
                      <w:sz w:val="20"/>
                      <w:szCs w:val="20"/>
                      <w:lang w:val="en-GB" w:eastAsia="en-ID"/>
                    </w:rPr>
                  </w:pPr>
                </w:p>
              </w:tc>
            </w:tr>
          </w:tbl>
          <w:p w14:paraId="54042358" w14:textId="77777777" w:rsidR="00960F4F" w:rsidRPr="005F6FF4" w:rsidRDefault="00960F4F" w:rsidP="005F610D">
            <w:pPr>
              <w:spacing w:after="0" w:line="240" w:lineRule="auto"/>
              <w:rPr>
                <w:rFonts w:eastAsia="Times New Roman" w:cstheme="minorHAnsi"/>
                <w:color w:val="000000"/>
                <w:sz w:val="20"/>
                <w:szCs w:val="20"/>
                <w:lang w:val="en-GB" w:eastAsia="en-ID"/>
              </w:rPr>
            </w:pPr>
          </w:p>
        </w:tc>
        <w:tc>
          <w:tcPr>
            <w:tcW w:w="1133" w:type="dxa"/>
            <w:tcBorders>
              <w:top w:val="nil"/>
              <w:left w:val="nil"/>
              <w:bottom w:val="nil"/>
              <w:right w:val="nil"/>
            </w:tcBorders>
            <w:shd w:val="clear" w:color="auto" w:fill="auto"/>
            <w:noWrap/>
            <w:vAlign w:val="bottom"/>
            <w:hideMark/>
          </w:tcPr>
          <w:p w14:paraId="3DCCB7BE" w14:textId="77777777" w:rsidR="00960F4F" w:rsidRPr="005F6FF4" w:rsidRDefault="00960F4F" w:rsidP="005F610D">
            <w:pPr>
              <w:spacing w:after="0" w:line="240" w:lineRule="auto"/>
              <w:jc w:val="right"/>
              <w:rPr>
                <w:rFonts w:eastAsia="Times New Roman" w:cstheme="minorHAnsi"/>
                <w:color w:val="000000"/>
                <w:sz w:val="20"/>
                <w:szCs w:val="20"/>
                <w:lang w:val="en-GB" w:eastAsia="en-ID"/>
              </w:rPr>
            </w:pPr>
            <w:r w:rsidRPr="005F6FF4">
              <w:rPr>
                <w:rFonts w:eastAsia="Times New Roman" w:cstheme="minorHAnsi"/>
                <w:color w:val="000000"/>
                <w:sz w:val="20"/>
                <w:szCs w:val="20"/>
                <w:lang w:val="en-GB" w:eastAsia="en-ID"/>
              </w:rPr>
              <w:t>(0.0568)</w:t>
            </w:r>
          </w:p>
        </w:tc>
        <w:tc>
          <w:tcPr>
            <w:tcW w:w="1143" w:type="dxa"/>
            <w:tcBorders>
              <w:top w:val="nil"/>
              <w:left w:val="nil"/>
              <w:bottom w:val="nil"/>
              <w:right w:val="nil"/>
            </w:tcBorders>
            <w:shd w:val="clear" w:color="auto" w:fill="auto"/>
            <w:noWrap/>
            <w:vAlign w:val="bottom"/>
            <w:hideMark/>
          </w:tcPr>
          <w:p w14:paraId="71B1C684" w14:textId="77777777" w:rsidR="00960F4F" w:rsidRPr="005F6FF4" w:rsidRDefault="00960F4F" w:rsidP="005F610D">
            <w:pPr>
              <w:spacing w:after="0" w:line="240" w:lineRule="auto"/>
              <w:jc w:val="right"/>
              <w:rPr>
                <w:rFonts w:eastAsia="Times New Roman" w:cstheme="minorHAnsi"/>
                <w:color w:val="000000"/>
                <w:sz w:val="20"/>
                <w:szCs w:val="20"/>
                <w:lang w:val="en-GB" w:eastAsia="en-ID"/>
              </w:rPr>
            </w:pPr>
            <w:r w:rsidRPr="005F6FF4">
              <w:rPr>
                <w:rFonts w:eastAsia="Times New Roman" w:cstheme="minorHAnsi"/>
                <w:color w:val="000000"/>
                <w:sz w:val="20"/>
                <w:szCs w:val="20"/>
                <w:lang w:val="en-GB" w:eastAsia="en-ID"/>
              </w:rPr>
              <w:t>(0.0641)</w:t>
            </w:r>
          </w:p>
        </w:tc>
      </w:tr>
      <w:tr w:rsidR="00960F4F" w:rsidRPr="005F6FF4" w14:paraId="043639C6" w14:textId="77777777" w:rsidTr="006C1F9C">
        <w:trPr>
          <w:trHeight w:val="226"/>
        </w:trPr>
        <w:tc>
          <w:tcPr>
            <w:tcW w:w="6767" w:type="dxa"/>
            <w:tcBorders>
              <w:top w:val="nil"/>
              <w:left w:val="nil"/>
              <w:bottom w:val="nil"/>
              <w:right w:val="nil"/>
            </w:tcBorders>
            <w:shd w:val="clear" w:color="auto" w:fill="auto"/>
            <w:noWrap/>
            <w:vAlign w:val="bottom"/>
            <w:hideMark/>
          </w:tcPr>
          <w:p w14:paraId="1159CF1D" w14:textId="1091B625" w:rsidR="00960F4F" w:rsidRPr="005F6FF4" w:rsidRDefault="007912C0" w:rsidP="005F610D">
            <w:pPr>
              <w:spacing w:after="0" w:line="240" w:lineRule="auto"/>
              <w:rPr>
                <w:rFonts w:eastAsia="Times New Roman" w:cstheme="minorHAnsi"/>
                <w:color w:val="000000"/>
                <w:sz w:val="20"/>
                <w:szCs w:val="20"/>
                <w:lang w:val="en-GB" w:eastAsia="en-ID"/>
              </w:rPr>
            </w:pPr>
            <w:r w:rsidRPr="005F6FF4">
              <w:rPr>
                <w:rFonts w:eastAsiaTheme="minorEastAsia"/>
                <w:lang w:val="en-GB"/>
              </w:rPr>
              <w:t xml:space="preserve">One-year lag of Inclusive Growth, </w:t>
            </w:r>
            <m:oMath>
              <m:sSub>
                <m:sSubPr>
                  <m:ctrlPr>
                    <w:rPr>
                      <w:rFonts w:ascii="Cambria Math" w:hAnsi="Cambria Math" w:cstheme="minorHAnsi"/>
                      <w:i/>
                      <w:lang w:val="en-GB"/>
                    </w:rPr>
                  </m:ctrlPr>
                </m:sSubPr>
                <m:e>
                  <m:r>
                    <w:rPr>
                      <w:rFonts w:ascii="Cambria Math" w:hAnsi="Cambria Math" w:cstheme="minorHAnsi"/>
                      <w:lang w:val="en-GB"/>
                    </w:rPr>
                    <m:t>IG</m:t>
                  </m:r>
                </m:e>
                <m:sub>
                  <m:r>
                    <w:rPr>
                      <w:rFonts w:ascii="Cambria Math" w:hAnsi="Cambria Math" w:cstheme="minorHAnsi"/>
                      <w:lang w:val="en-GB"/>
                    </w:rPr>
                    <m:t>t-1</m:t>
                  </m:r>
                </m:sub>
              </m:sSub>
            </m:oMath>
          </w:p>
        </w:tc>
        <w:tc>
          <w:tcPr>
            <w:tcW w:w="1133" w:type="dxa"/>
            <w:tcBorders>
              <w:top w:val="nil"/>
              <w:left w:val="nil"/>
              <w:bottom w:val="nil"/>
              <w:right w:val="nil"/>
            </w:tcBorders>
            <w:shd w:val="clear" w:color="auto" w:fill="auto"/>
            <w:noWrap/>
            <w:vAlign w:val="bottom"/>
            <w:hideMark/>
          </w:tcPr>
          <w:p w14:paraId="3D6B350C" w14:textId="77777777" w:rsidR="00960F4F" w:rsidRPr="005F6FF4" w:rsidRDefault="00960F4F" w:rsidP="005F610D">
            <w:pPr>
              <w:spacing w:after="0" w:line="240" w:lineRule="auto"/>
              <w:jc w:val="right"/>
              <w:rPr>
                <w:rFonts w:eastAsia="Times New Roman" w:cstheme="minorHAnsi"/>
                <w:color w:val="000000"/>
                <w:sz w:val="20"/>
                <w:szCs w:val="20"/>
                <w:lang w:val="en-GB" w:eastAsia="en-ID"/>
              </w:rPr>
            </w:pPr>
            <w:r w:rsidRPr="005F6FF4">
              <w:rPr>
                <w:rFonts w:eastAsia="Times New Roman" w:cstheme="minorHAnsi"/>
                <w:color w:val="000000"/>
                <w:sz w:val="20"/>
                <w:szCs w:val="20"/>
                <w:lang w:val="en-GB" w:eastAsia="en-ID"/>
              </w:rPr>
              <w:t>0.8100***</w:t>
            </w:r>
          </w:p>
        </w:tc>
        <w:tc>
          <w:tcPr>
            <w:tcW w:w="1143" w:type="dxa"/>
            <w:tcBorders>
              <w:top w:val="nil"/>
              <w:left w:val="nil"/>
              <w:bottom w:val="nil"/>
              <w:right w:val="nil"/>
            </w:tcBorders>
            <w:shd w:val="clear" w:color="auto" w:fill="auto"/>
            <w:noWrap/>
            <w:vAlign w:val="bottom"/>
            <w:hideMark/>
          </w:tcPr>
          <w:p w14:paraId="54DED8F6" w14:textId="77777777" w:rsidR="00960F4F" w:rsidRPr="005F6FF4" w:rsidRDefault="00960F4F" w:rsidP="005F610D">
            <w:pPr>
              <w:spacing w:after="0" w:line="240" w:lineRule="auto"/>
              <w:jc w:val="right"/>
              <w:rPr>
                <w:rFonts w:eastAsia="Times New Roman" w:cstheme="minorHAnsi"/>
                <w:color w:val="000000"/>
                <w:sz w:val="20"/>
                <w:szCs w:val="20"/>
                <w:lang w:val="en-GB" w:eastAsia="en-ID"/>
              </w:rPr>
            </w:pPr>
            <w:r w:rsidRPr="005F6FF4">
              <w:rPr>
                <w:rFonts w:eastAsia="Times New Roman" w:cstheme="minorHAnsi"/>
                <w:color w:val="000000"/>
                <w:sz w:val="20"/>
                <w:szCs w:val="20"/>
                <w:lang w:val="en-GB" w:eastAsia="en-ID"/>
              </w:rPr>
              <w:t>0.6950***</w:t>
            </w:r>
          </w:p>
        </w:tc>
      </w:tr>
      <w:tr w:rsidR="00960F4F" w:rsidRPr="005F6FF4" w14:paraId="7D45CAFE" w14:textId="77777777" w:rsidTr="006C1F9C">
        <w:trPr>
          <w:trHeight w:val="226"/>
        </w:trPr>
        <w:tc>
          <w:tcPr>
            <w:tcW w:w="6767" w:type="dxa"/>
            <w:tcBorders>
              <w:top w:val="nil"/>
              <w:left w:val="nil"/>
              <w:bottom w:val="nil"/>
              <w:right w:val="nil"/>
            </w:tcBorders>
            <w:shd w:val="clear" w:color="auto" w:fill="auto"/>
            <w:noWrap/>
            <w:vAlign w:val="bottom"/>
            <w:hideMark/>
          </w:tcPr>
          <w:p w14:paraId="2F5323B1" w14:textId="77777777" w:rsidR="00960F4F" w:rsidRPr="005F6FF4" w:rsidRDefault="00960F4F" w:rsidP="005F610D">
            <w:pPr>
              <w:spacing w:after="0" w:line="240" w:lineRule="auto"/>
              <w:jc w:val="right"/>
              <w:rPr>
                <w:rFonts w:eastAsia="Times New Roman" w:cstheme="minorHAnsi"/>
                <w:color w:val="000000"/>
                <w:sz w:val="20"/>
                <w:szCs w:val="20"/>
                <w:lang w:val="en-GB" w:eastAsia="en-ID"/>
              </w:rPr>
            </w:pPr>
          </w:p>
        </w:tc>
        <w:tc>
          <w:tcPr>
            <w:tcW w:w="1133" w:type="dxa"/>
            <w:tcBorders>
              <w:top w:val="nil"/>
              <w:left w:val="nil"/>
              <w:bottom w:val="nil"/>
              <w:right w:val="nil"/>
            </w:tcBorders>
            <w:shd w:val="clear" w:color="auto" w:fill="auto"/>
            <w:noWrap/>
            <w:vAlign w:val="bottom"/>
            <w:hideMark/>
          </w:tcPr>
          <w:p w14:paraId="238D1113" w14:textId="77777777" w:rsidR="00960F4F" w:rsidRPr="005F6FF4" w:rsidRDefault="00960F4F" w:rsidP="005F610D">
            <w:pPr>
              <w:spacing w:after="0" w:line="240" w:lineRule="auto"/>
              <w:jc w:val="right"/>
              <w:rPr>
                <w:rFonts w:eastAsia="Times New Roman" w:cstheme="minorHAnsi"/>
                <w:color w:val="000000"/>
                <w:sz w:val="20"/>
                <w:szCs w:val="20"/>
                <w:lang w:val="en-GB" w:eastAsia="en-ID"/>
              </w:rPr>
            </w:pPr>
            <w:r w:rsidRPr="005F6FF4">
              <w:rPr>
                <w:rFonts w:eastAsia="Times New Roman" w:cstheme="minorHAnsi"/>
                <w:color w:val="000000"/>
                <w:sz w:val="20"/>
                <w:szCs w:val="20"/>
                <w:lang w:val="en-GB" w:eastAsia="en-ID"/>
              </w:rPr>
              <w:t>(0.0936)</w:t>
            </w:r>
          </w:p>
        </w:tc>
        <w:tc>
          <w:tcPr>
            <w:tcW w:w="1143" w:type="dxa"/>
            <w:tcBorders>
              <w:top w:val="nil"/>
              <w:left w:val="nil"/>
              <w:bottom w:val="nil"/>
              <w:right w:val="nil"/>
            </w:tcBorders>
            <w:shd w:val="clear" w:color="auto" w:fill="auto"/>
            <w:noWrap/>
            <w:vAlign w:val="bottom"/>
            <w:hideMark/>
          </w:tcPr>
          <w:p w14:paraId="75D4BC39" w14:textId="77777777" w:rsidR="00960F4F" w:rsidRPr="005F6FF4" w:rsidRDefault="00960F4F" w:rsidP="005F610D">
            <w:pPr>
              <w:spacing w:after="0" w:line="240" w:lineRule="auto"/>
              <w:jc w:val="right"/>
              <w:rPr>
                <w:rFonts w:eastAsia="Times New Roman" w:cstheme="minorHAnsi"/>
                <w:color w:val="000000"/>
                <w:sz w:val="20"/>
                <w:szCs w:val="20"/>
                <w:lang w:val="en-GB" w:eastAsia="en-ID"/>
              </w:rPr>
            </w:pPr>
            <w:r w:rsidRPr="005F6FF4">
              <w:rPr>
                <w:rFonts w:eastAsia="Times New Roman" w:cstheme="minorHAnsi"/>
                <w:color w:val="000000"/>
                <w:sz w:val="20"/>
                <w:szCs w:val="20"/>
                <w:lang w:val="en-GB" w:eastAsia="en-ID"/>
              </w:rPr>
              <w:t>(0.1151)</w:t>
            </w:r>
          </w:p>
        </w:tc>
      </w:tr>
      <w:tr w:rsidR="00960F4F" w:rsidRPr="005F6FF4" w14:paraId="79D40802" w14:textId="77777777" w:rsidTr="006C1F9C">
        <w:trPr>
          <w:trHeight w:val="226"/>
        </w:trPr>
        <w:tc>
          <w:tcPr>
            <w:tcW w:w="6767" w:type="dxa"/>
            <w:tcBorders>
              <w:top w:val="nil"/>
              <w:left w:val="nil"/>
              <w:bottom w:val="nil"/>
              <w:right w:val="nil"/>
            </w:tcBorders>
            <w:shd w:val="clear" w:color="auto" w:fill="auto"/>
            <w:noWrap/>
            <w:vAlign w:val="bottom"/>
            <w:hideMark/>
          </w:tcPr>
          <w:p w14:paraId="79896EE0" w14:textId="6A662CD1" w:rsidR="00960F4F" w:rsidRPr="005F6FF4" w:rsidRDefault="00960F4F" w:rsidP="005F610D">
            <w:pPr>
              <w:spacing w:after="0" w:line="240" w:lineRule="auto"/>
              <w:rPr>
                <w:rFonts w:eastAsia="Times New Roman" w:cstheme="minorHAnsi"/>
                <w:color w:val="000000"/>
                <w:sz w:val="20"/>
                <w:szCs w:val="20"/>
                <w:lang w:val="en-GB" w:eastAsia="en-ID"/>
              </w:rPr>
            </w:pPr>
            <w:r w:rsidRPr="005F6FF4">
              <w:rPr>
                <w:rFonts w:eastAsia="Times New Roman" w:cstheme="minorHAnsi"/>
                <w:color w:val="000000"/>
                <w:sz w:val="20"/>
                <w:szCs w:val="20"/>
                <w:lang w:val="en-GB" w:eastAsia="en-ID"/>
              </w:rPr>
              <w:t>Inflation</w:t>
            </w:r>
            <w:r w:rsidR="007912C0" w:rsidRPr="005F6FF4">
              <w:rPr>
                <w:rFonts w:eastAsia="Times New Roman" w:cstheme="minorHAnsi"/>
                <w:color w:val="000000"/>
                <w:sz w:val="20"/>
                <w:szCs w:val="20"/>
                <w:lang w:val="en-GB" w:eastAsia="en-ID"/>
              </w:rPr>
              <w:t>,</w:t>
            </w:r>
            <w:r w:rsidR="007912C0" w:rsidRPr="005F6FF4">
              <w:rPr>
                <w:rFonts w:eastAsiaTheme="minorEastAsia"/>
                <w:lang w:val="en-GB"/>
              </w:rPr>
              <w:t xml:space="preserve"> </w:t>
            </w:r>
            <m:oMath>
              <m:sSub>
                <m:sSubPr>
                  <m:ctrlPr>
                    <w:rPr>
                      <w:rFonts w:ascii="Cambria Math" w:hAnsi="Cambria Math" w:cstheme="minorHAnsi"/>
                      <w:i/>
                      <w:lang w:val="en-GB"/>
                    </w:rPr>
                  </m:ctrlPr>
                </m:sSubPr>
                <m:e>
                  <m:r>
                    <w:rPr>
                      <w:rFonts w:ascii="Cambria Math" w:hAnsi="Cambria Math" w:cstheme="minorHAnsi"/>
                      <w:lang w:val="en-GB"/>
                    </w:rPr>
                    <m:t>I</m:t>
                  </m:r>
                </m:e>
                <m:sub>
                  <m:r>
                    <w:rPr>
                      <w:rFonts w:ascii="Cambria Math" w:hAnsi="Cambria Math" w:cstheme="minorHAnsi"/>
                      <w:lang w:val="en-GB"/>
                    </w:rPr>
                    <m:t>t</m:t>
                  </m:r>
                </m:sub>
              </m:sSub>
            </m:oMath>
          </w:p>
        </w:tc>
        <w:tc>
          <w:tcPr>
            <w:tcW w:w="1133" w:type="dxa"/>
            <w:tcBorders>
              <w:top w:val="nil"/>
              <w:left w:val="nil"/>
              <w:bottom w:val="nil"/>
              <w:right w:val="nil"/>
            </w:tcBorders>
            <w:shd w:val="clear" w:color="auto" w:fill="auto"/>
            <w:noWrap/>
            <w:vAlign w:val="bottom"/>
            <w:hideMark/>
          </w:tcPr>
          <w:p w14:paraId="286F8A47" w14:textId="77777777" w:rsidR="00960F4F" w:rsidRPr="005F6FF4" w:rsidRDefault="00960F4F" w:rsidP="005F610D">
            <w:pPr>
              <w:spacing w:after="0" w:line="240" w:lineRule="auto"/>
              <w:jc w:val="right"/>
              <w:rPr>
                <w:rFonts w:eastAsia="Times New Roman" w:cstheme="minorHAnsi"/>
                <w:color w:val="000000"/>
                <w:sz w:val="20"/>
                <w:szCs w:val="20"/>
                <w:lang w:val="en-GB" w:eastAsia="en-ID"/>
              </w:rPr>
            </w:pPr>
            <w:r w:rsidRPr="005F6FF4">
              <w:rPr>
                <w:rFonts w:eastAsia="Times New Roman" w:cstheme="minorHAnsi"/>
                <w:color w:val="000000"/>
                <w:sz w:val="20"/>
                <w:szCs w:val="20"/>
                <w:lang w:val="en-GB" w:eastAsia="en-ID"/>
              </w:rPr>
              <w:t>-</w:t>
            </w:r>
          </w:p>
        </w:tc>
        <w:tc>
          <w:tcPr>
            <w:tcW w:w="1143" w:type="dxa"/>
            <w:tcBorders>
              <w:top w:val="nil"/>
              <w:left w:val="nil"/>
              <w:bottom w:val="nil"/>
              <w:right w:val="nil"/>
            </w:tcBorders>
            <w:shd w:val="clear" w:color="auto" w:fill="auto"/>
            <w:noWrap/>
            <w:vAlign w:val="bottom"/>
            <w:hideMark/>
          </w:tcPr>
          <w:p w14:paraId="5A1885DB" w14:textId="77777777" w:rsidR="00960F4F" w:rsidRPr="005F6FF4" w:rsidRDefault="00960F4F" w:rsidP="005F610D">
            <w:pPr>
              <w:spacing w:after="0" w:line="240" w:lineRule="auto"/>
              <w:jc w:val="right"/>
              <w:rPr>
                <w:rFonts w:eastAsia="Times New Roman" w:cstheme="minorHAnsi"/>
                <w:color w:val="000000"/>
                <w:sz w:val="20"/>
                <w:szCs w:val="20"/>
                <w:lang w:val="en-GB" w:eastAsia="en-ID"/>
              </w:rPr>
            </w:pPr>
            <w:r w:rsidRPr="005F6FF4">
              <w:rPr>
                <w:rFonts w:eastAsia="Times New Roman" w:cstheme="minorHAnsi"/>
                <w:color w:val="000000"/>
                <w:sz w:val="20"/>
                <w:szCs w:val="20"/>
                <w:lang w:val="en-GB" w:eastAsia="en-ID"/>
              </w:rPr>
              <w:t>-0.0203***</w:t>
            </w:r>
          </w:p>
        </w:tc>
      </w:tr>
      <w:tr w:rsidR="00960F4F" w:rsidRPr="005F6FF4" w14:paraId="225B380F" w14:textId="77777777" w:rsidTr="006C1F9C">
        <w:trPr>
          <w:trHeight w:val="226"/>
        </w:trPr>
        <w:tc>
          <w:tcPr>
            <w:tcW w:w="6767" w:type="dxa"/>
            <w:tcBorders>
              <w:top w:val="nil"/>
              <w:left w:val="nil"/>
              <w:bottom w:val="nil"/>
              <w:right w:val="nil"/>
            </w:tcBorders>
            <w:shd w:val="clear" w:color="auto" w:fill="auto"/>
            <w:noWrap/>
            <w:vAlign w:val="bottom"/>
            <w:hideMark/>
          </w:tcPr>
          <w:p w14:paraId="564432AE" w14:textId="77777777" w:rsidR="00960F4F" w:rsidRPr="005F6FF4" w:rsidRDefault="00960F4F" w:rsidP="005F610D">
            <w:pPr>
              <w:spacing w:after="0" w:line="240" w:lineRule="auto"/>
              <w:jc w:val="right"/>
              <w:rPr>
                <w:rFonts w:eastAsia="Times New Roman" w:cstheme="minorHAnsi"/>
                <w:color w:val="000000"/>
                <w:sz w:val="20"/>
                <w:szCs w:val="20"/>
                <w:lang w:val="en-GB" w:eastAsia="en-ID"/>
              </w:rPr>
            </w:pPr>
          </w:p>
        </w:tc>
        <w:tc>
          <w:tcPr>
            <w:tcW w:w="1133" w:type="dxa"/>
            <w:tcBorders>
              <w:top w:val="nil"/>
              <w:left w:val="nil"/>
              <w:bottom w:val="nil"/>
              <w:right w:val="nil"/>
            </w:tcBorders>
            <w:shd w:val="clear" w:color="auto" w:fill="auto"/>
            <w:noWrap/>
            <w:vAlign w:val="bottom"/>
            <w:hideMark/>
          </w:tcPr>
          <w:p w14:paraId="11592417" w14:textId="77777777" w:rsidR="00960F4F" w:rsidRPr="005F6FF4" w:rsidRDefault="00960F4F" w:rsidP="005F610D">
            <w:pPr>
              <w:spacing w:after="0" w:line="240" w:lineRule="auto"/>
              <w:jc w:val="right"/>
              <w:rPr>
                <w:rFonts w:eastAsia="Times New Roman" w:cstheme="minorHAnsi"/>
                <w:sz w:val="20"/>
                <w:szCs w:val="20"/>
                <w:lang w:val="en-GB" w:eastAsia="en-ID"/>
              </w:rPr>
            </w:pPr>
          </w:p>
        </w:tc>
        <w:tc>
          <w:tcPr>
            <w:tcW w:w="1143" w:type="dxa"/>
            <w:tcBorders>
              <w:top w:val="nil"/>
              <w:left w:val="nil"/>
              <w:bottom w:val="nil"/>
              <w:right w:val="nil"/>
            </w:tcBorders>
            <w:shd w:val="clear" w:color="auto" w:fill="auto"/>
            <w:noWrap/>
            <w:vAlign w:val="bottom"/>
            <w:hideMark/>
          </w:tcPr>
          <w:p w14:paraId="23CA48E5" w14:textId="77777777" w:rsidR="00960F4F" w:rsidRPr="005F6FF4" w:rsidRDefault="00960F4F" w:rsidP="005F610D">
            <w:pPr>
              <w:spacing w:after="0" w:line="240" w:lineRule="auto"/>
              <w:jc w:val="right"/>
              <w:rPr>
                <w:rFonts w:eastAsia="Times New Roman" w:cstheme="minorHAnsi"/>
                <w:color w:val="000000"/>
                <w:sz w:val="20"/>
                <w:szCs w:val="20"/>
                <w:lang w:val="en-GB" w:eastAsia="en-ID"/>
              </w:rPr>
            </w:pPr>
            <w:r w:rsidRPr="005F6FF4">
              <w:rPr>
                <w:rFonts w:eastAsia="Times New Roman" w:cstheme="minorHAnsi"/>
                <w:color w:val="000000"/>
                <w:sz w:val="20"/>
                <w:szCs w:val="20"/>
                <w:lang w:val="en-GB" w:eastAsia="en-ID"/>
              </w:rPr>
              <w:t>(0.0054)</w:t>
            </w:r>
          </w:p>
        </w:tc>
      </w:tr>
      <w:tr w:rsidR="00960F4F" w:rsidRPr="005F6FF4" w14:paraId="3E1C7364" w14:textId="77777777" w:rsidTr="006C1F9C">
        <w:trPr>
          <w:trHeight w:val="226"/>
        </w:trPr>
        <w:tc>
          <w:tcPr>
            <w:tcW w:w="6767" w:type="dxa"/>
            <w:tcBorders>
              <w:top w:val="nil"/>
              <w:left w:val="nil"/>
              <w:bottom w:val="nil"/>
              <w:right w:val="nil"/>
            </w:tcBorders>
            <w:shd w:val="clear" w:color="auto" w:fill="auto"/>
            <w:noWrap/>
            <w:vAlign w:val="bottom"/>
            <w:hideMark/>
          </w:tcPr>
          <w:p w14:paraId="20825A23" w14:textId="465C421A" w:rsidR="00960F4F" w:rsidRPr="005F6FF4" w:rsidRDefault="007912C0" w:rsidP="005F610D">
            <w:pPr>
              <w:spacing w:after="0" w:line="240" w:lineRule="auto"/>
              <w:rPr>
                <w:rFonts w:eastAsia="Times New Roman" w:cstheme="minorHAnsi"/>
                <w:color w:val="000000"/>
                <w:sz w:val="20"/>
                <w:szCs w:val="20"/>
                <w:lang w:val="en-GB" w:eastAsia="en-ID"/>
              </w:rPr>
            </w:pPr>
            <w:r w:rsidRPr="005F6FF4">
              <w:rPr>
                <w:rFonts w:eastAsiaTheme="minorEastAsia"/>
                <w:sz w:val="20"/>
                <w:szCs w:val="20"/>
              </w:rPr>
              <w:t>Gross Domestic Saving</w:t>
            </w:r>
            <w:r w:rsidRPr="005F6FF4">
              <w:rPr>
                <w:rFonts w:eastAsia="Times New Roman" w:cstheme="minorHAnsi"/>
                <w:color w:val="000000"/>
                <w:sz w:val="20"/>
                <w:szCs w:val="20"/>
                <w:lang w:val="en-GB" w:eastAsia="en-ID"/>
              </w:rPr>
              <w:t>,</w:t>
            </w:r>
            <w:r w:rsidRPr="005F6FF4">
              <w:rPr>
                <w:rFonts w:eastAsiaTheme="minorEastAsia"/>
                <w:lang w:val="en-GB"/>
              </w:rPr>
              <w:t xml:space="preserve"> </w:t>
            </w:r>
            <m:oMath>
              <m:sSub>
                <m:sSubPr>
                  <m:ctrlPr>
                    <w:rPr>
                      <w:rFonts w:ascii="Cambria Math" w:hAnsi="Cambria Math" w:cstheme="minorHAnsi"/>
                      <w:i/>
                      <w:lang w:val="en-GB"/>
                    </w:rPr>
                  </m:ctrlPr>
                </m:sSubPr>
                <m:e>
                  <m:r>
                    <w:rPr>
                      <w:rFonts w:ascii="Cambria Math" w:hAnsi="Cambria Math" w:cstheme="minorHAnsi"/>
                      <w:lang w:val="en-GB"/>
                    </w:rPr>
                    <m:t>GDS</m:t>
                  </m:r>
                </m:e>
                <m:sub>
                  <m:r>
                    <w:rPr>
                      <w:rFonts w:ascii="Cambria Math" w:hAnsi="Cambria Math" w:cstheme="minorHAnsi"/>
                      <w:lang w:val="en-GB"/>
                    </w:rPr>
                    <m:t>t</m:t>
                  </m:r>
                </m:sub>
              </m:sSub>
            </m:oMath>
            <w:r w:rsidRPr="005F6FF4">
              <w:rPr>
                <w:rFonts w:eastAsiaTheme="minorEastAsia"/>
                <w:sz w:val="20"/>
                <w:szCs w:val="20"/>
              </w:rPr>
              <w:t xml:space="preserve"> </w:t>
            </w:r>
          </w:p>
        </w:tc>
        <w:tc>
          <w:tcPr>
            <w:tcW w:w="1133" w:type="dxa"/>
            <w:tcBorders>
              <w:top w:val="nil"/>
              <w:left w:val="nil"/>
              <w:bottom w:val="nil"/>
              <w:right w:val="nil"/>
            </w:tcBorders>
            <w:shd w:val="clear" w:color="auto" w:fill="auto"/>
            <w:noWrap/>
            <w:vAlign w:val="bottom"/>
            <w:hideMark/>
          </w:tcPr>
          <w:p w14:paraId="43C8BD84" w14:textId="77777777" w:rsidR="00960F4F" w:rsidRPr="005F6FF4" w:rsidRDefault="00960F4F" w:rsidP="005F610D">
            <w:pPr>
              <w:spacing w:after="0" w:line="240" w:lineRule="auto"/>
              <w:jc w:val="right"/>
              <w:rPr>
                <w:rFonts w:eastAsia="Times New Roman" w:cstheme="minorHAnsi"/>
                <w:color w:val="000000"/>
                <w:sz w:val="20"/>
                <w:szCs w:val="20"/>
                <w:lang w:val="en-GB" w:eastAsia="en-ID"/>
              </w:rPr>
            </w:pPr>
            <w:r w:rsidRPr="005F6FF4">
              <w:rPr>
                <w:rFonts w:eastAsia="Times New Roman" w:cstheme="minorHAnsi"/>
                <w:color w:val="000000"/>
                <w:sz w:val="20"/>
                <w:szCs w:val="20"/>
                <w:lang w:val="en-GB" w:eastAsia="en-ID"/>
              </w:rPr>
              <w:t>-</w:t>
            </w:r>
          </w:p>
        </w:tc>
        <w:tc>
          <w:tcPr>
            <w:tcW w:w="1143" w:type="dxa"/>
            <w:tcBorders>
              <w:top w:val="nil"/>
              <w:left w:val="nil"/>
              <w:bottom w:val="nil"/>
              <w:right w:val="nil"/>
            </w:tcBorders>
            <w:shd w:val="clear" w:color="auto" w:fill="auto"/>
            <w:noWrap/>
            <w:vAlign w:val="bottom"/>
            <w:hideMark/>
          </w:tcPr>
          <w:p w14:paraId="071B51C4" w14:textId="77777777" w:rsidR="00960F4F" w:rsidRPr="005F6FF4" w:rsidRDefault="00960F4F" w:rsidP="005F610D">
            <w:pPr>
              <w:spacing w:after="0" w:line="240" w:lineRule="auto"/>
              <w:jc w:val="right"/>
              <w:rPr>
                <w:rFonts w:eastAsia="Times New Roman" w:cstheme="minorHAnsi"/>
                <w:color w:val="000000"/>
                <w:sz w:val="20"/>
                <w:szCs w:val="20"/>
                <w:lang w:val="en-GB" w:eastAsia="en-ID"/>
              </w:rPr>
            </w:pPr>
            <w:r w:rsidRPr="005F6FF4">
              <w:rPr>
                <w:rFonts w:eastAsia="Times New Roman" w:cstheme="minorHAnsi"/>
                <w:color w:val="000000"/>
                <w:sz w:val="20"/>
                <w:szCs w:val="20"/>
                <w:lang w:val="en-GB" w:eastAsia="en-ID"/>
              </w:rPr>
              <w:t>0.9589</w:t>
            </w:r>
          </w:p>
        </w:tc>
      </w:tr>
      <w:tr w:rsidR="00960F4F" w:rsidRPr="005F6FF4" w14:paraId="2AAD953D" w14:textId="77777777" w:rsidTr="006C1F9C">
        <w:trPr>
          <w:trHeight w:val="226"/>
        </w:trPr>
        <w:tc>
          <w:tcPr>
            <w:tcW w:w="6767" w:type="dxa"/>
            <w:tcBorders>
              <w:top w:val="nil"/>
              <w:left w:val="nil"/>
              <w:bottom w:val="nil"/>
              <w:right w:val="nil"/>
            </w:tcBorders>
            <w:shd w:val="clear" w:color="auto" w:fill="auto"/>
            <w:noWrap/>
            <w:vAlign w:val="bottom"/>
            <w:hideMark/>
          </w:tcPr>
          <w:p w14:paraId="64839D17" w14:textId="77777777" w:rsidR="00960F4F" w:rsidRPr="005F6FF4" w:rsidRDefault="00960F4F" w:rsidP="005F610D">
            <w:pPr>
              <w:spacing w:after="0" w:line="240" w:lineRule="auto"/>
              <w:jc w:val="right"/>
              <w:rPr>
                <w:rFonts w:eastAsia="Times New Roman" w:cstheme="minorHAnsi"/>
                <w:color w:val="000000"/>
                <w:sz w:val="20"/>
                <w:szCs w:val="20"/>
                <w:lang w:val="en-GB" w:eastAsia="en-ID"/>
              </w:rPr>
            </w:pPr>
          </w:p>
        </w:tc>
        <w:tc>
          <w:tcPr>
            <w:tcW w:w="1133" w:type="dxa"/>
            <w:tcBorders>
              <w:top w:val="nil"/>
              <w:left w:val="nil"/>
              <w:bottom w:val="nil"/>
              <w:right w:val="nil"/>
            </w:tcBorders>
            <w:shd w:val="clear" w:color="auto" w:fill="auto"/>
            <w:noWrap/>
            <w:vAlign w:val="bottom"/>
            <w:hideMark/>
          </w:tcPr>
          <w:p w14:paraId="282E6C6D" w14:textId="77777777" w:rsidR="00960F4F" w:rsidRPr="005F6FF4" w:rsidRDefault="00960F4F" w:rsidP="005F610D">
            <w:pPr>
              <w:spacing w:after="0" w:line="240" w:lineRule="auto"/>
              <w:jc w:val="right"/>
              <w:rPr>
                <w:rFonts w:eastAsia="Times New Roman" w:cstheme="minorHAnsi"/>
                <w:sz w:val="20"/>
                <w:szCs w:val="20"/>
                <w:lang w:val="en-GB" w:eastAsia="en-ID"/>
              </w:rPr>
            </w:pPr>
          </w:p>
        </w:tc>
        <w:tc>
          <w:tcPr>
            <w:tcW w:w="1143" w:type="dxa"/>
            <w:tcBorders>
              <w:top w:val="nil"/>
              <w:left w:val="nil"/>
              <w:bottom w:val="nil"/>
              <w:right w:val="nil"/>
            </w:tcBorders>
            <w:shd w:val="clear" w:color="auto" w:fill="auto"/>
            <w:noWrap/>
            <w:vAlign w:val="bottom"/>
            <w:hideMark/>
          </w:tcPr>
          <w:p w14:paraId="180248BF" w14:textId="77777777" w:rsidR="00960F4F" w:rsidRPr="005F6FF4" w:rsidRDefault="00960F4F" w:rsidP="005F610D">
            <w:pPr>
              <w:spacing w:after="0" w:line="240" w:lineRule="auto"/>
              <w:jc w:val="right"/>
              <w:rPr>
                <w:rFonts w:eastAsia="Times New Roman" w:cstheme="minorHAnsi"/>
                <w:color w:val="000000"/>
                <w:sz w:val="20"/>
                <w:szCs w:val="20"/>
                <w:lang w:val="en-GB" w:eastAsia="en-ID"/>
              </w:rPr>
            </w:pPr>
            <w:r w:rsidRPr="005F6FF4">
              <w:rPr>
                <w:rFonts w:eastAsia="Times New Roman" w:cstheme="minorHAnsi"/>
                <w:color w:val="000000"/>
                <w:sz w:val="20"/>
                <w:szCs w:val="20"/>
                <w:lang w:val="en-GB" w:eastAsia="en-ID"/>
              </w:rPr>
              <w:t>(1.4840)</w:t>
            </w:r>
          </w:p>
        </w:tc>
      </w:tr>
      <w:tr w:rsidR="00960F4F" w:rsidRPr="005F6FF4" w14:paraId="63ACAA02" w14:textId="77777777" w:rsidTr="006C1F9C">
        <w:trPr>
          <w:trHeight w:val="226"/>
        </w:trPr>
        <w:tc>
          <w:tcPr>
            <w:tcW w:w="6767" w:type="dxa"/>
            <w:tcBorders>
              <w:top w:val="nil"/>
              <w:left w:val="nil"/>
              <w:bottom w:val="nil"/>
              <w:right w:val="nil"/>
            </w:tcBorders>
            <w:shd w:val="clear" w:color="auto" w:fill="auto"/>
            <w:noWrap/>
            <w:vAlign w:val="bottom"/>
            <w:hideMark/>
          </w:tcPr>
          <w:p w14:paraId="6043146F" w14:textId="3F639B19" w:rsidR="00960F4F" w:rsidRPr="005F6FF4" w:rsidRDefault="00960F4F" w:rsidP="005F610D">
            <w:pPr>
              <w:spacing w:after="0" w:line="240" w:lineRule="auto"/>
              <w:rPr>
                <w:rFonts w:eastAsia="Times New Roman" w:cstheme="minorHAnsi"/>
                <w:color w:val="000000"/>
                <w:sz w:val="20"/>
                <w:szCs w:val="20"/>
                <w:lang w:val="en-GB" w:eastAsia="en-ID"/>
              </w:rPr>
            </w:pPr>
            <w:r w:rsidRPr="005F6FF4">
              <w:rPr>
                <w:rFonts w:eastAsia="Times New Roman" w:cstheme="minorHAnsi"/>
                <w:color w:val="000000"/>
                <w:sz w:val="20"/>
                <w:szCs w:val="20"/>
                <w:lang w:val="en-GB" w:eastAsia="en-ID"/>
              </w:rPr>
              <w:t xml:space="preserve">FDI </w:t>
            </w:r>
            <w:r w:rsidR="007912C0" w:rsidRPr="005F6FF4">
              <w:rPr>
                <w:rFonts w:eastAsia="Times New Roman" w:cstheme="minorHAnsi"/>
                <w:color w:val="000000"/>
                <w:sz w:val="20"/>
                <w:szCs w:val="20"/>
                <w:lang w:val="en-GB" w:eastAsia="en-ID"/>
              </w:rPr>
              <w:t xml:space="preserve">Net </w:t>
            </w:r>
            <w:r w:rsidRPr="005F6FF4">
              <w:rPr>
                <w:rFonts w:eastAsia="Times New Roman" w:cstheme="minorHAnsi"/>
                <w:color w:val="000000"/>
                <w:sz w:val="20"/>
                <w:szCs w:val="20"/>
                <w:lang w:val="en-GB" w:eastAsia="en-ID"/>
              </w:rPr>
              <w:t>Inflow</w:t>
            </w:r>
            <w:r w:rsidR="007912C0" w:rsidRPr="005F6FF4">
              <w:rPr>
                <w:rFonts w:eastAsia="Times New Roman" w:cstheme="minorHAnsi"/>
                <w:color w:val="000000"/>
                <w:sz w:val="20"/>
                <w:szCs w:val="20"/>
                <w:lang w:val="en-GB" w:eastAsia="en-ID"/>
              </w:rPr>
              <w:t xml:space="preserve">, </w:t>
            </w:r>
            <m:oMath>
              <m:sSub>
                <m:sSubPr>
                  <m:ctrlPr>
                    <w:rPr>
                      <w:rFonts w:ascii="Cambria Math" w:hAnsi="Cambria Math" w:cstheme="minorHAnsi"/>
                      <w:i/>
                      <w:lang w:val="en-GB"/>
                    </w:rPr>
                  </m:ctrlPr>
                </m:sSubPr>
                <m:e>
                  <m:r>
                    <w:rPr>
                      <w:rFonts w:ascii="Cambria Math" w:hAnsi="Cambria Math" w:cstheme="minorHAnsi"/>
                      <w:lang w:val="en-GB"/>
                    </w:rPr>
                    <m:t>FDI</m:t>
                  </m:r>
                </m:e>
                <m:sub>
                  <m:r>
                    <w:rPr>
                      <w:rFonts w:ascii="Cambria Math" w:hAnsi="Cambria Math" w:cstheme="minorHAnsi"/>
                      <w:lang w:val="en-GB"/>
                    </w:rPr>
                    <m:t>t</m:t>
                  </m:r>
                </m:sub>
              </m:sSub>
            </m:oMath>
          </w:p>
        </w:tc>
        <w:tc>
          <w:tcPr>
            <w:tcW w:w="1133" w:type="dxa"/>
            <w:tcBorders>
              <w:top w:val="nil"/>
              <w:left w:val="nil"/>
              <w:bottom w:val="nil"/>
              <w:right w:val="nil"/>
            </w:tcBorders>
            <w:shd w:val="clear" w:color="auto" w:fill="auto"/>
            <w:noWrap/>
            <w:vAlign w:val="bottom"/>
            <w:hideMark/>
          </w:tcPr>
          <w:p w14:paraId="0873C6E9" w14:textId="77777777" w:rsidR="00960F4F" w:rsidRPr="005F6FF4" w:rsidRDefault="00960F4F" w:rsidP="005F610D">
            <w:pPr>
              <w:spacing w:after="0" w:line="240" w:lineRule="auto"/>
              <w:jc w:val="right"/>
              <w:rPr>
                <w:rFonts w:eastAsia="Times New Roman" w:cstheme="minorHAnsi"/>
                <w:color w:val="000000"/>
                <w:sz w:val="20"/>
                <w:szCs w:val="20"/>
                <w:lang w:val="en-GB" w:eastAsia="en-ID"/>
              </w:rPr>
            </w:pPr>
            <w:r w:rsidRPr="005F6FF4">
              <w:rPr>
                <w:rFonts w:eastAsia="Times New Roman" w:cstheme="minorHAnsi"/>
                <w:color w:val="000000"/>
                <w:sz w:val="20"/>
                <w:szCs w:val="20"/>
                <w:lang w:val="en-GB" w:eastAsia="en-ID"/>
              </w:rPr>
              <w:t>-</w:t>
            </w:r>
          </w:p>
        </w:tc>
        <w:tc>
          <w:tcPr>
            <w:tcW w:w="1143" w:type="dxa"/>
            <w:tcBorders>
              <w:top w:val="nil"/>
              <w:left w:val="nil"/>
              <w:bottom w:val="nil"/>
              <w:right w:val="nil"/>
            </w:tcBorders>
            <w:shd w:val="clear" w:color="auto" w:fill="auto"/>
            <w:noWrap/>
            <w:vAlign w:val="bottom"/>
            <w:hideMark/>
          </w:tcPr>
          <w:p w14:paraId="5CA2914A" w14:textId="77777777" w:rsidR="00960F4F" w:rsidRPr="005F6FF4" w:rsidRDefault="00960F4F" w:rsidP="005F610D">
            <w:pPr>
              <w:spacing w:after="0" w:line="240" w:lineRule="auto"/>
              <w:jc w:val="right"/>
              <w:rPr>
                <w:rFonts w:eastAsia="Times New Roman" w:cstheme="minorHAnsi"/>
                <w:color w:val="000000"/>
                <w:sz w:val="20"/>
                <w:szCs w:val="20"/>
                <w:lang w:val="en-GB" w:eastAsia="en-ID"/>
              </w:rPr>
            </w:pPr>
            <w:r w:rsidRPr="005F6FF4">
              <w:rPr>
                <w:rFonts w:eastAsia="Times New Roman" w:cstheme="minorHAnsi"/>
                <w:color w:val="000000"/>
                <w:sz w:val="20"/>
                <w:szCs w:val="20"/>
                <w:lang w:val="en-GB" w:eastAsia="en-ID"/>
              </w:rPr>
              <w:t>5.0501</w:t>
            </w:r>
          </w:p>
        </w:tc>
      </w:tr>
      <w:tr w:rsidR="00960F4F" w:rsidRPr="005F6FF4" w14:paraId="1E635A32" w14:textId="77777777" w:rsidTr="006C1F9C">
        <w:trPr>
          <w:trHeight w:val="226"/>
        </w:trPr>
        <w:tc>
          <w:tcPr>
            <w:tcW w:w="6767" w:type="dxa"/>
            <w:tcBorders>
              <w:top w:val="nil"/>
              <w:left w:val="nil"/>
              <w:bottom w:val="nil"/>
              <w:right w:val="nil"/>
            </w:tcBorders>
            <w:shd w:val="clear" w:color="auto" w:fill="auto"/>
            <w:noWrap/>
            <w:vAlign w:val="bottom"/>
            <w:hideMark/>
          </w:tcPr>
          <w:p w14:paraId="7202FEAB" w14:textId="77777777" w:rsidR="00960F4F" w:rsidRPr="005F6FF4" w:rsidRDefault="00960F4F" w:rsidP="005F610D">
            <w:pPr>
              <w:spacing w:after="0" w:line="240" w:lineRule="auto"/>
              <w:jc w:val="right"/>
              <w:rPr>
                <w:rFonts w:eastAsia="Times New Roman" w:cstheme="minorHAnsi"/>
                <w:color w:val="000000"/>
                <w:sz w:val="20"/>
                <w:szCs w:val="20"/>
                <w:lang w:val="en-GB" w:eastAsia="en-ID"/>
              </w:rPr>
            </w:pPr>
          </w:p>
        </w:tc>
        <w:tc>
          <w:tcPr>
            <w:tcW w:w="1133" w:type="dxa"/>
            <w:tcBorders>
              <w:top w:val="nil"/>
              <w:left w:val="nil"/>
              <w:bottom w:val="nil"/>
              <w:right w:val="nil"/>
            </w:tcBorders>
            <w:shd w:val="clear" w:color="auto" w:fill="auto"/>
            <w:noWrap/>
            <w:vAlign w:val="bottom"/>
            <w:hideMark/>
          </w:tcPr>
          <w:p w14:paraId="77F0CE32" w14:textId="77777777" w:rsidR="00960F4F" w:rsidRPr="005F6FF4" w:rsidRDefault="00960F4F" w:rsidP="005F610D">
            <w:pPr>
              <w:spacing w:after="0" w:line="240" w:lineRule="auto"/>
              <w:rPr>
                <w:rFonts w:eastAsia="Times New Roman" w:cstheme="minorHAnsi"/>
                <w:sz w:val="20"/>
                <w:szCs w:val="20"/>
                <w:lang w:val="en-GB" w:eastAsia="en-ID"/>
              </w:rPr>
            </w:pPr>
          </w:p>
        </w:tc>
        <w:tc>
          <w:tcPr>
            <w:tcW w:w="1143" w:type="dxa"/>
            <w:tcBorders>
              <w:top w:val="nil"/>
              <w:left w:val="nil"/>
              <w:bottom w:val="nil"/>
              <w:right w:val="nil"/>
            </w:tcBorders>
            <w:shd w:val="clear" w:color="auto" w:fill="auto"/>
            <w:noWrap/>
            <w:vAlign w:val="bottom"/>
            <w:hideMark/>
          </w:tcPr>
          <w:p w14:paraId="6C23398A" w14:textId="77777777" w:rsidR="00960F4F" w:rsidRPr="005F6FF4" w:rsidRDefault="00960F4F" w:rsidP="005F610D">
            <w:pPr>
              <w:spacing w:after="0" w:line="240" w:lineRule="auto"/>
              <w:jc w:val="right"/>
              <w:rPr>
                <w:rFonts w:eastAsia="Times New Roman" w:cstheme="minorHAnsi"/>
                <w:color w:val="000000"/>
                <w:sz w:val="20"/>
                <w:szCs w:val="20"/>
                <w:lang w:val="en-GB" w:eastAsia="en-ID"/>
              </w:rPr>
            </w:pPr>
            <w:r w:rsidRPr="005F6FF4">
              <w:rPr>
                <w:rFonts w:eastAsia="Times New Roman" w:cstheme="minorHAnsi"/>
                <w:color w:val="000000"/>
                <w:sz w:val="20"/>
                <w:szCs w:val="20"/>
                <w:lang w:val="en-GB" w:eastAsia="en-ID"/>
              </w:rPr>
              <w:t>(4.5706)</w:t>
            </w:r>
          </w:p>
        </w:tc>
      </w:tr>
      <w:tr w:rsidR="00960F4F" w:rsidRPr="005F6FF4" w14:paraId="6CD5AF17" w14:textId="77777777" w:rsidTr="006C1F9C">
        <w:trPr>
          <w:trHeight w:val="226"/>
        </w:trPr>
        <w:tc>
          <w:tcPr>
            <w:tcW w:w="6767" w:type="dxa"/>
            <w:tcBorders>
              <w:top w:val="nil"/>
              <w:left w:val="nil"/>
              <w:bottom w:val="nil"/>
              <w:right w:val="nil"/>
            </w:tcBorders>
            <w:shd w:val="clear" w:color="auto" w:fill="auto"/>
            <w:noWrap/>
            <w:vAlign w:val="bottom"/>
            <w:hideMark/>
          </w:tcPr>
          <w:p w14:paraId="6487FBC4" w14:textId="3F6093AE" w:rsidR="00960F4F" w:rsidRPr="005F6FF4" w:rsidRDefault="00960F4F" w:rsidP="005F610D">
            <w:pPr>
              <w:spacing w:after="0" w:line="240" w:lineRule="auto"/>
              <w:rPr>
                <w:rFonts w:eastAsia="Times New Roman" w:cstheme="minorHAnsi"/>
                <w:color w:val="000000"/>
                <w:sz w:val="20"/>
                <w:szCs w:val="20"/>
                <w:lang w:val="en-GB" w:eastAsia="en-ID"/>
              </w:rPr>
            </w:pPr>
            <w:r w:rsidRPr="005F6FF4">
              <w:rPr>
                <w:rFonts w:eastAsia="Times New Roman" w:cstheme="minorHAnsi"/>
                <w:color w:val="000000"/>
                <w:sz w:val="20"/>
                <w:szCs w:val="20"/>
                <w:lang w:val="en-GB" w:eastAsia="en-ID"/>
              </w:rPr>
              <w:t>Oil Rents</w:t>
            </w:r>
            <w:r w:rsidR="007912C0" w:rsidRPr="005F6FF4">
              <w:rPr>
                <w:rFonts w:eastAsia="Times New Roman" w:cstheme="minorHAnsi"/>
                <w:color w:val="000000"/>
                <w:sz w:val="20"/>
                <w:szCs w:val="20"/>
                <w:lang w:val="en-GB" w:eastAsia="en-ID"/>
              </w:rPr>
              <w:t xml:space="preserve">, </w:t>
            </w:r>
            <m:oMath>
              <m:sSub>
                <m:sSubPr>
                  <m:ctrlPr>
                    <w:rPr>
                      <w:rFonts w:ascii="Cambria Math" w:hAnsi="Cambria Math" w:cstheme="minorHAnsi"/>
                      <w:i/>
                      <w:lang w:val="en-GB"/>
                    </w:rPr>
                  </m:ctrlPr>
                </m:sSubPr>
                <m:e>
                  <m:r>
                    <w:rPr>
                      <w:rFonts w:ascii="Cambria Math" w:hAnsi="Cambria Math" w:cstheme="minorHAnsi"/>
                      <w:lang w:val="en-GB"/>
                    </w:rPr>
                    <m:t>OIL</m:t>
                  </m:r>
                </m:e>
                <m:sub>
                  <m:r>
                    <w:rPr>
                      <w:rFonts w:ascii="Cambria Math" w:hAnsi="Cambria Math" w:cstheme="minorHAnsi"/>
                      <w:lang w:val="en-GB"/>
                    </w:rPr>
                    <m:t>t</m:t>
                  </m:r>
                </m:sub>
              </m:sSub>
            </m:oMath>
          </w:p>
        </w:tc>
        <w:tc>
          <w:tcPr>
            <w:tcW w:w="1133" w:type="dxa"/>
            <w:tcBorders>
              <w:top w:val="nil"/>
              <w:left w:val="nil"/>
              <w:bottom w:val="nil"/>
              <w:right w:val="nil"/>
            </w:tcBorders>
            <w:shd w:val="clear" w:color="auto" w:fill="auto"/>
            <w:noWrap/>
            <w:vAlign w:val="bottom"/>
            <w:hideMark/>
          </w:tcPr>
          <w:p w14:paraId="4FD2729B" w14:textId="77777777" w:rsidR="00960F4F" w:rsidRPr="005F6FF4" w:rsidRDefault="00960F4F" w:rsidP="005F610D">
            <w:pPr>
              <w:spacing w:after="0" w:line="240" w:lineRule="auto"/>
              <w:jc w:val="right"/>
              <w:rPr>
                <w:rFonts w:eastAsia="Times New Roman" w:cstheme="minorHAnsi"/>
                <w:color w:val="000000"/>
                <w:sz w:val="20"/>
                <w:szCs w:val="20"/>
                <w:lang w:val="en-GB" w:eastAsia="en-ID"/>
              </w:rPr>
            </w:pPr>
            <w:r w:rsidRPr="005F6FF4">
              <w:rPr>
                <w:rFonts w:eastAsia="Times New Roman" w:cstheme="minorHAnsi"/>
                <w:color w:val="000000"/>
                <w:sz w:val="20"/>
                <w:szCs w:val="20"/>
                <w:lang w:val="en-GB" w:eastAsia="en-ID"/>
              </w:rPr>
              <w:t>-</w:t>
            </w:r>
          </w:p>
        </w:tc>
        <w:tc>
          <w:tcPr>
            <w:tcW w:w="1143" w:type="dxa"/>
            <w:tcBorders>
              <w:top w:val="nil"/>
              <w:left w:val="nil"/>
              <w:bottom w:val="nil"/>
              <w:right w:val="nil"/>
            </w:tcBorders>
            <w:shd w:val="clear" w:color="auto" w:fill="auto"/>
            <w:noWrap/>
            <w:vAlign w:val="bottom"/>
            <w:hideMark/>
          </w:tcPr>
          <w:p w14:paraId="57838D6F" w14:textId="77777777" w:rsidR="00960F4F" w:rsidRPr="005F6FF4" w:rsidRDefault="00960F4F" w:rsidP="005F610D">
            <w:pPr>
              <w:spacing w:after="0" w:line="240" w:lineRule="auto"/>
              <w:jc w:val="right"/>
              <w:rPr>
                <w:rFonts w:eastAsia="Times New Roman" w:cstheme="minorHAnsi"/>
                <w:color w:val="000000"/>
                <w:sz w:val="20"/>
                <w:szCs w:val="20"/>
                <w:lang w:val="en-GB" w:eastAsia="en-ID"/>
              </w:rPr>
            </w:pPr>
            <w:r w:rsidRPr="005F6FF4">
              <w:rPr>
                <w:rFonts w:eastAsia="Times New Roman" w:cstheme="minorHAnsi"/>
                <w:color w:val="000000"/>
                <w:sz w:val="20"/>
                <w:szCs w:val="20"/>
                <w:lang w:val="en-GB" w:eastAsia="en-ID"/>
              </w:rPr>
              <w:t>-1.5745</w:t>
            </w:r>
          </w:p>
        </w:tc>
      </w:tr>
      <w:tr w:rsidR="00960F4F" w:rsidRPr="005F6FF4" w14:paraId="765360FC" w14:textId="77777777" w:rsidTr="006C1F9C">
        <w:trPr>
          <w:trHeight w:val="226"/>
        </w:trPr>
        <w:tc>
          <w:tcPr>
            <w:tcW w:w="6767" w:type="dxa"/>
            <w:tcBorders>
              <w:top w:val="nil"/>
              <w:left w:val="nil"/>
              <w:bottom w:val="nil"/>
              <w:right w:val="nil"/>
            </w:tcBorders>
            <w:shd w:val="clear" w:color="auto" w:fill="auto"/>
            <w:noWrap/>
            <w:vAlign w:val="bottom"/>
            <w:hideMark/>
          </w:tcPr>
          <w:p w14:paraId="5CAB0867" w14:textId="77777777" w:rsidR="00960F4F" w:rsidRPr="005F6FF4" w:rsidRDefault="00960F4F" w:rsidP="005F610D">
            <w:pPr>
              <w:spacing w:after="0" w:line="240" w:lineRule="auto"/>
              <w:jc w:val="right"/>
              <w:rPr>
                <w:rFonts w:eastAsia="Times New Roman" w:cstheme="minorHAnsi"/>
                <w:color w:val="000000"/>
                <w:sz w:val="20"/>
                <w:szCs w:val="20"/>
                <w:lang w:val="en-GB" w:eastAsia="en-ID"/>
              </w:rPr>
            </w:pPr>
          </w:p>
        </w:tc>
        <w:tc>
          <w:tcPr>
            <w:tcW w:w="1133" w:type="dxa"/>
            <w:tcBorders>
              <w:top w:val="nil"/>
              <w:left w:val="nil"/>
              <w:bottom w:val="nil"/>
              <w:right w:val="nil"/>
            </w:tcBorders>
            <w:shd w:val="clear" w:color="auto" w:fill="auto"/>
            <w:noWrap/>
            <w:vAlign w:val="bottom"/>
            <w:hideMark/>
          </w:tcPr>
          <w:p w14:paraId="286E4BC9" w14:textId="77777777" w:rsidR="00960F4F" w:rsidRPr="005F6FF4" w:rsidRDefault="00960F4F" w:rsidP="005F610D">
            <w:pPr>
              <w:spacing w:after="0" w:line="240" w:lineRule="auto"/>
              <w:rPr>
                <w:rFonts w:eastAsia="Times New Roman" w:cstheme="minorHAnsi"/>
                <w:sz w:val="20"/>
                <w:szCs w:val="20"/>
                <w:lang w:val="en-GB" w:eastAsia="en-ID"/>
              </w:rPr>
            </w:pPr>
          </w:p>
        </w:tc>
        <w:tc>
          <w:tcPr>
            <w:tcW w:w="1143" w:type="dxa"/>
            <w:tcBorders>
              <w:top w:val="nil"/>
              <w:left w:val="nil"/>
              <w:bottom w:val="nil"/>
              <w:right w:val="nil"/>
            </w:tcBorders>
            <w:shd w:val="clear" w:color="auto" w:fill="auto"/>
            <w:noWrap/>
            <w:vAlign w:val="bottom"/>
            <w:hideMark/>
          </w:tcPr>
          <w:p w14:paraId="2A5E14DE" w14:textId="77777777" w:rsidR="00960F4F" w:rsidRPr="005F6FF4" w:rsidRDefault="00960F4F" w:rsidP="005F610D">
            <w:pPr>
              <w:spacing w:after="0" w:line="240" w:lineRule="auto"/>
              <w:jc w:val="right"/>
              <w:rPr>
                <w:rFonts w:eastAsia="Times New Roman" w:cstheme="minorHAnsi"/>
                <w:color w:val="000000"/>
                <w:sz w:val="20"/>
                <w:szCs w:val="20"/>
                <w:lang w:val="en-GB" w:eastAsia="en-ID"/>
              </w:rPr>
            </w:pPr>
            <w:r w:rsidRPr="005F6FF4">
              <w:rPr>
                <w:rFonts w:eastAsia="Times New Roman" w:cstheme="minorHAnsi"/>
                <w:color w:val="000000"/>
                <w:sz w:val="20"/>
                <w:szCs w:val="20"/>
                <w:lang w:val="en-GB" w:eastAsia="en-ID"/>
              </w:rPr>
              <w:t>(2.1489)</w:t>
            </w:r>
          </w:p>
        </w:tc>
      </w:tr>
      <w:tr w:rsidR="00960F4F" w:rsidRPr="005F6FF4" w14:paraId="6526E205" w14:textId="77777777" w:rsidTr="006C1F9C">
        <w:trPr>
          <w:trHeight w:val="226"/>
        </w:trPr>
        <w:tc>
          <w:tcPr>
            <w:tcW w:w="6767" w:type="dxa"/>
            <w:tcBorders>
              <w:top w:val="single" w:sz="4" w:space="0" w:color="auto"/>
              <w:left w:val="nil"/>
              <w:bottom w:val="nil"/>
              <w:right w:val="nil"/>
            </w:tcBorders>
            <w:shd w:val="clear" w:color="auto" w:fill="auto"/>
            <w:noWrap/>
            <w:vAlign w:val="bottom"/>
            <w:hideMark/>
          </w:tcPr>
          <w:p w14:paraId="77BCA9AA" w14:textId="77777777" w:rsidR="00960F4F" w:rsidRPr="005F6FF4" w:rsidRDefault="00960F4F" w:rsidP="005F610D">
            <w:pPr>
              <w:spacing w:after="0" w:line="240" w:lineRule="auto"/>
              <w:rPr>
                <w:rFonts w:eastAsia="Times New Roman" w:cstheme="minorHAnsi"/>
                <w:color w:val="000000"/>
                <w:sz w:val="20"/>
                <w:szCs w:val="20"/>
                <w:lang w:val="en-GB" w:eastAsia="en-ID"/>
              </w:rPr>
            </w:pPr>
            <w:r w:rsidRPr="005F6FF4">
              <w:rPr>
                <w:rFonts w:eastAsia="Times New Roman" w:cstheme="minorHAnsi"/>
                <w:color w:val="000000"/>
                <w:sz w:val="20"/>
                <w:szCs w:val="20"/>
                <w:lang w:val="en-GB" w:eastAsia="en-ID"/>
              </w:rPr>
              <w:t>N</w:t>
            </w:r>
          </w:p>
        </w:tc>
        <w:tc>
          <w:tcPr>
            <w:tcW w:w="1133" w:type="dxa"/>
            <w:tcBorders>
              <w:top w:val="single" w:sz="4" w:space="0" w:color="auto"/>
              <w:left w:val="nil"/>
              <w:bottom w:val="nil"/>
              <w:right w:val="nil"/>
            </w:tcBorders>
            <w:shd w:val="clear" w:color="auto" w:fill="auto"/>
            <w:noWrap/>
            <w:vAlign w:val="bottom"/>
            <w:hideMark/>
          </w:tcPr>
          <w:p w14:paraId="1BC5E45C" w14:textId="77777777" w:rsidR="00960F4F" w:rsidRPr="005F6FF4" w:rsidRDefault="00960F4F" w:rsidP="005F610D">
            <w:pPr>
              <w:spacing w:after="0" w:line="240" w:lineRule="auto"/>
              <w:jc w:val="right"/>
              <w:rPr>
                <w:rFonts w:eastAsia="Times New Roman" w:cstheme="minorHAnsi"/>
                <w:color w:val="000000"/>
                <w:sz w:val="20"/>
                <w:szCs w:val="20"/>
                <w:lang w:val="en-GB" w:eastAsia="en-ID"/>
              </w:rPr>
            </w:pPr>
            <w:r w:rsidRPr="005F6FF4">
              <w:rPr>
                <w:rFonts w:eastAsia="Times New Roman" w:cstheme="minorHAnsi"/>
                <w:color w:val="000000"/>
                <w:sz w:val="20"/>
                <w:szCs w:val="20"/>
                <w:lang w:val="en-GB" w:eastAsia="en-ID"/>
              </w:rPr>
              <w:t>41</w:t>
            </w:r>
          </w:p>
        </w:tc>
        <w:tc>
          <w:tcPr>
            <w:tcW w:w="1143" w:type="dxa"/>
            <w:tcBorders>
              <w:top w:val="single" w:sz="4" w:space="0" w:color="auto"/>
              <w:left w:val="nil"/>
              <w:bottom w:val="nil"/>
              <w:right w:val="nil"/>
            </w:tcBorders>
            <w:shd w:val="clear" w:color="auto" w:fill="auto"/>
            <w:noWrap/>
            <w:vAlign w:val="bottom"/>
            <w:hideMark/>
          </w:tcPr>
          <w:p w14:paraId="11D64BCE" w14:textId="77777777" w:rsidR="00960F4F" w:rsidRPr="005F6FF4" w:rsidRDefault="00960F4F" w:rsidP="005F610D">
            <w:pPr>
              <w:spacing w:after="0" w:line="240" w:lineRule="auto"/>
              <w:jc w:val="right"/>
              <w:rPr>
                <w:rFonts w:eastAsia="Times New Roman" w:cstheme="minorHAnsi"/>
                <w:color w:val="000000"/>
                <w:sz w:val="20"/>
                <w:szCs w:val="20"/>
                <w:lang w:val="en-GB" w:eastAsia="en-ID"/>
              </w:rPr>
            </w:pPr>
            <w:r w:rsidRPr="005F6FF4">
              <w:rPr>
                <w:rFonts w:eastAsia="Times New Roman" w:cstheme="minorHAnsi"/>
                <w:color w:val="000000"/>
                <w:sz w:val="20"/>
                <w:szCs w:val="20"/>
                <w:lang w:val="en-GB" w:eastAsia="en-ID"/>
              </w:rPr>
              <w:t>41</w:t>
            </w:r>
          </w:p>
        </w:tc>
      </w:tr>
      <w:tr w:rsidR="00960F4F" w:rsidRPr="005F6FF4" w14:paraId="6B57FC4B" w14:textId="77777777" w:rsidTr="006C1F9C">
        <w:trPr>
          <w:trHeight w:val="226"/>
        </w:trPr>
        <w:tc>
          <w:tcPr>
            <w:tcW w:w="6767" w:type="dxa"/>
            <w:tcBorders>
              <w:top w:val="nil"/>
              <w:left w:val="nil"/>
              <w:bottom w:val="nil"/>
              <w:right w:val="nil"/>
            </w:tcBorders>
            <w:shd w:val="clear" w:color="auto" w:fill="auto"/>
            <w:noWrap/>
            <w:vAlign w:val="bottom"/>
            <w:hideMark/>
          </w:tcPr>
          <w:p w14:paraId="1FB9BEE6" w14:textId="77777777" w:rsidR="00960F4F" w:rsidRPr="005F6FF4" w:rsidRDefault="00960F4F" w:rsidP="005F610D">
            <w:pPr>
              <w:spacing w:after="0" w:line="240" w:lineRule="auto"/>
              <w:rPr>
                <w:rFonts w:eastAsia="Times New Roman" w:cstheme="minorHAnsi"/>
                <w:color w:val="000000"/>
                <w:sz w:val="20"/>
                <w:szCs w:val="20"/>
                <w:lang w:val="en-GB" w:eastAsia="en-ID"/>
              </w:rPr>
            </w:pPr>
            <w:r w:rsidRPr="005F6FF4">
              <w:rPr>
                <w:rFonts w:eastAsia="Times New Roman" w:cstheme="minorHAnsi"/>
                <w:color w:val="000000"/>
                <w:sz w:val="20"/>
                <w:szCs w:val="20"/>
                <w:lang w:val="en-GB" w:eastAsia="en-ID"/>
              </w:rPr>
              <w:t>R-squared</w:t>
            </w:r>
          </w:p>
        </w:tc>
        <w:tc>
          <w:tcPr>
            <w:tcW w:w="1133" w:type="dxa"/>
            <w:tcBorders>
              <w:top w:val="nil"/>
              <w:left w:val="nil"/>
              <w:bottom w:val="nil"/>
              <w:right w:val="nil"/>
            </w:tcBorders>
            <w:shd w:val="clear" w:color="auto" w:fill="auto"/>
            <w:noWrap/>
            <w:vAlign w:val="bottom"/>
            <w:hideMark/>
          </w:tcPr>
          <w:p w14:paraId="33DD324E" w14:textId="77777777" w:rsidR="00960F4F" w:rsidRPr="005F6FF4" w:rsidRDefault="00960F4F" w:rsidP="005F610D">
            <w:pPr>
              <w:spacing w:after="0" w:line="240" w:lineRule="auto"/>
              <w:jc w:val="right"/>
              <w:rPr>
                <w:rFonts w:eastAsia="Times New Roman" w:cstheme="minorHAnsi"/>
                <w:color w:val="000000"/>
                <w:sz w:val="20"/>
                <w:szCs w:val="20"/>
                <w:lang w:val="en-GB" w:eastAsia="en-ID"/>
              </w:rPr>
            </w:pPr>
            <w:r w:rsidRPr="005F6FF4">
              <w:rPr>
                <w:rFonts w:eastAsia="Times New Roman" w:cstheme="minorHAnsi"/>
                <w:color w:val="000000"/>
                <w:sz w:val="20"/>
                <w:szCs w:val="20"/>
                <w:lang w:val="en-GB" w:eastAsia="en-ID"/>
              </w:rPr>
              <w:t>0.9600</w:t>
            </w:r>
          </w:p>
        </w:tc>
        <w:tc>
          <w:tcPr>
            <w:tcW w:w="1143" w:type="dxa"/>
            <w:tcBorders>
              <w:top w:val="nil"/>
              <w:left w:val="nil"/>
              <w:bottom w:val="nil"/>
              <w:right w:val="nil"/>
            </w:tcBorders>
            <w:shd w:val="clear" w:color="auto" w:fill="auto"/>
            <w:noWrap/>
            <w:vAlign w:val="bottom"/>
            <w:hideMark/>
          </w:tcPr>
          <w:p w14:paraId="47DFAF61" w14:textId="77777777" w:rsidR="00960F4F" w:rsidRPr="005F6FF4" w:rsidRDefault="00960F4F" w:rsidP="005F610D">
            <w:pPr>
              <w:spacing w:after="0" w:line="240" w:lineRule="auto"/>
              <w:jc w:val="right"/>
              <w:rPr>
                <w:rFonts w:eastAsia="Times New Roman" w:cstheme="minorHAnsi"/>
                <w:color w:val="000000"/>
                <w:sz w:val="20"/>
                <w:szCs w:val="20"/>
                <w:lang w:val="en-GB" w:eastAsia="en-ID"/>
              </w:rPr>
            </w:pPr>
            <w:r w:rsidRPr="005F6FF4">
              <w:rPr>
                <w:rFonts w:eastAsia="Times New Roman" w:cstheme="minorHAnsi"/>
                <w:color w:val="000000"/>
                <w:sz w:val="20"/>
                <w:szCs w:val="20"/>
                <w:lang w:val="en-GB" w:eastAsia="en-ID"/>
              </w:rPr>
              <w:t>0.9756</w:t>
            </w:r>
          </w:p>
        </w:tc>
      </w:tr>
      <w:tr w:rsidR="00960F4F" w:rsidRPr="005F6FF4" w14:paraId="68127E8B" w14:textId="77777777" w:rsidTr="006C1F9C">
        <w:trPr>
          <w:trHeight w:val="226"/>
        </w:trPr>
        <w:tc>
          <w:tcPr>
            <w:tcW w:w="6767" w:type="dxa"/>
            <w:tcBorders>
              <w:top w:val="single" w:sz="4" w:space="0" w:color="auto"/>
              <w:left w:val="nil"/>
              <w:bottom w:val="nil"/>
              <w:right w:val="nil"/>
            </w:tcBorders>
            <w:shd w:val="clear" w:color="auto" w:fill="auto"/>
            <w:noWrap/>
            <w:vAlign w:val="bottom"/>
            <w:hideMark/>
          </w:tcPr>
          <w:p w14:paraId="2976C435" w14:textId="77777777" w:rsidR="00960F4F" w:rsidRPr="005F6FF4" w:rsidRDefault="00960F4F" w:rsidP="005F610D">
            <w:pPr>
              <w:spacing w:after="0" w:line="240" w:lineRule="auto"/>
              <w:rPr>
                <w:rFonts w:eastAsia="Times New Roman" w:cstheme="minorHAnsi"/>
                <w:b/>
                <w:bCs/>
                <w:color w:val="000000"/>
                <w:sz w:val="20"/>
                <w:szCs w:val="20"/>
                <w:lang w:val="en-GB" w:eastAsia="en-ID"/>
              </w:rPr>
            </w:pPr>
            <w:r w:rsidRPr="005F6FF4">
              <w:rPr>
                <w:rFonts w:eastAsia="Times New Roman" w:cstheme="minorHAnsi"/>
                <w:b/>
                <w:bCs/>
                <w:color w:val="000000"/>
                <w:sz w:val="20"/>
                <w:szCs w:val="20"/>
                <w:lang w:val="en-GB" w:eastAsia="en-ID"/>
              </w:rPr>
              <w:t>Regression Diagnostics for Time Series:</w:t>
            </w:r>
          </w:p>
        </w:tc>
        <w:tc>
          <w:tcPr>
            <w:tcW w:w="1133" w:type="dxa"/>
            <w:tcBorders>
              <w:top w:val="single" w:sz="4" w:space="0" w:color="auto"/>
              <w:left w:val="nil"/>
              <w:bottom w:val="nil"/>
              <w:right w:val="nil"/>
            </w:tcBorders>
            <w:shd w:val="clear" w:color="auto" w:fill="auto"/>
            <w:noWrap/>
            <w:vAlign w:val="bottom"/>
            <w:hideMark/>
          </w:tcPr>
          <w:p w14:paraId="4C51DB94" w14:textId="77777777" w:rsidR="00960F4F" w:rsidRPr="005F6FF4" w:rsidRDefault="00960F4F" w:rsidP="005F610D">
            <w:pPr>
              <w:spacing w:after="0" w:line="240" w:lineRule="auto"/>
              <w:jc w:val="right"/>
              <w:rPr>
                <w:rFonts w:eastAsia="Times New Roman" w:cstheme="minorHAnsi"/>
                <w:color w:val="000000"/>
                <w:sz w:val="20"/>
                <w:szCs w:val="20"/>
                <w:lang w:val="en-GB" w:eastAsia="en-ID"/>
              </w:rPr>
            </w:pPr>
            <w:r w:rsidRPr="005F6FF4">
              <w:rPr>
                <w:rFonts w:eastAsia="Times New Roman" w:cstheme="minorHAnsi"/>
                <w:color w:val="000000"/>
                <w:sz w:val="20"/>
                <w:szCs w:val="20"/>
                <w:lang w:val="en-GB" w:eastAsia="en-ID"/>
              </w:rPr>
              <w:t> </w:t>
            </w:r>
          </w:p>
        </w:tc>
        <w:tc>
          <w:tcPr>
            <w:tcW w:w="1143" w:type="dxa"/>
            <w:tcBorders>
              <w:top w:val="single" w:sz="4" w:space="0" w:color="auto"/>
              <w:left w:val="nil"/>
              <w:bottom w:val="nil"/>
              <w:right w:val="nil"/>
            </w:tcBorders>
            <w:shd w:val="clear" w:color="auto" w:fill="auto"/>
            <w:noWrap/>
            <w:vAlign w:val="bottom"/>
            <w:hideMark/>
          </w:tcPr>
          <w:p w14:paraId="7B618AB0" w14:textId="77777777" w:rsidR="00960F4F" w:rsidRPr="005F6FF4" w:rsidRDefault="00960F4F" w:rsidP="005F610D">
            <w:pPr>
              <w:spacing w:after="0" w:line="240" w:lineRule="auto"/>
              <w:rPr>
                <w:rFonts w:eastAsia="Times New Roman" w:cstheme="minorHAnsi"/>
                <w:color w:val="000000"/>
                <w:sz w:val="20"/>
                <w:szCs w:val="20"/>
                <w:lang w:val="en-GB" w:eastAsia="en-ID"/>
              </w:rPr>
            </w:pPr>
            <w:r w:rsidRPr="005F6FF4">
              <w:rPr>
                <w:rFonts w:eastAsia="Times New Roman" w:cstheme="minorHAnsi"/>
                <w:color w:val="000000"/>
                <w:sz w:val="20"/>
                <w:szCs w:val="20"/>
                <w:lang w:val="en-GB" w:eastAsia="en-ID"/>
              </w:rPr>
              <w:t> </w:t>
            </w:r>
          </w:p>
        </w:tc>
      </w:tr>
      <w:tr w:rsidR="00960F4F" w:rsidRPr="005F6FF4" w14:paraId="0570F895" w14:textId="77777777" w:rsidTr="006C1F9C">
        <w:trPr>
          <w:trHeight w:val="226"/>
        </w:trPr>
        <w:tc>
          <w:tcPr>
            <w:tcW w:w="6767" w:type="dxa"/>
            <w:tcBorders>
              <w:top w:val="nil"/>
              <w:left w:val="nil"/>
              <w:bottom w:val="nil"/>
              <w:right w:val="nil"/>
            </w:tcBorders>
            <w:shd w:val="clear" w:color="auto" w:fill="auto"/>
            <w:noWrap/>
            <w:vAlign w:val="bottom"/>
            <w:hideMark/>
          </w:tcPr>
          <w:p w14:paraId="288D7709" w14:textId="77777777" w:rsidR="00960F4F" w:rsidRPr="005F6FF4" w:rsidRDefault="00960F4F" w:rsidP="005F610D">
            <w:pPr>
              <w:spacing w:after="0" w:line="240" w:lineRule="auto"/>
              <w:rPr>
                <w:rFonts w:eastAsia="Times New Roman" w:cstheme="minorHAnsi"/>
                <w:color w:val="000000"/>
                <w:sz w:val="20"/>
                <w:szCs w:val="20"/>
                <w:lang w:val="en-GB" w:eastAsia="en-ID"/>
              </w:rPr>
            </w:pPr>
            <w:r w:rsidRPr="005F6FF4">
              <w:rPr>
                <w:rFonts w:eastAsia="Times New Roman" w:cstheme="minorHAnsi"/>
                <w:color w:val="000000"/>
                <w:sz w:val="20"/>
                <w:szCs w:val="20"/>
                <w:lang w:val="en-GB" w:eastAsia="en-ID"/>
              </w:rPr>
              <w:t>Durbin's alternative test for autocorrelation</w:t>
            </w:r>
          </w:p>
        </w:tc>
        <w:tc>
          <w:tcPr>
            <w:tcW w:w="1133" w:type="dxa"/>
            <w:tcBorders>
              <w:top w:val="nil"/>
              <w:left w:val="nil"/>
              <w:bottom w:val="nil"/>
              <w:right w:val="nil"/>
            </w:tcBorders>
            <w:shd w:val="clear" w:color="auto" w:fill="auto"/>
            <w:noWrap/>
            <w:vAlign w:val="bottom"/>
            <w:hideMark/>
          </w:tcPr>
          <w:p w14:paraId="561C5442" w14:textId="77777777" w:rsidR="00960F4F" w:rsidRPr="005F6FF4" w:rsidRDefault="00960F4F" w:rsidP="005F610D">
            <w:pPr>
              <w:spacing w:after="0" w:line="240" w:lineRule="auto"/>
              <w:jc w:val="right"/>
              <w:rPr>
                <w:rFonts w:eastAsia="Times New Roman" w:cstheme="minorHAnsi"/>
                <w:color w:val="000000"/>
                <w:sz w:val="20"/>
                <w:szCs w:val="20"/>
                <w:lang w:val="en-GB" w:eastAsia="en-ID"/>
              </w:rPr>
            </w:pPr>
            <w:r w:rsidRPr="005F6FF4">
              <w:rPr>
                <w:rFonts w:eastAsia="Times New Roman" w:cstheme="minorHAnsi"/>
                <w:color w:val="000000"/>
                <w:sz w:val="20"/>
                <w:szCs w:val="20"/>
                <w:lang w:val="en-GB" w:eastAsia="en-ID"/>
              </w:rPr>
              <w:t>0.1035</w:t>
            </w:r>
          </w:p>
        </w:tc>
        <w:tc>
          <w:tcPr>
            <w:tcW w:w="1143" w:type="dxa"/>
            <w:tcBorders>
              <w:top w:val="nil"/>
              <w:left w:val="nil"/>
              <w:bottom w:val="nil"/>
              <w:right w:val="nil"/>
            </w:tcBorders>
            <w:shd w:val="clear" w:color="auto" w:fill="auto"/>
            <w:noWrap/>
            <w:vAlign w:val="bottom"/>
            <w:hideMark/>
          </w:tcPr>
          <w:p w14:paraId="17D94677" w14:textId="77777777" w:rsidR="00960F4F" w:rsidRPr="005F6FF4" w:rsidRDefault="00960F4F" w:rsidP="005F610D">
            <w:pPr>
              <w:spacing w:after="0" w:line="240" w:lineRule="auto"/>
              <w:jc w:val="right"/>
              <w:rPr>
                <w:rFonts w:eastAsia="Times New Roman" w:cstheme="minorHAnsi"/>
                <w:color w:val="000000"/>
                <w:sz w:val="20"/>
                <w:szCs w:val="20"/>
                <w:lang w:val="en-GB" w:eastAsia="en-ID"/>
              </w:rPr>
            </w:pPr>
            <w:r w:rsidRPr="005F6FF4">
              <w:rPr>
                <w:rFonts w:eastAsia="Times New Roman" w:cstheme="minorHAnsi"/>
                <w:color w:val="000000"/>
                <w:sz w:val="20"/>
                <w:szCs w:val="20"/>
                <w:lang w:val="en-GB" w:eastAsia="en-ID"/>
              </w:rPr>
              <w:t>0.2303</w:t>
            </w:r>
          </w:p>
        </w:tc>
      </w:tr>
      <w:tr w:rsidR="00960F4F" w:rsidRPr="005F6FF4" w14:paraId="53A593B1" w14:textId="77777777" w:rsidTr="006C1F9C">
        <w:trPr>
          <w:trHeight w:val="226"/>
        </w:trPr>
        <w:tc>
          <w:tcPr>
            <w:tcW w:w="6767" w:type="dxa"/>
            <w:tcBorders>
              <w:top w:val="nil"/>
              <w:left w:val="nil"/>
              <w:bottom w:val="single" w:sz="4" w:space="0" w:color="auto"/>
              <w:right w:val="nil"/>
            </w:tcBorders>
            <w:shd w:val="clear" w:color="auto" w:fill="auto"/>
            <w:noWrap/>
            <w:vAlign w:val="bottom"/>
            <w:hideMark/>
          </w:tcPr>
          <w:p w14:paraId="59FD2C31" w14:textId="77777777" w:rsidR="00960F4F" w:rsidRPr="005F6FF4" w:rsidRDefault="00960F4F" w:rsidP="005F610D">
            <w:pPr>
              <w:spacing w:after="0" w:line="240" w:lineRule="auto"/>
              <w:rPr>
                <w:rFonts w:eastAsia="Times New Roman" w:cstheme="minorHAnsi"/>
                <w:color w:val="000000"/>
                <w:sz w:val="20"/>
                <w:szCs w:val="20"/>
                <w:lang w:val="en-GB" w:eastAsia="en-ID"/>
              </w:rPr>
            </w:pPr>
            <w:r w:rsidRPr="005F6FF4">
              <w:rPr>
                <w:rFonts w:eastAsia="Times New Roman" w:cstheme="minorHAnsi"/>
                <w:color w:val="000000"/>
                <w:sz w:val="20"/>
                <w:szCs w:val="20"/>
                <w:lang w:val="en-GB" w:eastAsia="en-ID"/>
              </w:rPr>
              <w:t xml:space="preserve">Breusch-Pagan/Cook-Weisberg test for heteroskedasticity </w:t>
            </w:r>
          </w:p>
        </w:tc>
        <w:tc>
          <w:tcPr>
            <w:tcW w:w="1133" w:type="dxa"/>
            <w:tcBorders>
              <w:top w:val="nil"/>
              <w:left w:val="nil"/>
              <w:bottom w:val="single" w:sz="4" w:space="0" w:color="auto"/>
              <w:right w:val="nil"/>
            </w:tcBorders>
            <w:shd w:val="clear" w:color="auto" w:fill="auto"/>
            <w:noWrap/>
            <w:vAlign w:val="bottom"/>
            <w:hideMark/>
          </w:tcPr>
          <w:p w14:paraId="60953941" w14:textId="77777777" w:rsidR="00960F4F" w:rsidRPr="005F6FF4" w:rsidRDefault="00960F4F" w:rsidP="005F610D">
            <w:pPr>
              <w:spacing w:after="0" w:line="240" w:lineRule="auto"/>
              <w:jc w:val="right"/>
              <w:rPr>
                <w:rFonts w:eastAsia="Times New Roman" w:cstheme="minorHAnsi"/>
                <w:color w:val="000000"/>
                <w:sz w:val="20"/>
                <w:szCs w:val="20"/>
                <w:lang w:val="en-GB" w:eastAsia="en-ID"/>
              </w:rPr>
            </w:pPr>
            <w:r w:rsidRPr="005F6FF4">
              <w:rPr>
                <w:rFonts w:eastAsia="Times New Roman" w:cstheme="minorHAnsi"/>
                <w:color w:val="000000"/>
                <w:sz w:val="20"/>
                <w:szCs w:val="20"/>
                <w:lang w:val="en-GB" w:eastAsia="en-ID"/>
              </w:rPr>
              <w:t>0.8000</w:t>
            </w:r>
          </w:p>
        </w:tc>
        <w:tc>
          <w:tcPr>
            <w:tcW w:w="1143" w:type="dxa"/>
            <w:tcBorders>
              <w:top w:val="nil"/>
              <w:left w:val="nil"/>
              <w:bottom w:val="single" w:sz="4" w:space="0" w:color="auto"/>
              <w:right w:val="nil"/>
            </w:tcBorders>
            <w:shd w:val="clear" w:color="auto" w:fill="auto"/>
            <w:noWrap/>
            <w:vAlign w:val="bottom"/>
            <w:hideMark/>
          </w:tcPr>
          <w:p w14:paraId="57C24A34" w14:textId="77777777" w:rsidR="00960F4F" w:rsidRPr="005F6FF4" w:rsidRDefault="00960F4F" w:rsidP="005F610D">
            <w:pPr>
              <w:spacing w:after="0" w:line="240" w:lineRule="auto"/>
              <w:jc w:val="right"/>
              <w:rPr>
                <w:rFonts w:eastAsia="Times New Roman" w:cstheme="minorHAnsi"/>
                <w:color w:val="000000"/>
                <w:sz w:val="20"/>
                <w:szCs w:val="20"/>
                <w:lang w:val="en-GB" w:eastAsia="en-ID"/>
              </w:rPr>
            </w:pPr>
            <w:r w:rsidRPr="005F6FF4">
              <w:rPr>
                <w:rFonts w:eastAsia="Times New Roman" w:cstheme="minorHAnsi"/>
                <w:color w:val="000000"/>
                <w:sz w:val="20"/>
                <w:szCs w:val="20"/>
                <w:lang w:val="en-GB" w:eastAsia="en-ID"/>
              </w:rPr>
              <w:t>0.8470</w:t>
            </w:r>
          </w:p>
        </w:tc>
      </w:tr>
    </w:tbl>
    <w:p w14:paraId="4E1D8EA2" w14:textId="770E43F9" w:rsidR="007912C0" w:rsidRPr="005F6FF4" w:rsidRDefault="007867D5" w:rsidP="007912C0">
      <w:pPr>
        <w:rPr>
          <w:rFonts w:cstheme="minorHAnsi"/>
          <w:lang w:val="en-GB"/>
        </w:rPr>
      </w:pPr>
      <w:r w:rsidRPr="005F6FF4">
        <w:rPr>
          <w:rFonts w:cstheme="minorHAnsi"/>
          <w:i/>
          <w:iCs/>
          <w:sz w:val="20"/>
          <w:szCs w:val="20"/>
          <w:shd w:val="clear" w:color="auto" w:fill="FFFFFF"/>
          <w:lang w:val="en-GB"/>
        </w:rPr>
        <w:t>The coefficient employs standardised beta, s</w:t>
      </w:r>
      <w:r w:rsidR="00960F4F" w:rsidRPr="005F6FF4">
        <w:rPr>
          <w:rFonts w:cstheme="minorHAnsi"/>
          <w:i/>
          <w:iCs/>
          <w:sz w:val="20"/>
          <w:szCs w:val="20"/>
          <w:shd w:val="clear" w:color="auto" w:fill="FFFFFF"/>
          <w:lang w:val="en-GB"/>
        </w:rPr>
        <w:t>tandard errors in parentheses</w:t>
      </w:r>
      <w:r w:rsidRPr="005F6FF4">
        <w:rPr>
          <w:rFonts w:cstheme="minorHAnsi"/>
          <w:i/>
          <w:iCs/>
          <w:sz w:val="20"/>
          <w:szCs w:val="20"/>
          <w:shd w:val="clear" w:color="auto" w:fill="FFFFFF"/>
          <w:lang w:val="en-GB"/>
        </w:rPr>
        <w:t>,</w:t>
      </w:r>
      <w:r w:rsidR="00960F4F" w:rsidRPr="005F6FF4">
        <w:rPr>
          <w:rFonts w:cstheme="minorHAnsi"/>
          <w:i/>
          <w:iCs/>
          <w:sz w:val="20"/>
          <w:szCs w:val="20"/>
          <w:shd w:val="clear" w:color="auto" w:fill="FFFFFF"/>
          <w:lang w:val="en-GB"/>
        </w:rPr>
        <w:t xml:space="preserve"> and *** p&lt;0.01, ** p&lt;0.05, * p&lt;0.1</w:t>
      </w:r>
    </w:p>
    <w:p w14:paraId="3D2E98B0" w14:textId="6674B00B" w:rsidR="00A84979" w:rsidRPr="005F6FF4" w:rsidRDefault="000D4677" w:rsidP="00AD08D8">
      <w:pPr>
        <w:rPr>
          <w:rFonts w:cstheme="minorHAnsi"/>
          <w:lang w:val="en-GB"/>
        </w:rPr>
      </w:pPr>
      <w:r w:rsidRPr="005F6FF4">
        <w:rPr>
          <w:rFonts w:cstheme="minorHAnsi"/>
          <w:lang w:val="en-GB"/>
        </w:rPr>
        <w:t>Source: Author’s Calculation (2023)</w:t>
      </w:r>
      <w:r w:rsidR="006C1F9C" w:rsidRPr="005F6FF4">
        <w:rPr>
          <w:rFonts w:cstheme="minorHAnsi"/>
          <w:lang w:val="en-GB"/>
        </w:rPr>
        <w:t>.</w:t>
      </w:r>
    </w:p>
    <w:p w14:paraId="18AC8FE8" w14:textId="77777777" w:rsidR="006C1F9C" w:rsidRPr="005F6FF4" w:rsidRDefault="006C1F9C" w:rsidP="006C1F9C">
      <w:pPr>
        <w:spacing w:after="0" w:line="240" w:lineRule="auto"/>
        <w:jc w:val="both"/>
        <w:rPr>
          <w:rFonts w:cstheme="minorHAnsi"/>
          <w:lang w:val="en-GB"/>
        </w:rPr>
      </w:pPr>
    </w:p>
    <w:p w14:paraId="63C610CA" w14:textId="06D92817" w:rsidR="002059E6" w:rsidRPr="005F6FF4" w:rsidRDefault="002059E6" w:rsidP="002059E6">
      <w:pPr>
        <w:jc w:val="both"/>
        <w:rPr>
          <w:rFonts w:cstheme="minorHAnsi"/>
          <w:b/>
          <w:bCs/>
          <w:sz w:val="28"/>
          <w:szCs w:val="28"/>
          <w:lang w:val="en-GB"/>
        </w:rPr>
      </w:pPr>
      <w:r w:rsidRPr="005F6FF4">
        <w:rPr>
          <w:rFonts w:cstheme="minorHAnsi"/>
          <w:b/>
          <w:bCs/>
          <w:sz w:val="28"/>
          <w:szCs w:val="28"/>
          <w:lang w:val="en-GB"/>
        </w:rPr>
        <w:t>Discussion</w:t>
      </w:r>
    </w:p>
    <w:p w14:paraId="6D93D111" w14:textId="3257D1A0" w:rsidR="003A5F19" w:rsidRPr="005F6FF4" w:rsidRDefault="00EC7F18" w:rsidP="003A5F19">
      <w:pPr>
        <w:jc w:val="both"/>
        <w:rPr>
          <w:rFonts w:cstheme="minorHAnsi"/>
          <w:i/>
          <w:iCs/>
          <w:sz w:val="28"/>
          <w:szCs w:val="28"/>
          <w:lang w:val="en-GB"/>
        </w:rPr>
      </w:pPr>
      <w:r w:rsidRPr="005F6FF4">
        <w:rPr>
          <w:rFonts w:cstheme="minorHAnsi"/>
          <w:i/>
          <w:iCs/>
          <w:sz w:val="28"/>
          <w:szCs w:val="28"/>
          <w:lang w:val="en-GB"/>
        </w:rPr>
        <w:t xml:space="preserve">Key </w:t>
      </w:r>
      <w:r w:rsidR="006C1F9C" w:rsidRPr="005F6FF4">
        <w:rPr>
          <w:rFonts w:cstheme="minorHAnsi"/>
          <w:i/>
          <w:iCs/>
          <w:sz w:val="28"/>
          <w:szCs w:val="28"/>
          <w:lang w:val="en-GB"/>
        </w:rPr>
        <w:t>C</w:t>
      </w:r>
      <w:r w:rsidRPr="005F6FF4">
        <w:rPr>
          <w:rFonts w:cstheme="minorHAnsi"/>
          <w:i/>
          <w:iCs/>
          <w:sz w:val="28"/>
          <w:szCs w:val="28"/>
          <w:lang w:val="en-GB"/>
        </w:rPr>
        <w:t xml:space="preserve">ontributor to the </w:t>
      </w:r>
      <w:r w:rsidR="00FD6F82" w:rsidRPr="005F6FF4">
        <w:rPr>
          <w:rFonts w:cstheme="minorHAnsi"/>
          <w:i/>
          <w:iCs/>
          <w:sz w:val="28"/>
          <w:szCs w:val="28"/>
          <w:lang w:val="en-GB"/>
        </w:rPr>
        <w:t xml:space="preserve">Progress </w:t>
      </w:r>
      <w:r w:rsidRPr="005F6FF4">
        <w:rPr>
          <w:rFonts w:cstheme="minorHAnsi"/>
          <w:i/>
          <w:iCs/>
          <w:sz w:val="28"/>
          <w:szCs w:val="28"/>
          <w:lang w:val="en-GB"/>
        </w:rPr>
        <w:t xml:space="preserve">of </w:t>
      </w:r>
      <w:r w:rsidR="006C1F9C" w:rsidRPr="005F6FF4">
        <w:rPr>
          <w:rFonts w:cstheme="minorHAnsi"/>
          <w:i/>
          <w:iCs/>
          <w:sz w:val="28"/>
          <w:szCs w:val="28"/>
          <w:lang w:val="en-GB"/>
        </w:rPr>
        <w:t>D</w:t>
      </w:r>
      <w:r w:rsidRPr="005F6FF4">
        <w:rPr>
          <w:rFonts w:cstheme="minorHAnsi"/>
          <w:i/>
          <w:iCs/>
          <w:sz w:val="28"/>
          <w:szCs w:val="28"/>
          <w:lang w:val="en-GB"/>
        </w:rPr>
        <w:t xml:space="preserve">igital </w:t>
      </w:r>
      <w:r w:rsidR="006C1F9C" w:rsidRPr="005F6FF4">
        <w:rPr>
          <w:rFonts w:cstheme="minorHAnsi"/>
          <w:i/>
          <w:iCs/>
          <w:sz w:val="28"/>
          <w:szCs w:val="28"/>
          <w:lang w:val="en-GB"/>
        </w:rPr>
        <w:t>T</w:t>
      </w:r>
      <w:r w:rsidRPr="005F6FF4">
        <w:rPr>
          <w:rFonts w:cstheme="minorHAnsi"/>
          <w:i/>
          <w:iCs/>
          <w:sz w:val="28"/>
          <w:szCs w:val="28"/>
          <w:lang w:val="en-GB"/>
        </w:rPr>
        <w:t xml:space="preserve">ransformation and </w:t>
      </w:r>
      <w:r w:rsidR="006C1F9C" w:rsidRPr="005F6FF4">
        <w:rPr>
          <w:rFonts w:cstheme="minorHAnsi"/>
          <w:i/>
          <w:iCs/>
          <w:sz w:val="28"/>
          <w:szCs w:val="28"/>
          <w:lang w:val="en-GB"/>
        </w:rPr>
        <w:t>I</w:t>
      </w:r>
      <w:r w:rsidRPr="005F6FF4">
        <w:rPr>
          <w:rFonts w:cstheme="minorHAnsi"/>
          <w:i/>
          <w:iCs/>
          <w:sz w:val="28"/>
          <w:szCs w:val="28"/>
          <w:lang w:val="en-GB"/>
        </w:rPr>
        <w:t xml:space="preserve">nclusive </w:t>
      </w:r>
      <w:r w:rsidR="006C1F9C" w:rsidRPr="005F6FF4">
        <w:rPr>
          <w:rFonts w:cstheme="minorHAnsi"/>
          <w:i/>
          <w:iCs/>
          <w:sz w:val="28"/>
          <w:szCs w:val="28"/>
          <w:lang w:val="en-GB"/>
        </w:rPr>
        <w:t>G</w:t>
      </w:r>
      <w:r w:rsidRPr="005F6FF4">
        <w:rPr>
          <w:rFonts w:cstheme="minorHAnsi"/>
          <w:i/>
          <w:iCs/>
          <w:sz w:val="28"/>
          <w:szCs w:val="28"/>
          <w:lang w:val="en-GB"/>
        </w:rPr>
        <w:t xml:space="preserve">rowth </w:t>
      </w:r>
    </w:p>
    <w:p w14:paraId="4309D4E8" w14:textId="660BA43F" w:rsidR="000F60EF" w:rsidRPr="005F6FF4" w:rsidRDefault="000F60EF" w:rsidP="006C1F9C">
      <w:pPr>
        <w:jc w:val="both"/>
        <w:rPr>
          <w:rFonts w:cstheme="minorHAnsi"/>
          <w:lang w:val="en-GB"/>
        </w:rPr>
      </w:pPr>
      <w:commentRangeStart w:id="9"/>
      <w:r w:rsidRPr="005F6FF4">
        <w:rPr>
          <w:rFonts w:cstheme="minorHAnsi"/>
          <w:lang w:val="en-GB"/>
        </w:rPr>
        <w:t>Figure 3(a) depicts the evolution of the Digital Transformation Index calculated using Principal Component Analysis (PCA) for the period 1980-2021, reflecting a journey that began with low negative values at the start of the period, indicating early challenges in digital technology adoption</w:t>
      </w:r>
      <w:commentRangeEnd w:id="9"/>
      <w:r w:rsidR="00936B09">
        <w:rPr>
          <w:rStyle w:val="CommentReference"/>
        </w:rPr>
        <w:commentReference w:id="9"/>
      </w:r>
      <w:r w:rsidRPr="005F6FF4">
        <w:rPr>
          <w:rFonts w:cstheme="minorHAnsi"/>
          <w:lang w:val="en-GB"/>
        </w:rPr>
        <w:t>. Following that, a positive transition occurred at the turn of the twenty-first century, indicating an improvement in digital technology adoption, and significant positive progress was made during the 2010s, reflecting an acceleration in digital transformation. The index peaked in 2020-2021, when it experienced a dramatic increase due to the COVID-19 pandemic and a significant increase in the use of digital technology. This exemplifies how global changes and technological trends can impact the rate and direction of digital transformation.</w:t>
      </w:r>
    </w:p>
    <w:p w14:paraId="4BA13170" w14:textId="7AB55CBE" w:rsidR="003A5F19" w:rsidRPr="005F6FF4" w:rsidRDefault="000F60EF" w:rsidP="000F60EF">
      <w:pPr>
        <w:jc w:val="both"/>
        <w:rPr>
          <w:rFonts w:cstheme="minorHAnsi"/>
          <w:lang w:val="en-GB"/>
        </w:rPr>
      </w:pPr>
      <w:r w:rsidRPr="005F6FF4">
        <w:rPr>
          <w:rFonts w:cstheme="minorHAnsi"/>
          <w:lang w:val="en-GB"/>
        </w:rPr>
        <w:t>Medium and high-tech manufacturing is critical to Indonesia's digital transformation because it not only contributes to the production of high-tech technology, which serves as the foundation of digital infrastructure, but it also promotes the development of local capabilities, innovation, and economic value addition</w:t>
      </w:r>
      <w:r w:rsidR="00D8496E" w:rsidRPr="005F6FF4">
        <w:rPr>
          <w:rFonts w:cstheme="minorHAnsi"/>
          <w:lang w:val="en-GB"/>
        </w:rPr>
        <w:t xml:space="preserve"> </w:t>
      </w:r>
      <w:r w:rsidR="00D8496E" w:rsidRPr="005F6FF4">
        <w:rPr>
          <w:rFonts w:cstheme="minorHAnsi"/>
          <w:lang w:val="en-GB"/>
        </w:rPr>
        <w:fldChar w:fldCharType="begin" w:fldLock="1"/>
      </w:r>
      <w:r w:rsidR="00D8496E" w:rsidRPr="005F6FF4">
        <w:rPr>
          <w:rFonts w:cstheme="minorHAnsi"/>
          <w:lang w:val="en-GB"/>
        </w:rPr>
        <w:instrText>ADDIN CSL_CITATION {"citationItems":[{"id":"ITEM-1","itemData":{"DOI":"10.1596/26721","author":[{"dropping-particle":"","family":"Rahardja","given":"Sjamsu","non-dropping-particle":"","parse-names":false,"suffix":""},{"dropping-particle":"","family":"Winkler","given":"Deborah","non-dropping-particle":"","parse-names":false,"suffix":""},{"dropping-particle":"","family":"Varela","given":"G.","non-dropping-particle":"","parse-names":false,"suffix":""},{"dropping-particle":"","family":"Ing","given":"Lili Yan","non-dropping-particle":"","parse-names":false,"suffix":""}],"id":"ITEM-1","issued":{"date-parts":[["2012","9"]]},"publisher":"World Bank","title":"Why the Manufacturing Sector Still Matters for Growth and Development in Indonesia","type":"book"},"uris":["http://www.mendeley.com/documents/?uuid=c770ba36-08c2-406d-9f63-fc2085ec8dac"]}],"mendeley":{"formattedCitation":"(Rahardja et al., 2012)","plainTextFormattedCitation":"(Rahardja et al., 2012)","previouslyFormattedCitation":"(Rahardja et al., 2012)"},"properties":{"noteIndex":0},"schema":"https://github.com/citation-style-language/schema/raw/master/csl-citation.json"}</w:instrText>
      </w:r>
      <w:r w:rsidR="00D8496E" w:rsidRPr="005F6FF4">
        <w:rPr>
          <w:rFonts w:cstheme="minorHAnsi"/>
          <w:lang w:val="en-GB"/>
        </w:rPr>
        <w:fldChar w:fldCharType="separate"/>
      </w:r>
      <w:r w:rsidR="00D8496E" w:rsidRPr="005F6FF4">
        <w:rPr>
          <w:rFonts w:cstheme="minorHAnsi"/>
          <w:noProof/>
          <w:lang w:val="en-GB"/>
        </w:rPr>
        <w:t>(Rahardja et al., 2012)</w:t>
      </w:r>
      <w:r w:rsidR="00D8496E" w:rsidRPr="005F6FF4">
        <w:rPr>
          <w:rFonts w:cstheme="minorHAnsi"/>
          <w:lang w:val="en-GB"/>
        </w:rPr>
        <w:fldChar w:fldCharType="end"/>
      </w:r>
      <w:r w:rsidRPr="005F6FF4">
        <w:rPr>
          <w:rFonts w:cstheme="minorHAnsi"/>
          <w:lang w:val="en-GB"/>
        </w:rPr>
        <w:t>. While indicators such as the proportion of mobile subscribers, fixed-line subscriptions, and internet users reflect population technology adoption, the manufacturing sector's contribution in producing the necessary hardware and equipment is critical to digital transformation</w:t>
      </w:r>
      <w:r w:rsidR="00D8496E" w:rsidRPr="005F6FF4">
        <w:rPr>
          <w:rFonts w:cstheme="minorHAnsi"/>
          <w:lang w:val="en-GB"/>
        </w:rPr>
        <w:t xml:space="preserve"> </w:t>
      </w:r>
      <w:r w:rsidR="00D8496E" w:rsidRPr="005F6FF4">
        <w:rPr>
          <w:rFonts w:cstheme="minorHAnsi"/>
          <w:lang w:val="en-GB"/>
        </w:rPr>
        <w:fldChar w:fldCharType="begin" w:fldLock="1"/>
      </w:r>
      <w:r w:rsidR="00DF1E30" w:rsidRPr="005F6FF4">
        <w:rPr>
          <w:rFonts w:cstheme="minorHAnsi"/>
          <w:lang w:val="en-GB"/>
        </w:rPr>
        <w:instrText>ADDIN CSL_CITATION {"citationItems":[{"id":"ITEM-1","itemData":{"DOI":"10.1016/j.worlddev.2021.105788","ISSN":"0305750X","author":[{"dropping-particle":"","family":"Delera","given":"Michele","non-dropping-particle":"","parse-names":false,"suffix":""},{"dropping-particle":"","family":"Pietrobelli","given":"Carlo","non-dropping-particle":"","parse-names":false,"suffix":""},{"dropping-particle":"","family":"Calza","given":"Elisa","non-dropping-particle":"","parse-names":false,"suffix":""},{"dropping-particle":"","family":"Lavopa","given":"Alejandro","non-dropping-particle":"","parse-names":false,"suffix":""}],"container-title":"World Development","id":"ITEM-1","issued":{"date-parts":[["2022","4"]]},"page":"105788","title":"Does value chain participation facilitate the adoption of Industry 4.0 technologies in developing countries?","type":"article-journal","volume":"152"},"uris":["http://www.mendeley.com/documents/?uuid=ebb7e907-ac42-45f5-87cf-8a94955554cb"]}],"mendeley":{"formattedCitation":"(Delera et al., 2022)","plainTextFormattedCitation":"(Delera et al., 2022)","previouslyFormattedCitation":"(Delera et al., 2022)"},"properties":{"noteIndex":0},"schema":"https://github.com/citation-style-language/schema/raw/master/csl-citation.json"}</w:instrText>
      </w:r>
      <w:r w:rsidR="00D8496E" w:rsidRPr="005F6FF4">
        <w:rPr>
          <w:rFonts w:cstheme="minorHAnsi"/>
          <w:lang w:val="en-GB"/>
        </w:rPr>
        <w:fldChar w:fldCharType="separate"/>
      </w:r>
      <w:r w:rsidR="00D8496E" w:rsidRPr="005F6FF4">
        <w:rPr>
          <w:rFonts w:cstheme="minorHAnsi"/>
          <w:noProof/>
          <w:lang w:val="en-GB"/>
        </w:rPr>
        <w:t>(Delera et al., 2022)</w:t>
      </w:r>
      <w:r w:rsidR="00D8496E" w:rsidRPr="005F6FF4">
        <w:rPr>
          <w:rFonts w:cstheme="minorHAnsi"/>
          <w:lang w:val="en-GB"/>
        </w:rPr>
        <w:fldChar w:fldCharType="end"/>
      </w:r>
      <w:r w:rsidRPr="005F6FF4">
        <w:rPr>
          <w:rFonts w:cstheme="minorHAnsi"/>
          <w:lang w:val="en-GB"/>
        </w:rPr>
        <w:t>. Exports of ICT goods and services, as well as private sector participation in telecommunications, on the other hand, are critical, but they are more closely related to business and trade than to the fundamental development of digital infrastructure.</w:t>
      </w:r>
      <w:r w:rsidRPr="005F6FF4">
        <w:t xml:space="preserve"> </w:t>
      </w:r>
      <w:r w:rsidRPr="005F6FF4">
        <w:rPr>
          <w:rFonts w:cstheme="minorHAnsi"/>
          <w:lang w:val="en-GB"/>
        </w:rPr>
        <w:t xml:space="preserve">Exports of ICT goods and services, as well as private sector participation in telecommunications, on the other hand, are critical, but they are more closely related to business and trade than to the fundamental </w:t>
      </w:r>
      <w:r w:rsidRPr="005F6FF4">
        <w:rPr>
          <w:rFonts w:cstheme="minorHAnsi"/>
          <w:lang w:val="en-GB"/>
        </w:rPr>
        <w:lastRenderedPageBreak/>
        <w:t>development of digital infrastructure. As a result, medium and high-tech manufacturing becomes a key driver of Indonesia's broader digital economic growth.</w:t>
      </w:r>
    </w:p>
    <w:p w14:paraId="60670C3A" w14:textId="51072238" w:rsidR="000F60EF" w:rsidRPr="005F6FF4" w:rsidRDefault="000F60EF" w:rsidP="000F60EF">
      <w:pPr>
        <w:jc w:val="both"/>
        <w:rPr>
          <w:rFonts w:cstheme="minorHAnsi"/>
          <w:lang w:val="en-GB"/>
        </w:rPr>
      </w:pPr>
      <w:r w:rsidRPr="005F6FF4">
        <w:rPr>
          <w:rFonts w:cstheme="minorHAnsi"/>
          <w:lang w:val="en-GB"/>
        </w:rPr>
        <w:t xml:space="preserve">Figure 3(b) </w:t>
      </w:r>
      <w:r w:rsidR="00936B09">
        <w:rPr>
          <w:rFonts w:cstheme="minorHAnsi"/>
          <w:lang w:val="en-GB"/>
        </w:rPr>
        <w:t>depict</w:t>
      </w:r>
      <w:r w:rsidRPr="005F6FF4">
        <w:rPr>
          <w:rFonts w:cstheme="minorHAnsi"/>
          <w:lang w:val="en-GB"/>
        </w:rPr>
        <w:t>s the Inclusive Growth Index calculated using Principal Component Analysis (PCA) for the period 1980-2021, reflecting Indonesia's evolutionary journey towards more inclusive economic growth. Negative values at the start of the period indicated uneven growth, but gradual improvement over time, particularly in the early twenty-first century, reflects efforts to improve the distribution of economic benefits. Significant progress was made in the 2010s, indicating success in achieving more equitable economic growth, possibly through more inclusive social and economic initiatives. Although stability was observed in 2020-2021, sustained efforts are required to ensure that economic growth is evenly distributed across all segments of the Indonesian population, allowing all citizens to reap the benefits.</w:t>
      </w:r>
    </w:p>
    <w:p w14:paraId="7F79C20B" w14:textId="69484EE8" w:rsidR="006C1F9C" w:rsidRPr="005F6FF4" w:rsidRDefault="000F60EF" w:rsidP="000F60EF">
      <w:pPr>
        <w:jc w:val="both"/>
        <w:rPr>
          <w:rFonts w:cstheme="minorHAnsi"/>
          <w:lang w:val="en-GB"/>
        </w:rPr>
      </w:pPr>
      <w:r w:rsidRPr="005F6FF4">
        <w:rPr>
          <w:rFonts w:cstheme="minorHAnsi"/>
          <w:lang w:val="en-GB"/>
        </w:rPr>
        <w:t xml:space="preserve">When compared to the reduction of inequality and unemployment, economic growth and poverty alleviation emerge as the primary contributors to </w:t>
      </w:r>
      <w:r w:rsidR="00D8496E" w:rsidRPr="005F6FF4">
        <w:rPr>
          <w:rFonts w:cstheme="minorHAnsi"/>
          <w:lang w:val="en-GB"/>
        </w:rPr>
        <w:t xml:space="preserve">inclusive growth </w:t>
      </w:r>
      <w:r w:rsidRPr="005F6FF4">
        <w:rPr>
          <w:rFonts w:cstheme="minorHAnsi"/>
          <w:lang w:val="en-GB"/>
        </w:rPr>
        <w:t>in Indonesia. This is due to the fact that the Inclusive Growth Index favours overall population income and welfare improvement over income distribution or lower unemployment rates. Because of the structural changes required in the economy and the implementation of effective redistributive policies, reducing inequality often takes a longer time frame to manifest in the Inclusive Growth Index</w:t>
      </w:r>
      <w:r w:rsidR="00DF1E30" w:rsidRPr="005F6FF4">
        <w:rPr>
          <w:rFonts w:cstheme="minorHAnsi"/>
          <w:lang w:val="en-GB"/>
        </w:rPr>
        <w:t xml:space="preserve"> </w:t>
      </w:r>
      <w:r w:rsidR="00DF1E30" w:rsidRPr="005F6FF4">
        <w:rPr>
          <w:rFonts w:cstheme="minorHAnsi"/>
          <w:lang w:val="en-GB"/>
        </w:rPr>
        <w:fldChar w:fldCharType="begin" w:fldLock="1"/>
      </w:r>
      <w:r w:rsidR="00877836" w:rsidRPr="005F6FF4">
        <w:rPr>
          <w:rFonts w:cstheme="minorHAnsi"/>
          <w:lang w:val="en-GB"/>
        </w:rPr>
        <w:instrText>ADDIN CSL_CITATION {"citationItems":[{"id":"ITEM-1","itemData":{"DOI":"10.3390/economies7030065","ISSN":"2227-7099","abstract":"Background: Since the latter part of the 20th Century, countries have been particularly challenged by the trade-off that exists between delivering generous welfare provisions and strong economic growth. Such dynamics have stimulated a need to better understand the causes of income inequality so as to better formulate policies that foster inclusive growth and reduce growing concerns surrounding income inequality. Method: Given its ability to succinctly summarize, analyze, and synthesize an extant body of literature from a certain genre of scholastic endeavor, this study utilizes a literature review as its proposed methodological approach. Results: From our assessment of the literature, we identified four key areas that contribute significantly to income inequality in both advanced and developing economies, these include: (i) pursuing skill-biased technological change; (ii) enhancing education systems; (iii) consolidation of globalization; and (iv) reform of the labor market and its relevant institutions. Conclusion: There is no silver bullet to achieving inclusive growth. Any policy manifesto must seek to offer a coordinated policy platform that looks to deal directly with the causes of inequality. In order to do so, consideration should be given to a range of policy areas including fiscal, education, trade liberalization, and labor market reforms.","author":[{"dropping-particle":"","family":"Heshmati","given":"Almas","non-dropping-particle":"","parse-names":false,"suffix":""},{"dropping-particle":"","family":"Kim","given":"Jungsuk","non-dropping-particle":"","parse-names":false,"suffix":""},{"dropping-particle":"","family":"Wood","given":"Jacob","non-dropping-particle":"","parse-names":false,"suffix":""}],"container-title":"Economies","id":"ITEM-1","issue":"3","issued":{"date-parts":[["2019","7","4"]]},"page":"65","title":"A Survey of Inclusive Growth Policy","type":"article-journal","volume":"7"},"uris":["http://www.mendeley.com/documents/?uuid=e134d716-6b16-43ee-b099-c99accbadfe8"]},{"id":"ITEM-2","itemData":{"DOI":"10.1162/ADEV_a_00022","ISSN":"0116-1105","abstract":"Episodes of economic growth that lead to reductions in poverty and inequality are relatively rare in developing countries. In this paper, we examine the institutional foundations of such growth episodes. We argue that the institutional factors that lead to accelerations in economic growth will be different from those that lead to growth maintenance and avoidance of growth decline, and that the institutional preconditions for growth accelerations suggest that these growth episodes may not be inclusive. We present empirical evidence drawn from descriptive and cross-country econometric analyses that support these theoretical propositions.","author":[{"dropping-particle":"","family":"Sen","given":"Kunal","non-dropping-particle":"","parse-names":false,"suffix":""}],"container-title":"Asian Development Review","id":"ITEM-2","issue":"1","issued":{"date-parts":[["2014","3","17"]]},"page":"136-162","title":"Inclusive Growth: When May We Expect It? When May We Not?","type":"article-journal","volume":"31"},"uris":["http://www.mendeley.com/documents/?uuid=70f33085-70c0-4834-a486-b06134477cc3"]}],"mendeley":{"formattedCitation":"(Heshmati et al., 2019; Sen, 2014)","plainTextFormattedCitation":"(Heshmati et al., 2019; Sen, 2014)","previouslyFormattedCitation":"(Heshmati et al., 2019; Sen, 2014)"},"properties":{"noteIndex":0},"schema":"https://github.com/citation-style-language/schema/raw/master/csl-citation.json"}</w:instrText>
      </w:r>
      <w:r w:rsidR="00DF1E30" w:rsidRPr="005F6FF4">
        <w:rPr>
          <w:rFonts w:cstheme="minorHAnsi"/>
          <w:lang w:val="en-GB"/>
        </w:rPr>
        <w:fldChar w:fldCharType="separate"/>
      </w:r>
      <w:r w:rsidR="00DF1E30" w:rsidRPr="005F6FF4">
        <w:rPr>
          <w:rFonts w:cstheme="minorHAnsi"/>
          <w:noProof/>
          <w:lang w:val="en-GB"/>
        </w:rPr>
        <w:t>(Heshmati et al., 2019; Sen, 2014)</w:t>
      </w:r>
      <w:r w:rsidR="00DF1E30" w:rsidRPr="005F6FF4">
        <w:rPr>
          <w:rFonts w:cstheme="minorHAnsi"/>
          <w:lang w:val="en-GB"/>
        </w:rPr>
        <w:fldChar w:fldCharType="end"/>
      </w:r>
      <w:r w:rsidRPr="005F6FF4">
        <w:rPr>
          <w:rFonts w:cstheme="minorHAnsi"/>
          <w:lang w:val="en-GB"/>
        </w:rPr>
        <w:t>. Furthermore, while reducing unemployment has a more direct impact on the Inclusive Growth Index, when economic growth and poverty alleviation are pursued effectively, they naturally create new jobs and opportunities, which reduce unemployment.</w:t>
      </w:r>
      <w:r w:rsidRPr="005F6FF4">
        <w:t xml:space="preserve"> </w:t>
      </w:r>
      <w:r w:rsidRPr="005F6FF4">
        <w:rPr>
          <w:rFonts w:cstheme="minorHAnsi"/>
          <w:lang w:val="en-GB"/>
        </w:rPr>
        <w:t>As a result, an initial focus on economic growth and poverty alleviation is frequently regarded as a critical first step in laying a solid foundation for inclusive digital transformation in Indonesia.</w:t>
      </w:r>
    </w:p>
    <w:p w14:paraId="73542277" w14:textId="081E1346" w:rsidR="00EC7F18" w:rsidRPr="005F6FF4" w:rsidRDefault="00EC7F18" w:rsidP="006C1F9C">
      <w:pPr>
        <w:spacing w:after="0"/>
        <w:jc w:val="both"/>
        <w:rPr>
          <w:noProof/>
        </w:rPr>
      </w:pPr>
      <w:r w:rsidRPr="005F6FF4">
        <w:rPr>
          <w:noProof/>
        </w:rPr>
        <w:drawing>
          <wp:inline distT="0" distB="0" distL="0" distR="0" wp14:anchorId="156F35D2" wp14:editId="1CCFC0C8">
            <wp:extent cx="2882900" cy="2222053"/>
            <wp:effectExtent l="0" t="0" r="12700" b="6985"/>
            <wp:docPr id="6" name="Chart 6">
              <a:extLst xmlns:a="http://schemas.openxmlformats.org/drawingml/2006/main">
                <a:ext uri="{FF2B5EF4-FFF2-40B4-BE49-F238E27FC236}">
                  <a16:creationId xmlns:a16="http://schemas.microsoft.com/office/drawing/2014/main" id="{CE252D0A-B1DF-45E8-8E19-8F7F93E4818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Pr="005F6FF4">
        <w:rPr>
          <w:noProof/>
        </w:rPr>
        <w:drawing>
          <wp:inline distT="0" distB="0" distL="0" distR="0" wp14:anchorId="10DF13A8" wp14:editId="05A01C38">
            <wp:extent cx="2779395" cy="2222625"/>
            <wp:effectExtent l="0" t="0" r="1905" b="6350"/>
            <wp:docPr id="8" name="Chart 8">
              <a:extLst xmlns:a="http://schemas.openxmlformats.org/drawingml/2006/main">
                <a:ext uri="{FF2B5EF4-FFF2-40B4-BE49-F238E27FC236}">
                  <a16:creationId xmlns:a16="http://schemas.microsoft.com/office/drawing/2014/main" id="{D60A080A-F4B1-4BC6-9D79-23E2DDA7DCD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Pr="005F6FF4">
        <w:rPr>
          <w:noProof/>
        </w:rPr>
        <w:t xml:space="preserve"> </w:t>
      </w:r>
    </w:p>
    <w:p w14:paraId="23EA1642" w14:textId="77777777" w:rsidR="007F7D7A" w:rsidRPr="005F6FF4" w:rsidRDefault="007F7D7A" w:rsidP="007F7D7A">
      <w:pPr>
        <w:spacing w:after="0"/>
        <w:jc w:val="center"/>
        <w:rPr>
          <w:rFonts w:cstheme="minorHAnsi"/>
          <w:lang w:val="en-GB"/>
        </w:rPr>
      </w:pPr>
      <w:r w:rsidRPr="005F6FF4">
        <w:rPr>
          <w:rFonts w:cstheme="minorHAnsi"/>
          <w:sz w:val="20"/>
          <w:szCs w:val="20"/>
          <w:lang w:val="en-GB"/>
        </w:rPr>
        <w:t>Source: Author’s Calculation (2023)</w:t>
      </w:r>
    </w:p>
    <w:p w14:paraId="04D614D6" w14:textId="6B6766A0" w:rsidR="007F7D7A" w:rsidRPr="005F6FF4" w:rsidRDefault="007F7D7A" w:rsidP="006C1F9C">
      <w:pPr>
        <w:spacing w:after="0"/>
        <w:jc w:val="center"/>
        <w:rPr>
          <w:rFonts w:cstheme="minorHAnsi"/>
          <w:sz w:val="20"/>
          <w:szCs w:val="20"/>
          <w:lang w:val="en-GB"/>
        </w:rPr>
      </w:pPr>
      <w:r w:rsidRPr="005F6FF4">
        <w:rPr>
          <w:rFonts w:cstheme="minorHAnsi"/>
          <w:b/>
          <w:bCs/>
          <w:sz w:val="20"/>
          <w:szCs w:val="20"/>
          <w:lang w:val="en-GB"/>
        </w:rPr>
        <w:t>Figure 3</w:t>
      </w:r>
      <w:r w:rsidRPr="005F6FF4">
        <w:rPr>
          <w:rFonts w:cstheme="minorHAnsi"/>
          <w:sz w:val="20"/>
          <w:szCs w:val="20"/>
          <w:lang w:val="en-GB"/>
        </w:rPr>
        <w:t>: The Evolution of Digital Transformation and Inclusive Growth in Indonesia</w:t>
      </w:r>
    </w:p>
    <w:p w14:paraId="78D8F943" w14:textId="3589DC6C" w:rsidR="006C1F9C" w:rsidRPr="005F6FF4" w:rsidRDefault="006C1F9C" w:rsidP="006C1F9C">
      <w:pPr>
        <w:spacing w:after="0"/>
        <w:jc w:val="center"/>
        <w:rPr>
          <w:rFonts w:cstheme="minorHAnsi"/>
          <w:sz w:val="20"/>
          <w:szCs w:val="20"/>
          <w:lang w:val="en-GB"/>
        </w:rPr>
      </w:pPr>
    </w:p>
    <w:p w14:paraId="588DAAF9" w14:textId="00B02DFA" w:rsidR="000F60EF" w:rsidRPr="005F6FF4" w:rsidRDefault="00A16170" w:rsidP="000F60EF">
      <w:pPr>
        <w:spacing w:after="0"/>
        <w:jc w:val="both"/>
        <w:rPr>
          <w:rFonts w:cstheme="minorHAnsi"/>
          <w:lang w:val="en-GB"/>
        </w:rPr>
      </w:pPr>
      <w:r w:rsidRPr="005F6FF4">
        <w:rPr>
          <w:rFonts w:cstheme="minorHAnsi"/>
          <w:lang w:val="en-GB"/>
        </w:rPr>
        <w:t>The key contributor to the evolution of digital transformation and inclusive growth is crucial in explaining the causal mechanism that enables digital transformation to have an impact on inclusive growth in Indonesia. In the subsequent section, we will take on the complex relationship between these two critical elements and explain how digital transformation can effectively drive inclusive growth in the Indonesian context.</w:t>
      </w:r>
    </w:p>
    <w:p w14:paraId="01E07D4E" w14:textId="1C33D6A2" w:rsidR="00AD08D8" w:rsidRPr="005F6FF4" w:rsidRDefault="00AD08D8" w:rsidP="000F60EF">
      <w:pPr>
        <w:spacing w:after="0"/>
        <w:jc w:val="both"/>
        <w:rPr>
          <w:rFonts w:cstheme="minorHAnsi"/>
          <w:lang w:val="en-GB"/>
        </w:rPr>
      </w:pPr>
    </w:p>
    <w:p w14:paraId="0BBDB3CC" w14:textId="07A74103" w:rsidR="00AD08D8" w:rsidRPr="005F6FF4" w:rsidRDefault="00AD08D8" w:rsidP="000F60EF">
      <w:pPr>
        <w:spacing w:after="0"/>
        <w:jc w:val="both"/>
        <w:rPr>
          <w:rFonts w:cstheme="minorHAnsi"/>
          <w:lang w:val="en-GB"/>
        </w:rPr>
      </w:pPr>
    </w:p>
    <w:p w14:paraId="3675CC25" w14:textId="77777777" w:rsidR="00AD08D8" w:rsidRPr="005F6FF4" w:rsidRDefault="00AD08D8" w:rsidP="000F60EF">
      <w:pPr>
        <w:spacing w:after="0"/>
        <w:jc w:val="both"/>
        <w:rPr>
          <w:rFonts w:cstheme="minorHAnsi"/>
          <w:lang w:val="en-GB"/>
        </w:rPr>
      </w:pPr>
    </w:p>
    <w:p w14:paraId="677F2D00" w14:textId="77777777" w:rsidR="00A16170" w:rsidRPr="005F6FF4" w:rsidRDefault="00A16170" w:rsidP="000F60EF">
      <w:pPr>
        <w:spacing w:after="0"/>
        <w:jc w:val="both"/>
        <w:rPr>
          <w:rFonts w:cstheme="minorHAnsi"/>
          <w:sz w:val="20"/>
          <w:szCs w:val="20"/>
          <w:lang w:val="en-GB"/>
        </w:rPr>
      </w:pPr>
    </w:p>
    <w:p w14:paraId="099E223D" w14:textId="053FE86A" w:rsidR="004428CB" w:rsidRPr="005F6FF4" w:rsidRDefault="00EC09DA" w:rsidP="00180B83">
      <w:pPr>
        <w:jc w:val="both"/>
        <w:rPr>
          <w:rFonts w:cstheme="minorHAnsi"/>
          <w:i/>
          <w:iCs/>
          <w:sz w:val="28"/>
          <w:szCs w:val="28"/>
          <w:lang w:val="en-GB"/>
        </w:rPr>
      </w:pPr>
      <w:r w:rsidRPr="005F6FF4">
        <w:rPr>
          <w:rFonts w:cstheme="minorHAnsi"/>
          <w:i/>
          <w:iCs/>
          <w:sz w:val="28"/>
          <w:szCs w:val="28"/>
          <w:lang w:val="en-GB"/>
        </w:rPr>
        <w:lastRenderedPageBreak/>
        <w:t xml:space="preserve">The </w:t>
      </w:r>
      <w:r w:rsidR="005F7813" w:rsidRPr="005F6FF4">
        <w:rPr>
          <w:rFonts w:cstheme="minorHAnsi"/>
          <w:i/>
          <w:iCs/>
          <w:sz w:val="28"/>
          <w:szCs w:val="28"/>
          <w:lang w:val="en-GB"/>
        </w:rPr>
        <w:t>Determinant of Digital Transformation</w:t>
      </w:r>
      <w:r w:rsidR="00923EBB" w:rsidRPr="005F6FF4">
        <w:rPr>
          <w:rFonts w:cstheme="minorHAnsi"/>
          <w:i/>
          <w:iCs/>
          <w:sz w:val="28"/>
          <w:szCs w:val="28"/>
          <w:lang w:val="en-GB"/>
        </w:rPr>
        <w:t xml:space="preserve"> and Its Impact on Inclusive Growth </w:t>
      </w:r>
    </w:p>
    <w:p w14:paraId="3CB351E8" w14:textId="578DC70E" w:rsidR="009624FA" w:rsidRPr="005F6FF4" w:rsidRDefault="009624FA" w:rsidP="00C12B95">
      <w:pPr>
        <w:jc w:val="both"/>
        <w:rPr>
          <w:rFonts w:cstheme="minorHAnsi"/>
          <w:lang w:val="en-GB"/>
        </w:rPr>
      </w:pPr>
      <w:r w:rsidRPr="005F6FF4">
        <w:rPr>
          <w:rFonts w:cstheme="minorHAnsi"/>
          <w:lang w:val="en-GB"/>
        </w:rPr>
        <w:t>The findings of this study point out the critical roles of both internal and external factors in shaping digital transformation, particularly in the Medium and High-Tech Manufacturing sector. This discussion will go into detail about why internal factors, particularly the representation of digital transformation from the previous year, have a greater impact on this year's digital transformation. External factors such as accountability, civil liberties, and the rule of law, on the other hand, appear to have less influence than internal factors in the context of digital transformation.</w:t>
      </w:r>
    </w:p>
    <w:p w14:paraId="751A4C88" w14:textId="316F6CA0" w:rsidR="009624FA" w:rsidRPr="005F6FF4" w:rsidRDefault="009624FA" w:rsidP="00C12B95">
      <w:pPr>
        <w:jc w:val="both"/>
        <w:rPr>
          <w:rFonts w:cstheme="minorHAnsi"/>
          <w:lang w:val="en-GB"/>
        </w:rPr>
      </w:pPr>
      <w:r w:rsidRPr="005F6FF4">
        <w:rPr>
          <w:rFonts w:cstheme="minorHAnsi"/>
          <w:lang w:val="en-GB"/>
        </w:rPr>
        <w:t xml:space="preserve">Previous studies by </w:t>
      </w:r>
      <w:r w:rsidRPr="005F6FF4">
        <w:rPr>
          <w:rFonts w:cstheme="minorHAnsi"/>
          <w:lang w:val="en-GB"/>
        </w:rPr>
        <w:fldChar w:fldCharType="begin" w:fldLock="1"/>
      </w:r>
      <w:r w:rsidR="00742A14" w:rsidRPr="005F6FF4">
        <w:rPr>
          <w:rFonts w:cstheme="minorHAnsi"/>
          <w:lang w:val="en-GB"/>
        </w:rPr>
        <w:instrText>ADDIN CSL_CITATION {"citationItems":[{"id":"ITEM-1","itemData":{"DOI":"10.2307/2295952","ISSN":"00346527","author":[{"dropping-particle":"","family":"Arrow","given":"Kenneth J.","non-dropping-particle":"","parse-names":false,"suffix":""}],"container-title":"The Review of Economic Studies","id":"ITEM-1","issue":"3","issued":{"date-parts":[["1962","6"]]},"page":"155","title":"The Economic Implications of Learning by Doing","type":"article-journal","volume":"29"},"uris":["http://www.mendeley.com/documents/?uuid=029cf3ae-71f1-4c23-97c7-c54dceb14ab6","http://www.mendeley.com/documents/?uuid=2e715773-c167-411f-95d4-9578a992d2be"]}],"mendeley":{"formattedCitation":"(Arrow, 1962)","manualFormatting":"Arrow (1962)","plainTextFormattedCitation":"(Arrow, 1962)","previouslyFormattedCitation":"(Arrow, 1962)"},"properties":{"noteIndex":0},"schema":"https://github.com/citation-style-language/schema/raw/master/csl-citation.json"}</w:instrText>
      </w:r>
      <w:r w:rsidRPr="005F6FF4">
        <w:rPr>
          <w:rFonts w:cstheme="minorHAnsi"/>
          <w:lang w:val="en-GB"/>
        </w:rPr>
        <w:fldChar w:fldCharType="separate"/>
      </w:r>
      <w:r w:rsidRPr="005F6FF4">
        <w:rPr>
          <w:rFonts w:cstheme="minorHAnsi"/>
          <w:noProof/>
          <w:lang w:val="en-GB"/>
        </w:rPr>
        <w:t>Arrow (1962)</w:t>
      </w:r>
      <w:r w:rsidRPr="005F6FF4">
        <w:rPr>
          <w:rFonts w:cstheme="minorHAnsi"/>
          <w:lang w:val="en-GB"/>
        </w:rPr>
        <w:fldChar w:fldCharType="end"/>
      </w:r>
      <w:r w:rsidRPr="005F6FF4">
        <w:rPr>
          <w:rFonts w:cstheme="minorHAnsi"/>
          <w:lang w:val="en-GB"/>
        </w:rPr>
        <w:t xml:space="preserve"> and </w:t>
      </w:r>
      <w:r w:rsidRPr="005F6FF4">
        <w:rPr>
          <w:rFonts w:cstheme="minorHAnsi"/>
          <w:lang w:val="en-GB"/>
        </w:rPr>
        <w:fldChar w:fldCharType="begin" w:fldLock="1"/>
      </w:r>
      <w:r w:rsidR="00742A14" w:rsidRPr="005F6FF4">
        <w:rPr>
          <w:rFonts w:cstheme="minorHAnsi"/>
          <w:lang w:val="en-GB"/>
        </w:rPr>
        <w:instrText>ADDIN CSL_CITATION {"citationItems":[{"id":"ITEM-1","itemData":{"DOI":"10.1016/j.jmateco.2017.08.004","ISSN":"03044068","author":[{"dropping-particle":"","family":"Bouché","given":"Stéphane","non-dropping-particle":"","parse-names":false,"suffix":""}],"container-title":"Journal of Mathematical Economics","id":"ITEM-1","issued":{"date-parts":[["2017","12"]]},"page":"34-43","title":"Learning by doing, endogenous discounting and economic development","type":"article-journal","volume":"73"},"uris":["http://www.mendeley.com/documents/?uuid=bf210926-a00f-4ce1-b6b7-9867717be62c","http://www.mendeley.com/documents/?uuid=1c45e4cb-8f12-46f4-b663-284697b297e9"]}],"mendeley":{"formattedCitation":"(Bouché, 2017)","manualFormatting":"Bouché (2017)","plainTextFormattedCitation":"(Bouché, 2017)","previouslyFormattedCitation":"(Bouché, 2017)"},"properties":{"noteIndex":0},"schema":"https://github.com/citation-style-language/schema/raw/master/csl-citation.json"}</w:instrText>
      </w:r>
      <w:r w:rsidRPr="005F6FF4">
        <w:rPr>
          <w:rFonts w:cstheme="minorHAnsi"/>
          <w:lang w:val="en-GB"/>
        </w:rPr>
        <w:fldChar w:fldCharType="separate"/>
      </w:r>
      <w:r w:rsidRPr="005F6FF4">
        <w:rPr>
          <w:rFonts w:cstheme="minorHAnsi"/>
          <w:noProof/>
          <w:lang w:val="en-GB"/>
        </w:rPr>
        <w:t>Bouché (2017)</w:t>
      </w:r>
      <w:r w:rsidRPr="005F6FF4">
        <w:rPr>
          <w:rFonts w:cstheme="minorHAnsi"/>
          <w:lang w:val="en-GB"/>
        </w:rPr>
        <w:fldChar w:fldCharType="end"/>
      </w:r>
      <w:r w:rsidRPr="005F6FF4">
        <w:rPr>
          <w:rFonts w:cstheme="minorHAnsi"/>
          <w:lang w:val="en-GB"/>
        </w:rPr>
        <w:t xml:space="preserve"> supports these findings, emphasising the importance of learning from the previous year's transformation in order to drive change the following year. Organisations that are capable of evaluating the implementation of new technologies and restructuring past processes are more likely to identify innovation opportunities and efficiencies in the ongoing transformation. Internal factors, particularly through a continuous learning approach, lay the groundwork for better results in the coming year.</w:t>
      </w:r>
    </w:p>
    <w:p w14:paraId="5B93FAE2" w14:textId="6AA71B72" w:rsidR="00EE28D1" w:rsidRPr="005F6FF4" w:rsidRDefault="00EE28D1" w:rsidP="00C12B95">
      <w:pPr>
        <w:jc w:val="both"/>
        <w:rPr>
          <w:rFonts w:cstheme="minorHAnsi"/>
          <w:lang w:val="en-GB"/>
        </w:rPr>
      </w:pPr>
      <w:r w:rsidRPr="005F6FF4">
        <w:rPr>
          <w:rFonts w:cstheme="minorHAnsi"/>
          <w:lang w:val="en-GB"/>
        </w:rPr>
        <w:t xml:space="preserve">The findings of this study are supported by previous studies conducted by </w:t>
      </w:r>
      <w:r w:rsidRPr="005F6FF4">
        <w:rPr>
          <w:rFonts w:cstheme="minorHAnsi"/>
          <w:lang w:val="en-GB"/>
        </w:rPr>
        <w:fldChar w:fldCharType="begin" w:fldLock="1"/>
      </w:r>
      <w:r w:rsidR="007D55DE" w:rsidRPr="005F6FF4">
        <w:rPr>
          <w:rFonts w:cstheme="minorHAnsi"/>
          <w:lang w:val="en-GB"/>
        </w:rPr>
        <w:instrText>ADDIN CSL_CITATION {"citationItems":[{"id":"ITEM-1","itemData":{"DOI":"10.1109/MITP.2020.2969614","ISSN":"1520-9202","author":[{"dropping-particle":"","family":"Looy","given":"Amy","non-dropping-particle":"Van","parse-names":false,"suffix":""}],"container-title":"IT Professional","id":"ITEM-1","issue":"5","issued":{"date-parts":[["2020","9","1"]]},"page":"71-80","title":"Innovating Organizational Processes With New Technologies: Problems and Solutions","type":"article-journal","volume":"22"},"uris":["http://www.mendeley.com/documents/?uuid=6b7cd879-c20f-410e-8850-0c621ca2f49d","http://www.mendeley.com/documents/?uuid=618f8220-9f7c-4730-999c-468848c51db0"]}],"mendeley":{"formattedCitation":"(Van Looy, 2020)","manualFormatting":"Van Looy (2020)","plainTextFormattedCitation":"(Van Looy, 2020)","previouslyFormattedCitation":"(Van Looy, 2020)"},"properties":{"noteIndex":0},"schema":"https://github.com/citation-style-language/schema/raw/master/csl-citation.json"}</w:instrText>
      </w:r>
      <w:r w:rsidRPr="005F6FF4">
        <w:rPr>
          <w:rFonts w:cstheme="minorHAnsi"/>
          <w:lang w:val="en-GB"/>
        </w:rPr>
        <w:fldChar w:fldCharType="separate"/>
      </w:r>
      <w:r w:rsidRPr="005F6FF4">
        <w:rPr>
          <w:rFonts w:cstheme="minorHAnsi"/>
          <w:noProof/>
          <w:lang w:val="en-GB"/>
        </w:rPr>
        <w:t>Van Looy (2020)</w:t>
      </w:r>
      <w:r w:rsidRPr="005F6FF4">
        <w:rPr>
          <w:rFonts w:cstheme="minorHAnsi"/>
          <w:lang w:val="en-GB"/>
        </w:rPr>
        <w:fldChar w:fldCharType="end"/>
      </w:r>
      <w:r w:rsidRPr="005F6FF4">
        <w:rPr>
          <w:rFonts w:cstheme="minorHAnsi"/>
          <w:lang w:val="en-GB"/>
        </w:rPr>
        <w:t>, which confirm that internal factors have a more immediate impact on the current year's digital transformation. Organisations that are adept at optimising internal processes, increasing productivity, and successfully implementing new technologies are better positioned to navigate market changes and innovation demands. The internal capacity of a firm to maximise its potential is frequently what drives success in digital transformation.</w:t>
      </w:r>
    </w:p>
    <w:p w14:paraId="108BE666" w14:textId="5AD911B1" w:rsidR="00EE28D1" w:rsidRPr="005F6FF4" w:rsidRDefault="00EE28D1" w:rsidP="00C12B95">
      <w:pPr>
        <w:jc w:val="both"/>
        <w:rPr>
          <w:rFonts w:cstheme="minorHAnsi"/>
          <w:lang w:val="en-GB"/>
        </w:rPr>
      </w:pPr>
      <w:r w:rsidRPr="005F6FF4">
        <w:rPr>
          <w:rFonts w:cstheme="minorHAnsi"/>
          <w:lang w:val="en-GB"/>
        </w:rPr>
        <w:t>Nonetheless, prior research highlights the importance of external factors in driving digital transformation (as evidenced by</w:t>
      </w:r>
      <w:r w:rsidRPr="005F6FF4">
        <w:rPr>
          <w:rFonts w:cstheme="minorHAnsi"/>
          <w:noProof/>
          <w:lang w:val="en-GB"/>
        </w:rPr>
        <w:t xml:space="preserve"> </w:t>
      </w:r>
      <w:r w:rsidRPr="005F6FF4">
        <w:rPr>
          <w:rFonts w:cstheme="minorHAnsi"/>
          <w:noProof/>
          <w:lang w:val="en-GB"/>
        </w:rPr>
        <w:fldChar w:fldCharType="begin" w:fldLock="1"/>
      </w:r>
      <w:r w:rsidR="00742A14" w:rsidRPr="005F6FF4">
        <w:rPr>
          <w:rFonts w:cstheme="minorHAnsi"/>
          <w:noProof/>
          <w:lang w:val="en-GB"/>
        </w:rPr>
        <w:instrText>ADDIN CSL_CITATION {"citationItems":[{"id":"ITEM-1","itemData":{"DOI":"10.1504/IJTMCC.2013.052524","ISSN":"2048-8378","author":[{"dropping-particle":"","family":"Pearson","given":"Siani","non-dropping-particle":"","parse-names":false,"suffix":""},{"dropping-particle":"","family":"Wainwright","given":"Nick","non-dropping-particle":"","parse-names":false,"suffix":""}],"container-title":"International Journal of Trust Management in Computing and Communications","id":"ITEM-1","issue":"1","issued":{"date-parts":[["2013"]]},"page":"52","title":"An interdisciplinary approach to accountability for future internet service provision","type":"article-journal","volume":"1"},"uris":["http://www.mendeley.com/documents/?uuid=3b1e350a-5046-47eb-9900-73b77b1a48d4","http://www.mendeley.com/documents/?uuid=08f7f3a3-cef5-40ee-894d-9b9ca3635dff"]}],"mendeley":{"formattedCitation":"(Pearson &amp; Wainwright, 2013)","manualFormatting":"Pearson &amp; Wainwright, 2013","plainTextFormattedCitation":"(Pearson &amp; Wainwright, 2013)","previouslyFormattedCitation":"(Pearson &amp; Wainwright, 2013)"},"properties":{"noteIndex":0},"schema":"https://github.com/citation-style-language/schema/raw/master/csl-citation.json"}</w:instrText>
      </w:r>
      <w:r w:rsidRPr="005F6FF4">
        <w:rPr>
          <w:rFonts w:cstheme="minorHAnsi"/>
          <w:noProof/>
          <w:lang w:val="en-GB"/>
        </w:rPr>
        <w:fldChar w:fldCharType="separate"/>
      </w:r>
      <w:r w:rsidRPr="005F6FF4">
        <w:rPr>
          <w:rFonts w:cstheme="minorHAnsi"/>
          <w:noProof/>
          <w:lang w:val="en-GB"/>
        </w:rPr>
        <w:t>Pearson &amp; Wainwright, 2013</w:t>
      </w:r>
      <w:r w:rsidRPr="005F6FF4">
        <w:rPr>
          <w:rFonts w:cstheme="minorHAnsi"/>
          <w:noProof/>
          <w:lang w:val="en-GB"/>
        </w:rPr>
        <w:fldChar w:fldCharType="end"/>
      </w:r>
      <w:r w:rsidRPr="005F6FF4">
        <w:rPr>
          <w:rFonts w:cstheme="minorHAnsi"/>
          <w:lang w:val="en-GB"/>
        </w:rPr>
        <w:t xml:space="preserve">, investigating accountability; </w:t>
      </w:r>
      <w:r w:rsidRPr="005F6FF4">
        <w:rPr>
          <w:rFonts w:cstheme="minorHAnsi"/>
          <w:lang w:val="en-GB"/>
        </w:rPr>
        <w:fldChar w:fldCharType="begin" w:fldLock="1"/>
      </w:r>
      <w:r w:rsidR="007D55DE" w:rsidRPr="005F6FF4">
        <w:rPr>
          <w:rFonts w:cstheme="minorHAnsi"/>
          <w:lang w:val="en-GB"/>
        </w:rPr>
        <w:instrText>ADDIN CSL_CITATION {"citationItems":[{"id":"ITEM-1","itemData":{"DOI":"10.1177/0973258613512562","ISSN":"0973-2586","abstract":"The increasing frequency and proficiency of Internet use by civil society groups is touted by its proponents as proof of the Internet’s democratic credentials. Studies that highlight the Internet-civil society relationship assume: firstly, that intertwining of online and offline activity furthers democratic goals and secondly, the willingness and ability of civil society actors to effectively utilize the Internet. Such assumptions are critically re-examined in light of fieldwork conducted in Bangalore city, India in 2011–2012. This article examines attitudes towards the Internet among members of Hasiru Usiru, a largely Internet-based network of concerned citizens and groups that works to protect greenery and other urban commons in the city. In-depth interviews with the ‘core group’ of active members revealed intense scepticism towards and refusal to engage deeply with, the Internet for activism. The article focuses on the apparent dichotomy that arises from the propagation of a pessimistic view of the Internet by actors who are regular Internet users, situated in a media rich environment of the ‘IT City’ of India. These findings are relevant in light of the commonly-held belief that new technologies are uncritically and automatically embraced by civil society in its democratic quest.","author":[{"dropping-particle":"","family":"Rao","given":"Anuradha","non-dropping-particle":"","parse-names":false,"suffix":""}],"container-title":"Journal of Creative Communications","id":"ITEM-1","issue":"2-3","issued":{"date-parts":[["2013","7","19"]]},"page":"157-175","title":"Re-examining the Relationship Between Civil Society and the Internet","type":"article-journal","volume":"8"},"uris":["http://www.mendeley.com/documents/?uuid=98e7aca1-69c9-4a13-ad1a-4447c26734fe","http://www.mendeley.com/documents/?uuid=b9c1dd64-1bc0-49d5-8e64-e4f48db7457e"]}],"mendeley":{"formattedCitation":"(Rao, 2013)","manualFormatting":"Rao, 2013,","plainTextFormattedCitation":"(Rao, 2013)","previouslyFormattedCitation":"(Rao, 2013)"},"properties":{"noteIndex":0},"schema":"https://github.com/citation-style-language/schema/raw/master/csl-citation.json"}</w:instrText>
      </w:r>
      <w:r w:rsidRPr="005F6FF4">
        <w:rPr>
          <w:rFonts w:cstheme="minorHAnsi"/>
          <w:lang w:val="en-GB"/>
        </w:rPr>
        <w:fldChar w:fldCharType="separate"/>
      </w:r>
      <w:r w:rsidRPr="005F6FF4">
        <w:rPr>
          <w:rFonts w:cstheme="minorHAnsi"/>
          <w:noProof/>
          <w:lang w:val="en-GB"/>
        </w:rPr>
        <w:t>Rao, 2013,</w:t>
      </w:r>
      <w:r w:rsidRPr="005F6FF4">
        <w:rPr>
          <w:rFonts w:cstheme="minorHAnsi"/>
          <w:lang w:val="en-GB"/>
        </w:rPr>
        <w:fldChar w:fldCharType="end"/>
      </w:r>
      <w:r w:rsidRPr="005F6FF4">
        <w:rPr>
          <w:rFonts w:cstheme="minorHAnsi"/>
          <w:lang w:val="en-GB"/>
        </w:rPr>
        <w:t xml:space="preserve">  investigating civil liberties; dan </w:t>
      </w:r>
      <w:r w:rsidRPr="005F6FF4">
        <w:rPr>
          <w:rFonts w:cstheme="minorHAnsi"/>
          <w:lang w:val="en-GB"/>
        </w:rPr>
        <w:fldChar w:fldCharType="begin" w:fldLock="1"/>
      </w:r>
      <w:r w:rsidR="00742A14" w:rsidRPr="005F6FF4">
        <w:rPr>
          <w:rFonts w:cstheme="minorHAnsi"/>
          <w:lang w:val="en-GB"/>
        </w:rPr>
        <w:instrText>ADDIN CSL_CITATION {"citationItems":[{"id":"ITEM-1","itemData":{"DOI":"10.1016/j.telpol.2021.102224","ISSN":"03085961","author":[{"dropping-particle":"","family":"Myovella","given":"Godwin","non-dropping-particle":"","parse-names":false,"suffix":""},{"dropping-particle":"","family":"Karacuka","given":"Mehmet","non-dropping-particle":"","parse-names":false,"suffix":""},{"dropping-particle":"","family":"Haucap","given":"Justus","non-dropping-particle":"","parse-names":false,"suffix":""}],"container-title":"Telecommunications Policy","id":"ITEM-1","issue":"10","issued":{"date-parts":[["2021","11"]]},"page":"102224","title":"Determinants of digitalization and digital divide in Sub-Saharan African economies: A spatial Durbin analysis","type":"article-journal","volume":"45"},"uris":["http://www.mendeley.com/documents/?uuid=c17adf18-dc4e-458c-9a66-d1c9e5ee5002","http://www.mendeley.com/documents/?uuid=85dccc38-df76-4eee-a26c-988b066bf173"]}],"mendeley":{"formattedCitation":"(Myovella et al., 2021)","manualFormatting":"Myovella et al., 2021","plainTextFormattedCitation":"(Myovella et al., 2021)","previouslyFormattedCitation":"(Myovella et al., 2021)"},"properties":{"noteIndex":0},"schema":"https://github.com/citation-style-language/schema/raw/master/csl-citation.json"}</w:instrText>
      </w:r>
      <w:r w:rsidRPr="005F6FF4">
        <w:rPr>
          <w:rFonts w:cstheme="minorHAnsi"/>
          <w:lang w:val="en-GB"/>
        </w:rPr>
        <w:fldChar w:fldCharType="separate"/>
      </w:r>
      <w:r w:rsidRPr="005F6FF4">
        <w:rPr>
          <w:rFonts w:cstheme="minorHAnsi"/>
          <w:noProof/>
          <w:lang w:val="en-GB"/>
        </w:rPr>
        <w:t>Myovella et al., 2021</w:t>
      </w:r>
      <w:r w:rsidRPr="005F6FF4">
        <w:rPr>
          <w:rFonts w:cstheme="minorHAnsi"/>
          <w:lang w:val="en-GB"/>
        </w:rPr>
        <w:fldChar w:fldCharType="end"/>
      </w:r>
      <w:r w:rsidRPr="005F6FF4">
        <w:rPr>
          <w:rFonts w:cstheme="minorHAnsi"/>
          <w:lang w:val="en-GB"/>
        </w:rPr>
        <w:t>, investigating rule of law and regulations). While this study suggests that external factors such as accountability, civil liberties, and the rule of law may not have immediate effects on the ongoing year's digital transformation, previous studies take a different approach. These external factors may have a greater impact on the macroeconomic context and overall business environment, both of which drive digital transformation.</w:t>
      </w:r>
    </w:p>
    <w:p w14:paraId="654758C7" w14:textId="7C5278A8" w:rsidR="00EE28D1" w:rsidRPr="005F6FF4" w:rsidRDefault="00EE28D1" w:rsidP="00C12B95">
      <w:pPr>
        <w:jc w:val="both"/>
        <w:rPr>
          <w:rFonts w:cstheme="minorHAnsi"/>
          <w:lang w:val="en-GB"/>
        </w:rPr>
      </w:pPr>
      <w:r w:rsidRPr="005F6FF4">
        <w:rPr>
          <w:rFonts w:cstheme="minorHAnsi"/>
          <w:lang w:val="en-GB"/>
        </w:rPr>
        <w:t xml:space="preserve">Previous research on the role of external factors has also suggested that accountability and civil liberties can shape a stable and transparent business environment </w:t>
      </w:r>
      <w:r w:rsidRPr="005F6FF4">
        <w:rPr>
          <w:rFonts w:cstheme="minorHAnsi"/>
          <w:lang w:val="en-GB"/>
        </w:rPr>
        <w:fldChar w:fldCharType="begin" w:fldLock="1"/>
      </w:r>
      <w:r w:rsidR="007D55DE" w:rsidRPr="005F6FF4">
        <w:rPr>
          <w:rFonts w:cstheme="minorHAnsi"/>
          <w:lang w:val="en-GB"/>
        </w:rPr>
        <w:instrText>ADDIN CSL_CITATION {"citationItems":[{"id":"ITEM-1","itemData":{"DOI":"10.1017/S1744137414000095","ISSN":"17441382","abstract":"The objective of this paper is to study the relationship between economic growth and civil liberty across the globe in the long run. To fulfill this aim, we use an unbalanced panel of 149 countries for the period 1850-2010 with data on gross domestic product (GDP) from Maddison, and data on civil liberties from Polity IV. The dynamics of both variables are investigated. Once country and time effects are accounted for in a dynamic panel data model, our results show that movements toward higher levels of civil liberty are associated with higher economic growth rates. Therefore, we find that civil liberties are a relevant factor to explain economic growth. We perform some sensitivity tests that confirm the robustness of our results. © 2014 Millennium Economics Ltd.","author":[{"dropping-particle":"","family":"Alfonso-Gil","given":"Javier","non-dropping-particle":"","parse-names":false,"suffix":""},{"dropping-particle":"","family":"Lacalle-Calderón","given":"Maricruz","non-dropping-particle":"","parse-names":false,"suffix":""},{"dropping-particle":"","family":"Sánchez-Mangas","given":"Rocío","non-dropping-particle":"","parse-names":false,"suffix":""}],"container-title":"Journal of Institutional Economics","id":"ITEM-1","issue":"3","issued":{"date-parts":[["2014"]]},"page":"427-449","title":"Civil liberty and economic growth in the world: A long-run perspective, 1850-2010","type":"article-journal","volume":"10"},"uris":["http://www.mendeley.com/documents/?uuid=e761b40c-effa-40c2-9edc-0da1bce4db2b","http://www.mendeley.com/documents/?uuid=aa1f36e5-8826-421c-9e50-6fb9cbf1ff3c"]},{"id":"ITEM-2","itemData":{"DOI":"10.1177/1065912918781037","ISSN":"1065-9129","abstract":"A central theme in the foreign direct investment (FDI) literature is that political risk deters investment. The empirical record, however, is mixed. multinational corporations (MNCs) continue to invest in high-risk countries. We argue it is not merely about the level of risk, but rather firms’ ability to quantify risk. When MNCs can confidently assess both the nature and the degree of the threats present, they can take appropriate measures to hedge against them. This should increase their willingness to invest, even in higher risk environments. We contend that the ability to accurately quantify risk is a function of political transparency. Among opaque countries, we expect risk to exert a deterring effect on FDI, as commonly theorized. Among more transparent countries, however, we expect that risk is a less salient concern for MNCs. We test this argument using firm-level data on the foreign operations of some of the world’s largest multinationals between 1995 and 2008. The evidence supports the argument. Risk has a strong negative effect on the likelihood of investment at lower levels of transparency, but the magnitude of this effect weakens at higher levels of transparency. This pattern is consistent across multiple types of political risk, and is most pronounced in nonextractive (relative to extractive) industries.","author":[{"dropping-particle":"","family":"Barry","given":"Colin M.","non-dropping-particle":"","parse-names":false,"suffix":""},{"dropping-particle":"","family":"DiGiuseppe","given":"Matthew","non-dropping-particle":"","parse-names":false,"suffix":""}],"container-title":"Political Research Quarterly","id":"ITEM-2","issue":"1","issued":{"date-parts":[["2019","3","17"]]},"page":"132-146","title":"Transparency, Risk, and FDI","type":"article-journal","volume":"72"},"uris":["http://www.mendeley.com/documents/?uuid=8f7495ec-fdb4-4517-9dec-16cb82e2f6ab","http://www.mendeley.com/documents/?uuid=f12f1673-68b5-4edc-a179-9759cece00c6","http://www.mendeley.com/documents/?uuid=bec4b753-f37c-4651-a8be-c4cb26e3ad55"]}],"mendeley":{"formattedCitation":"(Alfonso-Gil et al., 2014; Barry &amp; DiGiuseppe, 2019)","plainTextFormattedCitation":"(Alfonso-Gil et al., 2014; Barry &amp; DiGiuseppe, 2019)","previouslyFormattedCitation":"(Alfonso-Gil et al., 2014; Barry &amp; DiGiuseppe, 2019)"},"properties":{"noteIndex":0},"schema":"https://github.com/citation-style-language/schema/raw/master/csl-citation.json"}</w:instrText>
      </w:r>
      <w:r w:rsidRPr="005F6FF4">
        <w:rPr>
          <w:rFonts w:cstheme="minorHAnsi"/>
          <w:lang w:val="en-GB"/>
        </w:rPr>
        <w:fldChar w:fldCharType="separate"/>
      </w:r>
      <w:r w:rsidRPr="005F6FF4">
        <w:rPr>
          <w:rFonts w:cstheme="minorHAnsi"/>
          <w:noProof/>
          <w:lang w:val="en-GB"/>
        </w:rPr>
        <w:t>(Alfonso-Gil et al., 2014; Barry &amp; DiGiuseppe, 2019)</w:t>
      </w:r>
      <w:r w:rsidRPr="005F6FF4">
        <w:rPr>
          <w:rFonts w:cstheme="minorHAnsi"/>
          <w:lang w:val="en-GB"/>
        </w:rPr>
        <w:fldChar w:fldCharType="end"/>
      </w:r>
      <w:r w:rsidRPr="005F6FF4">
        <w:rPr>
          <w:rFonts w:cstheme="minorHAnsi"/>
          <w:lang w:val="en-GB"/>
        </w:rPr>
        <w:t xml:space="preserve">. Policy measures that promote the rule of law can help to create the safeguards needed for intellectual property rights and innovation </w:t>
      </w:r>
      <w:r w:rsidRPr="005F6FF4">
        <w:rPr>
          <w:rFonts w:cstheme="minorHAnsi"/>
          <w:lang w:val="en-GB"/>
        </w:rPr>
        <w:fldChar w:fldCharType="begin" w:fldLock="1"/>
      </w:r>
      <w:r w:rsidR="00742A14" w:rsidRPr="005F6FF4">
        <w:rPr>
          <w:rFonts w:cstheme="minorHAnsi"/>
          <w:lang w:val="en-GB"/>
        </w:rPr>
        <w:instrText>ADDIN CSL_CITATION {"citationItems":[{"id":"ITEM-1","itemData":{"DOI":"10.1016/j.sbspro.2013.06.437","ISSN":"18770428","author":[{"dropping-particle":"","family":"Mingaleva","given":"Zhanna","non-dropping-particle":"","parse-names":false,"suffix":""},{"dropping-particle":"","family":"Mirskikh","given":"Irina","non-dropping-particle":"","parse-names":false,"suffix":""}],"container-title":"Procedia - Social and Behavioral Sciences","id":"ITEM-1","issued":{"date-parts":[["2013","6"]]},"page":"329-333","title":"The Problems of Legal Regulation and Protection of Intellectual Property","type":"article-journal","volume":"81"},"uris":["http://www.mendeley.com/documents/?uuid=2c4360e2-7065-4d9c-b899-41bfd98bd2a0","http://www.mendeley.com/documents/?uuid=da0dd214-7b9f-49e4-8087-39afcc0cf2db"]}],"mendeley":{"formattedCitation":"(Mingaleva &amp; Mirskikh, 2013)","plainTextFormattedCitation":"(Mingaleva &amp; Mirskikh, 2013)","previouslyFormattedCitation":"(Mingaleva &amp; Mirskikh, 2013)"},"properties":{"noteIndex":0},"schema":"https://github.com/citation-style-language/schema/raw/master/csl-citation.json"}</w:instrText>
      </w:r>
      <w:r w:rsidRPr="005F6FF4">
        <w:rPr>
          <w:rFonts w:cstheme="minorHAnsi"/>
          <w:lang w:val="en-GB"/>
        </w:rPr>
        <w:fldChar w:fldCharType="separate"/>
      </w:r>
      <w:r w:rsidRPr="005F6FF4">
        <w:rPr>
          <w:rFonts w:cstheme="minorHAnsi"/>
          <w:noProof/>
          <w:lang w:val="en-GB"/>
        </w:rPr>
        <w:t>(Mingaleva &amp; Mirskikh, 2013)</w:t>
      </w:r>
      <w:r w:rsidRPr="005F6FF4">
        <w:rPr>
          <w:rFonts w:cstheme="minorHAnsi"/>
          <w:lang w:val="en-GB"/>
        </w:rPr>
        <w:fldChar w:fldCharType="end"/>
      </w:r>
      <w:r w:rsidRPr="005F6FF4">
        <w:rPr>
          <w:rFonts w:cstheme="minorHAnsi"/>
          <w:lang w:val="en-GB"/>
        </w:rPr>
        <w:t>. Although their effects may not be immediately visible and may take time to manifest, these factors contribute to an environment conducive to digital transformation.</w:t>
      </w:r>
    </w:p>
    <w:p w14:paraId="6084C190" w14:textId="09218300" w:rsidR="00EE28D1" w:rsidRPr="005F6FF4" w:rsidRDefault="00EE28D1" w:rsidP="00C12B95">
      <w:pPr>
        <w:jc w:val="both"/>
        <w:rPr>
          <w:rFonts w:cstheme="minorHAnsi"/>
          <w:lang w:val="en-GB"/>
        </w:rPr>
      </w:pPr>
      <w:r w:rsidRPr="005F6FF4">
        <w:rPr>
          <w:rFonts w:cstheme="minorHAnsi"/>
          <w:lang w:val="en-GB"/>
        </w:rPr>
        <w:t>By bringing together the findings of this study with those of previous studies, a more comprehensive and intricate picture of digital transformation emerges. At last, digital transformation in the Medium and High-Tech Manufacturing sector this year is influenced by the pivotal roles of internal factors, particularly learning and changes from the previous year. While the impact of external factors such as accountability, civil liberties, and the rule of law may not be readily apparent in this year's transformation, their role in shaping a business environment supportive of digital transformation remains important in the long run.</w:t>
      </w:r>
    </w:p>
    <w:p w14:paraId="6C18F1EE" w14:textId="48A38B4E" w:rsidR="00A64B0C" w:rsidRPr="005F6FF4" w:rsidRDefault="00923EBB" w:rsidP="00292DAC">
      <w:pPr>
        <w:jc w:val="both"/>
        <w:rPr>
          <w:rFonts w:cstheme="minorHAnsi"/>
          <w:lang w:val="en-GB"/>
        </w:rPr>
      </w:pPr>
      <w:r w:rsidRPr="005F6FF4">
        <w:rPr>
          <w:rFonts w:cstheme="minorHAnsi"/>
          <w:lang w:val="en-GB"/>
        </w:rPr>
        <w:t>Furthermore, t</w:t>
      </w:r>
      <w:r w:rsidR="00A64B0C" w:rsidRPr="005F6FF4">
        <w:rPr>
          <w:rFonts w:cstheme="minorHAnsi"/>
          <w:lang w:val="en-GB"/>
        </w:rPr>
        <w:t xml:space="preserve">his study found that digital transformation plays a significant role in driving inclusive growth in Indonesia. In the context of digital transformation, the Medium and High-Tech Manufacturing sector has been the primary focus in understanding how the adoption of digital technology can bring positive changes to the Indonesian economy. Inclusive growth, which includes more equitable distribution of economic benefits and poverty reduction, has emerged as a central </w:t>
      </w:r>
      <w:r w:rsidR="00A64B0C" w:rsidRPr="005F6FF4">
        <w:rPr>
          <w:rFonts w:cstheme="minorHAnsi"/>
          <w:lang w:val="en-GB"/>
        </w:rPr>
        <w:lastRenderedPageBreak/>
        <w:t>goal in Indonesia's efforts to implement digital transformation across various sectors. Two mechanisms are proposed in this study to explain the realisation of inclusive growth through digital transformation.</w:t>
      </w:r>
    </w:p>
    <w:p w14:paraId="37E34972" w14:textId="6105F2A8" w:rsidR="00A64B0C" w:rsidRPr="005F6FF4" w:rsidRDefault="00A64B0C" w:rsidP="00292DAC">
      <w:pPr>
        <w:jc w:val="both"/>
        <w:rPr>
          <w:rFonts w:cstheme="minorHAnsi"/>
          <w:lang w:val="en-GB"/>
        </w:rPr>
      </w:pPr>
      <w:r w:rsidRPr="005F6FF4">
        <w:rPr>
          <w:rFonts w:cstheme="minorHAnsi"/>
          <w:lang w:val="en-GB"/>
        </w:rPr>
        <w:t xml:space="preserve">The first mechanism that explains how digital transformation in the Medium and High-Tech Manufacturing sector can accelerate inclusive growth in Indonesia is economic growth acceleration. This finding is consistent with previous research that found a positive relationship between digital technology adoption and economic growth. According to </w:t>
      </w:r>
      <w:r w:rsidRPr="005F6FF4">
        <w:rPr>
          <w:rFonts w:cstheme="minorHAnsi"/>
          <w:lang w:val="en-GB"/>
        </w:rPr>
        <w:fldChar w:fldCharType="begin" w:fldLock="1"/>
      </w:r>
      <w:r w:rsidR="007D55DE" w:rsidRPr="005F6FF4">
        <w:rPr>
          <w:rFonts w:cstheme="minorHAnsi"/>
          <w:lang w:val="en-GB"/>
        </w:rPr>
        <w:instrText>ADDIN CSL_CITATION {"citationItems":[{"id":"ITEM-1","itemData":{"DOI":"10.23919/CISTI54924.2022.9820220","ISBN":"978-9-8933-3436-2","author":[{"dropping-particle":"","family":"Ochoa-Jimenez","given":"Diego","non-dropping-particle":"","parse-names":false,"suffix":""},{"dropping-particle":"","family":"Toledo","given":"Elisa","non-dropping-particle":"","parse-names":false,"suffix":""},{"dropping-particle":"","family":"Jimenez-Pena","given":"Kevin","non-dropping-particle":"","parse-names":false,"suffix":""}],"container-title":"2022 17th Iberian Conference on Information Systems and Technologies (CISTI)","id":"ITEM-1","issued":{"date-parts":[["2022","6","22"]]},"page":"1-5","publisher":"IEEE","title":"The role of high-tech manufacturing in Ecuador’s economic growth","type":"paper-conference"},"uris":["http://www.mendeley.com/documents/?uuid=0639805c-906e-41b3-9d9f-40257ebb4a82","http://www.mendeley.com/documents/?uuid=5e721638-38ad-450b-a7d4-16b03fc76cf6"]}],"mendeley":{"formattedCitation":"(Ochoa-Jimenez et al., 2022)","manualFormatting":"Ochoa-Jimenez et al. (2022)","plainTextFormattedCitation":"(Ochoa-Jimenez et al., 2022)","previouslyFormattedCitation":"(Ochoa-Jimenez et al., 2022)"},"properties":{"noteIndex":0},"schema":"https://github.com/citation-style-language/schema/raw/master/csl-citation.json"}</w:instrText>
      </w:r>
      <w:r w:rsidRPr="005F6FF4">
        <w:rPr>
          <w:rFonts w:cstheme="minorHAnsi"/>
          <w:lang w:val="en-GB"/>
        </w:rPr>
        <w:fldChar w:fldCharType="separate"/>
      </w:r>
      <w:r w:rsidRPr="005F6FF4">
        <w:rPr>
          <w:rFonts w:cstheme="minorHAnsi"/>
          <w:noProof/>
          <w:lang w:val="en-GB"/>
        </w:rPr>
        <w:t>Ochoa-Jimenez et al. (2022)</w:t>
      </w:r>
      <w:r w:rsidRPr="005F6FF4">
        <w:rPr>
          <w:rFonts w:cstheme="minorHAnsi"/>
          <w:lang w:val="en-GB"/>
        </w:rPr>
        <w:fldChar w:fldCharType="end"/>
      </w:r>
      <w:r w:rsidRPr="005F6FF4">
        <w:rPr>
          <w:rFonts w:cstheme="minorHAnsi"/>
          <w:lang w:val="en-GB"/>
        </w:rPr>
        <w:t>, countries that effectively adopt digital technology have higher economic growth rates. As a result, digital transformation in the medium and high-tech manufacturing sectors has the potential to positively contribute to Indonesia's inclusive growth by increasing production efficiency and productivity.</w:t>
      </w:r>
    </w:p>
    <w:p w14:paraId="51D495D9" w14:textId="2966A23F" w:rsidR="00A64B0C" w:rsidRPr="005F6FF4" w:rsidRDefault="00A64B0C" w:rsidP="00292DAC">
      <w:pPr>
        <w:jc w:val="both"/>
        <w:rPr>
          <w:rFonts w:cstheme="minorHAnsi"/>
          <w:lang w:val="en-GB"/>
        </w:rPr>
      </w:pPr>
      <w:r w:rsidRPr="005F6FF4">
        <w:rPr>
          <w:rFonts w:cstheme="minorHAnsi"/>
          <w:lang w:val="en-GB"/>
        </w:rPr>
        <w:t xml:space="preserve">The second mechanism elucidating the role of digital transformation in poverty alleviation fits in with previous research findings. </w:t>
      </w:r>
      <w:r w:rsidRPr="005F6FF4">
        <w:rPr>
          <w:rFonts w:cstheme="minorHAnsi"/>
          <w:lang w:val="en-GB"/>
        </w:rPr>
        <w:fldChar w:fldCharType="begin" w:fldLock="1"/>
      </w:r>
      <w:r w:rsidR="007D55DE" w:rsidRPr="005F6FF4">
        <w:rPr>
          <w:rFonts w:cstheme="minorHAnsi"/>
          <w:lang w:val="en-GB"/>
        </w:rPr>
        <w:instrText>ADDIN CSL_CITATION {"citationItems":[{"id":"ITEM-1","itemData":{"DOI":"10.24891/re.20.5.904","ISSN":"20731477","abstract":"Subject. This article explores the relationship between the digital transformation of the region and the prospects for its inclusive economic growth. Objectives. The article aims to develop and test the tools for diagnosing an inclusive model of development of regional socio-economic systems in the context of digitalization. Methods. For the study, we used the methods of indicative analysis and descriptive and explicit evaluation. Results. The article presents the author-developed dynamic time series of the studied indicators for the period from 2016 to 2020 and an assessment of the qualitative and quantitative parameters of the digital transfor</w:instrText>
      </w:r>
      <w:r w:rsidR="007D55DE" w:rsidRPr="00CF2B96">
        <w:rPr>
          <w:rFonts w:cstheme="minorHAnsi"/>
          <w:lang w:val="sv-SE"/>
        </w:rPr>
        <w:instrText>mation and inclusive development of the Volga Federal District regions. It reveals that the digital transformation of the region has the greatest impact on the parameter Growth and Development. Conclusions. The developed approach should be used to assess the current and future parameters of the development of regional socio-economic systems.","author":[{"dropping-particle":"","family":"Burganov","given":"Rafis T.","non-dropping-particle":"","parse-names":false,"suffix":""},{"dropping-particle":"","family":"Gafarov","given":"Marat R.","non-dropping-particle":"","parse-names":false,"suffix":""},{"dropping-particle":"","family":"El'shin","given":"Leonid A.","non-dropping-particle":"","parse-names":false,"suffix":""}],"container-title":"Regional Economics: Theory and Practice","id":"ITEM-1","issue":"5","issued":{"date-parts":[["2022","5","16"]]},"page":"904-919","title":"A factor analysis of digitalization impact on the region's inclusive growth","type":"article-journal","volume":"20"},"uris":["http://www.mendeley.com/documents/?uuid=72e52251-1642-4842-ab8d-e91fb176403b","http://www.mendeley.com/documents/?uuid=4b16af03-f476-43c1-b13c-cb3905f4d75b"]}],"mendeley":{"formattedCitation":"(Burganov et al., 2022)","manualFormatting":"Burganov et al. (2022)","plainTextFormattedCitation":"(Burganov et al., 2022)","previouslyFormattedCitation":"(Burganov et al., 2022)"},"properties":{"noteIndex":0},"schema":"https://github.com/citation-style-language/schema/raw/master/csl-citation.json"}</w:instrText>
      </w:r>
      <w:r w:rsidRPr="005F6FF4">
        <w:rPr>
          <w:rFonts w:cstheme="minorHAnsi"/>
          <w:lang w:val="en-GB"/>
        </w:rPr>
        <w:fldChar w:fldCharType="separate"/>
      </w:r>
      <w:r w:rsidRPr="00CF2B96">
        <w:rPr>
          <w:rFonts w:cstheme="minorHAnsi"/>
          <w:noProof/>
          <w:lang w:val="sv-SE"/>
        </w:rPr>
        <w:t>Burganov et al. (2022)</w:t>
      </w:r>
      <w:r w:rsidRPr="005F6FF4">
        <w:rPr>
          <w:rFonts w:cstheme="minorHAnsi"/>
          <w:lang w:val="en-GB"/>
        </w:rPr>
        <w:fldChar w:fldCharType="end"/>
      </w:r>
      <w:r w:rsidRPr="00CF2B96">
        <w:rPr>
          <w:rFonts w:cstheme="minorHAnsi"/>
          <w:lang w:val="sv-SE"/>
        </w:rPr>
        <w:t xml:space="preserve">, </w:t>
      </w:r>
      <w:r w:rsidRPr="005F6FF4">
        <w:rPr>
          <w:rFonts w:cstheme="minorHAnsi"/>
          <w:lang w:val="en-GB"/>
        </w:rPr>
        <w:fldChar w:fldCharType="begin" w:fldLock="1"/>
      </w:r>
      <w:r w:rsidR="00742A14" w:rsidRPr="00CF2B96">
        <w:rPr>
          <w:rFonts w:cstheme="minorHAnsi"/>
          <w:lang w:val="sv-SE"/>
        </w:rPr>
        <w:instrText>ADDIN CSL_CITATION {"citationItems":[{"id":"ITEM-1","itemData":{"DOI":"10.1016/j.respol.2010.10.003","ISSN":"00487333","author":[{"dropping-particle":"","family":"Kaplinsky","given":"Raphael","non-dropping-particle":"","parse-names":false,"suffix":""}],"container-title":"Research Policy","id":"ITEM-1","issue":"2","issued":{"date-parts":[["2011","3"]]},"page":"193-203","title":"Schumacher meets Schumpeter: Appropriate technology below the radar","type":"article-journal","volume":"40"},"uris":["http://www.mendeley.com/documents/?uuid=97913e8a-8fc0-4ed2-a33b-1b39542c60fb","http://www.mendeley.com/documents/?uuid=6d878650-fa5b-4f13-8aef-8ee989b71ff6"]}],"mendeley":{"formattedCitation":"(Kaplinsky, 2011)","manualFormatting":"Kaplinsky (2011)","plainTextFormattedCitation":"(Kaplinsky, 2011)","previouslyFormattedCitation":"(Kaplinsky, 2011)"},"properties":{"noteIndex":0},"schema":"https://github.com/citation-style-language/schema/raw/master/csl-citation.json"}</w:instrText>
      </w:r>
      <w:r w:rsidRPr="005F6FF4">
        <w:rPr>
          <w:rFonts w:cstheme="minorHAnsi"/>
          <w:lang w:val="en-GB"/>
        </w:rPr>
        <w:fldChar w:fldCharType="separate"/>
      </w:r>
      <w:r w:rsidRPr="00CF2B96">
        <w:rPr>
          <w:rFonts w:cstheme="minorHAnsi"/>
          <w:noProof/>
          <w:lang w:val="sv-SE"/>
        </w:rPr>
        <w:t>Kaplinsky (2011)</w:t>
      </w:r>
      <w:r w:rsidRPr="005F6FF4">
        <w:rPr>
          <w:rFonts w:cstheme="minorHAnsi"/>
          <w:lang w:val="en-GB"/>
        </w:rPr>
        <w:fldChar w:fldCharType="end"/>
      </w:r>
      <w:r w:rsidRPr="00CF2B96">
        <w:rPr>
          <w:rFonts w:cstheme="minorHAnsi"/>
          <w:lang w:val="sv-SE"/>
        </w:rPr>
        <w:t xml:space="preserve">, and </w:t>
      </w:r>
      <w:r w:rsidRPr="005F6FF4">
        <w:rPr>
          <w:rFonts w:cstheme="minorHAnsi"/>
          <w:lang w:val="en-GB"/>
        </w:rPr>
        <w:fldChar w:fldCharType="begin" w:fldLock="1"/>
      </w:r>
      <w:r w:rsidR="007D55DE" w:rsidRPr="00CF2B96">
        <w:rPr>
          <w:rFonts w:cstheme="minorHAnsi"/>
          <w:lang w:val="sv-SE"/>
        </w:rPr>
        <w:instrText>ADDIN CSL_CITATION {"citationItems":[{"id":"ITEM-1","itemData":{"DOI":"10.1080/24694452.2016.1184081","ISSN":"2469-4452","author":[{"dropping-particle":"","family":"Lee","given":"Neil","non-dropping-particle":"","parse-names":false,"suffix":""},{"dropping-particle":"","family":"Rodríguez-Pose","given":"Andrés","non-dropping-particle":"","parse-names":false,"suffix":""}],"container-title":"Annals of the American Association of Geographers","id":"ITEM-1","issue":"5","issued":{"date-parts":[["2016","9","2"]]},"page":"1114-1134","title":"Is There Trickle-Down from Tech? Poverty, Employment, and the High-Technology Multiplier in U.S. Cities","type":"article-journal","volume":"106"},"uris":["http://www.mendeley.com/documents/?uuid=354c5652-4d6d-4a91-8ed9-36f5a5c992c6","http://www.mendeley.com/documents/?uuid=bab7e679-7a0c-43ae-92c4-5fb13bc65830"]}],"mendeley":{"formattedCitation":"(Lee &amp; Rodríguez-Pose, 2016)","manualFormatting":"Lee &amp; Rodríguez-Pose (2016)","plainTextFormattedCitation":"(Lee &amp; Rodríguez-Pose, 2016)","previouslyFormattedCitation":"(Lee &amp; Rodríguez-Pose, 2016)"},"properties":{"noteIndex":0},"schema":"https://github.com/citation-style-language/schema/raw/master/csl-citation.json"}</w:instrText>
      </w:r>
      <w:r w:rsidRPr="005F6FF4">
        <w:rPr>
          <w:rFonts w:cstheme="minorHAnsi"/>
          <w:lang w:val="en-GB"/>
        </w:rPr>
        <w:fldChar w:fldCharType="separate"/>
      </w:r>
      <w:r w:rsidRPr="00CF2B96">
        <w:rPr>
          <w:rFonts w:cstheme="minorHAnsi"/>
          <w:noProof/>
          <w:lang w:val="sv-SE"/>
        </w:rPr>
        <w:t>Lee &amp; Rodríguez-Pose (2016)</w:t>
      </w:r>
      <w:r w:rsidRPr="005F6FF4">
        <w:rPr>
          <w:rFonts w:cstheme="minorHAnsi"/>
          <w:lang w:val="en-GB"/>
        </w:rPr>
        <w:fldChar w:fldCharType="end"/>
      </w:r>
      <w:r w:rsidRPr="00CF2B96">
        <w:rPr>
          <w:rFonts w:cstheme="minorHAnsi"/>
          <w:lang w:val="sv-SE"/>
        </w:rPr>
        <w:t xml:space="preserve"> found that access to and use of digital technology may reduce inequality and poverty. </w:t>
      </w:r>
      <w:r w:rsidRPr="005F6FF4">
        <w:rPr>
          <w:rFonts w:cstheme="minorHAnsi"/>
          <w:lang w:val="en-GB"/>
        </w:rPr>
        <w:t xml:space="preserve">Wage increases in the Medium and High-Tech Manufacturing sector may be stimulated by the digital transformation represented by the sector's growth. With increased labour market competition, </w:t>
      </w:r>
      <w:r w:rsidR="00AB5A64" w:rsidRPr="005F6FF4">
        <w:rPr>
          <w:rFonts w:cstheme="minorHAnsi"/>
          <w:lang w:val="en-GB"/>
        </w:rPr>
        <w:t>firm</w:t>
      </w:r>
      <w:r w:rsidRPr="005F6FF4">
        <w:rPr>
          <w:rFonts w:cstheme="minorHAnsi"/>
          <w:lang w:val="en-GB"/>
        </w:rPr>
        <w:t>s may compete to attract and retain skilled workers by offering higher wages and better working conditions. This can have a direct impact on low-income workers' living standards.</w:t>
      </w:r>
      <w:r w:rsidRPr="005F6FF4">
        <w:t xml:space="preserve"> </w:t>
      </w:r>
      <w:r w:rsidRPr="005F6FF4">
        <w:rPr>
          <w:rFonts w:cstheme="minorHAnsi"/>
          <w:lang w:val="en-GB"/>
        </w:rPr>
        <w:t>The technical skills gained in this sector can also be transferred to the larger community, creating new opportunities for technology training and learning among disadvantaged households.</w:t>
      </w:r>
    </w:p>
    <w:p w14:paraId="6816ED11" w14:textId="659FBF1F" w:rsidR="00A64B0C" w:rsidRPr="005F6FF4" w:rsidRDefault="00A64B0C" w:rsidP="00292DAC">
      <w:pPr>
        <w:jc w:val="both"/>
        <w:rPr>
          <w:rFonts w:cstheme="minorHAnsi"/>
          <w:lang w:val="en-GB"/>
        </w:rPr>
      </w:pPr>
      <w:r w:rsidRPr="005F6FF4">
        <w:rPr>
          <w:rFonts w:cstheme="minorHAnsi"/>
          <w:lang w:val="en-GB"/>
        </w:rPr>
        <w:t xml:space="preserve">Comparisons with previous research, on the other hand, highlight some potential disagreements. According to the research of </w:t>
      </w:r>
      <w:r w:rsidRPr="005F6FF4">
        <w:rPr>
          <w:rFonts w:cstheme="minorHAnsi"/>
          <w:lang w:val="en-GB"/>
        </w:rPr>
        <w:fldChar w:fldCharType="begin" w:fldLock="1"/>
      </w:r>
      <w:r w:rsidR="007D55DE" w:rsidRPr="005F6FF4">
        <w:rPr>
          <w:rFonts w:cstheme="minorHAnsi"/>
          <w:lang w:val="en-GB"/>
        </w:rPr>
        <w:instrText>ADDIN CSL_CITATION {"citationItems":[{"id":"ITEM-1","itemData":{"DOI":"10.1257/jep.33.2.3","ISSN":"0895-3309","abstract":"We present a framework for understanding the effects of automation and other types of technological changes on labor demand, and use it to interpret changes in US employment over the recent past. At the center of our framework is the allocation of tasks to capital and labor—the task content of production. Automation, which enables capital to replace labor in tasks it was previously engaged in, shifts the task content of production against labor because of a displacement effect. As a result, automation always reduces the labor share in value added and may reduce labor demand even as it raises productivity. The effects of automation are counterbalanced by the creation of new tasks in which labor has a comparative advantage. The introduction of new tasks changes the task content of production in favor of labor because of a reinstatement effect, and always raises the labor share and labor demand. We show how the role of changes in the task content of production—due to automation and new tasks—can be inferred from industry-level data. Our empirical decomposition suggests that the slower growth of employment over the last three decades is accounted for by an acceleration in the displacement effect, especially in manufacturing, a weaker reinstatement effect, and slower growth of productivity than in previous decades.","author":[{"dropping-particle":"","family":"Acemoglu","given":"Daron","non-dropping-particle":"","parse-names":false,"suffix":""},{"dropping-particle":"","family":"Restrepo","given":"Pascual","non-dropping-particle":"","parse-names":false,"suffix":""}],"container-title":"Journal of Economic Perspectives","id":"ITEM-1","issue":"2","issued":{"date-parts":[["2019","5","1"]]},"page":"3-30","title":"Automation and New Tasks: How Technology Displaces and Reinstates Labor","type":"article-journal","volume":"33"},"uris":["http://www.mendeley.com/documents/?uuid=745b6957-1bc3-403a-ace6-3471ce5fce80","http://www.mendeley.com/documents/?uuid=cc7a2a5a-a0f7-400f-820c-60cc5c0e4226"]}],"mendeley":{"formattedCitation":"(Acemoglu &amp; Restrepo, 2019)","manualFormatting":"Acemoglu &amp; Restrepo (2019)","plainTextFormattedCitation":"(Acemoglu &amp; Restrepo, 2019)","previouslyFormattedCitation":"(Acemoglu &amp; Restrepo, 2019)"},"properties":{"noteIndex":0},"schema":"https://github.com/citation-style-language/schema/raw/master/csl-citation.json"}</w:instrText>
      </w:r>
      <w:r w:rsidRPr="005F6FF4">
        <w:rPr>
          <w:rFonts w:cstheme="minorHAnsi"/>
          <w:lang w:val="en-GB"/>
        </w:rPr>
        <w:fldChar w:fldCharType="separate"/>
      </w:r>
      <w:r w:rsidRPr="005F6FF4">
        <w:rPr>
          <w:rFonts w:cstheme="minorHAnsi"/>
          <w:noProof/>
          <w:lang w:val="en-GB"/>
        </w:rPr>
        <w:t>Acemoglu &amp; Restrepo (2019)</w:t>
      </w:r>
      <w:r w:rsidRPr="005F6FF4">
        <w:rPr>
          <w:rFonts w:cstheme="minorHAnsi"/>
          <w:lang w:val="en-GB"/>
        </w:rPr>
        <w:fldChar w:fldCharType="end"/>
      </w:r>
      <w:r w:rsidRPr="005F6FF4">
        <w:rPr>
          <w:rFonts w:cstheme="minorHAnsi"/>
          <w:lang w:val="en-GB"/>
        </w:rPr>
        <w:t xml:space="preserve"> the adoption of digital technology may replace human labour, particularly in routine and repetitive tasks. This could lead to job insecurity for lower-skilled workers and contribute to structural unemployment </w:t>
      </w:r>
      <w:r w:rsidRPr="005F6FF4">
        <w:rPr>
          <w:rFonts w:cstheme="minorHAnsi"/>
          <w:lang w:val="en-GB"/>
        </w:rPr>
        <w:fldChar w:fldCharType="begin" w:fldLock="1"/>
      </w:r>
      <w:r w:rsidR="007D55DE" w:rsidRPr="005F6FF4">
        <w:rPr>
          <w:rFonts w:cstheme="minorHAnsi"/>
          <w:lang w:val="en-GB"/>
        </w:rPr>
        <w:instrText>ADDIN CSL_CITATION {"citationItems":[{"id":"ITEM-1","itemData":{"DOI":"10.1257/pandp.20201063","ISSN":"2574-0768","abstract":"We extend the canonical model of skill-biased technical change by modeling the allocation of tasks to factors and allowing for automation and the creation of new tasks. In our model, factor prices depend on the set of tasks they perform. Automation can reduce real wages and generate sizable changes in inequality associated with small productivity gains. New tasks can increase or reduce inequality depending on whether they are performed by skilled or unskilled workers. Industry-level data suggest that automation significantly contributed to the rising skill premium, while new tasks reduced inequality in the past but have contributed to inequality recently.","author":[{"dropping-particle":"","family":"Acemoglu","given":"Daron","non-dropping-particle":"","parse-names":false,"suffix":""},{"dropping-particle":"","family":"Restrepo","given":"Pascual","non-dropping-particle":"","parse-names":false,"suffix":""}],"container-title":"AEA Papers and Proceedings","id":"ITEM-1","issued":{"date-parts":[["2020","5","1"]]},"page":"356-361","title":"Unpacking Skill Bias: Automation and New Tasks","type":"article-journal","volume":"110"},"uris":["http://www.mendeley.com/documents/?uuid=dc876220-87f0-495b-8bd2-f0110d392276","http://www.mendeley.com/documents/?uuid=18570aa2-7a66-49eb-abfd-b34ca7c9738e"]}],"mendeley":{"formattedCitation":"(Acemoglu &amp; Restrepo, 2020)","plainTextFormattedCitation":"(Acemoglu &amp; Restrepo, 2020)","previouslyFormattedCitation":"(Acemoglu &amp; Restrepo, 2020)"},"properties":{"noteIndex":0},"schema":"https://github.com/citation-style-language/schema/raw/master/csl-citation.json"}</w:instrText>
      </w:r>
      <w:r w:rsidRPr="005F6FF4">
        <w:rPr>
          <w:rFonts w:cstheme="minorHAnsi"/>
          <w:lang w:val="en-GB"/>
        </w:rPr>
        <w:fldChar w:fldCharType="separate"/>
      </w:r>
      <w:r w:rsidRPr="005F6FF4">
        <w:rPr>
          <w:rFonts w:cstheme="minorHAnsi"/>
          <w:noProof/>
          <w:lang w:val="en-GB"/>
        </w:rPr>
        <w:t>(Acemoglu &amp; Restrepo, 2020)</w:t>
      </w:r>
      <w:r w:rsidRPr="005F6FF4">
        <w:rPr>
          <w:rFonts w:cstheme="minorHAnsi"/>
          <w:lang w:val="en-GB"/>
        </w:rPr>
        <w:fldChar w:fldCharType="end"/>
      </w:r>
      <w:r w:rsidRPr="005F6FF4">
        <w:rPr>
          <w:rFonts w:cstheme="minorHAnsi"/>
          <w:lang w:val="en-GB"/>
        </w:rPr>
        <w:t>. To avoid societal disparities in this digital era, it is critical that the implementation of digital transformation be balanced with relevant skill training and development programmes.</w:t>
      </w:r>
    </w:p>
    <w:p w14:paraId="32334708" w14:textId="228B02A1" w:rsidR="00A64B0C" w:rsidRPr="005F6FF4" w:rsidRDefault="00A64B0C" w:rsidP="00A64B0C">
      <w:pPr>
        <w:jc w:val="both"/>
        <w:rPr>
          <w:rFonts w:cstheme="minorHAnsi"/>
          <w:lang w:val="en-GB"/>
        </w:rPr>
      </w:pPr>
      <w:r w:rsidRPr="005F6FF4">
        <w:rPr>
          <w:rFonts w:cstheme="minorHAnsi"/>
          <w:lang w:val="en-GB"/>
        </w:rPr>
        <w:t>Ultimately, the mechanisms of accelerating economic growth and poverty alleviation generated by digital transformation in the Medium and High-Tech Manufacturing sector are consistent with previous research findings that show the positive effects of digital technology on economic growth and poverty alleviation. However, the displacement of human labour by technology has the potential to cause conflict. As a result, the implementation of digital transformation should be guided by balance, taking into account skill training aspects and worker protection to ensure that its benefits are felt by all segments of society.</w:t>
      </w:r>
    </w:p>
    <w:p w14:paraId="3111D8DD" w14:textId="618759C8" w:rsidR="000E635F" w:rsidRPr="005F6FF4" w:rsidRDefault="000E635F" w:rsidP="00204553">
      <w:pPr>
        <w:jc w:val="both"/>
        <w:rPr>
          <w:rFonts w:cstheme="minorHAnsi"/>
          <w:i/>
          <w:iCs/>
          <w:sz w:val="28"/>
          <w:szCs w:val="28"/>
          <w:lang w:val="en-GB"/>
        </w:rPr>
      </w:pPr>
      <w:r w:rsidRPr="005F6FF4">
        <w:rPr>
          <w:rFonts w:cstheme="minorHAnsi"/>
          <w:i/>
          <w:iCs/>
          <w:sz w:val="28"/>
          <w:szCs w:val="28"/>
          <w:lang w:val="en-GB"/>
        </w:rPr>
        <w:t>Other Factors Influencing Inclusive Growth Besides Digital Transformation</w:t>
      </w:r>
    </w:p>
    <w:p w14:paraId="476EC4C6" w14:textId="03078170" w:rsidR="00CE36E9" w:rsidRPr="005F6FF4" w:rsidRDefault="00CE36E9" w:rsidP="00960F4F">
      <w:pPr>
        <w:jc w:val="both"/>
        <w:rPr>
          <w:rFonts w:cstheme="minorHAnsi"/>
          <w:lang w:val="en-GB"/>
        </w:rPr>
      </w:pPr>
      <w:r w:rsidRPr="005F6FF4">
        <w:rPr>
          <w:rFonts w:cstheme="minorHAnsi"/>
          <w:lang w:val="en-GB"/>
        </w:rPr>
        <w:t>Apart from digital transformation, there are several other factors that have the potential to influence inclusive growth.</w:t>
      </w:r>
      <w:r w:rsidRPr="005F6FF4">
        <w:t xml:space="preserve"> </w:t>
      </w:r>
      <w:r w:rsidRPr="005F6FF4">
        <w:rPr>
          <w:rFonts w:cstheme="minorHAnsi"/>
          <w:lang w:val="en-GB"/>
        </w:rPr>
        <w:t xml:space="preserve">The results of this study show that inflation has a negative impact on inclusive growth. When inflation rates reach a certain level, there is a risk of eroding individual purchasing power, particularly among those with lower incomes </w:t>
      </w:r>
      <w:r w:rsidR="00960F4F" w:rsidRPr="005F6FF4">
        <w:rPr>
          <w:rFonts w:cstheme="minorHAnsi"/>
          <w:lang w:val="en-GB"/>
        </w:rPr>
        <w:fldChar w:fldCharType="begin" w:fldLock="1"/>
      </w:r>
      <w:r w:rsidR="00742A14" w:rsidRPr="005F6FF4">
        <w:rPr>
          <w:rFonts w:cstheme="minorHAnsi"/>
          <w:lang w:val="en-GB"/>
        </w:rPr>
        <w:instrText>ADDIN CSL_CITATION {"citationItems":[{"id":"ITEM-1","itemData":{"DOI":"10.2307/2673879","ISSN":"00222879","author":[{"dropping-particle":"","family":"Easterly","given":"William","non-dropping-particle":"","parse-names":false,"suffix":""},{"dropping-particle":"","family":"Fischer","given":"Stanley","non-dropping-particle":"","parse-names":false,"suffix":""}],"container-title":"Journal of Money, Credit and Banking","id":"ITEM-1","issue":"2","issued":{"date-parts":[["2001","5"]]},"page":"160","title":"Inflation and the Poor","type":"article-journal","volume":"33"},"uris":["http://www.mendeley.com/documents/?uuid=f64b4d8d-bf3a-44c7-b7b1-4b24eb80ae26","http://www.mendeley.com/documents/?uuid=95defe39-4005-41dd-9391-6f5cc9fb96f3"]}],"mendeley":{"formattedCitation":"(Easterly &amp; Fischer, 2001)","plainTextFormattedCitation":"(Easterly &amp; Fischer, 2001)","previouslyFormattedCitation":"(Easterly &amp; Fischer, 2001)"},"properties":{"noteIndex":0},"schema":"https://github.com/citation-style-language/schema/raw/master/csl-citation.json"}</w:instrText>
      </w:r>
      <w:r w:rsidR="00960F4F" w:rsidRPr="005F6FF4">
        <w:rPr>
          <w:rFonts w:cstheme="minorHAnsi"/>
          <w:lang w:val="en-GB"/>
        </w:rPr>
        <w:fldChar w:fldCharType="separate"/>
      </w:r>
      <w:r w:rsidR="00960F4F" w:rsidRPr="005F6FF4">
        <w:rPr>
          <w:rFonts w:cstheme="minorHAnsi"/>
          <w:noProof/>
          <w:lang w:val="en-GB"/>
        </w:rPr>
        <w:t>(Easterly &amp; Fischer, 2001)</w:t>
      </w:r>
      <w:r w:rsidR="00960F4F" w:rsidRPr="005F6FF4">
        <w:rPr>
          <w:rFonts w:cstheme="minorHAnsi"/>
          <w:lang w:val="en-GB"/>
        </w:rPr>
        <w:fldChar w:fldCharType="end"/>
      </w:r>
      <w:r w:rsidRPr="005F6FF4">
        <w:rPr>
          <w:rFonts w:cstheme="minorHAnsi"/>
          <w:lang w:val="en-GB"/>
        </w:rPr>
        <w:t xml:space="preserve">. Consumers are forced to spend a significant portion of their income just to maintain their current consumption patterns, resulting in lower quality of life and limited access to essential goods and services </w:t>
      </w:r>
      <w:r w:rsidR="00960F4F" w:rsidRPr="005F6FF4">
        <w:rPr>
          <w:rFonts w:cstheme="minorHAnsi"/>
          <w:lang w:val="en-GB"/>
        </w:rPr>
        <w:fldChar w:fldCharType="begin" w:fldLock="1"/>
      </w:r>
      <w:r w:rsidR="007D55DE" w:rsidRPr="005F6FF4">
        <w:rPr>
          <w:rFonts w:cstheme="minorHAnsi"/>
          <w:lang w:val="en-GB"/>
        </w:rPr>
        <w:instrText>ADDIN CSL_CITATION {"citationItems":[{"id":"ITEM-1","itemData":{"DOI":"10.1509/jmkg.72.6.109","ISSN":"0022-2429","abstract":"All types of consumer expenditures ultimately vie for the same pool of limited resources—the consumer's discretionary income. Consequently, consumers’ spending in a particular industry can be better understood in relation to their expenditures in others. Although marketers may believe that they are operating in distinct and unrelated industries, it is important to understand how consumers, with a given budget, make trade-offs between meeting different consumption needs. For example, how much would escalating gas prices affect consumer spending on food and apparel? Which industries would gain most in terms of extra consumer spending as a result of a tax rebate? Answers to these questions are also important from a public policy standpoint because they provide insights into how consumer welfare would be affected as consumers reallocate their consumption budget in response to environmental changes. This study proposes a structural demand model to approximate the household budget allocation decision, in which consumers are assumed to allocate a given budget across a full spectrum of consumption categories to maximize an underlying utility function. The authors illustrate the model using Consumer Expenditure Survey data from the United States, covering 31 consumption categories over 22 years. The calibrated model makes it possible to draw direct inferences about the trade-offs individual households make when they face budget constraints and how their relative preferences for different consumption categories vary across life stages and income levels. The study also demonstrates how the proposed model can be used in policy simulations to quantify the potential impacts on consumption patterns due to shifts in prices or discretionary income.","author":[{"dropping-particle":"","family":"Du","given":"Rex Y.","non-dropping-particle":"","parse-names":false,"suffix":""},{"dropping-particle":"","family":"Kamakura","given":"Wagner A.","non-dropping-particle":"","parse-names":false,"suffix":""}],"container-title":"Journal of Marketing","id":"ITEM-1","issue":"6","issued":{"date-parts":[["2008","11","1"]]},"page":"109-131","title":"Where did all that Money Go? Understanding how Consumers Allocate their Consumption Budget","type":"article-journal","volume":"72"},"uris":["http://www.mendeley.com/documents/?uuid=bbd36db3-434a-41cf-91c2-c6969af0e38f","http://www.mendeley.com/documents/?uuid=18cb3932-878a-4702-b6f4-21b8ff3702d5"]}],"mendeley":{"formattedCitation":"(Du &amp; Kamakura, 2008)","plainTextFormattedCitation":"(Du &amp; Kamakura, 2008)","previouslyFormattedCitation":"(Du &amp; Kamakura, 2008)"},"properties":{"noteIndex":0},"schema":"https://github.com/citation-style-language/schema/raw/master/csl-citation.json"}</w:instrText>
      </w:r>
      <w:r w:rsidR="00960F4F" w:rsidRPr="005F6FF4">
        <w:rPr>
          <w:rFonts w:cstheme="minorHAnsi"/>
          <w:lang w:val="en-GB"/>
        </w:rPr>
        <w:fldChar w:fldCharType="separate"/>
      </w:r>
      <w:r w:rsidR="00960F4F" w:rsidRPr="005F6FF4">
        <w:rPr>
          <w:rFonts w:cstheme="minorHAnsi"/>
          <w:noProof/>
          <w:lang w:val="en-GB"/>
        </w:rPr>
        <w:t>(Du &amp; Kamakura, 2008)</w:t>
      </w:r>
      <w:r w:rsidR="00960F4F" w:rsidRPr="005F6FF4">
        <w:rPr>
          <w:rFonts w:cstheme="minorHAnsi"/>
          <w:lang w:val="en-GB"/>
        </w:rPr>
        <w:fldChar w:fldCharType="end"/>
      </w:r>
      <w:r w:rsidRPr="005F6FF4">
        <w:rPr>
          <w:rFonts w:cstheme="minorHAnsi"/>
          <w:lang w:val="en-GB"/>
        </w:rPr>
        <w:t>.</w:t>
      </w:r>
      <w:r w:rsidRPr="005F6FF4">
        <w:t xml:space="preserve"> </w:t>
      </w:r>
      <w:r w:rsidRPr="005F6FF4">
        <w:rPr>
          <w:rFonts w:cstheme="minorHAnsi"/>
          <w:lang w:val="en-GB"/>
        </w:rPr>
        <w:t>Other variables, such as Gross Domestic Savings (GDS), Foreign Direct Investment (FDI), and Oil Rents, on the other hand, have proven to make only minor contributions to enhancing inclusive growth.</w:t>
      </w:r>
    </w:p>
    <w:p w14:paraId="412408DB" w14:textId="77777777" w:rsidR="00960F4F" w:rsidRPr="005F6FF4" w:rsidRDefault="00CE36E9" w:rsidP="00960F4F">
      <w:pPr>
        <w:jc w:val="both"/>
        <w:rPr>
          <w:rFonts w:cstheme="minorHAnsi"/>
          <w:lang w:val="en-GB"/>
        </w:rPr>
      </w:pPr>
      <w:commentRangeStart w:id="10"/>
      <w:r w:rsidRPr="005F6FF4">
        <w:rPr>
          <w:rFonts w:cstheme="minorHAnsi"/>
          <w:lang w:val="en-GB"/>
        </w:rPr>
        <w:t>When Gross Domestic Savings (GDS) are examined, it becomes clear that higher savings rates do not inherently translate into parallel improvements in inclusive growth</w:t>
      </w:r>
      <w:commentRangeEnd w:id="10"/>
      <w:r w:rsidR="00936B09">
        <w:rPr>
          <w:rStyle w:val="CommentReference"/>
        </w:rPr>
        <w:commentReference w:id="10"/>
      </w:r>
      <w:r w:rsidRPr="005F6FF4">
        <w:rPr>
          <w:rFonts w:cstheme="minorHAnsi"/>
          <w:lang w:val="en-GB"/>
        </w:rPr>
        <w:t xml:space="preserve">. In other words, while higher </w:t>
      </w:r>
      <w:r w:rsidRPr="005F6FF4">
        <w:rPr>
          <w:rFonts w:cstheme="minorHAnsi"/>
          <w:lang w:val="en-GB"/>
        </w:rPr>
        <w:lastRenderedPageBreak/>
        <w:t>savings indicate more frugal economic behaviour, this correlation does not always result in significant inclusive growth outcomes. In this context, the effective use of accumulated savings or strategic investments in productive endeavours emerges as a critical factor in achieving tangible benefits for society as a whole.</w:t>
      </w:r>
      <w:r w:rsidR="00960F4F" w:rsidRPr="005F6FF4">
        <w:rPr>
          <w:rFonts w:cstheme="minorHAnsi"/>
          <w:lang w:val="en-GB"/>
        </w:rPr>
        <w:t xml:space="preserve"> </w:t>
      </w:r>
    </w:p>
    <w:p w14:paraId="6C7FDED8" w14:textId="4DD343EF" w:rsidR="00CE36E9" w:rsidRPr="005F6FF4" w:rsidRDefault="00CE36E9" w:rsidP="00960F4F">
      <w:pPr>
        <w:jc w:val="both"/>
        <w:rPr>
          <w:rFonts w:cstheme="minorHAnsi"/>
          <w:lang w:val="en-GB"/>
        </w:rPr>
      </w:pPr>
      <w:r w:rsidRPr="005F6FF4">
        <w:rPr>
          <w:rFonts w:cstheme="minorHAnsi"/>
          <w:lang w:val="en-GB"/>
        </w:rPr>
        <w:t xml:space="preserve">The same holds true for FDI inflows. </w:t>
      </w:r>
      <w:r w:rsidR="00960F4F" w:rsidRPr="005F6FF4">
        <w:rPr>
          <w:rFonts w:cstheme="minorHAnsi"/>
          <w:lang w:val="en-GB"/>
        </w:rPr>
        <w:t>Despite being widely regarded as a critical catalyst for economic growth, the relationship between FDI and inclusive growth is far from universal. The impact of FDI on inclusivity can vary significantly depending on how carefully critical factors like equitable income distribution and the provision of respectable employment opportunities are taken into account. As a result, it is critical to take a nuanced approach that considers these critical factors when assessing the impact of FDI on inclusive growth.</w:t>
      </w:r>
    </w:p>
    <w:p w14:paraId="48D57783" w14:textId="0AE57E7E" w:rsidR="00AB5A64" w:rsidRPr="005F6FF4" w:rsidRDefault="00960F4F" w:rsidP="00960F4F">
      <w:pPr>
        <w:jc w:val="both"/>
        <w:rPr>
          <w:rFonts w:cstheme="minorHAnsi"/>
          <w:lang w:val="en-GB"/>
        </w:rPr>
      </w:pPr>
      <w:r w:rsidRPr="005F6FF4">
        <w:rPr>
          <w:rFonts w:cstheme="minorHAnsi"/>
          <w:lang w:val="en-GB"/>
        </w:rPr>
        <w:t>Similarly, the complexities of the relationship between oil rents and inclusive growth emerge. While revenues from oil exports (commonly referred to as oil rents) may appear advantageous at first, their translation into consistent and significant advances in inclusive growth is not guaranteed. The reliance on oil revenues can cause adverse economic fluctuations within communities and may even stymie sincere efforts to alleviate poverty. To effectively harness the potential benefits of oil revenues while ensuring sustainable and inclusive growth, a thorough understanding of the context and prudent resource management are required.</w:t>
      </w:r>
    </w:p>
    <w:p w14:paraId="208C428C" w14:textId="5746FE4F" w:rsidR="00AB5A64" w:rsidRPr="005F6FF4" w:rsidRDefault="00960F4F" w:rsidP="00960F4F">
      <w:pPr>
        <w:jc w:val="both"/>
        <w:rPr>
          <w:rFonts w:cstheme="minorHAnsi"/>
          <w:lang w:val="en-GB"/>
        </w:rPr>
      </w:pPr>
      <w:r w:rsidRPr="005F6FF4">
        <w:rPr>
          <w:rFonts w:cstheme="minorHAnsi"/>
          <w:lang w:val="en-GB"/>
        </w:rPr>
        <w:t>In the end, this study not only emphasises the adverse impacts of inflation on inclusive growth, but it also confirms the limited effects of factors such as Gross Domestic Savings (GDS), Foreign Direct Investment (FDI) inflows, and Oil Rents on increasing inclusivity. These findings highlight the importance of a comprehensive policy framework that takes into account a wide range of factors in order to foster sustainable and equitable economic growth that benefits all segments of society.</w:t>
      </w:r>
    </w:p>
    <w:p w14:paraId="121ABFF0" w14:textId="46898A19" w:rsidR="00725801" w:rsidRPr="005F6FF4" w:rsidRDefault="00725801" w:rsidP="000B49AD">
      <w:pPr>
        <w:jc w:val="center"/>
        <w:rPr>
          <w:rFonts w:cstheme="minorHAnsi"/>
          <w:b/>
          <w:bCs/>
          <w:sz w:val="28"/>
          <w:szCs w:val="28"/>
          <w:lang w:val="en-GB"/>
        </w:rPr>
      </w:pPr>
      <w:r w:rsidRPr="005F6FF4">
        <w:rPr>
          <w:rFonts w:cstheme="minorHAnsi"/>
          <w:b/>
          <w:bCs/>
          <w:sz w:val="28"/>
          <w:szCs w:val="28"/>
          <w:lang w:val="en-GB"/>
        </w:rPr>
        <w:t>Conclusions</w:t>
      </w:r>
    </w:p>
    <w:p w14:paraId="10369D90" w14:textId="649FBF92" w:rsidR="003C7FF3" w:rsidRPr="005F6FF4" w:rsidRDefault="003C7FF3" w:rsidP="000F58E9">
      <w:pPr>
        <w:jc w:val="both"/>
        <w:rPr>
          <w:rFonts w:cstheme="minorHAnsi"/>
          <w:lang w:val="en-GB"/>
        </w:rPr>
      </w:pPr>
      <w:r w:rsidRPr="005F6FF4">
        <w:rPr>
          <w:rFonts w:cstheme="minorHAnsi"/>
          <w:lang w:val="en-GB"/>
        </w:rPr>
        <w:t xml:space="preserve">The research findings conclude that medium and high-tech manufacturing play a critical role in realising digital transformation, </w:t>
      </w:r>
      <w:commentRangeStart w:id="11"/>
      <w:r w:rsidRPr="005F6FF4">
        <w:rPr>
          <w:rFonts w:cstheme="minorHAnsi"/>
          <w:lang w:val="en-GB"/>
        </w:rPr>
        <w:t>while GDP per capita growth and poverty alleviation emerge as primary contributors to measuring inclusive growth in Indonesia</w:t>
      </w:r>
      <w:commentRangeEnd w:id="11"/>
      <w:r w:rsidR="003319F2">
        <w:rPr>
          <w:rStyle w:val="CommentReference"/>
        </w:rPr>
        <w:commentReference w:id="11"/>
      </w:r>
      <w:r w:rsidRPr="005F6FF4">
        <w:rPr>
          <w:rFonts w:cstheme="minorHAnsi"/>
          <w:lang w:val="en-GB"/>
        </w:rPr>
        <w:t xml:space="preserve">. </w:t>
      </w:r>
      <w:commentRangeStart w:id="12"/>
      <w:r w:rsidRPr="005F6FF4">
        <w:rPr>
          <w:rFonts w:cstheme="minorHAnsi"/>
          <w:lang w:val="en-GB"/>
        </w:rPr>
        <w:t>Most importantly, this study concludes that the beneficial impact of digital transformation is primarily elucidated by how the medium and high-tech manufacturing sectors can stimulate inclusive growth, particularly in terms of increasing GDP per capita and reducing poverty. Its impact is closely related to the previous year's digital transformation status.</w:t>
      </w:r>
      <w:commentRangeEnd w:id="12"/>
      <w:r w:rsidR="003319F2">
        <w:rPr>
          <w:rStyle w:val="CommentReference"/>
        </w:rPr>
        <w:commentReference w:id="12"/>
      </w:r>
    </w:p>
    <w:p w14:paraId="4383DE2C" w14:textId="4E210FC1" w:rsidR="00FF4690" w:rsidRPr="005F6FF4" w:rsidRDefault="003C7FF3" w:rsidP="00E97E6C">
      <w:pPr>
        <w:jc w:val="both"/>
        <w:rPr>
          <w:rFonts w:cstheme="minorHAnsi"/>
          <w:lang w:val="en-GB"/>
        </w:rPr>
      </w:pPr>
      <w:r w:rsidRPr="005F6FF4">
        <w:rPr>
          <w:rFonts w:cstheme="minorHAnsi"/>
          <w:lang w:val="en-GB"/>
        </w:rPr>
        <w:t xml:space="preserve">Based on these findings, this study proposes two major points. </w:t>
      </w:r>
      <w:r w:rsidRPr="005F6FF4">
        <w:rPr>
          <w:rFonts w:cstheme="minorHAnsi"/>
          <w:i/>
          <w:iCs/>
          <w:lang w:val="en-GB"/>
        </w:rPr>
        <w:t>Firstly</w:t>
      </w:r>
      <w:r w:rsidRPr="005F6FF4">
        <w:rPr>
          <w:rFonts w:cstheme="minorHAnsi"/>
          <w:lang w:val="en-GB"/>
        </w:rPr>
        <w:t>, because digital transformation is inextricably linked to prior digitalization learning processes, it is imperative to foster the ability to understand and apply lessons learned from previous experiences as a solid foundation for a more effective digital transformation journey</w:t>
      </w:r>
      <w:r w:rsidR="00FF4690" w:rsidRPr="005F6FF4">
        <w:rPr>
          <w:rFonts w:cstheme="minorHAnsi"/>
          <w:lang w:val="en-GB"/>
        </w:rPr>
        <w:t>. Learning from previous endeavours provides valuable guidance on what works, what needs to be modified, and how to deal with challenges that may arise when embracing new technologies. Internal capacity development and organisational adaptation to technological advances become critical components in maximising the benefits of digital transformation.</w:t>
      </w:r>
      <w:r w:rsidR="00FF4690" w:rsidRPr="005F6FF4">
        <w:t xml:space="preserve"> </w:t>
      </w:r>
      <w:r w:rsidR="00FF4690" w:rsidRPr="005F6FF4">
        <w:rPr>
          <w:rFonts w:cstheme="minorHAnsi"/>
          <w:lang w:val="en-GB"/>
        </w:rPr>
        <w:t>Leveraging past insights allows organisations to avoid making the same mistakes, implement smarter approaches, and become better prepared to address ongoing changes in the constantly evolving digital era.</w:t>
      </w:r>
      <w:r w:rsidR="000F58E9" w:rsidRPr="005F6FF4">
        <w:rPr>
          <w:rFonts w:cstheme="minorHAnsi"/>
          <w:lang w:val="en-GB"/>
        </w:rPr>
        <w:t xml:space="preserve"> </w:t>
      </w:r>
      <w:commentRangeStart w:id="13"/>
      <w:r w:rsidR="00E97E6C" w:rsidRPr="005F6FF4">
        <w:rPr>
          <w:rFonts w:cstheme="minorHAnsi"/>
          <w:lang w:val="en-GB"/>
        </w:rPr>
        <w:t>Given that this process involves trial and error and may burden businesses, a policy recommendation is to increase support for R&amp;D, particularly in key sectors that heavily rely on digitization.</w:t>
      </w:r>
      <w:commentRangeEnd w:id="13"/>
      <w:r w:rsidR="003319F2">
        <w:rPr>
          <w:rStyle w:val="CommentReference"/>
        </w:rPr>
        <w:commentReference w:id="13"/>
      </w:r>
    </w:p>
    <w:p w14:paraId="5FF16C89" w14:textId="4256F558" w:rsidR="003C7FF3" w:rsidRPr="005F6FF4" w:rsidRDefault="003C7FF3" w:rsidP="000F58E9">
      <w:pPr>
        <w:jc w:val="both"/>
        <w:rPr>
          <w:rFonts w:cstheme="minorHAnsi"/>
          <w:lang w:val="en-GB"/>
        </w:rPr>
      </w:pPr>
      <w:r w:rsidRPr="005F6FF4">
        <w:rPr>
          <w:rFonts w:cstheme="minorHAnsi"/>
          <w:i/>
          <w:iCs/>
          <w:lang w:val="en-GB"/>
        </w:rPr>
        <w:t>Secondly</w:t>
      </w:r>
      <w:r w:rsidRPr="005F6FF4">
        <w:rPr>
          <w:rFonts w:cstheme="minorHAnsi"/>
          <w:lang w:val="en-GB"/>
        </w:rPr>
        <w:t xml:space="preserve">, once the medium and high-tech manufacturing sectors have a solid foundation in digital transformation, it is of the utmost importance to increase the inclusiveness of economic growth in </w:t>
      </w:r>
      <w:r w:rsidRPr="005F6FF4">
        <w:rPr>
          <w:rFonts w:cstheme="minorHAnsi"/>
          <w:lang w:val="en-GB"/>
        </w:rPr>
        <w:lastRenderedPageBreak/>
        <w:t xml:space="preserve">these sectors, particularly for impoverished poor households. </w:t>
      </w:r>
      <w:commentRangeStart w:id="14"/>
      <w:r w:rsidRPr="005F6FF4">
        <w:rPr>
          <w:rFonts w:cstheme="minorHAnsi"/>
          <w:lang w:val="en-GB"/>
        </w:rPr>
        <w:t>The recommended policy measures to improve economic inclusivity in the medium and high-tech manufacturing sectors for disadvantaged populations include establishing affordable community-based training centres</w:t>
      </w:r>
      <w:commentRangeEnd w:id="14"/>
      <w:r w:rsidR="003319F2">
        <w:rPr>
          <w:rStyle w:val="CommentReference"/>
        </w:rPr>
        <w:commentReference w:id="14"/>
      </w:r>
      <w:r w:rsidRPr="005F6FF4">
        <w:rPr>
          <w:rFonts w:cstheme="minorHAnsi"/>
          <w:lang w:val="en-GB"/>
        </w:rPr>
        <w:t>, offering training programmes that align with labour market needs, promoting partnerships between training centres and industries, and providing education subsidies focused on lifelong learning.</w:t>
      </w:r>
    </w:p>
    <w:p w14:paraId="266B64ED" w14:textId="68C1ED01" w:rsidR="00FF4690" w:rsidRPr="005F6FF4" w:rsidRDefault="00FF4690" w:rsidP="00FF4690">
      <w:pPr>
        <w:jc w:val="both"/>
        <w:rPr>
          <w:rFonts w:cstheme="minorHAnsi"/>
          <w:lang w:val="en-GB"/>
        </w:rPr>
      </w:pPr>
      <w:r w:rsidRPr="005F6FF4">
        <w:rPr>
          <w:rFonts w:cstheme="minorHAnsi"/>
          <w:lang w:val="en-GB"/>
        </w:rPr>
        <w:t xml:space="preserve">However, the limitations of this study must be acknowledged. The scope of this research is primarily focused on the Indonesian context, and it may not fully encompass the nuances of digital transformation and inclusive growth across various regions or countries. </w:t>
      </w:r>
      <w:commentRangeStart w:id="15"/>
      <w:r w:rsidRPr="005F6FF4">
        <w:rPr>
          <w:rFonts w:cstheme="minorHAnsi"/>
          <w:lang w:val="en-GB"/>
        </w:rPr>
        <w:t>Furthermore, while the study emphasises the importance of internal factors and prior learning experiences, future research can delve deeper into specific strategies and mechanisms that organisations can implement to stimulate hands-on learning practises and facilitate digital transformation.</w:t>
      </w:r>
      <w:commentRangeEnd w:id="15"/>
      <w:r w:rsidR="003319F2">
        <w:rPr>
          <w:rStyle w:val="CommentReference"/>
        </w:rPr>
        <w:commentReference w:id="15"/>
      </w:r>
    </w:p>
    <w:p w14:paraId="72AE2616" w14:textId="640A7247" w:rsidR="00FF4690" w:rsidRPr="005F6FF4" w:rsidRDefault="00FF4690" w:rsidP="00F608DD">
      <w:pPr>
        <w:spacing w:after="240"/>
        <w:jc w:val="both"/>
        <w:rPr>
          <w:rFonts w:cstheme="minorHAnsi"/>
          <w:lang w:val="en-GB"/>
        </w:rPr>
      </w:pPr>
      <w:r w:rsidRPr="005F6FF4">
        <w:rPr>
          <w:rFonts w:cstheme="minorHAnsi"/>
          <w:lang w:val="en-GB"/>
        </w:rPr>
        <w:t>Future research should aim to broaden the scope of study by incorporating comparative analyses of digital transformation and its impact on inclusive growth across various countries and sectors. Furthermore, investigating the roles of government policies, regulatory frameworks, and collaborations between the public and private sectors in promoting inclusive digital transformation can provide policymakers and practitioners with valuable insights. Following that, investigating the potential challenges and opportunities arising from the integration of emerging technologies such as artificial intelligence and blockchain within the context of inclusive growth will provide a more comprehensive understanding of the subject. Future research can pave the way for more effective strategies to harness the power of digital transformation for inclusive and sustainable economic development by addressing these issues.</w:t>
      </w:r>
    </w:p>
    <w:p w14:paraId="7FCEF8B6" w14:textId="5B90C8CB" w:rsidR="005A5BF1" w:rsidRPr="005F6FF4" w:rsidRDefault="005A5BF1" w:rsidP="00FF4690">
      <w:pPr>
        <w:jc w:val="both"/>
        <w:rPr>
          <w:b/>
          <w:sz w:val="28"/>
          <w:szCs w:val="28"/>
        </w:rPr>
      </w:pPr>
      <w:r w:rsidRPr="005F6FF4">
        <w:rPr>
          <w:b/>
          <w:sz w:val="28"/>
          <w:szCs w:val="28"/>
        </w:rPr>
        <w:t>Author Contribution</w:t>
      </w:r>
      <w:r w:rsidR="00B63A6F" w:rsidRPr="005F6FF4">
        <w:rPr>
          <w:b/>
          <w:sz w:val="28"/>
          <w:szCs w:val="28"/>
        </w:rPr>
        <w:t>s</w:t>
      </w:r>
    </w:p>
    <w:p w14:paraId="1C24C14C" w14:textId="45448B9B" w:rsidR="0097171A" w:rsidRPr="005F6FF4" w:rsidRDefault="0097171A" w:rsidP="00F608DD">
      <w:pPr>
        <w:spacing w:after="240"/>
        <w:jc w:val="both"/>
        <w:rPr>
          <w:bCs/>
        </w:rPr>
      </w:pPr>
      <w:r w:rsidRPr="005F6FF4">
        <w:rPr>
          <w:bCs/>
        </w:rPr>
        <w:t>Conceptualisation, V.S.K. and H.J.; Methodology, H.J.; Investigation, H.J; Analysis, V.S.K.; Original draft preparation, V.S.K. and H.J.; Review and editing, V.S.K. and H.J.; Visualization, V.S.K.</w:t>
      </w:r>
    </w:p>
    <w:p w14:paraId="242C1947" w14:textId="4959E746" w:rsidR="005A5BF1" w:rsidRPr="005F6FF4" w:rsidRDefault="005A5BF1" w:rsidP="00FF4690">
      <w:pPr>
        <w:jc w:val="both"/>
        <w:rPr>
          <w:b/>
          <w:sz w:val="28"/>
          <w:szCs w:val="28"/>
        </w:rPr>
      </w:pPr>
      <w:r w:rsidRPr="005F6FF4">
        <w:rPr>
          <w:b/>
          <w:sz w:val="28"/>
          <w:szCs w:val="28"/>
        </w:rPr>
        <w:t>Acknowledgement</w:t>
      </w:r>
    </w:p>
    <w:p w14:paraId="190A50A8" w14:textId="50FE50E1" w:rsidR="0097171A" w:rsidRPr="005F6FF4" w:rsidRDefault="0097171A" w:rsidP="00F608DD">
      <w:pPr>
        <w:spacing w:after="240"/>
        <w:jc w:val="both"/>
        <w:rPr>
          <w:bCs/>
        </w:rPr>
      </w:pPr>
      <w:r w:rsidRPr="005F6FF4">
        <w:rPr>
          <w:bCs/>
        </w:rPr>
        <w:t xml:space="preserve">The author would like to express gratitude to </w:t>
      </w:r>
      <w:r w:rsidRPr="005F6FF4">
        <w:rPr>
          <w:bCs/>
          <w:i/>
          <w:iCs/>
        </w:rPr>
        <w:t xml:space="preserve">Universitas Katolik Widya Mandala Surabaya </w:t>
      </w:r>
      <w:r w:rsidRPr="005F6FF4">
        <w:rPr>
          <w:bCs/>
        </w:rPr>
        <w:t xml:space="preserve">and </w:t>
      </w:r>
      <w:r w:rsidRPr="005F6FF4">
        <w:rPr>
          <w:bCs/>
          <w:i/>
          <w:iCs/>
        </w:rPr>
        <w:t xml:space="preserve">Universitas Brawijaya </w:t>
      </w:r>
      <w:r w:rsidRPr="005F6FF4">
        <w:rPr>
          <w:bCs/>
        </w:rPr>
        <w:t xml:space="preserve">for providing support. The author would also like to thank two anonymous reviewers who provided suggestions for improving the manuscript's </w:t>
      </w:r>
      <w:r w:rsidRPr="005F6FF4">
        <w:rPr>
          <w:bCs/>
          <w:lang w:val="en-GB"/>
        </w:rPr>
        <w:t>quality</w:t>
      </w:r>
      <w:r w:rsidRPr="005F6FF4">
        <w:rPr>
          <w:bCs/>
        </w:rPr>
        <w:t>.</w:t>
      </w:r>
    </w:p>
    <w:p w14:paraId="4B885D50" w14:textId="0169DA50" w:rsidR="005A5BF1" w:rsidRPr="005F6FF4" w:rsidRDefault="005A5BF1" w:rsidP="00FF4690">
      <w:pPr>
        <w:jc w:val="both"/>
        <w:rPr>
          <w:b/>
          <w:sz w:val="28"/>
          <w:szCs w:val="28"/>
        </w:rPr>
      </w:pPr>
      <w:r w:rsidRPr="005F6FF4">
        <w:rPr>
          <w:b/>
          <w:sz w:val="28"/>
          <w:szCs w:val="28"/>
        </w:rPr>
        <w:t>Conflict of Interest</w:t>
      </w:r>
    </w:p>
    <w:p w14:paraId="42B38CB3" w14:textId="734DCD9D" w:rsidR="00F608DD" w:rsidRPr="005F6FF4" w:rsidRDefault="005A5BF1" w:rsidP="00072897">
      <w:pPr>
        <w:spacing w:after="240"/>
        <w:jc w:val="both"/>
        <w:rPr>
          <w:rFonts w:cstheme="minorHAnsi"/>
          <w:lang w:val="en-GB"/>
        </w:rPr>
      </w:pPr>
      <w:r w:rsidRPr="005F6FF4">
        <w:rPr>
          <w:rFonts w:cstheme="minorHAnsi"/>
          <w:lang w:val="en-GB"/>
        </w:rPr>
        <w:t>The authors declare no conflict of interest. The funders had no role in the design of the study; in the collection, analyses, or interpretation of data; in the writing of the manuscript, or in the decision to publish the results.</w:t>
      </w:r>
    </w:p>
    <w:p w14:paraId="4FE068DA" w14:textId="523FAF81" w:rsidR="00BF58DE" w:rsidRPr="005F6FF4" w:rsidRDefault="00220EB3" w:rsidP="00775C92">
      <w:pPr>
        <w:spacing w:after="0"/>
        <w:jc w:val="both"/>
        <w:rPr>
          <w:rFonts w:cstheme="minorHAnsi"/>
          <w:b/>
          <w:bCs/>
          <w:lang w:val="en-GB"/>
        </w:rPr>
      </w:pPr>
      <w:r w:rsidRPr="005F6FF4">
        <w:rPr>
          <w:rFonts w:cstheme="minorHAnsi"/>
          <w:b/>
          <w:bCs/>
          <w:lang w:val="en-GB"/>
        </w:rPr>
        <w:t xml:space="preserve"> </w:t>
      </w:r>
    </w:p>
    <w:p w14:paraId="3A2F2E58" w14:textId="77777777" w:rsidR="00BF58DE" w:rsidRPr="005F6FF4" w:rsidRDefault="00BF58DE" w:rsidP="00220EB3">
      <w:pPr>
        <w:spacing w:after="0"/>
        <w:jc w:val="both"/>
        <w:rPr>
          <w:rFonts w:cstheme="minorHAnsi"/>
          <w:b/>
          <w:bCs/>
          <w:lang w:val="en-GB"/>
        </w:rPr>
      </w:pPr>
    </w:p>
    <w:p w14:paraId="2742F683" w14:textId="77777777" w:rsidR="00BF58DE" w:rsidRPr="005F6FF4" w:rsidRDefault="00BF58DE" w:rsidP="00220EB3">
      <w:pPr>
        <w:spacing w:after="0"/>
        <w:jc w:val="both"/>
        <w:rPr>
          <w:rFonts w:cstheme="minorHAnsi"/>
          <w:b/>
          <w:bCs/>
          <w:lang w:val="en-GB"/>
        </w:rPr>
      </w:pPr>
    </w:p>
    <w:p w14:paraId="10BCD7EB" w14:textId="77777777" w:rsidR="00BF58DE" w:rsidRPr="005F6FF4" w:rsidRDefault="00BF58DE" w:rsidP="00220EB3">
      <w:pPr>
        <w:spacing w:after="0"/>
        <w:jc w:val="both"/>
        <w:rPr>
          <w:rFonts w:cstheme="minorHAnsi"/>
          <w:b/>
          <w:bCs/>
          <w:lang w:val="en-GB"/>
        </w:rPr>
      </w:pPr>
    </w:p>
    <w:p w14:paraId="11BB5736" w14:textId="77777777" w:rsidR="00BF58DE" w:rsidRPr="005F6FF4" w:rsidRDefault="00BF58DE" w:rsidP="00220EB3">
      <w:pPr>
        <w:spacing w:after="0"/>
        <w:jc w:val="both"/>
        <w:rPr>
          <w:rFonts w:cstheme="minorHAnsi"/>
          <w:b/>
          <w:bCs/>
          <w:lang w:val="en-GB"/>
        </w:rPr>
      </w:pPr>
    </w:p>
    <w:p w14:paraId="2EAD5A63" w14:textId="77777777" w:rsidR="00BF58DE" w:rsidRPr="005F6FF4" w:rsidRDefault="00BF58DE" w:rsidP="00220EB3">
      <w:pPr>
        <w:spacing w:after="0"/>
        <w:jc w:val="both"/>
        <w:rPr>
          <w:rFonts w:cstheme="minorHAnsi"/>
          <w:b/>
          <w:bCs/>
          <w:lang w:val="en-GB"/>
        </w:rPr>
      </w:pPr>
    </w:p>
    <w:p w14:paraId="5823A91C" w14:textId="77777777" w:rsidR="00BF58DE" w:rsidRPr="005F6FF4" w:rsidRDefault="00BF58DE" w:rsidP="00220EB3">
      <w:pPr>
        <w:spacing w:after="0"/>
        <w:jc w:val="both"/>
        <w:rPr>
          <w:rFonts w:cstheme="minorHAnsi"/>
          <w:b/>
          <w:bCs/>
          <w:lang w:val="en-GB"/>
        </w:rPr>
      </w:pPr>
    </w:p>
    <w:p w14:paraId="18B9BB85" w14:textId="77777777" w:rsidR="00BF58DE" w:rsidRPr="005F6FF4" w:rsidRDefault="00BF58DE" w:rsidP="00220EB3">
      <w:pPr>
        <w:spacing w:after="0"/>
        <w:jc w:val="both"/>
        <w:rPr>
          <w:rFonts w:cstheme="minorHAnsi"/>
          <w:b/>
          <w:bCs/>
          <w:lang w:val="en-GB"/>
        </w:rPr>
      </w:pPr>
    </w:p>
    <w:p w14:paraId="5EC56B46" w14:textId="77777777" w:rsidR="00BF58DE" w:rsidRPr="005F6FF4" w:rsidRDefault="00BF58DE" w:rsidP="00220EB3">
      <w:pPr>
        <w:spacing w:after="0"/>
        <w:jc w:val="both"/>
        <w:rPr>
          <w:rFonts w:cstheme="minorHAnsi"/>
          <w:b/>
          <w:bCs/>
          <w:lang w:val="en-GB"/>
        </w:rPr>
      </w:pPr>
    </w:p>
    <w:p w14:paraId="50B05215" w14:textId="55F40A2F" w:rsidR="00220EB3" w:rsidRPr="005F6FF4" w:rsidRDefault="00220EB3" w:rsidP="00220EB3">
      <w:pPr>
        <w:spacing w:after="0"/>
        <w:jc w:val="both"/>
        <w:rPr>
          <w:rFonts w:cstheme="minorHAnsi"/>
          <w:lang w:val="en-GB"/>
        </w:rPr>
      </w:pPr>
      <w:r w:rsidRPr="005F6FF4">
        <w:rPr>
          <w:rFonts w:cstheme="minorHAnsi"/>
          <w:b/>
          <w:bCs/>
          <w:lang w:val="en-GB"/>
        </w:rPr>
        <w:lastRenderedPageBreak/>
        <w:t>Appendix 1:</w:t>
      </w:r>
      <w:r w:rsidRPr="005F6FF4">
        <w:rPr>
          <w:rFonts w:cstheme="minorHAnsi"/>
          <w:lang w:val="en-GB"/>
        </w:rPr>
        <w:t xml:space="preserve"> Digital Transformation and Inclusion Growth Index Indicators</w:t>
      </w:r>
    </w:p>
    <w:tbl>
      <w:tblPr>
        <w:tblStyle w:val="TableGrid"/>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1706"/>
        <w:gridCol w:w="4531"/>
      </w:tblGrid>
      <w:tr w:rsidR="00220EB3" w:rsidRPr="005F6FF4" w14:paraId="2F7EB31D" w14:textId="77777777" w:rsidTr="00220EB3">
        <w:trPr>
          <w:tblHeader/>
        </w:trPr>
        <w:tc>
          <w:tcPr>
            <w:tcW w:w="2830" w:type="dxa"/>
            <w:tcBorders>
              <w:top w:val="single" w:sz="4" w:space="0" w:color="auto"/>
              <w:bottom w:val="single" w:sz="4" w:space="0" w:color="auto"/>
            </w:tcBorders>
          </w:tcPr>
          <w:p w14:paraId="1749DE3A" w14:textId="77777777" w:rsidR="00220EB3" w:rsidRPr="005F6FF4" w:rsidRDefault="00220EB3" w:rsidP="00220EB3">
            <w:pPr>
              <w:rPr>
                <w:b/>
                <w:bCs/>
                <w:sz w:val="20"/>
                <w:szCs w:val="20"/>
              </w:rPr>
            </w:pPr>
            <w:r w:rsidRPr="005F6FF4">
              <w:rPr>
                <w:b/>
                <w:bCs/>
                <w:sz w:val="20"/>
                <w:szCs w:val="20"/>
              </w:rPr>
              <w:t>Variables/Indicators</w:t>
            </w:r>
          </w:p>
        </w:tc>
        <w:tc>
          <w:tcPr>
            <w:tcW w:w="1706" w:type="dxa"/>
            <w:tcBorders>
              <w:top w:val="single" w:sz="4" w:space="0" w:color="auto"/>
              <w:bottom w:val="single" w:sz="4" w:space="0" w:color="auto"/>
            </w:tcBorders>
          </w:tcPr>
          <w:p w14:paraId="07DF0E72" w14:textId="77777777" w:rsidR="00220EB3" w:rsidRPr="005F6FF4" w:rsidRDefault="00220EB3" w:rsidP="00220EB3">
            <w:pPr>
              <w:jc w:val="center"/>
              <w:rPr>
                <w:b/>
                <w:bCs/>
                <w:sz w:val="20"/>
                <w:szCs w:val="20"/>
              </w:rPr>
            </w:pPr>
            <w:r w:rsidRPr="005F6FF4">
              <w:rPr>
                <w:b/>
                <w:bCs/>
                <w:sz w:val="20"/>
                <w:szCs w:val="20"/>
              </w:rPr>
              <w:t>Unit</w:t>
            </w:r>
          </w:p>
        </w:tc>
        <w:tc>
          <w:tcPr>
            <w:tcW w:w="4531" w:type="dxa"/>
            <w:tcBorders>
              <w:top w:val="single" w:sz="4" w:space="0" w:color="auto"/>
              <w:bottom w:val="single" w:sz="4" w:space="0" w:color="auto"/>
            </w:tcBorders>
          </w:tcPr>
          <w:p w14:paraId="1339E7CF" w14:textId="77777777" w:rsidR="00220EB3" w:rsidRPr="005F6FF4" w:rsidRDefault="00220EB3" w:rsidP="00220EB3">
            <w:pPr>
              <w:jc w:val="center"/>
              <w:rPr>
                <w:b/>
                <w:bCs/>
                <w:sz w:val="20"/>
                <w:szCs w:val="20"/>
              </w:rPr>
            </w:pPr>
            <w:r w:rsidRPr="005F6FF4">
              <w:rPr>
                <w:b/>
                <w:bCs/>
                <w:sz w:val="20"/>
                <w:szCs w:val="20"/>
              </w:rPr>
              <w:t>Definition</w:t>
            </w:r>
          </w:p>
        </w:tc>
      </w:tr>
      <w:tr w:rsidR="00220EB3" w:rsidRPr="005F6FF4" w14:paraId="341FD7F3" w14:textId="77777777" w:rsidTr="00220EB3">
        <w:tc>
          <w:tcPr>
            <w:tcW w:w="2830" w:type="dxa"/>
            <w:tcBorders>
              <w:top w:val="single" w:sz="4" w:space="0" w:color="auto"/>
              <w:bottom w:val="single" w:sz="4" w:space="0" w:color="auto"/>
            </w:tcBorders>
          </w:tcPr>
          <w:p w14:paraId="2AAA1AE1" w14:textId="77777777" w:rsidR="00220EB3" w:rsidRPr="005F6FF4" w:rsidRDefault="00220EB3" w:rsidP="00220EB3">
            <w:pPr>
              <w:jc w:val="both"/>
              <w:rPr>
                <w:b/>
                <w:bCs/>
                <w:sz w:val="20"/>
                <w:szCs w:val="20"/>
              </w:rPr>
            </w:pPr>
            <w:r w:rsidRPr="005F6FF4">
              <w:rPr>
                <w:b/>
                <w:bCs/>
                <w:sz w:val="20"/>
                <w:szCs w:val="20"/>
              </w:rPr>
              <w:t xml:space="preserve">Digital Transformation </w:t>
            </w:r>
            <m:oMath>
              <m:r>
                <m:rPr>
                  <m:sty m:val="bi"/>
                </m:rPr>
                <w:rPr>
                  <w:rFonts w:ascii="Cambria Math" w:hAnsi="Cambria Math"/>
                  <w:sz w:val="20"/>
                  <w:szCs w:val="20"/>
                </w:rPr>
                <m:t>(</m:t>
              </m:r>
              <m:r>
                <w:rPr>
                  <w:rFonts w:ascii="Cambria Math" w:hAnsi="Cambria Math"/>
                  <w:sz w:val="20"/>
                  <w:szCs w:val="20"/>
                </w:rPr>
                <m:t>DT</m:t>
              </m:r>
              <m:r>
                <w:rPr>
                  <w:rFonts w:ascii="Cambria Math" w:hAnsi="Cambria Math" w:cstheme="minorHAnsi"/>
                  <w:sz w:val="20"/>
                  <w:szCs w:val="20"/>
                  <w:lang w:val="en-GB"/>
                </w:rPr>
                <m:t>)</m:t>
              </m:r>
            </m:oMath>
          </w:p>
        </w:tc>
        <w:tc>
          <w:tcPr>
            <w:tcW w:w="1706" w:type="dxa"/>
            <w:tcBorders>
              <w:top w:val="single" w:sz="4" w:space="0" w:color="auto"/>
              <w:bottom w:val="single" w:sz="4" w:space="0" w:color="auto"/>
            </w:tcBorders>
          </w:tcPr>
          <w:p w14:paraId="5AD5FE2E" w14:textId="77777777" w:rsidR="00220EB3" w:rsidRPr="005F6FF4" w:rsidRDefault="00220EB3" w:rsidP="00220EB3">
            <w:pPr>
              <w:jc w:val="both"/>
              <w:rPr>
                <w:sz w:val="20"/>
                <w:szCs w:val="20"/>
              </w:rPr>
            </w:pPr>
          </w:p>
        </w:tc>
        <w:tc>
          <w:tcPr>
            <w:tcW w:w="4531" w:type="dxa"/>
            <w:tcBorders>
              <w:top w:val="single" w:sz="4" w:space="0" w:color="auto"/>
              <w:bottom w:val="single" w:sz="4" w:space="0" w:color="auto"/>
            </w:tcBorders>
          </w:tcPr>
          <w:p w14:paraId="5E851FBF" w14:textId="77777777" w:rsidR="00220EB3" w:rsidRPr="005F6FF4" w:rsidRDefault="00220EB3" w:rsidP="00220EB3">
            <w:pPr>
              <w:jc w:val="both"/>
              <w:rPr>
                <w:sz w:val="20"/>
                <w:szCs w:val="20"/>
              </w:rPr>
            </w:pPr>
          </w:p>
        </w:tc>
      </w:tr>
      <w:tr w:rsidR="00220EB3" w:rsidRPr="005F6FF4" w14:paraId="1BAF9695" w14:textId="77777777" w:rsidTr="00220EB3">
        <w:tc>
          <w:tcPr>
            <w:tcW w:w="2830" w:type="dxa"/>
            <w:tcBorders>
              <w:top w:val="single" w:sz="4" w:space="0" w:color="auto"/>
              <w:bottom w:val="single" w:sz="4" w:space="0" w:color="auto"/>
            </w:tcBorders>
          </w:tcPr>
          <w:p w14:paraId="44AC5EE4" w14:textId="77777777" w:rsidR="00220EB3" w:rsidRPr="005F6FF4" w:rsidRDefault="00220EB3" w:rsidP="00220EB3">
            <w:pPr>
              <w:ind w:left="312"/>
              <w:rPr>
                <w:sz w:val="20"/>
                <w:szCs w:val="20"/>
              </w:rPr>
            </w:pPr>
            <w:r w:rsidRPr="005F6FF4">
              <w:rPr>
                <w:sz w:val="20"/>
                <w:szCs w:val="20"/>
              </w:rPr>
              <w:t>Mobile cellular subscriptions (</w:t>
            </w:r>
            <m:oMath>
              <m:sSub>
                <m:sSubPr>
                  <m:ctrlPr>
                    <w:rPr>
                      <w:rFonts w:ascii="Cambria Math" w:hAnsi="Cambria Math" w:cstheme="minorHAnsi"/>
                      <w:i/>
                      <w:sz w:val="20"/>
                      <w:szCs w:val="20"/>
                      <w:lang w:val="en-GB"/>
                    </w:rPr>
                  </m:ctrlPr>
                </m:sSubPr>
                <m:e>
                  <m:r>
                    <w:rPr>
                      <w:rFonts w:ascii="Cambria Math" w:hAnsi="Cambria Math" w:cstheme="minorHAnsi"/>
                      <w:sz w:val="20"/>
                      <w:szCs w:val="20"/>
                      <w:lang w:val="en-GB"/>
                    </w:rPr>
                    <m:t>DT</m:t>
                  </m:r>
                </m:e>
                <m:sub>
                  <m:r>
                    <w:rPr>
                      <w:rFonts w:ascii="Cambria Math" w:hAnsi="Cambria Math" w:cstheme="minorHAnsi"/>
                      <w:sz w:val="20"/>
                      <w:szCs w:val="20"/>
                      <w:lang w:val="en-GB"/>
                    </w:rPr>
                    <m:t>1</m:t>
                  </m:r>
                </m:sub>
              </m:sSub>
              <m:r>
                <w:rPr>
                  <w:rFonts w:ascii="Cambria Math" w:hAnsi="Cambria Math" w:cstheme="minorHAnsi"/>
                  <w:sz w:val="20"/>
                  <w:szCs w:val="20"/>
                  <w:lang w:val="en-GB"/>
                </w:rPr>
                <m:t>)</m:t>
              </m:r>
            </m:oMath>
            <w:r w:rsidRPr="005F6FF4">
              <w:rPr>
                <w:sz w:val="20"/>
                <w:szCs w:val="20"/>
              </w:rPr>
              <w:t xml:space="preserve"> </w:t>
            </w:r>
          </w:p>
        </w:tc>
        <w:tc>
          <w:tcPr>
            <w:tcW w:w="1706" w:type="dxa"/>
            <w:tcBorders>
              <w:top w:val="single" w:sz="4" w:space="0" w:color="auto"/>
              <w:bottom w:val="single" w:sz="4" w:space="0" w:color="auto"/>
            </w:tcBorders>
          </w:tcPr>
          <w:p w14:paraId="23C133F6" w14:textId="77777777" w:rsidR="00220EB3" w:rsidRPr="005F6FF4" w:rsidRDefault="00220EB3" w:rsidP="00220EB3">
            <w:pPr>
              <w:jc w:val="center"/>
              <w:rPr>
                <w:sz w:val="20"/>
                <w:szCs w:val="20"/>
              </w:rPr>
            </w:pPr>
            <w:r w:rsidRPr="005F6FF4">
              <w:rPr>
                <w:sz w:val="20"/>
                <w:szCs w:val="20"/>
              </w:rPr>
              <w:t>per 1000 people</w:t>
            </w:r>
          </w:p>
        </w:tc>
        <w:tc>
          <w:tcPr>
            <w:tcW w:w="4531" w:type="dxa"/>
            <w:tcBorders>
              <w:top w:val="single" w:sz="4" w:space="0" w:color="auto"/>
              <w:bottom w:val="single" w:sz="4" w:space="0" w:color="auto"/>
            </w:tcBorders>
          </w:tcPr>
          <w:p w14:paraId="45F323C2" w14:textId="77777777" w:rsidR="00220EB3" w:rsidRPr="005F6FF4" w:rsidRDefault="00220EB3" w:rsidP="00220EB3">
            <w:pPr>
              <w:jc w:val="both"/>
              <w:rPr>
                <w:sz w:val="20"/>
                <w:szCs w:val="20"/>
              </w:rPr>
            </w:pPr>
            <w:r w:rsidRPr="005F6FF4">
              <w:rPr>
                <w:sz w:val="20"/>
                <w:szCs w:val="20"/>
              </w:rPr>
              <w:t>Subscriptions to a public mobile telephone service that provide access to the PSTN using cellular technology. The indicator includes (and is split into) the number of postpaid subscriptions, and the number of active prepaid accounts (i.e. that have been used during the last three months)</w:t>
            </w:r>
          </w:p>
        </w:tc>
      </w:tr>
      <w:tr w:rsidR="00220EB3" w:rsidRPr="005F6FF4" w14:paraId="293F3640" w14:textId="77777777" w:rsidTr="00220EB3">
        <w:tc>
          <w:tcPr>
            <w:tcW w:w="2830" w:type="dxa"/>
            <w:tcBorders>
              <w:top w:val="single" w:sz="4" w:space="0" w:color="auto"/>
              <w:bottom w:val="single" w:sz="4" w:space="0" w:color="auto"/>
            </w:tcBorders>
          </w:tcPr>
          <w:p w14:paraId="3A308215" w14:textId="77777777" w:rsidR="00220EB3" w:rsidRPr="005F6FF4" w:rsidRDefault="00220EB3" w:rsidP="00220EB3">
            <w:pPr>
              <w:ind w:left="312"/>
              <w:rPr>
                <w:sz w:val="20"/>
                <w:szCs w:val="20"/>
              </w:rPr>
            </w:pPr>
            <w:r w:rsidRPr="005F6FF4">
              <w:rPr>
                <w:sz w:val="20"/>
                <w:szCs w:val="20"/>
              </w:rPr>
              <w:t xml:space="preserve">Fixed telephone subscriptions </w:t>
            </w:r>
            <m:oMath>
              <m:r>
                <w:rPr>
                  <w:rFonts w:ascii="Cambria Math" w:hAnsi="Cambria Math"/>
                  <w:sz w:val="20"/>
                  <w:szCs w:val="20"/>
                </w:rPr>
                <m:t>(</m:t>
              </m:r>
              <m:sSub>
                <m:sSubPr>
                  <m:ctrlPr>
                    <w:rPr>
                      <w:rFonts w:ascii="Cambria Math" w:hAnsi="Cambria Math" w:cstheme="minorHAnsi"/>
                      <w:i/>
                      <w:sz w:val="20"/>
                      <w:szCs w:val="20"/>
                      <w:lang w:val="en-GB"/>
                    </w:rPr>
                  </m:ctrlPr>
                </m:sSubPr>
                <m:e>
                  <m:r>
                    <w:rPr>
                      <w:rFonts w:ascii="Cambria Math" w:hAnsi="Cambria Math" w:cstheme="minorHAnsi"/>
                      <w:sz w:val="20"/>
                      <w:szCs w:val="20"/>
                      <w:lang w:val="en-GB"/>
                    </w:rPr>
                    <m:t>DT</m:t>
                  </m:r>
                </m:e>
                <m:sub>
                  <m:r>
                    <w:rPr>
                      <w:rFonts w:ascii="Cambria Math" w:hAnsi="Cambria Math" w:cstheme="minorHAnsi"/>
                      <w:sz w:val="20"/>
                      <w:szCs w:val="20"/>
                      <w:lang w:val="en-GB"/>
                    </w:rPr>
                    <m:t>2</m:t>
                  </m:r>
                </m:sub>
              </m:sSub>
              <m:r>
                <w:rPr>
                  <w:rFonts w:ascii="Cambria Math" w:hAnsi="Cambria Math" w:cstheme="minorHAnsi"/>
                  <w:sz w:val="20"/>
                  <w:szCs w:val="20"/>
                  <w:lang w:val="en-GB"/>
                </w:rPr>
                <m:t>)</m:t>
              </m:r>
            </m:oMath>
          </w:p>
        </w:tc>
        <w:tc>
          <w:tcPr>
            <w:tcW w:w="1706" w:type="dxa"/>
            <w:tcBorders>
              <w:top w:val="single" w:sz="4" w:space="0" w:color="auto"/>
              <w:bottom w:val="single" w:sz="4" w:space="0" w:color="auto"/>
            </w:tcBorders>
          </w:tcPr>
          <w:p w14:paraId="71FB430E" w14:textId="77777777" w:rsidR="00220EB3" w:rsidRPr="005F6FF4" w:rsidRDefault="00220EB3" w:rsidP="00220EB3">
            <w:pPr>
              <w:jc w:val="center"/>
              <w:rPr>
                <w:sz w:val="20"/>
                <w:szCs w:val="20"/>
              </w:rPr>
            </w:pPr>
            <w:r w:rsidRPr="005F6FF4">
              <w:rPr>
                <w:sz w:val="20"/>
                <w:szCs w:val="20"/>
              </w:rPr>
              <w:t>per 1000 people</w:t>
            </w:r>
          </w:p>
        </w:tc>
        <w:tc>
          <w:tcPr>
            <w:tcW w:w="4531" w:type="dxa"/>
            <w:tcBorders>
              <w:top w:val="single" w:sz="4" w:space="0" w:color="auto"/>
              <w:bottom w:val="single" w:sz="4" w:space="0" w:color="auto"/>
            </w:tcBorders>
          </w:tcPr>
          <w:p w14:paraId="4F4871B6" w14:textId="77777777" w:rsidR="00220EB3" w:rsidRPr="005F6FF4" w:rsidRDefault="00220EB3" w:rsidP="00220EB3">
            <w:pPr>
              <w:jc w:val="both"/>
              <w:rPr>
                <w:sz w:val="20"/>
                <w:szCs w:val="20"/>
              </w:rPr>
            </w:pPr>
            <w:r w:rsidRPr="005F6FF4">
              <w:rPr>
                <w:sz w:val="20"/>
                <w:szCs w:val="20"/>
              </w:rPr>
              <w:t>The sum of active number of analogue fixed telephone lines, voice-over-IP (VoIP) subscriptions, fixed wireless local loop (WLL) subscriptions, ISDN voice-channel equivalents and fixed public payphones.</w:t>
            </w:r>
          </w:p>
        </w:tc>
      </w:tr>
      <w:tr w:rsidR="00220EB3" w:rsidRPr="005F6FF4" w14:paraId="7F09C757" w14:textId="77777777" w:rsidTr="00220EB3">
        <w:tc>
          <w:tcPr>
            <w:tcW w:w="2830" w:type="dxa"/>
            <w:tcBorders>
              <w:top w:val="single" w:sz="4" w:space="0" w:color="auto"/>
              <w:bottom w:val="single" w:sz="4" w:space="0" w:color="auto"/>
            </w:tcBorders>
          </w:tcPr>
          <w:p w14:paraId="7910F4A3" w14:textId="77777777" w:rsidR="00220EB3" w:rsidRPr="005F6FF4" w:rsidRDefault="00220EB3" w:rsidP="00220EB3">
            <w:pPr>
              <w:ind w:left="312"/>
              <w:rPr>
                <w:sz w:val="20"/>
                <w:szCs w:val="20"/>
              </w:rPr>
            </w:pPr>
            <w:r w:rsidRPr="005F6FF4">
              <w:rPr>
                <w:sz w:val="20"/>
                <w:szCs w:val="20"/>
              </w:rPr>
              <w:t xml:space="preserve">Fixed broadband subscriptions  </w:t>
            </w:r>
            <m:oMath>
              <m:r>
                <w:rPr>
                  <w:rFonts w:ascii="Cambria Math" w:hAnsi="Cambria Math"/>
                  <w:sz w:val="20"/>
                  <w:szCs w:val="20"/>
                </w:rPr>
                <m:t>(</m:t>
              </m:r>
              <m:sSub>
                <m:sSubPr>
                  <m:ctrlPr>
                    <w:rPr>
                      <w:rFonts w:ascii="Cambria Math" w:hAnsi="Cambria Math" w:cstheme="minorHAnsi"/>
                      <w:i/>
                      <w:sz w:val="20"/>
                      <w:szCs w:val="20"/>
                      <w:lang w:val="en-GB"/>
                    </w:rPr>
                  </m:ctrlPr>
                </m:sSubPr>
                <m:e>
                  <m:r>
                    <w:rPr>
                      <w:rFonts w:ascii="Cambria Math" w:hAnsi="Cambria Math" w:cstheme="minorHAnsi"/>
                      <w:sz w:val="20"/>
                      <w:szCs w:val="20"/>
                      <w:lang w:val="en-GB"/>
                    </w:rPr>
                    <m:t>DT</m:t>
                  </m:r>
                </m:e>
                <m:sub>
                  <m:r>
                    <w:rPr>
                      <w:rFonts w:ascii="Cambria Math" w:hAnsi="Cambria Math" w:cstheme="minorHAnsi"/>
                      <w:sz w:val="20"/>
                      <w:szCs w:val="20"/>
                      <w:lang w:val="en-GB"/>
                    </w:rPr>
                    <m:t>3</m:t>
                  </m:r>
                </m:sub>
              </m:sSub>
              <m:r>
                <w:rPr>
                  <w:rFonts w:ascii="Cambria Math" w:hAnsi="Cambria Math" w:cstheme="minorHAnsi"/>
                  <w:sz w:val="20"/>
                  <w:szCs w:val="20"/>
                  <w:lang w:val="en-GB"/>
                </w:rPr>
                <m:t>)</m:t>
              </m:r>
            </m:oMath>
          </w:p>
        </w:tc>
        <w:tc>
          <w:tcPr>
            <w:tcW w:w="1706" w:type="dxa"/>
            <w:tcBorders>
              <w:top w:val="single" w:sz="4" w:space="0" w:color="auto"/>
              <w:bottom w:val="single" w:sz="4" w:space="0" w:color="auto"/>
            </w:tcBorders>
          </w:tcPr>
          <w:p w14:paraId="1A8604AF" w14:textId="77777777" w:rsidR="00220EB3" w:rsidRPr="005F6FF4" w:rsidRDefault="00220EB3" w:rsidP="00220EB3">
            <w:pPr>
              <w:jc w:val="center"/>
              <w:rPr>
                <w:sz w:val="20"/>
                <w:szCs w:val="20"/>
              </w:rPr>
            </w:pPr>
            <w:r w:rsidRPr="005F6FF4">
              <w:rPr>
                <w:sz w:val="20"/>
                <w:szCs w:val="20"/>
              </w:rPr>
              <w:t>per 1000 people</w:t>
            </w:r>
          </w:p>
        </w:tc>
        <w:tc>
          <w:tcPr>
            <w:tcW w:w="4531" w:type="dxa"/>
            <w:tcBorders>
              <w:top w:val="single" w:sz="4" w:space="0" w:color="auto"/>
              <w:bottom w:val="single" w:sz="4" w:space="0" w:color="auto"/>
            </w:tcBorders>
          </w:tcPr>
          <w:p w14:paraId="226E5D9B" w14:textId="77777777" w:rsidR="00220EB3" w:rsidRPr="005F6FF4" w:rsidRDefault="00220EB3" w:rsidP="00220EB3">
            <w:pPr>
              <w:jc w:val="both"/>
              <w:rPr>
                <w:sz w:val="20"/>
                <w:szCs w:val="20"/>
              </w:rPr>
            </w:pPr>
            <w:r w:rsidRPr="005F6FF4">
              <w:rPr>
                <w:sz w:val="20"/>
                <w:szCs w:val="20"/>
              </w:rPr>
              <w:t>Fixed subscriptions to high-speed access to the public Internet (a TCP/IP connection), at downstream speeds equal to, or greater than, 256 kbit/s</w:t>
            </w:r>
          </w:p>
        </w:tc>
      </w:tr>
      <w:tr w:rsidR="00220EB3" w:rsidRPr="005F6FF4" w14:paraId="7C8DBE3B" w14:textId="77777777" w:rsidTr="00220EB3">
        <w:tc>
          <w:tcPr>
            <w:tcW w:w="2830" w:type="dxa"/>
            <w:tcBorders>
              <w:top w:val="single" w:sz="4" w:space="0" w:color="auto"/>
              <w:bottom w:val="single" w:sz="4" w:space="0" w:color="auto"/>
            </w:tcBorders>
          </w:tcPr>
          <w:p w14:paraId="3531521D" w14:textId="77777777" w:rsidR="00220EB3" w:rsidRPr="005F6FF4" w:rsidRDefault="00220EB3" w:rsidP="00220EB3">
            <w:pPr>
              <w:ind w:left="312"/>
              <w:rPr>
                <w:sz w:val="20"/>
                <w:szCs w:val="20"/>
              </w:rPr>
            </w:pPr>
            <w:r w:rsidRPr="005F6FF4">
              <w:rPr>
                <w:sz w:val="20"/>
                <w:szCs w:val="20"/>
              </w:rPr>
              <w:t xml:space="preserve">Individuals using the Internet </w:t>
            </w:r>
            <m:oMath>
              <m:r>
                <w:rPr>
                  <w:rFonts w:ascii="Cambria Math" w:hAnsi="Cambria Math"/>
                  <w:sz w:val="20"/>
                  <w:szCs w:val="20"/>
                </w:rPr>
                <m:t>(</m:t>
              </m:r>
              <m:sSub>
                <m:sSubPr>
                  <m:ctrlPr>
                    <w:rPr>
                      <w:rFonts w:ascii="Cambria Math" w:hAnsi="Cambria Math" w:cstheme="minorHAnsi"/>
                      <w:i/>
                      <w:sz w:val="20"/>
                      <w:szCs w:val="20"/>
                      <w:lang w:val="en-GB"/>
                    </w:rPr>
                  </m:ctrlPr>
                </m:sSubPr>
                <m:e>
                  <m:r>
                    <w:rPr>
                      <w:rFonts w:ascii="Cambria Math" w:hAnsi="Cambria Math" w:cstheme="minorHAnsi"/>
                      <w:sz w:val="20"/>
                      <w:szCs w:val="20"/>
                      <w:lang w:val="en-GB"/>
                    </w:rPr>
                    <m:t>DT</m:t>
                  </m:r>
                </m:e>
                <m:sub>
                  <m:r>
                    <w:rPr>
                      <w:rFonts w:ascii="Cambria Math" w:hAnsi="Cambria Math" w:cstheme="minorHAnsi"/>
                      <w:sz w:val="20"/>
                      <w:szCs w:val="20"/>
                      <w:lang w:val="en-GB"/>
                    </w:rPr>
                    <m:t>4</m:t>
                  </m:r>
                </m:sub>
              </m:sSub>
              <m:r>
                <w:rPr>
                  <w:rFonts w:ascii="Cambria Math" w:hAnsi="Cambria Math" w:cstheme="minorHAnsi"/>
                  <w:sz w:val="20"/>
                  <w:szCs w:val="20"/>
                  <w:lang w:val="en-GB"/>
                </w:rPr>
                <m:t>)</m:t>
              </m:r>
            </m:oMath>
          </w:p>
        </w:tc>
        <w:tc>
          <w:tcPr>
            <w:tcW w:w="1706" w:type="dxa"/>
            <w:tcBorders>
              <w:top w:val="single" w:sz="4" w:space="0" w:color="auto"/>
              <w:bottom w:val="single" w:sz="4" w:space="0" w:color="auto"/>
            </w:tcBorders>
          </w:tcPr>
          <w:p w14:paraId="4027DF9A" w14:textId="77777777" w:rsidR="00220EB3" w:rsidRPr="005F6FF4" w:rsidRDefault="00220EB3" w:rsidP="00220EB3">
            <w:pPr>
              <w:jc w:val="center"/>
              <w:rPr>
                <w:sz w:val="20"/>
                <w:szCs w:val="20"/>
              </w:rPr>
            </w:pPr>
            <w:r w:rsidRPr="005F6FF4">
              <w:rPr>
                <w:sz w:val="20"/>
                <w:szCs w:val="20"/>
              </w:rPr>
              <w:t>per 1000 people</w:t>
            </w:r>
          </w:p>
        </w:tc>
        <w:tc>
          <w:tcPr>
            <w:tcW w:w="4531" w:type="dxa"/>
            <w:tcBorders>
              <w:top w:val="single" w:sz="4" w:space="0" w:color="auto"/>
              <w:bottom w:val="single" w:sz="4" w:space="0" w:color="auto"/>
            </w:tcBorders>
          </w:tcPr>
          <w:p w14:paraId="54B9F235" w14:textId="77777777" w:rsidR="00220EB3" w:rsidRPr="005F6FF4" w:rsidRDefault="00220EB3" w:rsidP="00220EB3">
            <w:pPr>
              <w:jc w:val="both"/>
              <w:rPr>
                <w:sz w:val="20"/>
                <w:szCs w:val="20"/>
              </w:rPr>
            </w:pPr>
            <w:r w:rsidRPr="005F6FF4">
              <w:rPr>
                <w:sz w:val="20"/>
                <w:szCs w:val="20"/>
              </w:rPr>
              <w:t>individuals who have used the Internet (from any location) in the last 3 months. The Internet can be used via a computer, mobile phone, personal digital assistant, games machine, digital TV etc.</w:t>
            </w:r>
          </w:p>
        </w:tc>
      </w:tr>
      <w:tr w:rsidR="00220EB3" w:rsidRPr="005F6FF4" w14:paraId="6B88724F" w14:textId="77777777" w:rsidTr="00220EB3">
        <w:tc>
          <w:tcPr>
            <w:tcW w:w="2830" w:type="dxa"/>
            <w:tcBorders>
              <w:top w:val="single" w:sz="4" w:space="0" w:color="auto"/>
              <w:bottom w:val="single" w:sz="4" w:space="0" w:color="auto"/>
            </w:tcBorders>
          </w:tcPr>
          <w:p w14:paraId="64C7DB9C" w14:textId="77777777" w:rsidR="00220EB3" w:rsidRPr="005F6FF4" w:rsidRDefault="00220EB3" w:rsidP="00220EB3">
            <w:pPr>
              <w:ind w:left="312"/>
              <w:rPr>
                <w:sz w:val="20"/>
                <w:szCs w:val="20"/>
              </w:rPr>
            </w:pPr>
            <w:r w:rsidRPr="005F6FF4">
              <w:rPr>
                <w:sz w:val="20"/>
                <w:szCs w:val="20"/>
              </w:rPr>
              <w:t xml:space="preserve">ICT goods exports </w:t>
            </w:r>
            <m:oMath>
              <m:r>
                <w:rPr>
                  <w:rFonts w:ascii="Cambria Math" w:hAnsi="Cambria Math"/>
                  <w:sz w:val="20"/>
                  <w:szCs w:val="20"/>
                </w:rPr>
                <m:t>(</m:t>
              </m:r>
              <m:sSub>
                <m:sSubPr>
                  <m:ctrlPr>
                    <w:rPr>
                      <w:rFonts w:ascii="Cambria Math" w:hAnsi="Cambria Math" w:cstheme="minorHAnsi"/>
                      <w:i/>
                      <w:sz w:val="20"/>
                      <w:szCs w:val="20"/>
                      <w:lang w:val="en-GB"/>
                    </w:rPr>
                  </m:ctrlPr>
                </m:sSubPr>
                <m:e>
                  <m:r>
                    <w:rPr>
                      <w:rFonts w:ascii="Cambria Math" w:hAnsi="Cambria Math" w:cstheme="minorHAnsi"/>
                      <w:sz w:val="20"/>
                      <w:szCs w:val="20"/>
                      <w:lang w:val="en-GB"/>
                    </w:rPr>
                    <m:t>DT</m:t>
                  </m:r>
                </m:e>
                <m:sub>
                  <m:r>
                    <w:rPr>
                      <w:rFonts w:ascii="Cambria Math" w:hAnsi="Cambria Math" w:cstheme="minorHAnsi"/>
                      <w:sz w:val="20"/>
                      <w:szCs w:val="20"/>
                      <w:lang w:val="en-GB"/>
                    </w:rPr>
                    <m:t>5</m:t>
                  </m:r>
                </m:sub>
              </m:sSub>
              <m:r>
                <w:rPr>
                  <w:rFonts w:ascii="Cambria Math" w:hAnsi="Cambria Math" w:cstheme="minorHAnsi"/>
                  <w:sz w:val="20"/>
                  <w:szCs w:val="20"/>
                  <w:lang w:val="en-GB"/>
                </w:rPr>
                <m:t>)</m:t>
              </m:r>
            </m:oMath>
          </w:p>
        </w:tc>
        <w:tc>
          <w:tcPr>
            <w:tcW w:w="1706" w:type="dxa"/>
            <w:tcBorders>
              <w:top w:val="single" w:sz="4" w:space="0" w:color="auto"/>
              <w:bottom w:val="single" w:sz="4" w:space="0" w:color="auto"/>
            </w:tcBorders>
          </w:tcPr>
          <w:p w14:paraId="6240EB60" w14:textId="77777777" w:rsidR="00220EB3" w:rsidRPr="005F6FF4" w:rsidRDefault="00220EB3" w:rsidP="00220EB3">
            <w:pPr>
              <w:jc w:val="center"/>
              <w:rPr>
                <w:sz w:val="20"/>
                <w:szCs w:val="20"/>
              </w:rPr>
            </w:pPr>
            <w:r w:rsidRPr="005F6FF4">
              <w:rPr>
                <w:sz w:val="20"/>
                <w:szCs w:val="20"/>
              </w:rPr>
              <w:t>% of total goods exports</w:t>
            </w:r>
          </w:p>
        </w:tc>
        <w:tc>
          <w:tcPr>
            <w:tcW w:w="4531" w:type="dxa"/>
            <w:tcBorders>
              <w:top w:val="single" w:sz="4" w:space="0" w:color="auto"/>
              <w:bottom w:val="single" w:sz="4" w:space="0" w:color="auto"/>
            </w:tcBorders>
          </w:tcPr>
          <w:p w14:paraId="6F92BDCE" w14:textId="77777777" w:rsidR="00220EB3" w:rsidRPr="005F6FF4" w:rsidRDefault="00220EB3" w:rsidP="00220EB3">
            <w:pPr>
              <w:jc w:val="both"/>
              <w:rPr>
                <w:sz w:val="20"/>
                <w:szCs w:val="20"/>
              </w:rPr>
            </w:pPr>
            <w:r w:rsidRPr="005F6FF4">
              <w:rPr>
                <w:sz w:val="20"/>
                <w:szCs w:val="20"/>
              </w:rPr>
              <w:t>Information and communication technology goods exports include computers and peripheral equipment, communication equipment, consumer electronic equipment, electronic components, and other information and technology goods (miscellaneous).</w:t>
            </w:r>
          </w:p>
        </w:tc>
      </w:tr>
      <w:tr w:rsidR="00220EB3" w:rsidRPr="005F6FF4" w14:paraId="3F2905D1" w14:textId="77777777" w:rsidTr="00220EB3">
        <w:tc>
          <w:tcPr>
            <w:tcW w:w="2830" w:type="dxa"/>
            <w:tcBorders>
              <w:top w:val="single" w:sz="4" w:space="0" w:color="auto"/>
              <w:bottom w:val="single" w:sz="4" w:space="0" w:color="auto"/>
            </w:tcBorders>
          </w:tcPr>
          <w:p w14:paraId="6C961EE2" w14:textId="77777777" w:rsidR="00220EB3" w:rsidRPr="005F6FF4" w:rsidRDefault="00220EB3" w:rsidP="00220EB3">
            <w:pPr>
              <w:ind w:left="312"/>
              <w:rPr>
                <w:sz w:val="20"/>
                <w:szCs w:val="20"/>
              </w:rPr>
            </w:pPr>
            <w:r w:rsidRPr="005F6FF4">
              <w:rPr>
                <w:sz w:val="20"/>
                <w:szCs w:val="20"/>
              </w:rPr>
              <w:t xml:space="preserve">ICT service exports </w:t>
            </w:r>
            <m:oMath>
              <m:r>
                <w:rPr>
                  <w:rFonts w:ascii="Cambria Math" w:hAnsi="Cambria Math"/>
                  <w:sz w:val="20"/>
                  <w:szCs w:val="20"/>
                </w:rPr>
                <m:t>(</m:t>
              </m:r>
              <m:sSub>
                <m:sSubPr>
                  <m:ctrlPr>
                    <w:rPr>
                      <w:rFonts w:ascii="Cambria Math" w:hAnsi="Cambria Math" w:cstheme="minorHAnsi"/>
                      <w:i/>
                      <w:sz w:val="20"/>
                      <w:szCs w:val="20"/>
                      <w:lang w:val="en-GB"/>
                    </w:rPr>
                  </m:ctrlPr>
                </m:sSubPr>
                <m:e>
                  <m:r>
                    <w:rPr>
                      <w:rFonts w:ascii="Cambria Math" w:hAnsi="Cambria Math" w:cstheme="minorHAnsi"/>
                      <w:sz w:val="20"/>
                      <w:szCs w:val="20"/>
                      <w:lang w:val="en-GB"/>
                    </w:rPr>
                    <m:t>DT</m:t>
                  </m:r>
                </m:e>
                <m:sub>
                  <m:r>
                    <w:rPr>
                      <w:rFonts w:ascii="Cambria Math" w:hAnsi="Cambria Math" w:cstheme="minorHAnsi"/>
                      <w:sz w:val="20"/>
                      <w:szCs w:val="20"/>
                      <w:lang w:val="en-GB"/>
                    </w:rPr>
                    <m:t>6</m:t>
                  </m:r>
                </m:sub>
              </m:sSub>
              <m:r>
                <w:rPr>
                  <w:rFonts w:ascii="Cambria Math" w:hAnsi="Cambria Math" w:cstheme="minorHAnsi"/>
                  <w:sz w:val="20"/>
                  <w:szCs w:val="20"/>
                  <w:lang w:val="en-GB"/>
                </w:rPr>
                <m:t>)</m:t>
              </m:r>
            </m:oMath>
          </w:p>
        </w:tc>
        <w:tc>
          <w:tcPr>
            <w:tcW w:w="1706" w:type="dxa"/>
            <w:tcBorders>
              <w:top w:val="single" w:sz="4" w:space="0" w:color="auto"/>
              <w:bottom w:val="single" w:sz="4" w:space="0" w:color="auto"/>
            </w:tcBorders>
          </w:tcPr>
          <w:p w14:paraId="562BAA61" w14:textId="77777777" w:rsidR="00220EB3" w:rsidRPr="005F6FF4" w:rsidRDefault="00220EB3" w:rsidP="00220EB3">
            <w:pPr>
              <w:jc w:val="center"/>
              <w:rPr>
                <w:sz w:val="20"/>
                <w:szCs w:val="20"/>
              </w:rPr>
            </w:pPr>
            <w:r w:rsidRPr="005F6FF4">
              <w:rPr>
                <w:sz w:val="20"/>
                <w:szCs w:val="20"/>
              </w:rPr>
              <w:t>% of service exports, BoP</w:t>
            </w:r>
          </w:p>
        </w:tc>
        <w:tc>
          <w:tcPr>
            <w:tcW w:w="4531" w:type="dxa"/>
            <w:tcBorders>
              <w:top w:val="single" w:sz="4" w:space="0" w:color="auto"/>
              <w:bottom w:val="single" w:sz="4" w:space="0" w:color="auto"/>
            </w:tcBorders>
          </w:tcPr>
          <w:p w14:paraId="643422D4" w14:textId="77777777" w:rsidR="00220EB3" w:rsidRPr="005F6FF4" w:rsidRDefault="00220EB3" w:rsidP="00220EB3">
            <w:pPr>
              <w:jc w:val="both"/>
              <w:rPr>
                <w:sz w:val="20"/>
                <w:szCs w:val="20"/>
              </w:rPr>
            </w:pPr>
            <w:r w:rsidRPr="005F6FF4">
              <w:rPr>
                <w:sz w:val="20"/>
                <w:szCs w:val="20"/>
              </w:rPr>
              <w:t>Information and communication technology service exports include computer and communications services (telecommunications and postal and courier services) and information services (computer data and news-related service transactions).</w:t>
            </w:r>
          </w:p>
        </w:tc>
      </w:tr>
      <w:tr w:rsidR="00220EB3" w:rsidRPr="005F6FF4" w14:paraId="38792154" w14:textId="77777777" w:rsidTr="00220EB3">
        <w:tc>
          <w:tcPr>
            <w:tcW w:w="2830" w:type="dxa"/>
            <w:tcBorders>
              <w:top w:val="single" w:sz="4" w:space="0" w:color="auto"/>
              <w:bottom w:val="single" w:sz="4" w:space="0" w:color="auto"/>
            </w:tcBorders>
          </w:tcPr>
          <w:p w14:paraId="23D104DC" w14:textId="77777777" w:rsidR="00220EB3" w:rsidRPr="005F6FF4" w:rsidRDefault="00220EB3" w:rsidP="00220EB3">
            <w:pPr>
              <w:ind w:left="312"/>
              <w:rPr>
                <w:sz w:val="20"/>
                <w:szCs w:val="20"/>
              </w:rPr>
            </w:pPr>
            <w:r w:rsidRPr="005F6FF4">
              <w:rPr>
                <w:sz w:val="20"/>
                <w:szCs w:val="20"/>
              </w:rPr>
              <w:t xml:space="preserve">Medium and high-tech manufacturing value added </w:t>
            </w:r>
            <m:oMath>
              <m:r>
                <w:rPr>
                  <w:rFonts w:ascii="Cambria Math" w:hAnsi="Cambria Math"/>
                  <w:sz w:val="20"/>
                  <w:szCs w:val="20"/>
                </w:rPr>
                <m:t>(</m:t>
              </m:r>
              <m:sSub>
                <m:sSubPr>
                  <m:ctrlPr>
                    <w:rPr>
                      <w:rFonts w:ascii="Cambria Math" w:hAnsi="Cambria Math" w:cstheme="minorHAnsi"/>
                      <w:i/>
                      <w:sz w:val="20"/>
                      <w:szCs w:val="20"/>
                      <w:lang w:val="en-GB"/>
                    </w:rPr>
                  </m:ctrlPr>
                </m:sSubPr>
                <m:e>
                  <m:r>
                    <w:rPr>
                      <w:rFonts w:ascii="Cambria Math" w:hAnsi="Cambria Math" w:cstheme="minorHAnsi"/>
                      <w:sz w:val="20"/>
                      <w:szCs w:val="20"/>
                      <w:lang w:val="en-GB"/>
                    </w:rPr>
                    <m:t>DT</m:t>
                  </m:r>
                </m:e>
                <m:sub>
                  <m:r>
                    <w:rPr>
                      <w:rFonts w:ascii="Cambria Math" w:hAnsi="Cambria Math" w:cstheme="minorHAnsi"/>
                      <w:sz w:val="20"/>
                      <w:szCs w:val="20"/>
                      <w:lang w:val="en-GB"/>
                    </w:rPr>
                    <m:t>7</m:t>
                  </m:r>
                </m:sub>
              </m:sSub>
              <m:r>
                <w:rPr>
                  <w:rFonts w:ascii="Cambria Math" w:hAnsi="Cambria Math" w:cstheme="minorHAnsi"/>
                  <w:sz w:val="20"/>
                  <w:szCs w:val="20"/>
                  <w:lang w:val="en-GB"/>
                </w:rPr>
                <m:t>)</m:t>
              </m:r>
            </m:oMath>
          </w:p>
        </w:tc>
        <w:tc>
          <w:tcPr>
            <w:tcW w:w="1706" w:type="dxa"/>
            <w:tcBorders>
              <w:top w:val="single" w:sz="4" w:space="0" w:color="auto"/>
              <w:bottom w:val="single" w:sz="4" w:space="0" w:color="auto"/>
            </w:tcBorders>
          </w:tcPr>
          <w:p w14:paraId="24B42EE9" w14:textId="77777777" w:rsidR="00220EB3" w:rsidRPr="005F6FF4" w:rsidRDefault="00220EB3" w:rsidP="00220EB3">
            <w:pPr>
              <w:jc w:val="center"/>
              <w:rPr>
                <w:sz w:val="20"/>
                <w:szCs w:val="20"/>
              </w:rPr>
            </w:pPr>
            <w:r w:rsidRPr="005F6FF4">
              <w:rPr>
                <w:sz w:val="20"/>
                <w:szCs w:val="20"/>
              </w:rPr>
              <w:t>% manufacturing value added</w:t>
            </w:r>
          </w:p>
        </w:tc>
        <w:tc>
          <w:tcPr>
            <w:tcW w:w="4531" w:type="dxa"/>
            <w:tcBorders>
              <w:top w:val="single" w:sz="4" w:space="0" w:color="auto"/>
              <w:bottom w:val="single" w:sz="4" w:space="0" w:color="auto"/>
            </w:tcBorders>
          </w:tcPr>
          <w:p w14:paraId="2F7862F5" w14:textId="77777777" w:rsidR="00220EB3" w:rsidRPr="005F6FF4" w:rsidRDefault="00220EB3" w:rsidP="00220EB3">
            <w:pPr>
              <w:jc w:val="both"/>
              <w:rPr>
                <w:sz w:val="20"/>
                <w:szCs w:val="20"/>
              </w:rPr>
            </w:pPr>
            <w:r w:rsidRPr="005F6FF4">
              <w:rPr>
                <w:sz w:val="20"/>
                <w:szCs w:val="20"/>
              </w:rPr>
              <w:t>The proportion of medium and high-tech industry value added in total value added of manufacturing</w:t>
            </w:r>
          </w:p>
        </w:tc>
      </w:tr>
      <w:tr w:rsidR="00220EB3" w:rsidRPr="005F6FF4" w14:paraId="38B2592E" w14:textId="77777777" w:rsidTr="00220EB3">
        <w:tc>
          <w:tcPr>
            <w:tcW w:w="2830" w:type="dxa"/>
            <w:tcBorders>
              <w:top w:val="single" w:sz="4" w:space="0" w:color="auto"/>
              <w:bottom w:val="single" w:sz="4" w:space="0" w:color="auto"/>
            </w:tcBorders>
          </w:tcPr>
          <w:p w14:paraId="1A006291" w14:textId="77777777" w:rsidR="00220EB3" w:rsidRPr="005F6FF4" w:rsidRDefault="00220EB3" w:rsidP="00220EB3">
            <w:pPr>
              <w:ind w:left="312"/>
              <w:rPr>
                <w:sz w:val="20"/>
                <w:szCs w:val="20"/>
              </w:rPr>
            </w:pPr>
            <w:r w:rsidRPr="005F6FF4">
              <w:rPr>
                <w:sz w:val="20"/>
                <w:szCs w:val="20"/>
              </w:rPr>
              <w:t xml:space="preserve">Investment in telecoms with private participation </w:t>
            </w:r>
            <m:oMath>
              <m:r>
                <w:rPr>
                  <w:rFonts w:ascii="Cambria Math" w:hAnsi="Cambria Math"/>
                  <w:sz w:val="20"/>
                  <w:szCs w:val="20"/>
                </w:rPr>
                <m:t>(</m:t>
              </m:r>
              <m:sSub>
                <m:sSubPr>
                  <m:ctrlPr>
                    <w:rPr>
                      <w:rFonts w:ascii="Cambria Math" w:hAnsi="Cambria Math" w:cstheme="minorHAnsi"/>
                      <w:i/>
                      <w:sz w:val="20"/>
                      <w:szCs w:val="20"/>
                      <w:lang w:val="en-GB"/>
                    </w:rPr>
                  </m:ctrlPr>
                </m:sSubPr>
                <m:e>
                  <m:r>
                    <w:rPr>
                      <w:rFonts w:ascii="Cambria Math" w:hAnsi="Cambria Math" w:cstheme="minorHAnsi"/>
                      <w:sz w:val="20"/>
                      <w:szCs w:val="20"/>
                      <w:lang w:val="en-GB"/>
                    </w:rPr>
                    <m:t>DT</m:t>
                  </m:r>
                </m:e>
                <m:sub>
                  <m:r>
                    <w:rPr>
                      <w:rFonts w:ascii="Cambria Math" w:hAnsi="Cambria Math" w:cstheme="minorHAnsi"/>
                      <w:sz w:val="20"/>
                      <w:szCs w:val="20"/>
                      <w:lang w:val="en-GB"/>
                    </w:rPr>
                    <m:t>8</m:t>
                  </m:r>
                </m:sub>
              </m:sSub>
              <m:r>
                <w:rPr>
                  <w:rFonts w:ascii="Cambria Math" w:hAnsi="Cambria Math" w:cstheme="minorHAnsi"/>
                  <w:sz w:val="20"/>
                  <w:szCs w:val="20"/>
                  <w:lang w:val="en-GB"/>
                </w:rPr>
                <m:t>)</m:t>
              </m:r>
            </m:oMath>
          </w:p>
        </w:tc>
        <w:tc>
          <w:tcPr>
            <w:tcW w:w="1706" w:type="dxa"/>
            <w:tcBorders>
              <w:top w:val="single" w:sz="4" w:space="0" w:color="auto"/>
              <w:bottom w:val="single" w:sz="4" w:space="0" w:color="auto"/>
            </w:tcBorders>
          </w:tcPr>
          <w:p w14:paraId="1BD2205B" w14:textId="77777777" w:rsidR="00220EB3" w:rsidRPr="005F6FF4" w:rsidRDefault="00220EB3" w:rsidP="00220EB3">
            <w:pPr>
              <w:jc w:val="center"/>
              <w:rPr>
                <w:sz w:val="20"/>
                <w:szCs w:val="20"/>
              </w:rPr>
            </w:pPr>
            <w:r w:rsidRPr="005F6FF4">
              <w:rPr>
                <w:sz w:val="20"/>
                <w:szCs w:val="20"/>
              </w:rPr>
              <w:t>current US$</w:t>
            </w:r>
          </w:p>
        </w:tc>
        <w:tc>
          <w:tcPr>
            <w:tcW w:w="4531" w:type="dxa"/>
            <w:tcBorders>
              <w:top w:val="single" w:sz="4" w:space="0" w:color="auto"/>
              <w:bottom w:val="single" w:sz="4" w:space="0" w:color="auto"/>
            </w:tcBorders>
          </w:tcPr>
          <w:p w14:paraId="67300811" w14:textId="77777777" w:rsidR="00220EB3" w:rsidRPr="005F6FF4" w:rsidRDefault="00220EB3" w:rsidP="00220EB3">
            <w:pPr>
              <w:jc w:val="both"/>
              <w:rPr>
                <w:sz w:val="20"/>
                <w:szCs w:val="20"/>
              </w:rPr>
            </w:pPr>
            <w:r w:rsidRPr="005F6FF4">
              <w:rPr>
                <w:sz w:val="20"/>
                <w:szCs w:val="20"/>
              </w:rPr>
              <w:t>Commitments to infrastructure projects in telecommunications that have reached financial closure and directly or indirectly serve the public.</w:t>
            </w:r>
          </w:p>
        </w:tc>
      </w:tr>
      <w:tr w:rsidR="00220EB3" w:rsidRPr="005F6FF4" w14:paraId="2566F605" w14:textId="77777777" w:rsidTr="00220EB3">
        <w:tc>
          <w:tcPr>
            <w:tcW w:w="2830" w:type="dxa"/>
            <w:tcBorders>
              <w:top w:val="single" w:sz="4" w:space="0" w:color="auto"/>
              <w:bottom w:val="single" w:sz="4" w:space="0" w:color="auto"/>
            </w:tcBorders>
          </w:tcPr>
          <w:p w14:paraId="2D140DDB" w14:textId="77777777" w:rsidR="00220EB3" w:rsidRPr="005F6FF4" w:rsidRDefault="00220EB3" w:rsidP="00220EB3">
            <w:pPr>
              <w:jc w:val="both"/>
              <w:rPr>
                <w:b/>
                <w:bCs/>
                <w:sz w:val="20"/>
                <w:szCs w:val="20"/>
              </w:rPr>
            </w:pPr>
            <w:r w:rsidRPr="005F6FF4">
              <w:rPr>
                <w:b/>
                <w:bCs/>
                <w:sz w:val="20"/>
                <w:szCs w:val="20"/>
              </w:rPr>
              <w:t xml:space="preserve">Inclusive Growth </w:t>
            </w:r>
            <m:oMath>
              <m:r>
                <m:rPr>
                  <m:sty m:val="bi"/>
                </m:rPr>
                <w:rPr>
                  <w:rFonts w:ascii="Cambria Math" w:hAnsi="Cambria Math"/>
                  <w:sz w:val="20"/>
                  <w:szCs w:val="20"/>
                </w:rPr>
                <m:t>(</m:t>
              </m:r>
              <m:r>
                <w:rPr>
                  <w:rFonts w:ascii="Cambria Math" w:hAnsi="Cambria Math"/>
                  <w:sz w:val="20"/>
                  <w:szCs w:val="20"/>
                </w:rPr>
                <m:t>IG</m:t>
              </m:r>
              <m:r>
                <w:rPr>
                  <w:rFonts w:ascii="Cambria Math" w:hAnsi="Cambria Math" w:cstheme="minorHAnsi"/>
                  <w:sz w:val="20"/>
                  <w:szCs w:val="20"/>
                  <w:lang w:val="en-GB"/>
                </w:rPr>
                <m:t>)</m:t>
              </m:r>
            </m:oMath>
          </w:p>
        </w:tc>
        <w:tc>
          <w:tcPr>
            <w:tcW w:w="1706" w:type="dxa"/>
            <w:tcBorders>
              <w:top w:val="single" w:sz="4" w:space="0" w:color="auto"/>
              <w:bottom w:val="single" w:sz="4" w:space="0" w:color="auto"/>
            </w:tcBorders>
          </w:tcPr>
          <w:p w14:paraId="756463B8" w14:textId="77777777" w:rsidR="00220EB3" w:rsidRPr="005F6FF4" w:rsidRDefault="00220EB3" w:rsidP="00220EB3">
            <w:pPr>
              <w:jc w:val="center"/>
              <w:rPr>
                <w:sz w:val="20"/>
                <w:szCs w:val="20"/>
              </w:rPr>
            </w:pPr>
          </w:p>
        </w:tc>
        <w:tc>
          <w:tcPr>
            <w:tcW w:w="4531" w:type="dxa"/>
            <w:tcBorders>
              <w:top w:val="single" w:sz="4" w:space="0" w:color="auto"/>
              <w:bottom w:val="single" w:sz="4" w:space="0" w:color="auto"/>
            </w:tcBorders>
          </w:tcPr>
          <w:p w14:paraId="27528FE4" w14:textId="77777777" w:rsidR="00220EB3" w:rsidRPr="005F6FF4" w:rsidRDefault="00220EB3" w:rsidP="00220EB3">
            <w:pPr>
              <w:jc w:val="both"/>
              <w:rPr>
                <w:sz w:val="20"/>
                <w:szCs w:val="20"/>
              </w:rPr>
            </w:pPr>
          </w:p>
        </w:tc>
      </w:tr>
      <w:tr w:rsidR="00220EB3" w:rsidRPr="005F6FF4" w14:paraId="581AAC0E" w14:textId="77777777" w:rsidTr="00220EB3">
        <w:tc>
          <w:tcPr>
            <w:tcW w:w="2830" w:type="dxa"/>
            <w:tcBorders>
              <w:top w:val="single" w:sz="4" w:space="0" w:color="auto"/>
              <w:bottom w:val="single" w:sz="4" w:space="0" w:color="auto"/>
            </w:tcBorders>
          </w:tcPr>
          <w:p w14:paraId="79F8EFA3" w14:textId="77777777" w:rsidR="00220EB3" w:rsidRPr="005F6FF4" w:rsidRDefault="00220EB3" w:rsidP="00220EB3">
            <w:pPr>
              <w:ind w:firstLine="310"/>
              <w:jc w:val="both"/>
              <w:rPr>
                <w:sz w:val="20"/>
                <w:szCs w:val="20"/>
              </w:rPr>
            </w:pPr>
            <w:r w:rsidRPr="005F6FF4">
              <w:rPr>
                <w:sz w:val="20"/>
                <w:szCs w:val="20"/>
              </w:rPr>
              <w:t xml:space="preserve">GDP per capita growth </w:t>
            </w:r>
            <m:oMath>
              <m:r>
                <w:rPr>
                  <w:rFonts w:ascii="Cambria Math" w:hAnsi="Cambria Math"/>
                  <w:sz w:val="20"/>
                  <w:szCs w:val="20"/>
                </w:rPr>
                <m:t>(</m:t>
              </m:r>
              <m:sSub>
                <m:sSubPr>
                  <m:ctrlPr>
                    <w:rPr>
                      <w:rFonts w:ascii="Cambria Math" w:hAnsi="Cambria Math" w:cstheme="minorHAnsi"/>
                      <w:i/>
                      <w:sz w:val="20"/>
                      <w:szCs w:val="20"/>
                      <w:lang w:val="en-GB"/>
                    </w:rPr>
                  </m:ctrlPr>
                </m:sSubPr>
                <m:e>
                  <m:r>
                    <w:rPr>
                      <w:rFonts w:ascii="Cambria Math" w:hAnsi="Cambria Math" w:cstheme="minorHAnsi"/>
                      <w:sz w:val="20"/>
                      <w:szCs w:val="20"/>
                      <w:lang w:val="en-GB"/>
                    </w:rPr>
                    <m:t>IG</m:t>
                  </m:r>
                </m:e>
                <m:sub>
                  <m:r>
                    <w:rPr>
                      <w:rFonts w:ascii="Cambria Math" w:hAnsi="Cambria Math" w:cstheme="minorHAnsi"/>
                      <w:sz w:val="20"/>
                      <w:szCs w:val="20"/>
                      <w:lang w:val="en-GB"/>
                    </w:rPr>
                    <m:t>1</m:t>
                  </m:r>
                </m:sub>
              </m:sSub>
              <m:r>
                <w:rPr>
                  <w:rFonts w:ascii="Cambria Math" w:hAnsi="Cambria Math" w:cstheme="minorHAnsi"/>
                  <w:sz w:val="20"/>
                  <w:szCs w:val="20"/>
                  <w:lang w:val="en-GB"/>
                </w:rPr>
                <m:t>)</m:t>
              </m:r>
            </m:oMath>
          </w:p>
        </w:tc>
        <w:tc>
          <w:tcPr>
            <w:tcW w:w="1706" w:type="dxa"/>
            <w:tcBorders>
              <w:top w:val="single" w:sz="4" w:space="0" w:color="auto"/>
              <w:bottom w:val="single" w:sz="4" w:space="0" w:color="auto"/>
            </w:tcBorders>
          </w:tcPr>
          <w:p w14:paraId="5E0E278A" w14:textId="77777777" w:rsidR="00220EB3" w:rsidRPr="005F6FF4" w:rsidRDefault="00220EB3" w:rsidP="00220EB3">
            <w:pPr>
              <w:jc w:val="center"/>
              <w:rPr>
                <w:sz w:val="20"/>
                <w:szCs w:val="20"/>
              </w:rPr>
            </w:pPr>
            <w:r w:rsidRPr="005F6FF4">
              <w:rPr>
                <w:sz w:val="20"/>
                <w:szCs w:val="20"/>
              </w:rPr>
              <w:t>annual %</w:t>
            </w:r>
          </w:p>
        </w:tc>
        <w:tc>
          <w:tcPr>
            <w:tcW w:w="4531" w:type="dxa"/>
            <w:tcBorders>
              <w:top w:val="single" w:sz="4" w:space="0" w:color="auto"/>
              <w:bottom w:val="single" w:sz="4" w:space="0" w:color="auto"/>
            </w:tcBorders>
          </w:tcPr>
          <w:p w14:paraId="600FC58D" w14:textId="77777777" w:rsidR="00220EB3" w:rsidRPr="005F6FF4" w:rsidRDefault="00220EB3" w:rsidP="00220EB3">
            <w:pPr>
              <w:jc w:val="both"/>
              <w:rPr>
                <w:sz w:val="20"/>
                <w:szCs w:val="20"/>
              </w:rPr>
            </w:pPr>
            <w:r w:rsidRPr="005F6FF4">
              <w:rPr>
                <w:sz w:val="20"/>
                <w:szCs w:val="20"/>
              </w:rPr>
              <w:t>Annual percentage growth rate of GDP per capita based on constant local currency</w:t>
            </w:r>
          </w:p>
        </w:tc>
      </w:tr>
      <w:tr w:rsidR="00220EB3" w:rsidRPr="005F6FF4" w14:paraId="54A25252" w14:textId="77777777" w:rsidTr="00220EB3">
        <w:tc>
          <w:tcPr>
            <w:tcW w:w="2830" w:type="dxa"/>
            <w:tcBorders>
              <w:top w:val="single" w:sz="4" w:space="0" w:color="auto"/>
              <w:bottom w:val="single" w:sz="4" w:space="0" w:color="auto"/>
            </w:tcBorders>
          </w:tcPr>
          <w:p w14:paraId="12477C44" w14:textId="77777777" w:rsidR="00220EB3" w:rsidRPr="005F6FF4" w:rsidRDefault="00220EB3" w:rsidP="00220EB3">
            <w:pPr>
              <w:ind w:left="310" w:firstLine="2"/>
              <w:jc w:val="both"/>
              <w:rPr>
                <w:sz w:val="20"/>
                <w:szCs w:val="20"/>
              </w:rPr>
            </w:pPr>
            <w:r w:rsidRPr="005F6FF4">
              <w:rPr>
                <w:sz w:val="20"/>
                <w:szCs w:val="20"/>
              </w:rPr>
              <w:t xml:space="preserve">Headcount Poverty Index </w:t>
            </w:r>
            <m:oMath>
              <m:r>
                <w:rPr>
                  <w:rFonts w:ascii="Cambria Math" w:hAnsi="Cambria Math"/>
                  <w:sz w:val="20"/>
                  <w:szCs w:val="20"/>
                </w:rPr>
                <m:t>(</m:t>
              </m:r>
              <m:sSub>
                <m:sSubPr>
                  <m:ctrlPr>
                    <w:rPr>
                      <w:rFonts w:ascii="Cambria Math" w:hAnsi="Cambria Math" w:cstheme="minorHAnsi"/>
                      <w:i/>
                      <w:sz w:val="20"/>
                      <w:szCs w:val="20"/>
                      <w:lang w:val="en-GB"/>
                    </w:rPr>
                  </m:ctrlPr>
                </m:sSubPr>
                <m:e>
                  <m:r>
                    <w:rPr>
                      <w:rFonts w:ascii="Cambria Math" w:hAnsi="Cambria Math" w:cstheme="minorHAnsi"/>
                      <w:sz w:val="20"/>
                      <w:szCs w:val="20"/>
                      <w:lang w:val="en-GB"/>
                    </w:rPr>
                    <m:t>IG</m:t>
                  </m:r>
                </m:e>
                <m:sub>
                  <m:r>
                    <w:rPr>
                      <w:rFonts w:ascii="Cambria Math" w:hAnsi="Cambria Math" w:cstheme="minorHAnsi"/>
                      <w:sz w:val="20"/>
                      <w:szCs w:val="20"/>
                      <w:lang w:val="en-GB"/>
                    </w:rPr>
                    <m:t>2</m:t>
                  </m:r>
                </m:sub>
              </m:sSub>
              <m:r>
                <w:rPr>
                  <w:rFonts w:ascii="Cambria Math" w:hAnsi="Cambria Math" w:cstheme="minorHAnsi"/>
                  <w:sz w:val="20"/>
                  <w:szCs w:val="20"/>
                  <w:lang w:val="en-GB"/>
                </w:rPr>
                <m:t>)</m:t>
              </m:r>
            </m:oMath>
          </w:p>
        </w:tc>
        <w:tc>
          <w:tcPr>
            <w:tcW w:w="1706" w:type="dxa"/>
            <w:tcBorders>
              <w:top w:val="single" w:sz="4" w:space="0" w:color="auto"/>
              <w:bottom w:val="single" w:sz="4" w:space="0" w:color="auto"/>
            </w:tcBorders>
          </w:tcPr>
          <w:p w14:paraId="5B76F4C0" w14:textId="77777777" w:rsidR="00220EB3" w:rsidRPr="005F6FF4" w:rsidRDefault="00220EB3" w:rsidP="00220EB3">
            <w:pPr>
              <w:jc w:val="center"/>
              <w:rPr>
                <w:sz w:val="20"/>
                <w:szCs w:val="20"/>
              </w:rPr>
            </w:pPr>
          </w:p>
        </w:tc>
        <w:tc>
          <w:tcPr>
            <w:tcW w:w="4531" w:type="dxa"/>
            <w:tcBorders>
              <w:top w:val="single" w:sz="4" w:space="0" w:color="auto"/>
              <w:bottom w:val="single" w:sz="4" w:space="0" w:color="auto"/>
            </w:tcBorders>
          </w:tcPr>
          <w:p w14:paraId="7D983E7E" w14:textId="77777777" w:rsidR="00220EB3" w:rsidRPr="005F6FF4" w:rsidRDefault="00220EB3" w:rsidP="00220EB3">
            <w:pPr>
              <w:jc w:val="both"/>
              <w:rPr>
                <w:sz w:val="20"/>
                <w:szCs w:val="20"/>
              </w:rPr>
            </w:pPr>
            <w:r w:rsidRPr="005F6FF4">
              <w:rPr>
                <w:sz w:val="20"/>
                <w:szCs w:val="20"/>
              </w:rPr>
              <w:t>The percentage of the population living below the national poverty line(s)</w:t>
            </w:r>
          </w:p>
        </w:tc>
      </w:tr>
      <w:tr w:rsidR="00220EB3" w:rsidRPr="005F6FF4" w14:paraId="080C064F" w14:textId="77777777" w:rsidTr="00220EB3">
        <w:tc>
          <w:tcPr>
            <w:tcW w:w="2830" w:type="dxa"/>
            <w:tcBorders>
              <w:top w:val="single" w:sz="4" w:space="0" w:color="auto"/>
              <w:bottom w:val="single" w:sz="4" w:space="0" w:color="auto"/>
            </w:tcBorders>
          </w:tcPr>
          <w:p w14:paraId="723CF904" w14:textId="77777777" w:rsidR="00220EB3" w:rsidRPr="005F6FF4" w:rsidRDefault="00220EB3" w:rsidP="00220EB3">
            <w:pPr>
              <w:ind w:firstLine="312"/>
              <w:jc w:val="both"/>
              <w:rPr>
                <w:sz w:val="20"/>
                <w:szCs w:val="20"/>
              </w:rPr>
            </w:pPr>
            <w:r w:rsidRPr="005F6FF4">
              <w:rPr>
                <w:sz w:val="20"/>
                <w:szCs w:val="20"/>
              </w:rPr>
              <w:t xml:space="preserve">Gini Index </w:t>
            </w:r>
            <m:oMath>
              <m:r>
                <w:rPr>
                  <w:rFonts w:ascii="Cambria Math" w:hAnsi="Cambria Math"/>
                  <w:sz w:val="20"/>
                  <w:szCs w:val="20"/>
                </w:rPr>
                <m:t>(</m:t>
              </m:r>
              <m:sSub>
                <m:sSubPr>
                  <m:ctrlPr>
                    <w:rPr>
                      <w:rFonts w:ascii="Cambria Math" w:hAnsi="Cambria Math" w:cstheme="minorHAnsi"/>
                      <w:i/>
                      <w:sz w:val="20"/>
                      <w:szCs w:val="20"/>
                      <w:lang w:val="en-GB"/>
                    </w:rPr>
                  </m:ctrlPr>
                </m:sSubPr>
                <m:e>
                  <m:r>
                    <w:rPr>
                      <w:rFonts w:ascii="Cambria Math" w:hAnsi="Cambria Math" w:cstheme="minorHAnsi"/>
                      <w:sz w:val="20"/>
                      <w:szCs w:val="20"/>
                      <w:lang w:val="en-GB"/>
                    </w:rPr>
                    <m:t>IG</m:t>
                  </m:r>
                </m:e>
                <m:sub>
                  <m:r>
                    <w:rPr>
                      <w:rFonts w:ascii="Cambria Math" w:hAnsi="Cambria Math" w:cstheme="minorHAnsi"/>
                      <w:sz w:val="20"/>
                      <w:szCs w:val="20"/>
                      <w:lang w:val="en-GB"/>
                    </w:rPr>
                    <m:t>3</m:t>
                  </m:r>
                </m:sub>
              </m:sSub>
              <m:r>
                <w:rPr>
                  <w:rFonts w:ascii="Cambria Math" w:hAnsi="Cambria Math" w:cstheme="minorHAnsi"/>
                  <w:sz w:val="20"/>
                  <w:szCs w:val="20"/>
                  <w:lang w:val="en-GB"/>
                </w:rPr>
                <m:t>)</m:t>
              </m:r>
            </m:oMath>
          </w:p>
        </w:tc>
        <w:tc>
          <w:tcPr>
            <w:tcW w:w="1706" w:type="dxa"/>
            <w:tcBorders>
              <w:top w:val="single" w:sz="4" w:space="0" w:color="auto"/>
              <w:bottom w:val="single" w:sz="4" w:space="0" w:color="auto"/>
            </w:tcBorders>
          </w:tcPr>
          <w:p w14:paraId="2829F781" w14:textId="77777777" w:rsidR="00220EB3" w:rsidRPr="005F6FF4" w:rsidRDefault="00220EB3" w:rsidP="00220EB3">
            <w:pPr>
              <w:jc w:val="center"/>
              <w:rPr>
                <w:sz w:val="20"/>
                <w:szCs w:val="20"/>
              </w:rPr>
            </w:pPr>
            <w:r w:rsidRPr="005F6FF4">
              <w:rPr>
                <w:sz w:val="20"/>
                <w:szCs w:val="20"/>
              </w:rPr>
              <w:t>Index</w:t>
            </w:r>
          </w:p>
        </w:tc>
        <w:tc>
          <w:tcPr>
            <w:tcW w:w="4531" w:type="dxa"/>
            <w:tcBorders>
              <w:top w:val="single" w:sz="4" w:space="0" w:color="auto"/>
              <w:bottom w:val="single" w:sz="4" w:space="0" w:color="auto"/>
            </w:tcBorders>
          </w:tcPr>
          <w:p w14:paraId="6D08DCD0" w14:textId="77777777" w:rsidR="00220EB3" w:rsidRPr="005F6FF4" w:rsidRDefault="00220EB3" w:rsidP="00220EB3">
            <w:pPr>
              <w:jc w:val="both"/>
              <w:rPr>
                <w:sz w:val="20"/>
                <w:szCs w:val="20"/>
              </w:rPr>
            </w:pPr>
            <w:r w:rsidRPr="005F6FF4">
              <w:rPr>
                <w:sz w:val="20"/>
                <w:szCs w:val="20"/>
              </w:rPr>
              <w:t>The distribution of consumption expenditure among individuals or households within an economy deviates from a perfectly equal distribution</w:t>
            </w:r>
          </w:p>
        </w:tc>
      </w:tr>
      <w:tr w:rsidR="00220EB3" w:rsidRPr="005F6FF4" w14:paraId="48782D25" w14:textId="77777777" w:rsidTr="00220EB3">
        <w:tc>
          <w:tcPr>
            <w:tcW w:w="2830" w:type="dxa"/>
            <w:tcBorders>
              <w:top w:val="single" w:sz="4" w:space="0" w:color="auto"/>
              <w:bottom w:val="single" w:sz="4" w:space="0" w:color="auto"/>
            </w:tcBorders>
          </w:tcPr>
          <w:p w14:paraId="505ACA28" w14:textId="77777777" w:rsidR="00220EB3" w:rsidRPr="005F6FF4" w:rsidRDefault="00220EB3" w:rsidP="00220EB3">
            <w:pPr>
              <w:ind w:firstLine="310"/>
              <w:jc w:val="both"/>
              <w:rPr>
                <w:sz w:val="20"/>
                <w:szCs w:val="20"/>
              </w:rPr>
            </w:pPr>
            <w:r w:rsidRPr="005F6FF4">
              <w:rPr>
                <w:rFonts w:eastAsiaTheme="minorEastAsia"/>
                <w:sz w:val="20"/>
                <w:szCs w:val="20"/>
              </w:rPr>
              <w:t xml:space="preserve">Unemployment Rate </w:t>
            </w:r>
            <m:oMath>
              <m:r>
                <w:rPr>
                  <w:rFonts w:ascii="Cambria Math" w:hAnsi="Cambria Math"/>
                  <w:sz w:val="20"/>
                  <w:szCs w:val="20"/>
                </w:rPr>
                <m:t>(</m:t>
              </m:r>
              <m:sSub>
                <m:sSubPr>
                  <m:ctrlPr>
                    <w:rPr>
                      <w:rFonts w:ascii="Cambria Math" w:hAnsi="Cambria Math" w:cstheme="minorHAnsi"/>
                      <w:i/>
                      <w:sz w:val="20"/>
                      <w:szCs w:val="20"/>
                      <w:lang w:val="en-GB"/>
                    </w:rPr>
                  </m:ctrlPr>
                </m:sSubPr>
                <m:e>
                  <m:r>
                    <w:rPr>
                      <w:rFonts w:ascii="Cambria Math" w:hAnsi="Cambria Math" w:cstheme="minorHAnsi"/>
                      <w:sz w:val="20"/>
                      <w:szCs w:val="20"/>
                      <w:lang w:val="en-GB"/>
                    </w:rPr>
                    <m:t>IG</m:t>
                  </m:r>
                </m:e>
                <m:sub>
                  <m:r>
                    <w:rPr>
                      <w:rFonts w:ascii="Cambria Math" w:hAnsi="Cambria Math" w:cstheme="minorHAnsi"/>
                      <w:sz w:val="20"/>
                      <w:szCs w:val="20"/>
                      <w:lang w:val="en-GB"/>
                    </w:rPr>
                    <m:t>4</m:t>
                  </m:r>
                </m:sub>
              </m:sSub>
              <m:r>
                <w:rPr>
                  <w:rFonts w:ascii="Cambria Math" w:hAnsi="Cambria Math" w:cstheme="minorHAnsi"/>
                  <w:sz w:val="20"/>
                  <w:szCs w:val="20"/>
                  <w:lang w:val="en-GB"/>
                </w:rPr>
                <m:t>)</m:t>
              </m:r>
            </m:oMath>
          </w:p>
        </w:tc>
        <w:tc>
          <w:tcPr>
            <w:tcW w:w="1706" w:type="dxa"/>
            <w:tcBorders>
              <w:top w:val="single" w:sz="4" w:space="0" w:color="auto"/>
              <w:bottom w:val="single" w:sz="4" w:space="0" w:color="auto"/>
            </w:tcBorders>
          </w:tcPr>
          <w:p w14:paraId="460A48FB" w14:textId="77777777" w:rsidR="00220EB3" w:rsidRPr="005F6FF4" w:rsidRDefault="00220EB3" w:rsidP="00220EB3">
            <w:pPr>
              <w:jc w:val="center"/>
              <w:rPr>
                <w:sz w:val="20"/>
                <w:szCs w:val="20"/>
              </w:rPr>
            </w:pPr>
            <w:r w:rsidRPr="005F6FF4">
              <w:rPr>
                <w:sz w:val="20"/>
                <w:szCs w:val="20"/>
              </w:rPr>
              <w:t>%</w:t>
            </w:r>
          </w:p>
        </w:tc>
        <w:tc>
          <w:tcPr>
            <w:tcW w:w="4531" w:type="dxa"/>
            <w:tcBorders>
              <w:top w:val="single" w:sz="4" w:space="0" w:color="auto"/>
              <w:bottom w:val="single" w:sz="4" w:space="0" w:color="auto"/>
            </w:tcBorders>
          </w:tcPr>
          <w:p w14:paraId="139EA6F8" w14:textId="77777777" w:rsidR="00220EB3" w:rsidRPr="005F6FF4" w:rsidRDefault="00220EB3" w:rsidP="00220EB3">
            <w:pPr>
              <w:jc w:val="both"/>
              <w:rPr>
                <w:sz w:val="20"/>
                <w:szCs w:val="20"/>
              </w:rPr>
            </w:pPr>
            <w:r w:rsidRPr="005F6FF4">
              <w:rPr>
                <w:sz w:val="20"/>
                <w:szCs w:val="20"/>
              </w:rPr>
              <w:t>The share of the labor force that is without work but available for and seeking employment</w:t>
            </w:r>
          </w:p>
        </w:tc>
      </w:tr>
    </w:tbl>
    <w:p w14:paraId="11E6A3D8" w14:textId="1EB458BB" w:rsidR="00204553" w:rsidRPr="005F6FF4" w:rsidRDefault="00220EB3" w:rsidP="00220EB3">
      <w:pPr>
        <w:jc w:val="both"/>
        <w:rPr>
          <w:rFonts w:cstheme="minorHAnsi"/>
          <w:lang w:val="en-GB"/>
        </w:rPr>
      </w:pPr>
      <w:r w:rsidRPr="005F6FF4">
        <w:rPr>
          <w:rFonts w:cstheme="minorHAnsi"/>
          <w:lang w:val="en-GB"/>
        </w:rPr>
        <w:t>Source: Author’s Compilation (2023).</w:t>
      </w:r>
    </w:p>
    <w:p w14:paraId="6980C25F" w14:textId="77777777" w:rsidR="00BF58DE" w:rsidRPr="005F6FF4" w:rsidRDefault="00BF58DE" w:rsidP="00220EB3">
      <w:pPr>
        <w:spacing w:after="0"/>
        <w:jc w:val="both"/>
        <w:rPr>
          <w:rFonts w:cstheme="minorHAnsi"/>
          <w:b/>
          <w:bCs/>
          <w:lang w:val="en-GB"/>
        </w:rPr>
      </w:pPr>
    </w:p>
    <w:p w14:paraId="1F6D3D01" w14:textId="77777777" w:rsidR="00BF58DE" w:rsidRPr="005F6FF4" w:rsidRDefault="00BF58DE" w:rsidP="00220EB3">
      <w:pPr>
        <w:spacing w:after="0"/>
        <w:jc w:val="both"/>
        <w:rPr>
          <w:rFonts w:cstheme="minorHAnsi"/>
          <w:b/>
          <w:bCs/>
          <w:lang w:val="en-GB"/>
        </w:rPr>
      </w:pPr>
    </w:p>
    <w:p w14:paraId="2E6E31AC" w14:textId="77777777" w:rsidR="00BF58DE" w:rsidRPr="005F6FF4" w:rsidRDefault="00BF58DE" w:rsidP="00220EB3">
      <w:pPr>
        <w:spacing w:after="0"/>
        <w:jc w:val="both"/>
        <w:rPr>
          <w:rFonts w:cstheme="minorHAnsi"/>
          <w:b/>
          <w:bCs/>
          <w:lang w:val="en-GB"/>
        </w:rPr>
      </w:pPr>
    </w:p>
    <w:p w14:paraId="11481E31" w14:textId="77777777" w:rsidR="00BF58DE" w:rsidRPr="005F6FF4" w:rsidRDefault="00BF58DE" w:rsidP="00220EB3">
      <w:pPr>
        <w:spacing w:after="0"/>
        <w:jc w:val="both"/>
        <w:rPr>
          <w:rFonts w:cstheme="minorHAnsi"/>
          <w:b/>
          <w:bCs/>
          <w:lang w:val="en-GB"/>
        </w:rPr>
      </w:pPr>
    </w:p>
    <w:p w14:paraId="1B8510F4" w14:textId="77777777" w:rsidR="00BF58DE" w:rsidRPr="005F6FF4" w:rsidRDefault="00BF58DE" w:rsidP="00220EB3">
      <w:pPr>
        <w:spacing w:after="0"/>
        <w:jc w:val="both"/>
        <w:rPr>
          <w:rFonts w:cstheme="minorHAnsi"/>
          <w:b/>
          <w:bCs/>
          <w:lang w:val="en-GB"/>
        </w:rPr>
      </w:pPr>
    </w:p>
    <w:p w14:paraId="35995C79" w14:textId="16BAE8E3" w:rsidR="00220EB3" w:rsidRPr="005F6FF4" w:rsidRDefault="00220EB3" w:rsidP="00220EB3">
      <w:pPr>
        <w:spacing w:after="0"/>
        <w:jc w:val="both"/>
        <w:rPr>
          <w:rFonts w:cstheme="minorHAnsi"/>
          <w:lang w:val="en-GB"/>
        </w:rPr>
      </w:pPr>
      <w:r w:rsidRPr="005F6FF4">
        <w:rPr>
          <w:rFonts w:cstheme="minorHAnsi"/>
          <w:b/>
          <w:bCs/>
          <w:lang w:val="en-GB"/>
        </w:rPr>
        <w:lastRenderedPageBreak/>
        <w:t>Appendix 2:</w:t>
      </w:r>
      <w:r w:rsidRPr="005F6FF4">
        <w:rPr>
          <w:rFonts w:cstheme="minorHAnsi"/>
          <w:lang w:val="en-GB"/>
        </w:rPr>
        <w:t xml:space="preserve"> Control Variables and Their Definitions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1139"/>
        <w:gridCol w:w="5381"/>
      </w:tblGrid>
      <w:tr w:rsidR="00220EB3" w:rsidRPr="005F6FF4" w14:paraId="464E4DA1" w14:textId="77777777" w:rsidTr="00220EB3">
        <w:trPr>
          <w:tblHeader/>
        </w:trPr>
        <w:tc>
          <w:tcPr>
            <w:tcW w:w="2552" w:type="dxa"/>
            <w:tcBorders>
              <w:top w:val="single" w:sz="4" w:space="0" w:color="auto"/>
              <w:bottom w:val="single" w:sz="4" w:space="0" w:color="auto"/>
            </w:tcBorders>
          </w:tcPr>
          <w:p w14:paraId="577D5A15" w14:textId="77777777" w:rsidR="00220EB3" w:rsidRPr="005F6FF4" w:rsidRDefault="00220EB3" w:rsidP="00220EB3">
            <w:pPr>
              <w:rPr>
                <w:b/>
                <w:bCs/>
                <w:sz w:val="20"/>
                <w:szCs w:val="20"/>
              </w:rPr>
            </w:pPr>
            <w:r w:rsidRPr="005F6FF4">
              <w:rPr>
                <w:b/>
                <w:bCs/>
                <w:sz w:val="20"/>
                <w:szCs w:val="20"/>
              </w:rPr>
              <w:t>Control Variables</w:t>
            </w:r>
          </w:p>
        </w:tc>
        <w:tc>
          <w:tcPr>
            <w:tcW w:w="1139" w:type="dxa"/>
            <w:tcBorders>
              <w:top w:val="single" w:sz="4" w:space="0" w:color="auto"/>
              <w:bottom w:val="single" w:sz="4" w:space="0" w:color="auto"/>
            </w:tcBorders>
          </w:tcPr>
          <w:p w14:paraId="7EF5C672" w14:textId="77777777" w:rsidR="00220EB3" w:rsidRPr="005F6FF4" w:rsidRDefault="00220EB3" w:rsidP="00220EB3">
            <w:pPr>
              <w:jc w:val="center"/>
              <w:rPr>
                <w:b/>
                <w:bCs/>
                <w:sz w:val="20"/>
                <w:szCs w:val="20"/>
              </w:rPr>
            </w:pPr>
            <w:r w:rsidRPr="005F6FF4">
              <w:rPr>
                <w:b/>
                <w:bCs/>
                <w:sz w:val="20"/>
                <w:szCs w:val="20"/>
              </w:rPr>
              <w:t>Unit</w:t>
            </w:r>
          </w:p>
        </w:tc>
        <w:tc>
          <w:tcPr>
            <w:tcW w:w="5381" w:type="dxa"/>
            <w:tcBorders>
              <w:top w:val="single" w:sz="4" w:space="0" w:color="auto"/>
              <w:bottom w:val="single" w:sz="4" w:space="0" w:color="auto"/>
            </w:tcBorders>
          </w:tcPr>
          <w:p w14:paraId="35CAF60E" w14:textId="77777777" w:rsidR="00220EB3" w:rsidRPr="005F6FF4" w:rsidRDefault="00220EB3" w:rsidP="00220EB3">
            <w:pPr>
              <w:jc w:val="center"/>
              <w:rPr>
                <w:b/>
                <w:bCs/>
                <w:sz w:val="20"/>
                <w:szCs w:val="20"/>
              </w:rPr>
            </w:pPr>
            <w:r w:rsidRPr="005F6FF4">
              <w:rPr>
                <w:b/>
                <w:bCs/>
                <w:sz w:val="20"/>
                <w:szCs w:val="20"/>
              </w:rPr>
              <w:t>Definition</w:t>
            </w:r>
          </w:p>
        </w:tc>
      </w:tr>
      <w:tr w:rsidR="00220EB3" w:rsidRPr="005F6FF4" w14:paraId="314EB6F4" w14:textId="77777777" w:rsidTr="00220EB3">
        <w:tc>
          <w:tcPr>
            <w:tcW w:w="2552" w:type="dxa"/>
            <w:tcBorders>
              <w:top w:val="single" w:sz="4" w:space="0" w:color="auto"/>
              <w:bottom w:val="single" w:sz="4" w:space="0" w:color="auto"/>
            </w:tcBorders>
          </w:tcPr>
          <w:p w14:paraId="4504EB76" w14:textId="77777777" w:rsidR="00220EB3" w:rsidRPr="005F6FF4" w:rsidRDefault="00220EB3" w:rsidP="00220EB3">
            <w:pPr>
              <w:rPr>
                <w:rFonts w:eastAsiaTheme="minorEastAsia"/>
                <w:b/>
                <w:bCs/>
                <w:sz w:val="20"/>
                <w:szCs w:val="20"/>
              </w:rPr>
            </w:pPr>
            <w:r w:rsidRPr="005F6FF4">
              <w:rPr>
                <w:rFonts w:eastAsiaTheme="minorEastAsia"/>
                <w:b/>
                <w:bCs/>
                <w:sz w:val="20"/>
                <w:szCs w:val="20"/>
              </w:rPr>
              <w:t>Control on First Stage</w:t>
            </w:r>
          </w:p>
        </w:tc>
        <w:tc>
          <w:tcPr>
            <w:tcW w:w="1139" w:type="dxa"/>
            <w:tcBorders>
              <w:top w:val="single" w:sz="4" w:space="0" w:color="auto"/>
              <w:bottom w:val="single" w:sz="4" w:space="0" w:color="auto"/>
            </w:tcBorders>
          </w:tcPr>
          <w:p w14:paraId="68C9DCC4" w14:textId="77777777" w:rsidR="00220EB3" w:rsidRPr="005F6FF4" w:rsidRDefault="00220EB3" w:rsidP="00220EB3">
            <w:pPr>
              <w:jc w:val="center"/>
              <w:rPr>
                <w:sz w:val="20"/>
                <w:szCs w:val="20"/>
              </w:rPr>
            </w:pPr>
          </w:p>
        </w:tc>
        <w:tc>
          <w:tcPr>
            <w:tcW w:w="5381" w:type="dxa"/>
            <w:tcBorders>
              <w:top w:val="single" w:sz="4" w:space="0" w:color="auto"/>
              <w:bottom w:val="single" w:sz="4" w:space="0" w:color="auto"/>
            </w:tcBorders>
          </w:tcPr>
          <w:p w14:paraId="23272F4F" w14:textId="77777777" w:rsidR="00220EB3" w:rsidRPr="005F6FF4" w:rsidRDefault="00220EB3" w:rsidP="00220EB3">
            <w:pPr>
              <w:rPr>
                <w:sz w:val="20"/>
                <w:szCs w:val="20"/>
              </w:rPr>
            </w:pPr>
          </w:p>
        </w:tc>
      </w:tr>
      <w:tr w:rsidR="00220EB3" w:rsidRPr="005F6FF4" w14:paraId="5F01225E" w14:textId="77777777" w:rsidTr="00220EB3">
        <w:tc>
          <w:tcPr>
            <w:tcW w:w="2552" w:type="dxa"/>
            <w:tcBorders>
              <w:top w:val="single" w:sz="4" w:space="0" w:color="auto"/>
              <w:bottom w:val="single" w:sz="4" w:space="0" w:color="auto"/>
            </w:tcBorders>
          </w:tcPr>
          <w:p w14:paraId="33CD6C88" w14:textId="77777777" w:rsidR="00220EB3" w:rsidRPr="005F6FF4" w:rsidRDefault="00220EB3" w:rsidP="00220EB3">
            <w:pPr>
              <w:rPr>
                <w:rFonts w:eastAsiaTheme="minorEastAsia"/>
                <w:sz w:val="20"/>
                <w:szCs w:val="20"/>
              </w:rPr>
            </w:pPr>
            <w:r w:rsidRPr="005F6FF4">
              <w:rPr>
                <w:rFonts w:eastAsiaTheme="minorEastAsia"/>
                <w:sz w:val="20"/>
                <w:szCs w:val="20"/>
              </w:rPr>
              <w:t xml:space="preserve">Accountability Index  </w:t>
            </w:r>
            <m:oMath>
              <m:r>
                <w:rPr>
                  <w:rFonts w:ascii="Cambria Math" w:hAnsi="Cambria Math"/>
                  <w:sz w:val="20"/>
                  <w:szCs w:val="20"/>
                </w:rPr>
                <m:t>(AI</m:t>
              </m:r>
              <m:r>
                <w:rPr>
                  <w:rFonts w:ascii="Cambria Math" w:hAnsi="Cambria Math" w:cstheme="minorHAnsi"/>
                  <w:sz w:val="20"/>
                  <w:szCs w:val="20"/>
                  <w:lang w:val="en-GB"/>
                </w:rPr>
                <m:t>)</m:t>
              </m:r>
            </m:oMath>
          </w:p>
        </w:tc>
        <w:tc>
          <w:tcPr>
            <w:tcW w:w="1139" w:type="dxa"/>
            <w:tcBorders>
              <w:top w:val="single" w:sz="4" w:space="0" w:color="auto"/>
              <w:bottom w:val="single" w:sz="4" w:space="0" w:color="auto"/>
            </w:tcBorders>
          </w:tcPr>
          <w:p w14:paraId="6AC97897" w14:textId="77777777" w:rsidR="00220EB3" w:rsidRPr="005F6FF4" w:rsidRDefault="00220EB3" w:rsidP="00220EB3">
            <w:pPr>
              <w:jc w:val="center"/>
              <w:rPr>
                <w:sz w:val="20"/>
                <w:szCs w:val="20"/>
              </w:rPr>
            </w:pPr>
            <w:r w:rsidRPr="005F6FF4">
              <w:rPr>
                <w:sz w:val="20"/>
                <w:szCs w:val="20"/>
              </w:rPr>
              <w:t>Index</w:t>
            </w:r>
          </w:p>
        </w:tc>
        <w:tc>
          <w:tcPr>
            <w:tcW w:w="5381" w:type="dxa"/>
            <w:tcBorders>
              <w:top w:val="single" w:sz="4" w:space="0" w:color="auto"/>
              <w:bottom w:val="single" w:sz="4" w:space="0" w:color="auto"/>
            </w:tcBorders>
          </w:tcPr>
          <w:p w14:paraId="4E243B3B" w14:textId="77777777" w:rsidR="00220EB3" w:rsidRPr="005F6FF4" w:rsidRDefault="00220EB3" w:rsidP="00220EB3">
            <w:pPr>
              <w:rPr>
                <w:sz w:val="20"/>
                <w:szCs w:val="20"/>
              </w:rPr>
            </w:pPr>
            <w:r w:rsidRPr="005F6FF4">
              <w:rPr>
                <w:sz w:val="20"/>
                <w:szCs w:val="20"/>
              </w:rPr>
              <w:t>Government accountability is understood as constraints on the government’s use of political power through requirements for justification for its actions and potential sanctions.</w:t>
            </w:r>
          </w:p>
        </w:tc>
      </w:tr>
      <w:tr w:rsidR="00220EB3" w:rsidRPr="005F6FF4" w14:paraId="45DD8F31" w14:textId="77777777" w:rsidTr="00220EB3">
        <w:tc>
          <w:tcPr>
            <w:tcW w:w="2552" w:type="dxa"/>
            <w:tcBorders>
              <w:top w:val="single" w:sz="4" w:space="0" w:color="auto"/>
              <w:bottom w:val="single" w:sz="4" w:space="0" w:color="auto"/>
            </w:tcBorders>
          </w:tcPr>
          <w:p w14:paraId="49906B7B" w14:textId="77777777" w:rsidR="00220EB3" w:rsidRPr="005F6FF4" w:rsidRDefault="00220EB3" w:rsidP="00220EB3">
            <w:pPr>
              <w:jc w:val="both"/>
              <w:rPr>
                <w:rFonts w:eastAsiaTheme="minorEastAsia"/>
                <w:sz w:val="20"/>
                <w:szCs w:val="20"/>
              </w:rPr>
            </w:pPr>
            <w:r w:rsidRPr="005F6FF4">
              <w:rPr>
                <w:rFonts w:eastAsiaTheme="minorEastAsia"/>
                <w:sz w:val="20"/>
                <w:szCs w:val="20"/>
              </w:rPr>
              <w:t xml:space="preserve">Civil Liberty Index </w:t>
            </w:r>
            <m:oMath>
              <m:r>
                <w:rPr>
                  <w:rFonts w:ascii="Cambria Math" w:hAnsi="Cambria Math"/>
                  <w:sz w:val="20"/>
                  <w:szCs w:val="20"/>
                </w:rPr>
                <m:t>(</m:t>
              </m:r>
              <m:r>
                <w:rPr>
                  <w:rFonts w:ascii="Cambria Math" w:hAnsi="Cambria Math" w:cstheme="minorHAnsi"/>
                  <w:sz w:val="20"/>
                  <w:szCs w:val="20"/>
                  <w:lang w:val="en-GB"/>
                </w:rPr>
                <m:t>CLI)</m:t>
              </m:r>
            </m:oMath>
          </w:p>
        </w:tc>
        <w:tc>
          <w:tcPr>
            <w:tcW w:w="1139" w:type="dxa"/>
            <w:tcBorders>
              <w:top w:val="single" w:sz="4" w:space="0" w:color="auto"/>
              <w:bottom w:val="single" w:sz="4" w:space="0" w:color="auto"/>
            </w:tcBorders>
          </w:tcPr>
          <w:p w14:paraId="447826C6" w14:textId="77777777" w:rsidR="00220EB3" w:rsidRPr="005F6FF4" w:rsidRDefault="00220EB3" w:rsidP="00220EB3">
            <w:pPr>
              <w:jc w:val="center"/>
              <w:rPr>
                <w:sz w:val="20"/>
                <w:szCs w:val="20"/>
              </w:rPr>
            </w:pPr>
            <w:r w:rsidRPr="005F6FF4">
              <w:rPr>
                <w:sz w:val="20"/>
                <w:szCs w:val="20"/>
              </w:rPr>
              <w:t>Index</w:t>
            </w:r>
          </w:p>
        </w:tc>
        <w:tc>
          <w:tcPr>
            <w:tcW w:w="5381" w:type="dxa"/>
            <w:tcBorders>
              <w:top w:val="single" w:sz="4" w:space="0" w:color="auto"/>
              <w:bottom w:val="single" w:sz="4" w:space="0" w:color="auto"/>
            </w:tcBorders>
          </w:tcPr>
          <w:p w14:paraId="507452A5" w14:textId="77777777" w:rsidR="00220EB3" w:rsidRPr="005F6FF4" w:rsidRDefault="00220EB3" w:rsidP="00220EB3">
            <w:pPr>
              <w:rPr>
                <w:sz w:val="20"/>
                <w:szCs w:val="20"/>
              </w:rPr>
            </w:pPr>
            <w:r w:rsidRPr="005F6FF4">
              <w:rPr>
                <w:sz w:val="20"/>
                <w:szCs w:val="20"/>
              </w:rPr>
              <w:t>The absence of physical violence committed by</w:t>
            </w:r>
          </w:p>
          <w:p w14:paraId="1993602E" w14:textId="77777777" w:rsidR="00220EB3" w:rsidRPr="005F6FF4" w:rsidRDefault="00220EB3" w:rsidP="00220EB3">
            <w:pPr>
              <w:rPr>
                <w:sz w:val="20"/>
                <w:szCs w:val="20"/>
              </w:rPr>
            </w:pPr>
            <w:r w:rsidRPr="005F6FF4">
              <w:rPr>
                <w:sz w:val="20"/>
                <w:szCs w:val="20"/>
              </w:rPr>
              <w:t>government agents and the absence of constraints of private liberties and political liberties by the government.</w:t>
            </w:r>
          </w:p>
        </w:tc>
      </w:tr>
      <w:tr w:rsidR="00220EB3" w:rsidRPr="005F6FF4" w14:paraId="5661042A" w14:textId="77777777" w:rsidTr="00220EB3">
        <w:tc>
          <w:tcPr>
            <w:tcW w:w="2552" w:type="dxa"/>
            <w:tcBorders>
              <w:top w:val="single" w:sz="4" w:space="0" w:color="auto"/>
              <w:bottom w:val="single" w:sz="4" w:space="0" w:color="auto"/>
            </w:tcBorders>
          </w:tcPr>
          <w:p w14:paraId="5FCB1368" w14:textId="77777777" w:rsidR="00220EB3" w:rsidRPr="005F6FF4" w:rsidRDefault="00220EB3" w:rsidP="00220EB3">
            <w:pPr>
              <w:jc w:val="both"/>
              <w:rPr>
                <w:rFonts w:eastAsiaTheme="minorEastAsia"/>
                <w:sz w:val="20"/>
                <w:szCs w:val="20"/>
              </w:rPr>
            </w:pPr>
            <w:r w:rsidRPr="005F6FF4">
              <w:rPr>
                <w:rFonts w:eastAsiaTheme="minorEastAsia"/>
                <w:sz w:val="20"/>
                <w:szCs w:val="20"/>
              </w:rPr>
              <w:t xml:space="preserve">Rule of Law Index </w:t>
            </w:r>
            <m:oMath>
              <m:r>
                <w:rPr>
                  <w:rFonts w:ascii="Cambria Math" w:hAnsi="Cambria Math"/>
                  <w:sz w:val="20"/>
                  <w:szCs w:val="20"/>
                </w:rPr>
                <m:t>(R</m:t>
              </m:r>
              <m:r>
                <w:rPr>
                  <w:rFonts w:ascii="Cambria Math" w:hAnsi="Cambria Math" w:cstheme="minorHAnsi"/>
                  <w:sz w:val="20"/>
                  <w:szCs w:val="20"/>
                  <w:lang w:val="en-GB"/>
                </w:rPr>
                <m:t>LI)</m:t>
              </m:r>
            </m:oMath>
          </w:p>
        </w:tc>
        <w:tc>
          <w:tcPr>
            <w:tcW w:w="1139" w:type="dxa"/>
            <w:tcBorders>
              <w:top w:val="single" w:sz="4" w:space="0" w:color="auto"/>
              <w:bottom w:val="single" w:sz="4" w:space="0" w:color="auto"/>
            </w:tcBorders>
          </w:tcPr>
          <w:p w14:paraId="0CB45700" w14:textId="77777777" w:rsidR="00220EB3" w:rsidRPr="005F6FF4" w:rsidRDefault="00220EB3" w:rsidP="00220EB3">
            <w:pPr>
              <w:jc w:val="center"/>
              <w:rPr>
                <w:sz w:val="20"/>
                <w:szCs w:val="20"/>
              </w:rPr>
            </w:pPr>
            <w:r w:rsidRPr="005F6FF4">
              <w:rPr>
                <w:sz w:val="20"/>
                <w:szCs w:val="20"/>
              </w:rPr>
              <w:t>Index</w:t>
            </w:r>
          </w:p>
        </w:tc>
        <w:tc>
          <w:tcPr>
            <w:tcW w:w="5381" w:type="dxa"/>
            <w:tcBorders>
              <w:top w:val="single" w:sz="4" w:space="0" w:color="auto"/>
              <w:bottom w:val="single" w:sz="4" w:space="0" w:color="auto"/>
            </w:tcBorders>
          </w:tcPr>
          <w:p w14:paraId="7D7A42C9" w14:textId="77777777" w:rsidR="00220EB3" w:rsidRPr="005F6FF4" w:rsidRDefault="00220EB3" w:rsidP="00220EB3">
            <w:pPr>
              <w:rPr>
                <w:sz w:val="20"/>
                <w:szCs w:val="20"/>
              </w:rPr>
            </w:pPr>
            <w:r w:rsidRPr="005F6FF4">
              <w:rPr>
                <w:sz w:val="20"/>
                <w:szCs w:val="20"/>
              </w:rPr>
              <w:t>The degree to which laws are executed transparently, independently, predictably, impartially, and uniformly, as well as the extent to which government officials' conduct aligns with legal standards.</w:t>
            </w:r>
          </w:p>
        </w:tc>
      </w:tr>
      <w:tr w:rsidR="00220EB3" w:rsidRPr="005F6FF4" w14:paraId="126C0EF4" w14:textId="77777777" w:rsidTr="00220EB3">
        <w:tc>
          <w:tcPr>
            <w:tcW w:w="2552" w:type="dxa"/>
            <w:tcBorders>
              <w:top w:val="single" w:sz="4" w:space="0" w:color="auto"/>
              <w:bottom w:val="single" w:sz="4" w:space="0" w:color="auto"/>
            </w:tcBorders>
          </w:tcPr>
          <w:p w14:paraId="62E9B5DE" w14:textId="77777777" w:rsidR="00220EB3" w:rsidRPr="005F6FF4" w:rsidRDefault="00220EB3" w:rsidP="00220EB3">
            <w:pPr>
              <w:rPr>
                <w:rFonts w:eastAsiaTheme="minorEastAsia"/>
                <w:sz w:val="20"/>
                <w:szCs w:val="20"/>
              </w:rPr>
            </w:pPr>
            <w:r w:rsidRPr="005F6FF4">
              <w:rPr>
                <w:rFonts w:eastAsiaTheme="minorEastAsia"/>
                <w:b/>
                <w:bCs/>
                <w:sz w:val="20"/>
                <w:szCs w:val="20"/>
              </w:rPr>
              <w:t>Control on Second Stage</w:t>
            </w:r>
          </w:p>
        </w:tc>
        <w:tc>
          <w:tcPr>
            <w:tcW w:w="1139" w:type="dxa"/>
            <w:tcBorders>
              <w:top w:val="single" w:sz="4" w:space="0" w:color="auto"/>
              <w:bottom w:val="single" w:sz="4" w:space="0" w:color="auto"/>
            </w:tcBorders>
          </w:tcPr>
          <w:p w14:paraId="3AF2F418" w14:textId="77777777" w:rsidR="00220EB3" w:rsidRPr="005F6FF4" w:rsidRDefault="00220EB3" w:rsidP="00220EB3">
            <w:pPr>
              <w:jc w:val="center"/>
              <w:rPr>
                <w:sz w:val="20"/>
                <w:szCs w:val="20"/>
              </w:rPr>
            </w:pPr>
          </w:p>
        </w:tc>
        <w:tc>
          <w:tcPr>
            <w:tcW w:w="5381" w:type="dxa"/>
            <w:tcBorders>
              <w:top w:val="single" w:sz="4" w:space="0" w:color="auto"/>
              <w:bottom w:val="single" w:sz="4" w:space="0" w:color="auto"/>
            </w:tcBorders>
          </w:tcPr>
          <w:p w14:paraId="158B0C85" w14:textId="77777777" w:rsidR="00220EB3" w:rsidRPr="005F6FF4" w:rsidRDefault="00220EB3" w:rsidP="00220EB3">
            <w:pPr>
              <w:rPr>
                <w:sz w:val="20"/>
                <w:szCs w:val="20"/>
              </w:rPr>
            </w:pPr>
          </w:p>
        </w:tc>
      </w:tr>
      <w:tr w:rsidR="00220EB3" w:rsidRPr="005F6FF4" w14:paraId="325BD601" w14:textId="77777777" w:rsidTr="00220EB3">
        <w:tc>
          <w:tcPr>
            <w:tcW w:w="2552" w:type="dxa"/>
            <w:tcBorders>
              <w:top w:val="single" w:sz="4" w:space="0" w:color="auto"/>
              <w:bottom w:val="single" w:sz="4" w:space="0" w:color="auto"/>
            </w:tcBorders>
          </w:tcPr>
          <w:p w14:paraId="568668CD" w14:textId="77777777" w:rsidR="00220EB3" w:rsidRPr="005F6FF4" w:rsidRDefault="00220EB3" w:rsidP="00220EB3">
            <w:pPr>
              <w:jc w:val="both"/>
              <w:rPr>
                <w:rFonts w:eastAsiaTheme="minorEastAsia"/>
                <w:sz w:val="20"/>
                <w:szCs w:val="20"/>
              </w:rPr>
            </w:pPr>
            <w:r w:rsidRPr="005F6FF4">
              <w:rPr>
                <w:rFonts w:eastAsiaTheme="minorEastAsia"/>
                <w:sz w:val="20"/>
                <w:szCs w:val="20"/>
              </w:rPr>
              <w:t xml:space="preserve">Inflation </w:t>
            </w:r>
            <m:oMath>
              <m:r>
                <w:rPr>
                  <w:rFonts w:ascii="Cambria Math" w:hAnsi="Cambria Math"/>
                  <w:sz w:val="20"/>
                  <w:szCs w:val="20"/>
                </w:rPr>
                <m:t>(I</m:t>
              </m:r>
              <m:r>
                <w:rPr>
                  <w:rFonts w:ascii="Cambria Math" w:hAnsi="Cambria Math" w:cstheme="minorHAnsi"/>
                  <w:sz w:val="20"/>
                  <w:szCs w:val="20"/>
                  <w:lang w:val="en-GB"/>
                </w:rPr>
                <m:t>)</m:t>
              </m:r>
            </m:oMath>
          </w:p>
        </w:tc>
        <w:tc>
          <w:tcPr>
            <w:tcW w:w="1139" w:type="dxa"/>
            <w:tcBorders>
              <w:top w:val="single" w:sz="4" w:space="0" w:color="auto"/>
              <w:bottom w:val="single" w:sz="4" w:space="0" w:color="auto"/>
            </w:tcBorders>
          </w:tcPr>
          <w:p w14:paraId="7D6F6938" w14:textId="77777777" w:rsidR="00220EB3" w:rsidRPr="005F6FF4" w:rsidRDefault="00220EB3" w:rsidP="00220EB3">
            <w:pPr>
              <w:jc w:val="center"/>
              <w:rPr>
                <w:sz w:val="20"/>
                <w:szCs w:val="20"/>
              </w:rPr>
            </w:pPr>
            <w:r w:rsidRPr="005F6FF4">
              <w:rPr>
                <w:sz w:val="20"/>
                <w:szCs w:val="20"/>
              </w:rPr>
              <w:t>% annual</w:t>
            </w:r>
          </w:p>
        </w:tc>
        <w:tc>
          <w:tcPr>
            <w:tcW w:w="5381" w:type="dxa"/>
            <w:tcBorders>
              <w:top w:val="single" w:sz="4" w:space="0" w:color="auto"/>
              <w:bottom w:val="single" w:sz="4" w:space="0" w:color="auto"/>
            </w:tcBorders>
          </w:tcPr>
          <w:p w14:paraId="36248700" w14:textId="77777777" w:rsidR="00220EB3" w:rsidRPr="005F6FF4" w:rsidRDefault="00220EB3" w:rsidP="00220EB3">
            <w:pPr>
              <w:rPr>
                <w:sz w:val="20"/>
                <w:szCs w:val="20"/>
              </w:rPr>
            </w:pPr>
            <w:r w:rsidRPr="005F6FF4">
              <w:rPr>
                <w:sz w:val="20"/>
                <w:szCs w:val="20"/>
              </w:rPr>
              <w:t xml:space="preserve">Inflation as measured by the consumer price index reflects the annual percentage change in the cost to the average consumer of acquiring a basket of goods and services that may be fixed or changed at specified intervals, such as yearly. </w:t>
            </w:r>
          </w:p>
        </w:tc>
      </w:tr>
      <w:tr w:rsidR="00220EB3" w:rsidRPr="005F6FF4" w14:paraId="4466102A" w14:textId="77777777" w:rsidTr="00220EB3">
        <w:tc>
          <w:tcPr>
            <w:tcW w:w="2552" w:type="dxa"/>
            <w:tcBorders>
              <w:top w:val="single" w:sz="4" w:space="0" w:color="auto"/>
              <w:bottom w:val="single" w:sz="4" w:space="0" w:color="auto"/>
            </w:tcBorders>
          </w:tcPr>
          <w:p w14:paraId="082DB763" w14:textId="77777777" w:rsidR="00220EB3" w:rsidRPr="005F6FF4" w:rsidRDefault="00220EB3" w:rsidP="00220EB3">
            <w:pPr>
              <w:rPr>
                <w:rFonts w:eastAsiaTheme="minorEastAsia"/>
                <w:sz w:val="20"/>
                <w:szCs w:val="20"/>
              </w:rPr>
            </w:pPr>
            <w:r w:rsidRPr="005F6FF4">
              <w:rPr>
                <w:rFonts w:eastAsiaTheme="minorEastAsia"/>
                <w:sz w:val="20"/>
                <w:szCs w:val="20"/>
              </w:rPr>
              <w:t xml:space="preserve">Gross Domestic Saving </w:t>
            </w:r>
            <m:oMath>
              <m:r>
                <w:rPr>
                  <w:rFonts w:ascii="Cambria Math" w:hAnsi="Cambria Math"/>
                  <w:sz w:val="20"/>
                  <w:szCs w:val="20"/>
                </w:rPr>
                <m:t>(GDS</m:t>
              </m:r>
              <m:r>
                <w:rPr>
                  <w:rFonts w:ascii="Cambria Math" w:hAnsi="Cambria Math" w:cstheme="minorHAnsi"/>
                  <w:sz w:val="20"/>
                  <w:szCs w:val="20"/>
                  <w:lang w:val="en-GB"/>
                </w:rPr>
                <m:t>)</m:t>
              </m:r>
            </m:oMath>
          </w:p>
        </w:tc>
        <w:tc>
          <w:tcPr>
            <w:tcW w:w="1139" w:type="dxa"/>
            <w:tcBorders>
              <w:top w:val="single" w:sz="4" w:space="0" w:color="auto"/>
              <w:bottom w:val="single" w:sz="4" w:space="0" w:color="auto"/>
            </w:tcBorders>
          </w:tcPr>
          <w:p w14:paraId="5CE10E54" w14:textId="77777777" w:rsidR="00220EB3" w:rsidRPr="005F6FF4" w:rsidRDefault="00220EB3" w:rsidP="00220EB3">
            <w:pPr>
              <w:jc w:val="center"/>
              <w:rPr>
                <w:sz w:val="20"/>
                <w:szCs w:val="20"/>
              </w:rPr>
            </w:pPr>
            <w:r w:rsidRPr="005F6FF4">
              <w:rPr>
                <w:sz w:val="20"/>
                <w:szCs w:val="20"/>
              </w:rPr>
              <w:t>% of GDP</w:t>
            </w:r>
          </w:p>
        </w:tc>
        <w:tc>
          <w:tcPr>
            <w:tcW w:w="5381" w:type="dxa"/>
            <w:tcBorders>
              <w:top w:val="single" w:sz="4" w:space="0" w:color="auto"/>
              <w:bottom w:val="single" w:sz="4" w:space="0" w:color="auto"/>
            </w:tcBorders>
          </w:tcPr>
          <w:p w14:paraId="40EFA3A7" w14:textId="77777777" w:rsidR="00220EB3" w:rsidRPr="005F6FF4" w:rsidRDefault="00220EB3" w:rsidP="00220EB3">
            <w:pPr>
              <w:rPr>
                <w:sz w:val="20"/>
                <w:szCs w:val="20"/>
              </w:rPr>
            </w:pPr>
            <w:r w:rsidRPr="005F6FF4">
              <w:rPr>
                <w:sz w:val="20"/>
                <w:szCs w:val="20"/>
              </w:rPr>
              <w:t>Gross domestic savings are calculated as GDP less final consumption expenditure (total consumption).</w:t>
            </w:r>
          </w:p>
        </w:tc>
      </w:tr>
      <w:tr w:rsidR="00220EB3" w:rsidRPr="005F6FF4" w14:paraId="62D05BAB" w14:textId="77777777" w:rsidTr="00220EB3">
        <w:tc>
          <w:tcPr>
            <w:tcW w:w="2552" w:type="dxa"/>
            <w:tcBorders>
              <w:top w:val="single" w:sz="4" w:space="0" w:color="auto"/>
              <w:bottom w:val="single" w:sz="4" w:space="0" w:color="auto"/>
            </w:tcBorders>
          </w:tcPr>
          <w:p w14:paraId="1A86F493" w14:textId="77777777" w:rsidR="00220EB3" w:rsidRPr="005F6FF4" w:rsidRDefault="00220EB3" w:rsidP="00220EB3">
            <w:pPr>
              <w:rPr>
                <w:rFonts w:eastAsiaTheme="minorEastAsia"/>
                <w:sz w:val="20"/>
                <w:szCs w:val="20"/>
              </w:rPr>
            </w:pPr>
            <w:r w:rsidRPr="005F6FF4">
              <w:rPr>
                <w:rFonts w:eastAsiaTheme="minorEastAsia"/>
                <w:sz w:val="20"/>
                <w:szCs w:val="20"/>
              </w:rPr>
              <w:t xml:space="preserve">Foreign Direct Investment, net inflow </w:t>
            </w:r>
            <m:oMath>
              <m:r>
                <w:rPr>
                  <w:rFonts w:ascii="Cambria Math" w:hAnsi="Cambria Math"/>
                  <w:sz w:val="20"/>
                  <w:szCs w:val="20"/>
                </w:rPr>
                <m:t>(FDI</m:t>
              </m:r>
              <m:r>
                <w:rPr>
                  <w:rFonts w:ascii="Cambria Math" w:hAnsi="Cambria Math" w:cstheme="minorHAnsi"/>
                  <w:sz w:val="20"/>
                  <w:szCs w:val="20"/>
                  <w:lang w:val="en-GB"/>
                </w:rPr>
                <m:t>)</m:t>
              </m:r>
            </m:oMath>
          </w:p>
        </w:tc>
        <w:tc>
          <w:tcPr>
            <w:tcW w:w="1139" w:type="dxa"/>
            <w:tcBorders>
              <w:top w:val="single" w:sz="4" w:space="0" w:color="auto"/>
              <w:bottom w:val="single" w:sz="4" w:space="0" w:color="auto"/>
            </w:tcBorders>
          </w:tcPr>
          <w:p w14:paraId="466172A9" w14:textId="77777777" w:rsidR="00220EB3" w:rsidRPr="005F6FF4" w:rsidRDefault="00220EB3" w:rsidP="00220EB3">
            <w:pPr>
              <w:jc w:val="center"/>
              <w:rPr>
                <w:sz w:val="20"/>
                <w:szCs w:val="20"/>
              </w:rPr>
            </w:pPr>
            <w:r w:rsidRPr="005F6FF4">
              <w:rPr>
                <w:sz w:val="20"/>
                <w:szCs w:val="20"/>
              </w:rPr>
              <w:t>% of GDP</w:t>
            </w:r>
          </w:p>
        </w:tc>
        <w:tc>
          <w:tcPr>
            <w:tcW w:w="5381" w:type="dxa"/>
            <w:tcBorders>
              <w:top w:val="single" w:sz="4" w:space="0" w:color="auto"/>
              <w:bottom w:val="single" w:sz="4" w:space="0" w:color="auto"/>
            </w:tcBorders>
          </w:tcPr>
          <w:p w14:paraId="23788D45" w14:textId="77777777" w:rsidR="00220EB3" w:rsidRPr="005F6FF4" w:rsidRDefault="00220EB3" w:rsidP="00220EB3">
            <w:pPr>
              <w:rPr>
                <w:sz w:val="20"/>
                <w:szCs w:val="20"/>
              </w:rPr>
            </w:pPr>
            <w:r w:rsidRPr="005F6FF4">
              <w:rPr>
                <w:sz w:val="20"/>
                <w:szCs w:val="20"/>
              </w:rPr>
              <w:t>The net inflows of investment to acquire a lasting management interest (10 percent or more of voting stock) in an enterprise operating in an economy other than that of the investor.</w:t>
            </w:r>
          </w:p>
        </w:tc>
      </w:tr>
      <w:tr w:rsidR="00220EB3" w:rsidRPr="005F6FF4" w14:paraId="2CBA24F1" w14:textId="77777777" w:rsidTr="00220EB3">
        <w:tc>
          <w:tcPr>
            <w:tcW w:w="2552" w:type="dxa"/>
            <w:tcBorders>
              <w:top w:val="single" w:sz="4" w:space="0" w:color="auto"/>
              <w:bottom w:val="single" w:sz="4" w:space="0" w:color="auto"/>
            </w:tcBorders>
          </w:tcPr>
          <w:p w14:paraId="6E599386" w14:textId="77777777" w:rsidR="00220EB3" w:rsidRPr="005F6FF4" w:rsidRDefault="00220EB3" w:rsidP="00220EB3">
            <w:pPr>
              <w:jc w:val="both"/>
              <w:rPr>
                <w:rFonts w:eastAsiaTheme="minorEastAsia"/>
                <w:sz w:val="20"/>
                <w:szCs w:val="20"/>
              </w:rPr>
            </w:pPr>
            <w:r w:rsidRPr="005F6FF4">
              <w:rPr>
                <w:rFonts w:eastAsiaTheme="minorEastAsia"/>
                <w:sz w:val="20"/>
                <w:szCs w:val="20"/>
              </w:rPr>
              <w:t xml:space="preserve">Oil Rents </w:t>
            </w:r>
            <m:oMath>
              <m:r>
                <w:rPr>
                  <w:rFonts w:ascii="Cambria Math" w:hAnsi="Cambria Math"/>
                  <w:sz w:val="20"/>
                  <w:szCs w:val="20"/>
                </w:rPr>
                <m:t>(OIL</m:t>
              </m:r>
              <m:r>
                <w:rPr>
                  <w:rFonts w:ascii="Cambria Math" w:hAnsi="Cambria Math" w:cstheme="minorHAnsi"/>
                  <w:sz w:val="20"/>
                  <w:szCs w:val="20"/>
                  <w:lang w:val="en-GB"/>
                </w:rPr>
                <m:t>)</m:t>
              </m:r>
            </m:oMath>
          </w:p>
        </w:tc>
        <w:tc>
          <w:tcPr>
            <w:tcW w:w="1139" w:type="dxa"/>
            <w:tcBorders>
              <w:top w:val="single" w:sz="4" w:space="0" w:color="auto"/>
              <w:bottom w:val="single" w:sz="4" w:space="0" w:color="auto"/>
            </w:tcBorders>
          </w:tcPr>
          <w:p w14:paraId="7D7D64CD" w14:textId="77777777" w:rsidR="00220EB3" w:rsidRPr="005F6FF4" w:rsidRDefault="00220EB3" w:rsidP="00220EB3">
            <w:pPr>
              <w:jc w:val="center"/>
              <w:rPr>
                <w:sz w:val="20"/>
                <w:szCs w:val="20"/>
              </w:rPr>
            </w:pPr>
            <w:r w:rsidRPr="005F6FF4">
              <w:rPr>
                <w:sz w:val="20"/>
                <w:szCs w:val="20"/>
              </w:rPr>
              <w:t>% of GDP</w:t>
            </w:r>
          </w:p>
        </w:tc>
        <w:tc>
          <w:tcPr>
            <w:tcW w:w="5381" w:type="dxa"/>
            <w:tcBorders>
              <w:top w:val="single" w:sz="4" w:space="0" w:color="auto"/>
              <w:bottom w:val="single" w:sz="4" w:space="0" w:color="auto"/>
            </w:tcBorders>
          </w:tcPr>
          <w:p w14:paraId="4E9106AE" w14:textId="77777777" w:rsidR="00220EB3" w:rsidRPr="005F6FF4" w:rsidRDefault="00220EB3" w:rsidP="00220EB3">
            <w:pPr>
              <w:rPr>
                <w:sz w:val="20"/>
                <w:szCs w:val="20"/>
              </w:rPr>
            </w:pPr>
            <w:r w:rsidRPr="005F6FF4">
              <w:rPr>
                <w:sz w:val="20"/>
                <w:szCs w:val="20"/>
              </w:rPr>
              <w:t>Oil rents are the difference between the value of crude oil production at regional prices and total costs of production.</w:t>
            </w:r>
          </w:p>
        </w:tc>
      </w:tr>
    </w:tbl>
    <w:p w14:paraId="7C280252" w14:textId="5AE814DD" w:rsidR="00220EB3" w:rsidRDefault="00220EB3" w:rsidP="00220EB3">
      <w:pPr>
        <w:jc w:val="both"/>
        <w:rPr>
          <w:rFonts w:cstheme="minorHAnsi"/>
          <w:lang w:val="en-GB"/>
        </w:rPr>
      </w:pPr>
      <w:r w:rsidRPr="005F6FF4">
        <w:rPr>
          <w:rFonts w:cstheme="minorHAnsi"/>
          <w:lang w:val="en-GB"/>
        </w:rPr>
        <w:t>Source: Author’s Compilation (2023).</w:t>
      </w:r>
    </w:p>
    <w:p w14:paraId="14755348" w14:textId="77777777" w:rsidR="00BF58DE" w:rsidRPr="00D218BF" w:rsidRDefault="00BF58DE" w:rsidP="00220EB3">
      <w:pPr>
        <w:jc w:val="both"/>
        <w:rPr>
          <w:rFonts w:cstheme="minorHAnsi"/>
          <w:lang w:val="en-GB"/>
        </w:rPr>
      </w:pPr>
    </w:p>
    <w:p w14:paraId="1E2DB892" w14:textId="5B0E80E5" w:rsidR="00CD222F" w:rsidRDefault="00CD222F" w:rsidP="00960F4F">
      <w:pPr>
        <w:jc w:val="both"/>
        <w:rPr>
          <w:rFonts w:cstheme="minorHAnsi"/>
          <w:sz w:val="24"/>
          <w:szCs w:val="24"/>
          <w:lang w:val="en-GB"/>
        </w:rPr>
      </w:pPr>
    </w:p>
    <w:sectPr w:rsidR="00CD222F">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ASUS" w:date="2024-01-03T19:39:00Z" w:initials="A">
    <w:p w14:paraId="0FAECAB2" w14:textId="387E7A65" w:rsidR="00280DF6" w:rsidRDefault="00280DF6">
      <w:pPr>
        <w:pStyle w:val="CommentText"/>
      </w:pPr>
      <w:r>
        <w:rPr>
          <w:rStyle w:val="CommentReference"/>
        </w:rPr>
        <w:annotationRef/>
      </w:r>
      <w:r w:rsidRPr="00280DF6">
        <w:rPr>
          <w:b/>
          <w:bCs/>
        </w:rPr>
        <w:t>Rapid advances in digital technology have led to transformative changes</w:t>
      </w:r>
      <w:r w:rsidRPr="00280DF6">
        <w:t>: The word "resulted" has been replaced with "led to" to provide clarity that the development of digital technology is the direct cause of these changes.</w:t>
      </w:r>
    </w:p>
  </w:comment>
  <w:comment w:id="2" w:author="ASUS" w:date="2024-01-03T19:39:00Z" w:initials="A">
    <w:p w14:paraId="14CC4E8D" w14:textId="4C209D9B" w:rsidR="00280DF6" w:rsidRDefault="00280DF6">
      <w:pPr>
        <w:pStyle w:val="CommentText"/>
      </w:pPr>
      <w:r>
        <w:rPr>
          <w:rStyle w:val="CommentReference"/>
        </w:rPr>
        <w:annotationRef/>
      </w:r>
      <w:r w:rsidRPr="00280DF6">
        <w:rPr>
          <w:b/>
          <w:bCs/>
        </w:rPr>
        <w:t>The integration of digital technologies into various aspects of life is bringing about a comprehensive shift in how societies operate</w:t>
      </w:r>
      <w:r w:rsidRPr="00280DF6">
        <w:t>: To enhance clarity, the phrase "how societies work" has been replaced with "how societies operate" to more accurately depict the changes occurring.</w:t>
      </w:r>
    </w:p>
  </w:comment>
  <w:comment w:id="3" w:author="ASUS" w:date="2024-01-03T19:41:00Z" w:initials="A">
    <w:p w14:paraId="67797D60" w14:textId="3DFB1F8D" w:rsidR="00280DF6" w:rsidRDefault="00280DF6">
      <w:pPr>
        <w:pStyle w:val="CommentText"/>
      </w:pPr>
      <w:r>
        <w:rPr>
          <w:rStyle w:val="CommentReference"/>
        </w:rPr>
        <w:annotationRef/>
      </w:r>
      <w:r w:rsidRPr="00280DF6">
        <w:rPr>
          <w:b/>
          <w:bCs/>
        </w:rPr>
        <w:t>Concerns have been raised about less privileged groups' limited access to technology and a lack of digital skills</w:t>
      </w:r>
      <w:r w:rsidRPr="00280DF6">
        <w:t xml:space="preserve">: The sentence structure is good, but consider refining it by avoiding the use of possessive ('s) on less privileged groups. It could be rephrased as </w:t>
      </w:r>
      <w:r w:rsidRPr="00280DF6">
        <w:rPr>
          <w:b/>
          <w:bCs/>
        </w:rPr>
        <w:t>"Concerns have been raised about limited access to technology and a lack of digital skills among less privileged groups."</w:t>
      </w:r>
    </w:p>
  </w:comment>
  <w:comment w:id="4" w:author="ASUS" w:date="2024-01-03T19:44:00Z" w:initials="A">
    <w:p w14:paraId="3893BD8C" w14:textId="0BD1D5FA" w:rsidR="00502D40" w:rsidRDefault="00502D40">
      <w:pPr>
        <w:pStyle w:val="CommentText"/>
      </w:pPr>
      <w:r>
        <w:rPr>
          <w:rStyle w:val="CommentReference"/>
        </w:rPr>
        <w:annotationRef/>
      </w:r>
      <w:r w:rsidRPr="00502D40">
        <w:rPr>
          <w:b/>
          <w:bCs/>
        </w:rPr>
        <w:t>The following is the rest of this paper</w:t>
      </w:r>
      <w:r w:rsidRPr="00502D40">
        <w:t xml:space="preserve">: No changes, but note that this is a rather formal statement. If you want it to be more friendly, you could replace it with </w:t>
      </w:r>
      <w:r w:rsidRPr="00502D40">
        <w:rPr>
          <w:b/>
          <w:bCs/>
        </w:rPr>
        <w:t>"The rest of the paper is as follows."</w:t>
      </w:r>
    </w:p>
  </w:comment>
  <w:comment w:id="5" w:author="ASUS" w:date="2024-01-03T19:47:00Z" w:initials="A">
    <w:p w14:paraId="62260AD5" w14:textId="22697A81" w:rsidR="00502D40" w:rsidRPr="00502D40" w:rsidRDefault="00502D40">
      <w:pPr>
        <w:pStyle w:val="CommentText"/>
        <w:rPr>
          <w:b/>
          <w:bCs/>
        </w:rPr>
      </w:pPr>
      <w:r>
        <w:rPr>
          <w:rStyle w:val="CommentReference"/>
        </w:rPr>
        <w:annotationRef/>
      </w:r>
      <w:r w:rsidRPr="00502D40">
        <w:t xml:space="preserve">The phrase </w:t>
      </w:r>
      <w:r w:rsidRPr="00502D40">
        <w:rPr>
          <w:b/>
          <w:bCs/>
        </w:rPr>
        <w:t xml:space="preserve">"provided the data for this study" </w:t>
      </w:r>
      <w:r w:rsidRPr="00502D40">
        <w:t xml:space="preserve">can be slightly refined to </w:t>
      </w:r>
      <w:r w:rsidRPr="00502D40">
        <w:rPr>
          <w:b/>
          <w:bCs/>
        </w:rPr>
        <w:t>"served as the data sources for this study.</w:t>
      </w:r>
      <w:r w:rsidR="00772044">
        <w:rPr>
          <w:b/>
          <w:bCs/>
          <w:noProof/>
        </w:rPr>
        <w:t>"</w:t>
      </w:r>
    </w:p>
  </w:comment>
  <w:comment w:id="6" w:author="ASUS" w:date="2024-01-03T19:48:00Z" w:initials="A">
    <w:p w14:paraId="232DB836" w14:textId="750B68ED" w:rsidR="00502D40" w:rsidRPr="00502D40" w:rsidRDefault="00502D40">
      <w:pPr>
        <w:pStyle w:val="CommentText"/>
        <w:rPr>
          <w:b/>
          <w:bCs/>
        </w:rPr>
      </w:pPr>
      <w:r>
        <w:rPr>
          <w:rStyle w:val="CommentReference"/>
        </w:rPr>
        <w:annotationRef/>
      </w:r>
      <w:r w:rsidRPr="00502D40">
        <w:t xml:space="preserve">The sentence </w:t>
      </w:r>
      <w:r w:rsidRPr="00502D40">
        <w:rPr>
          <w:b/>
          <w:bCs/>
        </w:rPr>
        <w:t>"This method has three major advantages"</w:t>
      </w:r>
      <w:r w:rsidRPr="00502D40">
        <w:t xml:space="preserve"> can be rephrased for better flow, such as </w:t>
      </w:r>
      <w:r w:rsidRPr="00502D40">
        <w:rPr>
          <w:b/>
          <w:bCs/>
        </w:rPr>
        <w:t>"There are three major advantages to using PCA in this study."</w:t>
      </w:r>
    </w:p>
  </w:comment>
  <w:comment w:id="7" w:author="ASUS" w:date="2024-01-03T19:53:00Z" w:initials="A">
    <w:p w14:paraId="4EE77121" w14:textId="57E0A084" w:rsidR="00502D40" w:rsidRPr="00502D40" w:rsidRDefault="00502D40">
      <w:pPr>
        <w:pStyle w:val="CommentText"/>
        <w:rPr>
          <w:b/>
          <w:bCs/>
          <w:noProof/>
        </w:rPr>
      </w:pPr>
      <w:r>
        <w:rPr>
          <w:rStyle w:val="CommentReference"/>
        </w:rPr>
        <w:annotationRef/>
      </w:r>
      <w:r w:rsidRPr="00502D40">
        <w:t xml:space="preserve">The sentence </w:t>
      </w:r>
      <w:r w:rsidR="00772044" w:rsidRPr="00502D40">
        <w:rPr>
          <w:b/>
          <w:bCs/>
          <w:noProof/>
        </w:rPr>
        <w:t>"</w:t>
      </w:r>
      <w:r w:rsidRPr="00502D40">
        <w:rPr>
          <w:b/>
          <w:bCs/>
          <w:noProof/>
        </w:rPr>
        <w:t>This section will first explain the indicators that are dominant in forming the aggregate index of digital transformation and inclusive growth before discussing the estimation results of the endogenous impact of digital transformation on inclusive growth."</w:t>
      </w:r>
    </w:p>
    <w:p w14:paraId="204D1462" w14:textId="77777777" w:rsidR="00502D40" w:rsidRDefault="00502D40">
      <w:pPr>
        <w:pStyle w:val="CommentText"/>
        <w:rPr>
          <w:noProof/>
        </w:rPr>
      </w:pPr>
      <w:r w:rsidRPr="00502D40">
        <w:t xml:space="preserve"> can be rephrased for better flow, such as </w:t>
      </w:r>
    </w:p>
    <w:p w14:paraId="6C2718E6" w14:textId="52C73075" w:rsidR="00502D40" w:rsidRPr="00502D40" w:rsidRDefault="00502D40">
      <w:pPr>
        <w:pStyle w:val="CommentText"/>
        <w:rPr>
          <w:b/>
          <w:bCs/>
        </w:rPr>
      </w:pPr>
      <w:r w:rsidRPr="00502D40">
        <w:rPr>
          <w:b/>
          <w:bCs/>
        </w:rPr>
        <w:t>"This section will first elucidate the indicators that predominantly shape the aggregate index of digital transformation and inclusive growth. Subsequently, it will discuss the estimated results of the endogenous impact of digital transformation on inclusive growth."</w:t>
      </w:r>
    </w:p>
  </w:comment>
  <w:comment w:id="8" w:author="ASUS" w:date="2024-01-03T19:55:00Z" w:initials="A">
    <w:p w14:paraId="07886279" w14:textId="05D125F2" w:rsidR="00936B09" w:rsidRPr="00936B09" w:rsidRDefault="00936B09" w:rsidP="00337BFD">
      <w:pPr>
        <w:pStyle w:val="CommentText"/>
        <w:rPr>
          <w:b/>
          <w:bCs/>
        </w:rPr>
      </w:pPr>
      <w:r>
        <w:rPr>
          <w:rStyle w:val="CommentReference"/>
        </w:rPr>
        <w:annotationRef/>
      </w:r>
      <w:r>
        <w:t xml:space="preserve">The sentence </w:t>
      </w:r>
      <w:r w:rsidRPr="00936B09">
        <w:rPr>
          <w:b/>
          <w:bCs/>
        </w:rPr>
        <w:t>"Furthermore, the PCA results show that only one significant main component is formed, with the first component having an eigenvalue greater than one (see Figure 2a)."</w:t>
      </w:r>
    </w:p>
    <w:p w14:paraId="75F2F072" w14:textId="77777777" w:rsidR="00936B09" w:rsidRDefault="00936B09" w:rsidP="00936B09">
      <w:pPr>
        <w:pStyle w:val="CommentText"/>
        <w:rPr>
          <w:b/>
          <w:bCs/>
          <w:noProof/>
        </w:rPr>
      </w:pPr>
      <w:r>
        <w:t xml:space="preserve"> can be rephrased for</w:t>
      </w:r>
      <w:r w:rsidR="00772044">
        <w:rPr>
          <w:noProof/>
        </w:rPr>
        <w:t xml:space="preserve"> </w:t>
      </w:r>
      <w:r w:rsidRPr="00936B09">
        <w:rPr>
          <w:noProof/>
        </w:rPr>
        <w:t xml:space="preserve">for clarity and to avoid repetition of </w:t>
      </w:r>
      <w:r w:rsidRPr="00936B09">
        <w:rPr>
          <w:b/>
          <w:bCs/>
          <w:noProof/>
        </w:rPr>
        <w:t>"significant main component."</w:t>
      </w:r>
    </w:p>
    <w:p w14:paraId="16367907" w14:textId="3A6363A7" w:rsidR="00936B09" w:rsidRPr="00936B09" w:rsidRDefault="00936B09" w:rsidP="00936B09">
      <w:pPr>
        <w:pStyle w:val="CommentText"/>
        <w:rPr>
          <w:b/>
          <w:bCs/>
        </w:rPr>
      </w:pPr>
      <w:r w:rsidRPr="00936B09">
        <w:rPr>
          <w:b/>
          <w:bCs/>
        </w:rPr>
        <w:t>"Moreover, the PCA results reveal the formation of only one significant main component, with the first component having an eigenvalue greater than one (refer to Figure 2a)."</w:t>
      </w:r>
    </w:p>
  </w:comment>
  <w:comment w:id="9" w:author="ASUS" w:date="2024-01-03T20:00:00Z" w:initials="A">
    <w:p w14:paraId="35374F73" w14:textId="443CB9B5" w:rsidR="00936B09" w:rsidRPr="00502D40" w:rsidRDefault="00936B09" w:rsidP="00337BFD">
      <w:pPr>
        <w:pStyle w:val="CommentText"/>
        <w:rPr>
          <w:b/>
          <w:bCs/>
          <w:noProof/>
        </w:rPr>
      </w:pPr>
      <w:r>
        <w:rPr>
          <w:rStyle w:val="CommentReference"/>
        </w:rPr>
        <w:annotationRef/>
      </w:r>
      <w:r w:rsidRPr="00502D40">
        <w:t xml:space="preserve">The sentence </w:t>
      </w:r>
      <w:r w:rsidRPr="00936B09">
        <w:rPr>
          <w:b/>
          <w:bCs/>
        </w:rPr>
        <w:t>"Figure 3(a) depicts the evolution of the Digital Transformation Index calculated using Principal Component Analysis (PCA) for the period 1980-2021, reflecting a journey that began with low negative values at the start of the period, indicating early challenges in digital technology adoption."</w:t>
      </w:r>
    </w:p>
    <w:p w14:paraId="25EFAD0B" w14:textId="2B963CFC" w:rsidR="00936B09" w:rsidRDefault="00936B09" w:rsidP="00936B09">
      <w:pPr>
        <w:pStyle w:val="CommentText"/>
        <w:rPr>
          <w:noProof/>
        </w:rPr>
      </w:pPr>
      <w:r w:rsidRPr="00502D40">
        <w:t xml:space="preserve"> can be rephrased for better flow</w:t>
      </w:r>
      <w:r w:rsidR="00772044">
        <w:rPr>
          <w:noProof/>
        </w:rPr>
        <w:t xml:space="preserve"> and clar</w:t>
      </w:r>
      <w:r w:rsidR="00772044">
        <w:rPr>
          <w:noProof/>
        </w:rPr>
        <w:t>ity</w:t>
      </w:r>
      <w:r w:rsidRPr="00502D40">
        <w:t xml:space="preserve">, such as </w:t>
      </w:r>
    </w:p>
    <w:p w14:paraId="19B8B076" w14:textId="3537DB5D" w:rsidR="00936B09" w:rsidRPr="00936B09" w:rsidRDefault="00936B09">
      <w:pPr>
        <w:pStyle w:val="CommentText"/>
        <w:rPr>
          <w:b/>
          <w:bCs/>
        </w:rPr>
      </w:pPr>
      <w:r w:rsidRPr="00936B09">
        <w:rPr>
          <w:b/>
          <w:bCs/>
        </w:rPr>
        <w:t>"Figure 3(a) illustrates the evolution of the Digital Transformation Index, calculated using Principal Component Analysis (PCA) for the period 1980-2021. It depicts a journey that commenced with low negative values at the beginning of the period, signifying early challenges in digital technology adoption."</w:t>
      </w:r>
    </w:p>
  </w:comment>
  <w:comment w:id="10" w:author="ASUS" w:date="2024-01-03T20:03:00Z" w:initials="A">
    <w:p w14:paraId="371D1CC9" w14:textId="28084997" w:rsidR="00936B09" w:rsidRPr="00936B09" w:rsidRDefault="00936B09" w:rsidP="00337BFD">
      <w:pPr>
        <w:pStyle w:val="CommentText"/>
        <w:rPr>
          <w:b/>
          <w:bCs/>
          <w:noProof/>
        </w:rPr>
      </w:pPr>
      <w:r>
        <w:rPr>
          <w:rStyle w:val="CommentReference"/>
        </w:rPr>
        <w:annotationRef/>
      </w:r>
      <w:r w:rsidRPr="00502D40">
        <w:t xml:space="preserve">The sentence </w:t>
      </w:r>
      <w:r w:rsidRPr="00936B09">
        <w:rPr>
          <w:b/>
          <w:bCs/>
        </w:rPr>
        <w:t>"When Gross Domestic Savings (GDS) are examined, it becomes clear that higher savings rates do not inherently translate into parallel improvements in inclusive growth."</w:t>
      </w:r>
    </w:p>
    <w:p w14:paraId="72E62827" w14:textId="0DBEB4CF" w:rsidR="00936B09" w:rsidRDefault="00936B09" w:rsidP="00936B09">
      <w:pPr>
        <w:pStyle w:val="CommentText"/>
        <w:rPr>
          <w:noProof/>
        </w:rPr>
      </w:pPr>
      <w:r w:rsidRPr="00502D40">
        <w:t xml:space="preserve"> can be rephrased </w:t>
      </w:r>
      <w:r w:rsidR="00772044">
        <w:rPr>
          <w:noProof/>
        </w:rPr>
        <w:t>t</w:t>
      </w:r>
      <w:r w:rsidR="00772044">
        <w:rPr>
          <w:noProof/>
        </w:rPr>
        <w:t>o improve</w:t>
      </w:r>
      <w:r w:rsidR="00772044">
        <w:rPr>
          <w:noProof/>
        </w:rPr>
        <w:t xml:space="preserve"> </w:t>
      </w:r>
      <w:r>
        <w:rPr>
          <w:noProof/>
        </w:rPr>
        <w:t>clarity</w:t>
      </w:r>
      <w:r w:rsidR="00772044">
        <w:rPr>
          <w:noProof/>
        </w:rPr>
        <w:t xml:space="preserve"> and precision</w:t>
      </w:r>
      <w:r w:rsidRPr="00502D40">
        <w:t xml:space="preserve">, such as </w:t>
      </w:r>
    </w:p>
    <w:p w14:paraId="2F047DB1" w14:textId="038617A9" w:rsidR="00936B09" w:rsidRPr="00936B09" w:rsidRDefault="00772044">
      <w:pPr>
        <w:pStyle w:val="CommentText"/>
        <w:rPr>
          <w:b/>
          <w:bCs/>
        </w:rPr>
      </w:pPr>
      <w:r w:rsidRPr="00936B09">
        <w:rPr>
          <w:b/>
          <w:bCs/>
          <w:noProof/>
        </w:rPr>
        <w:t>"</w:t>
      </w:r>
      <w:r w:rsidR="00936B09" w:rsidRPr="00936B09">
        <w:rPr>
          <w:b/>
          <w:bCs/>
        </w:rPr>
        <w:t>Upon examining Gross Domestic Savings (GDS), it becomes evident that higher savings rates do not necessarily translate into parallel improvements in inclusive growth</w:t>
      </w:r>
      <w:r w:rsidRPr="00936B09">
        <w:rPr>
          <w:b/>
          <w:bCs/>
          <w:noProof/>
        </w:rPr>
        <w:t>"</w:t>
      </w:r>
    </w:p>
  </w:comment>
  <w:comment w:id="11" w:author="ASUS" w:date="2024-01-03T20:09:00Z" w:initials="A">
    <w:p w14:paraId="0A24C22F" w14:textId="66AD09F4" w:rsidR="003319F2" w:rsidRPr="003319F2" w:rsidRDefault="003319F2">
      <w:pPr>
        <w:pStyle w:val="CommentText"/>
        <w:rPr>
          <w:b/>
          <w:bCs/>
          <w:noProof/>
        </w:rPr>
      </w:pPr>
      <w:r>
        <w:rPr>
          <w:rStyle w:val="CommentReference"/>
        </w:rPr>
        <w:annotationRef/>
      </w:r>
      <w:r w:rsidRPr="003319F2">
        <w:rPr>
          <w:b/>
          <w:bCs/>
          <w:noProof/>
        </w:rPr>
        <w:t>...while GDP per capita growth and poverty alleviation emerge as primary contributors to measuring inclusive growth in Indonesia.</w:t>
      </w:r>
    </w:p>
    <w:p w14:paraId="3C05381A" w14:textId="32FC0A52" w:rsidR="003319F2" w:rsidRPr="003319F2" w:rsidRDefault="003319F2">
      <w:pPr>
        <w:pStyle w:val="CommentText"/>
        <w:rPr>
          <w:b/>
          <w:bCs/>
        </w:rPr>
      </w:pPr>
      <w:r w:rsidRPr="003319F2">
        <w:t xml:space="preserve">Consider rephrasing for clarity: </w:t>
      </w:r>
      <w:r w:rsidRPr="003319F2">
        <w:rPr>
          <w:b/>
          <w:bCs/>
        </w:rPr>
        <w:t>"...while GDP per capita growth and poverty alleviation are identified as primary indicators of inclusive growth in Indonesia."</w:t>
      </w:r>
    </w:p>
  </w:comment>
  <w:comment w:id="12" w:author="ASUS" w:date="2024-01-03T20:10:00Z" w:initials="A">
    <w:p w14:paraId="20C2A3F1" w14:textId="3F4FC0C6" w:rsidR="003319F2" w:rsidRPr="003319F2" w:rsidRDefault="003319F2" w:rsidP="00337BFD">
      <w:pPr>
        <w:pStyle w:val="CommentText"/>
        <w:rPr>
          <w:b/>
          <w:bCs/>
        </w:rPr>
      </w:pPr>
      <w:r>
        <w:rPr>
          <w:rStyle w:val="CommentReference"/>
        </w:rPr>
        <w:annotationRef/>
      </w:r>
      <w:r w:rsidR="00772044">
        <w:rPr>
          <w:b/>
          <w:bCs/>
          <w:noProof/>
        </w:rPr>
        <w:t>"</w:t>
      </w:r>
      <w:r w:rsidRPr="003319F2">
        <w:rPr>
          <w:b/>
          <w:bCs/>
        </w:rPr>
        <w:t>Most importantly, this study concludes that the beneficial impact of digital transformation is primarily elucidated by how the medium and high-tech manufacturing sectors can stimulate inclusive growth, particularly in terms of increasing GDP per capita and reducing poverty.</w:t>
      </w:r>
      <w:r w:rsidR="00772044">
        <w:rPr>
          <w:b/>
          <w:bCs/>
          <w:noProof/>
        </w:rPr>
        <w:t>"</w:t>
      </w:r>
    </w:p>
    <w:p w14:paraId="4C2068EC" w14:textId="5382234B" w:rsidR="003319F2" w:rsidRPr="003319F2" w:rsidRDefault="003319F2" w:rsidP="003319F2">
      <w:pPr>
        <w:pStyle w:val="CommentText"/>
        <w:rPr>
          <w:b/>
          <w:bCs/>
        </w:rPr>
      </w:pPr>
      <w:r>
        <w:t xml:space="preserve">Consider breaking down the sentence for readability: </w:t>
      </w:r>
      <w:r w:rsidRPr="003319F2">
        <w:rPr>
          <w:b/>
          <w:bCs/>
        </w:rPr>
        <w:t>"Most importantly, the study concludes that the beneficial impact of digital transformation is primarily elucidated by the ability of the medium and high-tech manufacturing sectors to stimulate inclusive growth. This is especially evident in the increase of GDP per capita and the reduction of poverty."</w:t>
      </w:r>
    </w:p>
  </w:comment>
  <w:comment w:id="13" w:author="ASUS" w:date="2024-01-03T20:11:00Z" w:initials="A">
    <w:p w14:paraId="586EFEA1" w14:textId="4C052FC5" w:rsidR="003319F2" w:rsidRPr="003319F2" w:rsidRDefault="003319F2" w:rsidP="00337BFD">
      <w:pPr>
        <w:pStyle w:val="CommentText"/>
        <w:rPr>
          <w:b/>
          <w:bCs/>
        </w:rPr>
      </w:pPr>
      <w:r>
        <w:rPr>
          <w:rStyle w:val="CommentReference"/>
        </w:rPr>
        <w:annotationRef/>
      </w:r>
      <w:r w:rsidR="00772044">
        <w:rPr>
          <w:b/>
          <w:bCs/>
          <w:noProof/>
        </w:rPr>
        <w:t>"</w:t>
      </w:r>
      <w:r w:rsidRPr="003319F2">
        <w:rPr>
          <w:b/>
          <w:bCs/>
        </w:rPr>
        <w:t>Given that this process involves trial and error and may burden businesses, a policy recommendation is to increase support for R&amp;D, particularly in key sectors that heavily rely on digitization.</w:t>
      </w:r>
      <w:r w:rsidR="00772044">
        <w:rPr>
          <w:b/>
          <w:bCs/>
          <w:noProof/>
        </w:rPr>
        <w:t>"</w:t>
      </w:r>
    </w:p>
    <w:p w14:paraId="5A617839" w14:textId="3E896146" w:rsidR="003319F2" w:rsidRPr="003319F2" w:rsidRDefault="003319F2" w:rsidP="003319F2">
      <w:pPr>
        <w:pStyle w:val="CommentText"/>
        <w:rPr>
          <w:b/>
          <w:bCs/>
        </w:rPr>
      </w:pPr>
      <w:r>
        <w:t xml:space="preserve">For improved flow, consider rephrasing: </w:t>
      </w:r>
      <w:r w:rsidRPr="003319F2">
        <w:rPr>
          <w:b/>
          <w:bCs/>
        </w:rPr>
        <w:t>"Acknowledging that this process involves trial and error and may pose challenges for businesses, a policy recommendation is to increase support for R&amp;D, especially in key sectors heavily relying on digitization.</w:t>
      </w:r>
      <w:r w:rsidR="00772044">
        <w:rPr>
          <w:b/>
          <w:bCs/>
          <w:noProof/>
        </w:rPr>
        <w:t>"</w:t>
      </w:r>
    </w:p>
  </w:comment>
  <w:comment w:id="14" w:author="ASUS" w:date="2024-01-03T20:13:00Z" w:initials="A">
    <w:p w14:paraId="6C384107" w14:textId="00364948" w:rsidR="003319F2" w:rsidRPr="003319F2" w:rsidRDefault="003319F2" w:rsidP="00337BFD">
      <w:pPr>
        <w:pStyle w:val="CommentText"/>
        <w:rPr>
          <w:b/>
          <w:bCs/>
        </w:rPr>
      </w:pPr>
      <w:r>
        <w:rPr>
          <w:rStyle w:val="CommentReference"/>
        </w:rPr>
        <w:annotationRef/>
      </w:r>
      <w:r w:rsidR="00772044">
        <w:rPr>
          <w:b/>
          <w:bCs/>
          <w:noProof/>
        </w:rPr>
        <w:t>"</w:t>
      </w:r>
      <w:r w:rsidRPr="003319F2">
        <w:rPr>
          <w:b/>
          <w:bCs/>
        </w:rPr>
        <w:t>The recommended policy measures to improve economic inclusivity in the medium and high-tech manufacturing sectors for disadvantaged populations include establishing affordable community-based training centres...</w:t>
      </w:r>
      <w:r w:rsidR="00772044">
        <w:rPr>
          <w:b/>
          <w:bCs/>
          <w:noProof/>
        </w:rPr>
        <w:t>"</w:t>
      </w:r>
    </w:p>
    <w:p w14:paraId="4CAFB97F" w14:textId="50247567" w:rsidR="003319F2" w:rsidRPr="003319F2" w:rsidRDefault="003319F2" w:rsidP="003319F2">
      <w:pPr>
        <w:pStyle w:val="CommentText"/>
        <w:rPr>
          <w:b/>
          <w:bCs/>
        </w:rPr>
      </w:pPr>
      <w:r>
        <w:t xml:space="preserve">To enhance clarity, consider rephrasing: </w:t>
      </w:r>
      <w:r w:rsidRPr="003319F2">
        <w:rPr>
          <w:b/>
          <w:bCs/>
        </w:rPr>
        <w:t>"Recommended policy measures to enhance economic inclusivity in the medium and high-tech manufacturing sectors for disadvantaged populations include establishing affordable community-based training centres..."</w:t>
      </w:r>
    </w:p>
  </w:comment>
  <w:comment w:id="15" w:author="ASUS" w:date="2024-01-03T20:14:00Z" w:initials="A">
    <w:p w14:paraId="7BCDA4BE" w14:textId="03380F64" w:rsidR="003319F2" w:rsidRPr="003319F2" w:rsidRDefault="003319F2" w:rsidP="00337BFD">
      <w:pPr>
        <w:pStyle w:val="CommentText"/>
        <w:rPr>
          <w:b/>
          <w:bCs/>
        </w:rPr>
      </w:pPr>
      <w:r>
        <w:rPr>
          <w:rStyle w:val="CommentReference"/>
        </w:rPr>
        <w:annotationRef/>
      </w:r>
      <w:r w:rsidR="00772044">
        <w:rPr>
          <w:b/>
          <w:bCs/>
          <w:noProof/>
        </w:rPr>
        <w:t>"</w:t>
      </w:r>
      <w:r w:rsidRPr="003319F2">
        <w:rPr>
          <w:b/>
          <w:bCs/>
        </w:rPr>
        <w:t>Furthermore, while the study emphasizes the importance of internal factors and prior learning experiences, future research can delve deeper into specific strategies and mechanisms that organizations can implement to stimulate hands-on learning practices and facilitate digital transformation.</w:t>
      </w:r>
      <w:r w:rsidR="00772044">
        <w:rPr>
          <w:b/>
          <w:bCs/>
          <w:noProof/>
        </w:rPr>
        <w:t>"</w:t>
      </w:r>
    </w:p>
    <w:p w14:paraId="64596DD2" w14:textId="7413B7A6" w:rsidR="003319F2" w:rsidRPr="003319F2" w:rsidRDefault="003319F2" w:rsidP="003319F2">
      <w:pPr>
        <w:pStyle w:val="CommentText"/>
        <w:rPr>
          <w:b/>
          <w:bCs/>
        </w:rPr>
      </w:pPr>
      <w:r>
        <w:t xml:space="preserve">Consider rephrasing for clarity and conciseness: </w:t>
      </w:r>
      <w:r w:rsidRPr="003319F2">
        <w:rPr>
          <w:b/>
          <w:bCs/>
        </w:rPr>
        <w:t>"While the study emphasizes the importance of internal factors and prior learning experiences, future research can delve into specific strategies and mechanisms for organizations to stimulate hands-on learning practices and facilitate digital transformation."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FAECAB2" w15:done="0"/>
  <w15:commentEx w15:paraId="14CC4E8D" w15:done="0"/>
  <w15:commentEx w15:paraId="67797D60" w15:done="0"/>
  <w15:commentEx w15:paraId="3893BD8C" w15:done="0"/>
  <w15:commentEx w15:paraId="62260AD5" w15:done="0"/>
  <w15:commentEx w15:paraId="232DB836" w15:done="0"/>
  <w15:commentEx w15:paraId="6C2718E6" w15:done="0"/>
  <w15:commentEx w15:paraId="16367907" w15:done="0"/>
  <w15:commentEx w15:paraId="19B8B076" w15:done="0"/>
  <w15:commentEx w15:paraId="2F047DB1" w15:done="0"/>
  <w15:commentEx w15:paraId="3C05381A" w15:done="0"/>
  <w15:commentEx w15:paraId="4C2068EC" w15:done="0"/>
  <w15:commentEx w15:paraId="5A617839" w15:done="0"/>
  <w15:commentEx w15:paraId="4CAFB97F" w15:done="0"/>
  <w15:commentEx w15:paraId="64596DD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940365A" w16cex:dateUtc="2024-01-03T12:39:00Z"/>
  <w16cex:commentExtensible w16cex:durableId="2940367D" w16cex:dateUtc="2024-01-03T12:39:00Z"/>
  <w16cex:commentExtensible w16cex:durableId="29403701" w16cex:dateUtc="2024-01-03T12:41:00Z"/>
  <w16cex:commentExtensible w16cex:durableId="294037BB" w16cex:dateUtc="2024-01-03T12:44:00Z"/>
  <w16cex:commentExtensible w16cex:durableId="29403842" w16cex:dateUtc="2024-01-03T12:47:00Z"/>
  <w16cex:commentExtensible w16cex:durableId="29403882" w16cex:dateUtc="2024-01-03T12:48:00Z"/>
  <w16cex:commentExtensible w16cex:durableId="294039C0" w16cex:dateUtc="2024-01-03T12:53:00Z"/>
  <w16cex:commentExtensible w16cex:durableId="29403A3A" w16cex:dateUtc="2024-01-03T12:55:00Z"/>
  <w16cex:commentExtensible w16cex:durableId="29403B54" w16cex:dateUtc="2024-01-03T13:00:00Z"/>
  <w16cex:commentExtensible w16cex:durableId="29403C0A" w16cex:dateUtc="2024-01-03T13:03:00Z"/>
  <w16cex:commentExtensible w16cex:durableId="29403D67" w16cex:dateUtc="2024-01-03T13:09:00Z"/>
  <w16cex:commentExtensible w16cex:durableId="29403DB6" w16cex:dateUtc="2024-01-03T13:10:00Z"/>
  <w16cex:commentExtensible w16cex:durableId="29403DFF" w16cex:dateUtc="2024-01-03T13:11:00Z"/>
  <w16cex:commentExtensible w16cex:durableId="29403E60" w16cex:dateUtc="2024-01-03T13:13:00Z"/>
  <w16cex:commentExtensible w16cex:durableId="29403E98" w16cex:dateUtc="2024-01-03T13: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FAECAB2" w16cid:durableId="2940365A"/>
  <w16cid:commentId w16cid:paraId="14CC4E8D" w16cid:durableId="2940367D"/>
  <w16cid:commentId w16cid:paraId="67797D60" w16cid:durableId="29403701"/>
  <w16cid:commentId w16cid:paraId="3893BD8C" w16cid:durableId="294037BB"/>
  <w16cid:commentId w16cid:paraId="62260AD5" w16cid:durableId="29403842"/>
  <w16cid:commentId w16cid:paraId="232DB836" w16cid:durableId="29403882"/>
  <w16cid:commentId w16cid:paraId="6C2718E6" w16cid:durableId="294039C0"/>
  <w16cid:commentId w16cid:paraId="16367907" w16cid:durableId="29403A3A"/>
  <w16cid:commentId w16cid:paraId="19B8B076" w16cid:durableId="29403B54"/>
  <w16cid:commentId w16cid:paraId="2F047DB1" w16cid:durableId="29403C0A"/>
  <w16cid:commentId w16cid:paraId="3C05381A" w16cid:durableId="29403D67"/>
  <w16cid:commentId w16cid:paraId="4C2068EC" w16cid:durableId="29403DB6"/>
  <w16cid:commentId w16cid:paraId="5A617839" w16cid:durableId="29403DFF"/>
  <w16cid:commentId w16cid:paraId="4CAFB97F" w16cid:durableId="29403E60"/>
  <w16cid:commentId w16cid:paraId="64596DD2" w16cid:durableId="29403E9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36211C3"/>
    <w:multiLevelType w:val="hybridMultilevel"/>
    <w:tmpl w:val="682CF72E"/>
    <w:lvl w:ilvl="0" w:tplc="32BCDEE4">
      <w:start w:val="1"/>
      <w:numFmt w:val="lowerRoman"/>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5E9B2702"/>
    <w:multiLevelType w:val="hybridMultilevel"/>
    <w:tmpl w:val="3A1A53D2"/>
    <w:lvl w:ilvl="0" w:tplc="5C2C925C">
      <w:start w:val="1"/>
      <w:numFmt w:val="lowerRoman"/>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781C210A"/>
    <w:multiLevelType w:val="hybridMultilevel"/>
    <w:tmpl w:val="85686326"/>
    <w:lvl w:ilvl="0" w:tplc="8E2C947A">
      <w:start w:val="1"/>
      <w:numFmt w:val="decimal"/>
      <w:lvlText w:val="%1."/>
      <w:lvlJc w:val="left"/>
      <w:pPr>
        <w:ind w:left="720" w:hanging="360"/>
      </w:pPr>
      <w:rPr>
        <w:rFonts w:hint="default"/>
        <w:b w:val="0"/>
        <w:sz w:val="22"/>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SUS">
    <w15:presenceInfo w15:providerId="None" w15:userId="ASU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rMwNLUwMjcwMzEyMjRX0lEKTi0uzszPAykwMq8FAMS9i3YtAAAA"/>
  </w:docVars>
  <w:rsids>
    <w:rsidRoot w:val="007D2818"/>
    <w:rsid w:val="00002F32"/>
    <w:rsid w:val="00025FFB"/>
    <w:rsid w:val="00042741"/>
    <w:rsid w:val="00044E9A"/>
    <w:rsid w:val="00060144"/>
    <w:rsid w:val="00071374"/>
    <w:rsid w:val="00072897"/>
    <w:rsid w:val="0007603B"/>
    <w:rsid w:val="00090C28"/>
    <w:rsid w:val="00097723"/>
    <w:rsid w:val="000B49AD"/>
    <w:rsid w:val="000C1118"/>
    <w:rsid w:val="000D4677"/>
    <w:rsid w:val="000E3C3D"/>
    <w:rsid w:val="000E635F"/>
    <w:rsid w:val="000F1617"/>
    <w:rsid w:val="000F4F94"/>
    <w:rsid w:val="000F58E9"/>
    <w:rsid w:val="000F60EF"/>
    <w:rsid w:val="00102FBB"/>
    <w:rsid w:val="00115C57"/>
    <w:rsid w:val="001319F7"/>
    <w:rsid w:val="00154643"/>
    <w:rsid w:val="00180B83"/>
    <w:rsid w:val="0019049E"/>
    <w:rsid w:val="0019723B"/>
    <w:rsid w:val="001A24E9"/>
    <w:rsid w:val="001A3442"/>
    <w:rsid w:val="001A6C75"/>
    <w:rsid w:val="001A7A88"/>
    <w:rsid w:val="001C549F"/>
    <w:rsid w:val="001E6850"/>
    <w:rsid w:val="001F4C2A"/>
    <w:rsid w:val="00204553"/>
    <w:rsid w:val="002059E6"/>
    <w:rsid w:val="00211D97"/>
    <w:rsid w:val="00220EB3"/>
    <w:rsid w:val="0023538A"/>
    <w:rsid w:val="00237B17"/>
    <w:rsid w:val="00243524"/>
    <w:rsid w:val="0024528C"/>
    <w:rsid w:val="0026408A"/>
    <w:rsid w:val="002757CC"/>
    <w:rsid w:val="00280DF6"/>
    <w:rsid w:val="00292DAC"/>
    <w:rsid w:val="002A7ABA"/>
    <w:rsid w:val="002B78A1"/>
    <w:rsid w:val="002C0758"/>
    <w:rsid w:val="002C0819"/>
    <w:rsid w:val="002D6E24"/>
    <w:rsid w:val="002E27AA"/>
    <w:rsid w:val="002E55BC"/>
    <w:rsid w:val="002E57DB"/>
    <w:rsid w:val="00300A0F"/>
    <w:rsid w:val="00307704"/>
    <w:rsid w:val="00325B93"/>
    <w:rsid w:val="00325F29"/>
    <w:rsid w:val="003310E6"/>
    <w:rsid w:val="003319F2"/>
    <w:rsid w:val="003332FB"/>
    <w:rsid w:val="00344786"/>
    <w:rsid w:val="00351A0E"/>
    <w:rsid w:val="00355E6B"/>
    <w:rsid w:val="00374740"/>
    <w:rsid w:val="0038350D"/>
    <w:rsid w:val="0039736B"/>
    <w:rsid w:val="003A5F19"/>
    <w:rsid w:val="003B7BD1"/>
    <w:rsid w:val="003C7FF3"/>
    <w:rsid w:val="003D24C4"/>
    <w:rsid w:val="003F3397"/>
    <w:rsid w:val="0040077F"/>
    <w:rsid w:val="004333FD"/>
    <w:rsid w:val="00436F92"/>
    <w:rsid w:val="004428CB"/>
    <w:rsid w:val="004502C0"/>
    <w:rsid w:val="00452C16"/>
    <w:rsid w:val="0048208F"/>
    <w:rsid w:val="004A6732"/>
    <w:rsid w:val="004C3FC8"/>
    <w:rsid w:val="00502D40"/>
    <w:rsid w:val="0051582A"/>
    <w:rsid w:val="0053013A"/>
    <w:rsid w:val="00535417"/>
    <w:rsid w:val="00540A04"/>
    <w:rsid w:val="00554E94"/>
    <w:rsid w:val="005557A4"/>
    <w:rsid w:val="005673BA"/>
    <w:rsid w:val="0057060C"/>
    <w:rsid w:val="00572FEF"/>
    <w:rsid w:val="00597FDC"/>
    <w:rsid w:val="005A5BF1"/>
    <w:rsid w:val="005D086B"/>
    <w:rsid w:val="005D5951"/>
    <w:rsid w:val="005E6404"/>
    <w:rsid w:val="005F610D"/>
    <w:rsid w:val="005F6FF4"/>
    <w:rsid w:val="005F7813"/>
    <w:rsid w:val="00622966"/>
    <w:rsid w:val="0062502E"/>
    <w:rsid w:val="0067385C"/>
    <w:rsid w:val="00681F11"/>
    <w:rsid w:val="00683D95"/>
    <w:rsid w:val="006C1AB0"/>
    <w:rsid w:val="006C1F9C"/>
    <w:rsid w:val="006C7900"/>
    <w:rsid w:val="006E679E"/>
    <w:rsid w:val="0071309B"/>
    <w:rsid w:val="0071783A"/>
    <w:rsid w:val="00722592"/>
    <w:rsid w:val="00725801"/>
    <w:rsid w:val="00742A14"/>
    <w:rsid w:val="00747981"/>
    <w:rsid w:val="00751292"/>
    <w:rsid w:val="00754387"/>
    <w:rsid w:val="00770DCE"/>
    <w:rsid w:val="00772044"/>
    <w:rsid w:val="0077421B"/>
    <w:rsid w:val="00775C92"/>
    <w:rsid w:val="00776055"/>
    <w:rsid w:val="007867D5"/>
    <w:rsid w:val="007912C0"/>
    <w:rsid w:val="007B02C3"/>
    <w:rsid w:val="007B282B"/>
    <w:rsid w:val="007C285A"/>
    <w:rsid w:val="007D2818"/>
    <w:rsid w:val="007D46DF"/>
    <w:rsid w:val="007D55DE"/>
    <w:rsid w:val="007D6691"/>
    <w:rsid w:val="007F6948"/>
    <w:rsid w:val="007F7CB2"/>
    <w:rsid w:val="007F7D7A"/>
    <w:rsid w:val="008046E2"/>
    <w:rsid w:val="008129E2"/>
    <w:rsid w:val="00821354"/>
    <w:rsid w:val="00833DD5"/>
    <w:rsid w:val="00834F98"/>
    <w:rsid w:val="0083612F"/>
    <w:rsid w:val="00846163"/>
    <w:rsid w:val="00855AB3"/>
    <w:rsid w:val="0086274B"/>
    <w:rsid w:val="00877836"/>
    <w:rsid w:val="008A56CD"/>
    <w:rsid w:val="008B4E32"/>
    <w:rsid w:val="008E2E64"/>
    <w:rsid w:val="008E3E20"/>
    <w:rsid w:val="00915E19"/>
    <w:rsid w:val="00923EBB"/>
    <w:rsid w:val="00936B09"/>
    <w:rsid w:val="0093709A"/>
    <w:rsid w:val="009558A0"/>
    <w:rsid w:val="00960F4F"/>
    <w:rsid w:val="009624FA"/>
    <w:rsid w:val="0097171A"/>
    <w:rsid w:val="009A027A"/>
    <w:rsid w:val="009A629F"/>
    <w:rsid w:val="009A6A3F"/>
    <w:rsid w:val="009C1519"/>
    <w:rsid w:val="009C7EBE"/>
    <w:rsid w:val="009D4B9B"/>
    <w:rsid w:val="009E34AF"/>
    <w:rsid w:val="009F272B"/>
    <w:rsid w:val="00A03CFB"/>
    <w:rsid w:val="00A0780D"/>
    <w:rsid w:val="00A112BA"/>
    <w:rsid w:val="00A11DF9"/>
    <w:rsid w:val="00A12DB9"/>
    <w:rsid w:val="00A16170"/>
    <w:rsid w:val="00A23B7E"/>
    <w:rsid w:val="00A46E79"/>
    <w:rsid w:val="00A5012D"/>
    <w:rsid w:val="00A64B0C"/>
    <w:rsid w:val="00A742D8"/>
    <w:rsid w:val="00A84979"/>
    <w:rsid w:val="00A954A0"/>
    <w:rsid w:val="00AB5A64"/>
    <w:rsid w:val="00AD08D8"/>
    <w:rsid w:val="00B25C39"/>
    <w:rsid w:val="00B40F0E"/>
    <w:rsid w:val="00B55A95"/>
    <w:rsid w:val="00B61819"/>
    <w:rsid w:val="00B63A6F"/>
    <w:rsid w:val="00B80CE2"/>
    <w:rsid w:val="00BA4BFC"/>
    <w:rsid w:val="00BB0B5B"/>
    <w:rsid w:val="00BB2E5A"/>
    <w:rsid w:val="00BB4C62"/>
    <w:rsid w:val="00BC037B"/>
    <w:rsid w:val="00BF58DE"/>
    <w:rsid w:val="00C0000A"/>
    <w:rsid w:val="00C05585"/>
    <w:rsid w:val="00C076FE"/>
    <w:rsid w:val="00C12B95"/>
    <w:rsid w:val="00C37955"/>
    <w:rsid w:val="00CD222F"/>
    <w:rsid w:val="00CD3D34"/>
    <w:rsid w:val="00CE36E9"/>
    <w:rsid w:val="00CE6B0B"/>
    <w:rsid w:val="00CF2B96"/>
    <w:rsid w:val="00D06D04"/>
    <w:rsid w:val="00D218BF"/>
    <w:rsid w:val="00D22BE5"/>
    <w:rsid w:val="00D30AFC"/>
    <w:rsid w:val="00D42989"/>
    <w:rsid w:val="00D641C7"/>
    <w:rsid w:val="00D71599"/>
    <w:rsid w:val="00D8496E"/>
    <w:rsid w:val="00D93CEA"/>
    <w:rsid w:val="00DB1AB4"/>
    <w:rsid w:val="00DC09E0"/>
    <w:rsid w:val="00DE45A1"/>
    <w:rsid w:val="00DF1E30"/>
    <w:rsid w:val="00DF7081"/>
    <w:rsid w:val="00E302CD"/>
    <w:rsid w:val="00E3085F"/>
    <w:rsid w:val="00E52DB5"/>
    <w:rsid w:val="00E52DCB"/>
    <w:rsid w:val="00E549EA"/>
    <w:rsid w:val="00E652D0"/>
    <w:rsid w:val="00E82A74"/>
    <w:rsid w:val="00E84ACF"/>
    <w:rsid w:val="00E84C87"/>
    <w:rsid w:val="00E97E6C"/>
    <w:rsid w:val="00EA4200"/>
    <w:rsid w:val="00EA659E"/>
    <w:rsid w:val="00EA7552"/>
    <w:rsid w:val="00EB2AD1"/>
    <w:rsid w:val="00EC09DA"/>
    <w:rsid w:val="00EC7F18"/>
    <w:rsid w:val="00EE28D1"/>
    <w:rsid w:val="00EE7F44"/>
    <w:rsid w:val="00F04B36"/>
    <w:rsid w:val="00F129AF"/>
    <w:rsid w:val="00F14923"/>
    <w:rsid w:val="00F15FFC"/>
    <w:rsid w:val="00F17791"/>
    <w:rsid w:val="00F177D0"/>
    <w:rsid w:val="00F31900"/>
    <w:rsid w:val="00F31DEE"/>
    <w:rsid w:val="00F51B61"/>
    <w:rsid w:val="00F608DD"/>
    <w:rsid w:val="00F718D9"/>
    <w:rsid w:val="00F71A5E"/>
    <w:rsid w:val="00F805EF"/>
    <w:rsid w:val="00F90F29"/>
    <w:rsid w:val="00FA2186"/>
    <w:rsid w:val="00FB73DF"/>
    <w:rsid w:val="00FB74E2"/>
    <w:rsid w:val="00FC40A5"/>
    <w:rsid w:val="00FC6D44"/>
    <w:rsid w:val="00FC6DEA"/>
    <w:rsid w:val="00FD6F82"/>
    <w:rsid w:val="00FF34B4"/>
    <w:rsid w:val="00FF3CF4"/>
    <w:rsid w:val="00FF4690"/>
    <w:rsid w:val="00FF629F"/>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FBDB4"/>
  <w15:chartTrackingRefBased/>
  <w15:docId w15:val="{0CCC7ADF-F3EE-4F13-A3D1-81414BE34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78A1"/>
    <w:pPr>
      <w:ind w:left="720"/>
      <w:contextualSpacing/>
    </w:pPr>
  </w:style>
  <w:style w:type="table" w:styleId="TableGrid">
    <w:name w:val="Table Grid"/>
    <w:basedOn w:val="TableNormal"/>
    <w:uiPriority w:val="39"/>
    <w:rsid w:val="00F177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F177D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2">
    <w:name w:val="Plain Table 2"/>
    <w:basedOn w:val="TableNormal"/>
    <w:uiPriority w:val="42"/>
    <w:rsid w:val="00F177D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PlaceholderText">
    <w:name w:val="Placeholder Text"/>
    <w:basedOn w:val="DefaultParagraphFont"/>
    <w:uiPriority w:val="99"/>
    <w:semiHidden/>
    <w:rsid w:val="0086274B"/>
    <w:rPr>
      <w:color w:val="808080"/>
    </w:rPr>
  </w:style>
  <w:style w:type="character" w:styleId="CommentReference">
    <w:name w:val="annotation reference"/>
    <w:basedOn w:val="DefaultParagraphFont"/>
    <w:uiPriority w:val="99"/>
    <w:semiHidden/>
    <w:unhideWhenUsed/>
    <w:rsid w:val="00846163"/>
    <w:rPr>
      <w:sz w:val="16"/>
      <w:szCs w:val="16"/>
    </w:rPr>
  </w:style>
  <w:style w:type="paragraph" w:styleId="CommentText">
    <w:name w:val="annotation text"/>
    <w:basedOn w:val="Normal"/>
    <w:link w:val="CommentTextChar"/>
    <w:uiPriority w:val="99"/>
    <w:unhideWhenUsed/>
    <w:rsid w:val="00846163"/>
    <w:pPr>
      <w:spacing w:line="240" w:lineRule="auto"/>
    </w:pPr>
    <w:rPr>
      <w:sz w:val="20"/>
      <w:szCs w:val="20"/>
    </w:rPr>
  </w:style>
  <w:style w:type="character" w:customStyle="1" w:styleId="CommentTextChar">
    <w:name w:val="Comment Text Char"/>
    <w:basedOn w:val="DefaultParagraphFont"/>
    <w:link w:val="CommentText"/>
    <w:uiPriority w:val="99"/>
    <w:rsid w:val="00846163"/>
    <w:rPr>
      <w:sz w:val="20"/>
      <w:szCs w:val="20"/>
    </w:rPr>
  </w:style>
  <w:style w:type="paragraph" w:styleId="CommentSubject">
    <w:name w:val="annotation subject"/>
    <w:basedOn w:val="CommentText"/>
    <w:next w:val="CommentText"/>
    <w:link w:val="CommentSubjectChar"/>
    <w:uiPriority w:val="99"/>
    <w:semiHidden/>
    <w:unhideWhenUsed/>
    <w:rsid w:val="00846163"/>
    <w:rPr>
      <w:b/>
      <w:bCs/>
    </w:rPr>
  </w:style>
  <w:style w:type="character" w:customStyle="1" w:styleId="CommentSubjectChar">
    <w:name w:val="Comment Subject Char"/>
    <w:basedOn w:val="CommentTextChar"/>
    <w:link w:val="CommentSubject"/>
    <w:uiPriority w:val="99"/>
    <w:semiHidden/>
    <w:rsid w:val="00846163"/>
    <w:rPr>
      <w:b/>
      <w:bCs/>
      <w:sz w:val="20"/>
      <w:szCs w:val="20"/>
    </w:rPr>
  </w:style>
  <w:style w:type="character" w:styleId="Hyperlink">
    <w:name w:val="Hyperlink"/>
    <w:basedOn w:val="DefaultParagraphFont"/>
    <w:uiPriority w:val="99"/>
    <w:unhideWhenUsed/>
    <w:rsid w:val="008E2E64"/>
    <w:rPr>
      <w:color w:val="0563C1" w:themeColor="hyperlink"/>
      <w:u w:val="single"/>
    </w:rPr>
  </w:style>
  <w:style w:type="character" w:styleId="UnresolvedMention">
    <w:name w:val="Unresolved Mention"/>
    <w:basedOn w:val="DefaultParagraphFont"/>
    <w:uiPriority w:val="99"/>
    <w:semiHidden/>
    <w:unhideWhenUsed/>
    <w:rsid w:val="008E2E64"/>
    <w:rPr>
      <w:color w:val="605E5C"/>
      <w:shd w:val="clear" w:color="auto" w:fill="E1DFDD"/>
    </w:rPr>
  </w:style>
  <w:style w:type="paragraph" w:styleId="Revision">
    <w:name w:val="Revision"/>
    <w:hidden/>
    <w:uiPriority w:val="99"/>
    <w:semiHidden/>
    <w:rsid w:val="00CF2B9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6000775">
      <w:bodyDiv w:val="1"/>
      <w:marLeft w:val="0"/>
      <w:marRight w:val="0"/>
      <w:marTop w:val="0"/>
      <w:marBottom w:val="0"/>
      <w:divBdr>
        <w:top w:val="none" w:sz="0" w:space="0" w:color="auto"/>
        <w:left w:val="none" w:sz="0" w:space="0" w:color="auto"/>
        <w:bottom w:val="none" w:sz="0" w:space="0" w:color="auto"/>
        <w:right w:val="none" w:sz="0" w:space="0" w:color="auto"/>
      </w:divBdr>
    </w:div>
    <w:div w:id="1008369506">
      <w:bodyDiv w:val="1"/>
      <w:marLeft w:val="0"/>
      <w:marRight w:val="0"/>
      <w:marTop w:val="0"/>
      <w:marBottom w:val="0"/>
      <w:divBdr>
        <w:top w:val="none" w:sz="0" w:space="0" w:color="auto"/>
        <w:left w:val="none" w:sz="0" w:space="0" w:color="auto"/>
        <w:bottom w:val="none" w:sz="0" w:space="0" w:color="auto"/>
        <w:right w:val="none" w:sz="0" w:space="0" w:color="auto"/>
      </w:divBdr>
    </w:div>
    <w:div w:id="1024483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chart" Target="charts/chart3.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comments" Target="comments.xml"/><Relationship Id="rId12" Type="http://schemas.openxmlformats.org/officeDocument/2006/relationships/chart" Target="charts/chart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6.xml"/><Relationship Id="rId1" Type="http://schemas.openxmlformats.org/officeDocument/2006/relationships/customXml" Target="../customXml/item1.xml"/><Relationship Id="rId6" Type="http://schemas.openxmlformats.org/officeDocument/2006/relationships/hyperlink" Target="mailto:hidsaljamil@gmail.com" TargetMode="Externa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chart" Target="charts/chart5.xml"/><Relationship Id="rId10" Type="http://schemas.microsoft.com/office/2018/08/relationships/commentsExtensible" Target="commentsExtensible.xml"/><Relationship Id="rId19" Type="http://schemas.openxmlformats.org/officeDocument/2006/relationships/theme" Target="theme/theme1.xml"/><Relationship Id="rId4" Type="http://schemas.openxmlformats.org/officeDocument/2006/relationships/settings" Target="settings.xml"/><Relationship Id="rId9" Type="http://schemas.microsoft.com/office/2016/09/relationships/commentsIds" Target="commentsIds.xml"/><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D:\DESI_.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D:\DESI_.xlsx"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rot="0" spcFirstLastPara="1" vertOverflow="ellipsis" vert="horz" wrap="square" anchor="ctr" anchorCtr="1"/>
          <a:lstStyle/>
          <a:p>
            <a:pPr>
              <a:defRPr sz="1000" b="1" i="0" u="none" strike="noStrike" kern="1200" spc="0" baseline="0">
                <a:solidFill>
                  <a:sysClr val="windowText" lastClr="000000"/>
                </a:solidFill>
                <a:latin typeface="+mn-lt"/>
                <a:ea typeface="+mn-ea"/>
                <a:cs typeface="+mn-cs"/>
              </a:defRPr>
            </a:pPr>
            <a:r>
              <a:rPr lang="en-ID" sz="1000" b="1"/>
              <a:t>(a) Eigenvalues</a:t>
            </a:r>
          </a:p>
        </c:rich>
      </c:tx>
      <c:overlay val="0"/>
      <c:spPr>
        <a:noFill/>
        <a:ln>
          <a:noFill/>
        </a:ln>
        <a:effectLst/>
      </c:spPr>
      <c:txPr>
        <a:bodyPr rot="0" spcFirstLastPara="1" vertOverflow="ellipsis" vert="horz" wrap="square" anchor="ctr" anchorCtr="1"/>
        <a:lstStyle/>
        <a:p>
          <a:pPr>
            <a:defRPr sz="1000" b="1" i="0" u="none" strike="noStrike" kern="1200" spc="0" baseline="0">
              <a:solidFill>
                <a:sysClr val="windowText" lastClr="000000"/>
              </a:solidFill>
              <a:latin typeface="+mn-lt"/>
              <a:ea typeface="+mn-ea"/>
              <a:cs typeface="+mn-cs"/>
            </a:defRPr>
          </a:pPr>
          <a:endParaRPr lang="en-US"/>
        </a:p>
      </c:txPr>
    </c:title>
    <c:autoTitleDeleted val="0"/>
    <c:plotArea>
      <c:layout/>
      <c:lineChart>
        <c:grouping val="standard"/>
        <c:varyColors val="0"/>
        <c:ser>
          <c:idx val="0"/>
          <c:order val="0"/>
          <c:tx>
            <c:strRef>
              <c:f>Sheet1!$B$1</c:f>
              <c:strCache>
                <c:ptCount val="1"/>
                <c:pt idx="0">
                  <c:v>Series 1</c:v>
                </c:pt>
              </c:strCache>
            </c:strRef>
          </c:tx>
          <c:spPr>
            <a:ln w="12700" cap="rnd">
              <a:solidFill>
                <a:schemeClr val="accent3">
                  <a:shade val="76000"/>
                </a:schemeClr>
              </a:solidFill>
              <a:round/>
            </a:ln>
            <a:effectLst/>
          </c:spPr>
          <c:marker>
            <c:symbol val="circle"/>
            <c:size val="5"/>
            <c:spPr>
              <a:solidFill>
                <a:schemeClr val="bg1"/>
              </a:solidFill>
              <a:ln w="12700">
                <a:solidFill>
                  <a:schemeClr val="accent3">
                    <a:shade val="76000"/>
                  </a:schemeClr>
                </a:solidFill>
              </a:ln>
              <a:effectLst/>
            </c:spPr>
          </c:marker>
          <c:dLbls>
            <c:dLbl>
              <c:idx val="0"/>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0B97-470A-B895-006D3BB9BB61}"/>
                </c:ext>
              </c:extLst>
            </c:dLbl>
            <c:dLbl>
              <c:idx val="1"/>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0B97-470A-B895-006D3BB9BB61}"/>
                </c:ext>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ysClr val="windowText" lastClr="000000"/>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Sheet1!$A$2:$A$9</c:f>
              <c:numCache>
                <c:formatCode>General</c:formatCode>
                <c:ptCount val="8"/>
                <c:pt idx="0">
                  <c:v>1</c:v>
                </c:pt>
                <c:pt idx="1">
                  <c:v>2</c:v>
                </c:pt>
                <c:pt idx="2">
                  <c:v>3</c:v>
                </c:pt>
                <c:pt idx="3">
                  <c:v>4</c:v>
                </c:pt>
                <c:pt idx="4">
                  <c:v>5</c:v>
                </c:pt>
                <c:pt idx="5">
                  <c:v>6</c:v>
                </c:pt>
                <c:pt idx="6">
                  <c:v>7</c:v>
                </c:pt>
                <c:pt idx="7">
                  <c:v>8</c:v>
                </c:pt>
              </c:numCache>
            </c:numRef>
          </c:cat>
          <c:val>
            <c:numRef>
              <c:f>Sheet1!$B$2:$B$9</c:f>
              <c:numCache>
                <c:formatCode>General</c:formatCode>
                <c:ptCount val="8"/>
                <c:pt idx="0">
                  <c:v>4.6454000000000004</c:v>
                </c:pt>
                <c:pt idx="1">
                  <c:v>1.8111600000000001</c:v>
                </c:pt>
                <c:pt idx="2">
                  <c:v>0.60795299999999997</c:v>
                </c:pt>
                <c:pt idx="3">
                  <c:v>0.53476100000000004</c:v>
                </c:pt>
                <c:pt idx="4">
                  <c:v>0.24157100000000001</c:v>
                </c:pt>
                <c:pt idx="5">
                  <c:v>8.9664499999999994E-2</c:v>
                </c:pt>
                <c:pt idx="6">
                  <c:v>6.7170199999999999E-2</c:v>
                </c:pt>
                <c:pt idx="7">
                  <c:v>2.3152200000000002E-3</c:v>
                </c:pt>
              </c:numCache>
            </c:numRef>
          </c:val>
          <c:smooth val="0"/>
          <c:extLst>
            <c:ext xmlns:c16="http://schemas.microsoft.com/office/drawing/2014/chart" uri="{C3380CC4-5D6E-409C-BE32-E72D297353CC}">
              <c16:uniqueId val="{00000000-0B97-470A-B895-006D3BB9BB61}"/>
            </c:ext>
          </c:extLst>
        </c:ser>
        <c:ser>
          <c:idx val="1"/>
          <c:order val="1"/>
          <c:tx>
            <c:strRef>
              <c:f>Sheet1!$C$1</c:f>
              <c:strCache>
                <c:ptCount val="1"/>
                <c:pt idx="0">
                  <c:v>Series 2</c:v>
                </c:pt>
              </c:strCache>
            </c:strRef>
          </c:tx>
          <c:spPr>
            <a:ln w="12700" cap="rnd">
              <a:solidFill>
                <a:schemeClr val="accent3">
                  <a:tint val="77000"/>
                </a:schemeClr>
              </a:solidFill>
              <a:prstDash val="sysDot"/>
              <a:round/>
            </a:ln>
            <a:effectLst/>
          </c:spPr>
          <c:marker>
            <c:symbol val="none"/>
          </c:marker>
          <c:cat>
            <c:numRef>
              <c:f>Sheet1!$A$2:$A$9</c:f>
              <c:numCache>
                <c:formatCode>General</c:formatCode>
                <c:ptCount val="8"/>
                <c:pt idx="0">
                  <c:v>1</c:v>
                </c:pt>
                <c:pt idx="1">
                  <c:v>2</c:v>
                </c:pt>
                <c:pt idx="2">
                  <c:v>3</c:v>
                </c:pt>
                <c:pt idx="3">
                  <c:v>4</c:v>
                </c:pt>
                <c:pt idx="4">
                  <c:v>5</c:v>
                </c:pt>
                <c:pt idx="5">
                  <c:v>6</c:v>
                </c:pt>
                <c:pt idx="6">
                  <c:v>7</c:v>
                </c:pt>
                <c:pt idx="7">
                  <c:v>8</c:v>
                </c:pt>
              </c:numCache>
            </c:numRef>
          </c:cat>
          <c:val>
            <c:numRef>
              <c:f>Sheet1!$C$2:$C$9</c:f>
              <c:numCache>
                <c:formatCode>General</c:formatCode>
                <c:ptCount val="8"/>
                <c:pt idx="0">
                  <c:v>1</c:v>
                </c:pt>
                <c:pt idx="1">
                  <c:v>1</c:v>
                </c:pt>
                <c:pt idx="2">
                  <c:v>1</c:v>
                </c:pt>
                <c:pt idx="3">
                  <c:v>1</c:v>
                </c:pt>
                <c:pt idx="4">
                  <c:v>1</c:v>
                </c:pt>
                <c:pt idx="5">
                  <c:v>1</c:v>
                </c:pt>
                <c:pt idx="6">
                  <c:v>1</c:v>
                </c:pt>
                <c:pt idx="7">
                  <c:v>1</c:v>
                </c:pt>
              </c:numCache>
            </c:numRef>
          </c:val>
          <c:smooth val="0"/>
          <c:extLst>
            <c:ext xmlns:c16="http://schemas.microsoft.com/office/drawing/2014/chart" uri="{C3380CC4-5D6E-409C-BE32-E72D297353CC}">
              <c16:uniqueId val="{00000001-0B97-470A-B895-006D3BB9BB61}"/>
            </c:ext>
          </c:extLst>
        </c:ser>
        <c:dLbls>
          <c:showLegendKey val="0"/>
          <c:showVal val="0"/>
          <c:showCatName val="0"/>
          <c:showSerName val="0"/>
          <c:showPercent val="0"/>
          <c:showBubbleSize val="0"/>
        </c:dLbls>
        <c:marker val="1"/>
        <c:smooth val="0"/>
        <c:axId val="603938392"/>
        <c:axId val="603938720"/>
      </c:lineChart>
      <c:catAx>
        <c:axId val="603938392"/>
        <c:scaling>
          <c:orientation val="minMax"/>
        </c:scaling>
        <c:delete val="0"/>
        <c:axPos val="b"/>
        <c:title>
          <c:tx>
            <c:rich>
              <a:bodyPr rot="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r>
                  <a:rPr lang="en-ID" b="1"/>
                  <a:t>Number of Component</a:t>
                </a:r>
              </a:p>
            </c:rich>
          </c:tx>
          <c:overlay val="0"/>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603938720"/>
        <c:crosses val="autoZero"/>
        <c:auto val="1"/>
        <c:lblAlgn val="ctr"/>
        <c:lblOffset val="100"/>
        <c:noMultiLvlLbl val="0"/>
      </c:catAx>
      <c:valAx>
        <c:axId val="603938720"/>
        <c:scaling>
          <c:orientation val="minMax"/>
        </c:scaling>
        <c:delete val="0"/>
        <c:axPos val="l"/>
        <c:title>
          <c:tx>
            <c:rich>
              <a:bodyPr rot="-540000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r>
                  <a:rPr lang="en-ID" b="1"/>
                  <a:t>Eigenvalues</a:t>
                </a:r>
              </a:p>
            </c:rich>
          </c:tx>
          <c:overlay val="0"/>
          <c:spPr>
            <a:noFill/>
            <a:ln>
              <a:noFill/>
            </a:ln>
            <a:effectLst/>
          </c:spPr>
          <c:txPr>
            <a:bodyPr rot="-540000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en-US"/>
            </a:p>
          </c:txPr>
        </c:title>
        <c:numFmt formatCode="General" sourceLinked="1"/>
        <c:majorTickMark val="none"/>
        <c:minorTickMark val="none"/>
        <c:tickLblPos val="nextTo"/>
        <c:spPr>
          <a:noFill/>
          <a:ln>
            <a:solidFill>
              <a:schemeClr val="bg1">
                <a:lumMod val="85000"/>
              </a:schemeClr>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603938392"/>
        <c:crosses val="autoZero"/>
        <c:crossBetween val="between"/>
        <c:majorUnit val="1"/>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rot="0" spcFirstLastPara="1" vertOverflow="ellipsis" vert="horz" wrap="square" anchor="ctr" anchorCtr="1"/>
          <a:lstStyle/>
          <a:p>
            <a:pPr>
              <a:defRPr sz="1000" b="1" i="0" u="none" strike="noStrike" kern="1200" cap="none" spc="20" baseline="0">
                <a:solidFill>
                  <a:sysClr val="windowText" lastClr="000000"/>
                </a:solidFill>
                <a:latin typeface="+mn-lt"/>
                <a:ea typeface="+mn-ea"/>
                <a:cs typeface="+mn-cs"/>
              </a:defRPr>
            </a:pPr>
            <a:r>
              <a:rPr lang="en-US" sz="1000" b="1"/>
              <a:t>(b) First Component Eigenvectors</a:t>
            </a:r>
          </a:p>
        </c:rich>
      </c:tx>
      <c:overlay val="0"/>
      <c:spPr>
        <a:noFill/>
        <a:ln>
          <a:noFill/>
        </a:ln>
        <a:effectLst/>
      </c:spPr>
      <c:txPr>
        <a:bodyPr rot="0" spcFirstLastPara="1" vertOverflow="ellipsis" vert="horz" wrap="square" anchor="ctr" anchorCtr="1"/>
        <a:lstStyle/>
        <a:p>
          <a:pPr>
            <a:defRPr sz="1000" b="1" i="0" u="none" strike="noStrike" kern="1200" cap="none" spc="20" baseline="0">
              <a:solidFill>
                <a:sysClr val="windowText" lastClr="000000"/>
              </a:solidFill>
              <a:latin typeface="+mn-lt"/>
              <a:ea typeface="+mn-ea"/>
              <a:cs typeface="+mn-cs"/>
            </a:defRPr>
          </a:pPr>
          <a:endParaRPr lang="en-US"/>
        </a:p>
      </c:txPr>
    </c:title>
    <c:autoTitleDeleted val="0"/>
    <c:plotArea>
      <c:layout/>
      <c:radarChart>
        <c:radarStyle val="marker"/>
        <c:varyColors val="0"/>
        <c:ser>
          <c:idx val="0"/>
          <c:order val="0"/>
          <c:tx>
            <c:strRef>
              <c:f>Sheet1!$B$1</c:f>
              <c:strCache>
                <c:ptCount val="1"/>
                <c:pt idx="0">
                  <c:v>Eigenvector</c:v>
                </c:pt>
              </c:strCache>
            </c:strRef>
          </c:tx>
          <c:spPr>
            <a:ln w="15875" cap="rnd">
              <a:solidFill>
                <a:schemeClr val="accent3"/>
              </a:solidFill>
              <a:round/>
            </a:ln>
            <a:effectLst/>
          </c:spPr>
          <c:marker>
            <c:symbol val="circle"/>
            <c:size val="4"/>
            <c:spPr>
              <a:gradFill rotWithShape="1">
                <a:gsLst>
                  <a:gs pos="0">
                    <a:schemeClr val="accent3">
                      <a:lumMod val="110000"/>
                      <a:satMod val="105000"/>
                      <a:tint val="67000"/>
                    </a:schemeClr>
                  </a:gs>
                  <a:gs pos="50000">
                    <a:schemeClr val="accent3">
                      <a:lumMod val="105000"/>
                      <a:satMod val="103000"/>
                      <a:tint val="73000"/>
                    </a:schemeClr>
                  </a:gs>
                  <a:gs pos="100000">
                    <a:schemeClr val="accent3">
                      <a:lumMod val="105000"/>
                      <a:satMod val="109000"/>
                      <a:tint val="81000"/>
                    </a:schemeClr>
                  </a:gs>
                </a:gsLst>
                <a:lin ang="5400000" scaled="0"/>
              </a:gradFill>
              <a:ln w="9525" cap="flat" cmpd="sng" algn="ctr">
                <a:solidFill>
                  <a:schemeClr val="accent3">
                    <a:shade val="95000"/>
                  </a:schemeClr>
                </a:solidFill>
                <a:round/>
              </a:ln>
              <a:effectLst/>
            </c:spPr>
          </c:marker>
          <c:dLbls>
            <c:numFmt formatCode="#,##0.00" sourceLinked="0"/>
            <c:spPr>
              <a:noFill/>
              <a:ln>
                <a:noFill/>
              </a:ln>
              <a:effectLst/>
            </c:spPr>
            <c:txPr>
              <a:bodyPr rot="0" spcFirstLastPara="1" vertOverflow="ellipsis" vert="horz" wrap="square" lIns="38100" tIns="19050" rIns="38100" bIns="19050" anchor="ctr" anchorCtr="1">
                <a:spAutoFit/>
              </a:bodyPr>
              <a:lstStyle/>
              <a:p>
                <a:pPr>
                  <a:defRPr sz="5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Sheet1!$A$2:$A$9</c:f>
              <c:strCache>
                <c:ptCount val="8"/>
                <c:pt idx="0">
                  <c:v>DT1</c:v>
                </c:pt>
                <c:pt idx="1">
                  <c:v>DT2</c:v>
                </c:pt>
                <c:pt idx="2">
                  <c:v>DT3</c:v>
                </c:pt>
                <c:pt idx="3">
                  <c:v>DT4</c:v>
                </c:pt>
                <c:pt idx="4">
                  <c:v>DT5</c:v>
                </c:pt>
                <c:pt idx="5">
                  <c:v>DT6</c:v>
                </c:pt>
                <c:pt idx="6">
                  <c:v>DT7</c:v>
                </c:pt>
                <c:pt idx="7">
                  <c:v>DT8</c:v>
                </c:pt>
              </c:strCache>
            </c:strRef>
          </c:cat>
          <c:val>
            <c:numRef>
              <c:f>Sheet1!$B$2:$B$9</c:f>
              <c:numCache>
                <c:formatCode>General</c:formatCode>
                <c:ptCount val="8"/>
                <c:pt idx="0" formatCode="0.0000">
                  <c:v>0.3715</c:v>
                </c:pt>
                <c:pt idx="1">
                  <c:v>0.3271</c:v>
                </c:pt>
                <c:pt idx="2">
                  <c:v>0.33179999999999998</c:v>
                </c:pt>
                <c:pt idx="3">
                  <c:v>0.33679999999999999</c:v>
                </c:pt>
                <c:pt idx="4">
                  <c:v>0.27429999999999999</c:v>
                </c:pt>
                <c:pt idx="5">
                  <c:v>0.36270000000000002</c:v>
                </c:pt>
                <c:pt idx="6" formatCode="0.0000">
                  <c:v>0.46775091662122908</c:v>
                </c:pt>
                <c:pt idx="7">
                  <c:v>0.32540000000000002</c:v>
                </c:pt>
              </c:numCache>
            </c:numRef>
          </c:val>
          <c:extLst>
            <c:ext xmlns:c16="http://schemas.microsoft.com/office/drawing/2014/chart" uri="{C3380CC4-5D6E-409C-BE32-E72D297353CC}">
              <c16:uniqueId val="{00000000-43AB-4302-8A1F-B433C2A28A30}"/>
            </c:ext>
          </c:extLst>
        </c:ser>
        <c:dLbls>
          <c:showLegendKey val="0"/>
          <c:showVal val="0"/>
          <c:showCatName val="0"/>
          <c:showSerName val="0"/>
          <c:showPercent val="0"/>
          <c:showBubbleSize val="0"/>
        </c:dLbls>
        <c:axId val="433150000"/>
        <c:axId val="433151640"/>
      </c:radarChart>
      <c:catAx>
        <c:axId val="4331500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en-US"/>
          </a:p>
        </c:txPr>
        <c:crossAx val="433151640"/>
        <c:crosses val="autoZero"/>
        <c:auto val="1"/>
        <c:lblAlgn val="ctr"/>
        <c:lblOffset val="100"/>
        <c:noMultiLvlLbl val="0"/>
      </c:catAx>
      <c:valAx>
        <c:axId val="433151640"/>
        <c:scaling>
          <c:orientation val="minMax"/>
          <c:max val="1"/>
        </c:scaling>
        <c:delete val="1"/>
        <c:axPos val="l"/>
        <c:majorGridlines>
          <c:spPr>
            <a:ln w="9525" cap="flat" cmpd="sng" algn="ctr">
              <a:solidFill>
                <a:schemeClr val="bg1">
                  <a:lumMod val="85000"/>
                </a:schemeClr>
              </a:solidFill>
              <a:prstDash val="dash"/>
              <a:round/>
            </a:ln>
            <a:effectLst/>
          </c:spPr>
        </c:majorGridlines>
        <c:numFmt formatCode="0.0" sourceLinked="0"/>
        <c:majorTickMark val="none"/>
        <c:minorTickMark val="none"/>
        <c:tickLblPos val="nextTo"/>
        <c:crossAx val="43315000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rot="0" spcFirstLastPara="1" vertOverflow="ellipsis" vert="horz" wrap="square" anchor="ctr" anchorCtr="1"/>
          <a:lstStyle/>
          <a:p>
            <a:pPr>
              <a:defRPr sz="1000" b="1" i="0" u="none" strike="noStrike" kern="1200" spc="0" baseline="0">
                <a:solidFill>
                  <a:sysClr val="windowText" lastClr="000000"/>
                </a:solidFill>
                <a:latin typeface="+mn-lt"/>
                <a:ea typeface="+mn-ea"/>
                <a:cs typeface="+mn-cs"/>
              </a:defRPr>
            </a:pPr>
            <a:r>
              <a:rPr lang="en-ID" sz="1000" b="1"/>
              <a:t>(a) Eigenvalues</a:t>
            </a:r>
          </a:p>
        </c:rich>
      </c:tx>
      <c:overlay val="0"/>
      <c:spPr>
        <a:noFill/>
        <a:ln>
          <a:noFill/>
        </a:ln>
        <a:effectLst/>
      </c:spPr>
      <c:txPr>
        <a:bodyPr rot="0" spcFirstLastPara="1" vertOverflow="ellipsis" vert="horz" wrap="square" anchor="ctr" anchorCtr="1"/>
        <a:lstStyle/>
        <a:p>
          <a:pPr>
            <a:defRPr sz="1000" b="1" i="0" u="none" strike="noStrike" kern="1200" spc="0" baseline="0">
              <a:solidFill>
                <a:sysClr val="windowText" lastClr="000000"/>
              </a:solidFill>
              <a:latin typeface="+mn-lt"/>
              <a:ea typeface="+mn-ea"/>
              <a:cs typeface="+mn-cs"/>
            </a:defRPr>
          </a:pPr>
          <a:endParaRPr lang="en-US"/>
        </a:p>
      </c:txPr>
    </c:title>
    <c:autoTitleDeleted val="0"/>
    <c:plotArea>
      <c:layout/>
      <c:lineChart>
        <c:grouping val="standard"/>
        <c:varyColors val="0"/>
        <c:ser>
          <c:idx val="0"/>
          <c:order val="0"/>
          <c:tx>
            <c:strRef>
              <c:f>Sheet1!$B$1</c:f>
              <c:strCache>
                <c:ptCount val="1"/>
                <c:pt idx="0">
                  <c:v>Series 1</c:v>
                </c:pt>
              </c:strCache>
            </c:strRef>
          </c:tx>
          <c:spPr>
            <a:ln w="12700" cap="rnd">
              <a:solidFill>
                <a:schemeClr val="accent3">
                  <a:shade val="76000"/>
                </a:schemeClr>
              </a:solidFill>
              <a:round/>
            </a:ln>
            <a:effectLst/>
          </c:spPr>
          <c:marker>
            <c:symbol val="circle"/>
            <c:size val="5"/>
            <c:spPr>
              <a:solidFill>
                <a:schemeClr val="bg1"/>
              </a:solidFill>
              <a:ln w="12700">
                <a:solidFill>
                  <a:schemeClr val="accent3">
                    <a:shade val="76000"/>
                  </a:schemeClr>
                </a:solidFill>
              </a:ln>
              <a:effectLst/>
            </c:spPr>
          </c:marker>
          <c:dLbls>
            <c:dLbl>
              <c:idx val="0"/>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4E7-4ECC-80FE-5B720D313175}"/>
                </c:ext>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ysClr val="windowText" lastClr="000000"/>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Sheet1!$A$2:$A$5</c:f>
              <c:numCache>
                <c:formatCode>General</c:formatCode>
                <c:ptCount val="4"/>
                <c:pt idx="0">
                  <c:v>1</c:v>
                </c:pt>
                <c:pt idx="1">
                  <c:v>2</c:v>
                </c:pt>
                <c:pt idx="2">
                  <c:v>3</c:v>
                </c:pt>
                <c:pt idx="3">
                  <c:v>4</c:v>
                </c:pt>
              </c:numCache>
            </c:numRef>
          </c:cat>
          <c:val>
            <c:numRef>
              <c:f>Sheet1!$B$2:$B$5</c:f>
              <c:numCache>
                <c:formatCode>General</c:formatCode>
                <c:ptCount val="4"/>
                <c:pt idx="0">
                  <c:v>2.5734400000000002</c:v>
                </c:pt>
                <c:pt idx="1">
                  <c:v>0.92386999999999997</c:v>
                </c:pt>
                <c:pt idx="2">
                  <c:v>0.41741299999999998</c:v>
                </c:pt>
                <c:pt idx="3">
                  <c:v>8.5281399999999993E-2</c:v>
                </c:pt>
              </c:numCache>
            </c:numRef>
          </c:val>
          <c:smooth val="0"/>
          <c:extLst>
            <c:ext xmlns:c16="http://schemas.microsoft.com/office/drawing/2014/chart" uri="{C3380CC4-5D6E-409C-BE32-E72D297353CC}">
              <c16:uniqueId val="{00000002-34E7-4ECC-80FE-5B720D313175}"/>
            </c:ext>
          </c:extLst>
        </c:ser>
        <c:ser>
          <c:idx val="1"/>
          <c:order val="1"/>
          <c:tx>
            <c:strRef>
              <c:f>Sheet1!$C$1</c:f>
              <c:strCache>
                <c:ptCount val="1"/>
                <c:pt idx="0">
                  <c:v>Series 2</c:v>
                </c:pt>
              </c:strCache>
            </c:strRef>
          </c:tx>
          <c:spPr>
            <a:ln w="12700" cap="rnd">
              <a:solidFill>
                <a:schemeClr val="accent3">
                  <a:tint val="77000"/>
                </a:schemeClr>
              </a:solidFill>
              <a:prstDash val="sysDot"/>
              <a:round/>
            </a:ln>
            <a:effectLst/>
          </c:spPr>
          <c:marker>
            <c:symbol val="none"/>
          </c:marker>
          <c:cat>
            <c:numRef>
              <c:f>Sheet1!$A$2:$A$5</c:f>
              <c:numCache>
                <c:formatCode>General</c:formatCode>
                <c:ptCount val="4"/>
                <c:pt idx="0">
                  <c:v>1</c:v>
                </c:pt>
                <c:pt idx="1">
                  <c:v>2</c:v>
                </c:pt>
                <c:pt idx="2">
                  <c:v>3</c:v>
                </c:pt>
                <c:pt idx="3">
                  <c:v>4</c:v>
                </c:pt>
              </c:numCache>
            </c:numRef>
          </c:cat>
          <c:val>
            <c:numRef>
              <c:f>Sheet1!$C$2:$C$5</c:f>
              <c:numCache>
                <c:formatCode>General</c:formatCode>
                <c:ptCount val="4"/>
                <c:pt idx="0">
                  <c:v>1</c:v>
                </c:pt>
                <c:pt idx="1">
                  <c:v>1</c:v>
                </c:pt>
                <c:pt idx="2">
                  <c:v>1</c:v>
                </c:pt>
                <c:pt idx="3">
                  <c:v>1</c:v>
                </c:pt>
              </c:numCache>
            </c:numRef>
          </c:val>
          <c:smooth val="0"/>
          <c:extLst>
            <c:ext xmlns:c16="http://schemas.microsoft.com/office/drawing/2014/chart" uri="{C3380CC4-5D6E-409C-BE32-E72D297353CC}">
              <c16:uniqueId val="{00000003-34E7-4ECC-80FE-5B720D313175}"/>
            </c:ext>
          </c:extLst>
        </c:ser>
        <c:dLbls>
          <c:showLegendKey val="0"/>
          <c:showVal val="0"/>
          <c:showCatName val="0"/>
          <c:showSerName val="0"/>
          <c:showPercent val="0"/>
          <c:showBubbleSize val="0"/>
        </c:dLbls>
        <c:marker val="1"/>
        <c:smooth val="0"/>
        <c:axId val="603938392"/>
        <c:axId val="603938720"/>
      </c:lineChart>
      <c:catAx>
        <c:axId val="603938392"/>
        <c:scaling>
          <c:orientation val="minMax"/>
        </c:scaling>
        <c:delete val="0"/>
        <c:axPos val="b"/>
        <c:title>
          <c:tx>
            <c:rich>
              <a:bodyPr rot="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r>
                  <a:rPr lang="en-ID" b="1"/>
                  <a:t>Number of Component</a:t>
                </a:r>
              </a:p>
            </c:rich>
          </c:tx>
          <c:overlay val="0"/>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603938720"/>
        <c:crosses val="autoZero"/>
        <c:auto val="1"/>
        <c:lblAlgn val="ctr"/>
        <c:lblOffset val="100"/>
        <c:noMultiLvlLbl val="0"/>
      </c:catAx>
      <c:valAx>
        <c:axId val="603938720"/>
        <c:scaling>
          <c:orientation val="minMax"/>
        </c:scaling>
        <c:delete val="0"/>
        <c:axPos val="l"/>
        <c:title>
          <c:tx>
            <c:rich>
              <a:bodyPr rot="-540000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r>
                  <a:rPr lang="en-ID" b="1"/>
                  <a:t>Eigenvalues</a:t>
                </a:r>
              </a:p>
            </c:rich>
          </c:tx>
          <c:overlay val="0"/>
          <c:spPr>
            <a:noFill/>
            <a:ln>
              <a:noFill/>
            </a:ln>
            <a:effectLst/>
          </c:spPr>
          <c:txPr>
            <a:bodyPr rot="-540000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en-US"/>
            </a:p>
          </c:txPr>
        </c:title>
        <c:numFmt formatCode="General" sourceLinked="1"/>
        <c:majorTickMark val="none"/>
        <c:minorTickMark val="none"/>
        <c:tickLblPos val="nextTo"/>
        <c:spPr>
          <a:noFill/>
          <a:ln>
            <a:solidFill>
              <a:schemeClr val="bg1">
                <a:lumMod val="85000"/>
              </a:schemeClr>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603938392"/>
        <c:crosses val="autoZero"/>
        <c:crossBetween val="between"/>
        <c:majorUnit val="1"/>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000" b="1" i="0" u="none" strike="noStrike" kern="1200" cap="none" spc="20" baseline="0">
                <a:solidFill>
                  <a:sysClr val="windowText" lastClr="000000"/>
                </a:solidFill>
                <a:latin typeface="+mn-lt"/>
                <a:ea typeface="+mn-ea"/>
                <a:cs typeface="+mn-cs"/>
              </a:defRPr>
            </a:pPr>
            <a:r>
              <a:rPr lang="en-US" sz="1000" b="1"/>
              <a:t>(b) First Component Eigenvector</a:t>
            </a:r>
          </a:p>
        </c:rich>
      </c:tx>
      <c:overlay val="0"/>
      <c:spPr>
        <a:noFill/>
        <a:ln>
          <a:noFill/>
        </a:ln>
        <a:effectLst/>
      </c:spPr>
      <c:txPr>
        <a:bodyPr rot="0" spcFirstLastPara="1" vertOverflow="ellipsis" vert="horz" wrap="square" anchor="ctr" anchorCtr="1"/>
        <a:lstStyle/>
        <a:p>
          <a:pPr>
            <a:defRPr sz="1000" b="1" i="0" u="none" strike="noStrike" kern="1200" cap="none" spc="20" baseline="0">
              <a:solidFill>
                <a:sysClr val="windowText" lastClr="000000"/>
              </a:solidFill>
              <a:latin typeface="+mn-lt"/>
              <a:ea typeface="+mn-ea"/>
              <a:cs typeface="+mn-cs"/>
            </a:defRPr>
          </a:pPr>
          <a:endParaRPr lang="en-US"/>
        </a:p>
      </c:txPr>
    </c:title>
    <c:autoTitleDeleted val="0"/>
    <c:plotArea>
      <c:layout/>
      <c:radarChart>
        <c:radarStyle val="marker"/>
        <c:varyColors val="0"/>
        <c:ser>
          <c:idx val="0"/>
          <c:order val="0"/>
          <c:tx>
            <c:strRef>
              <c:f>Sheet1!$B$1</c:f>
              <c:strCache>
                <c:ptCount val="1"/>
                <c:pt idx="0">
                  <c:v>Eigenvector</c:v>
                </c:pt>
              </c:strCache>
            </c:strRef>
          </c:tx>
          <c:spPr>
            <a:ln w="15875" cap="rnd">
              <a:solidFill>
                <a:schemeClr val="dk1">
                  <a:tint val="88500"/>
                </a:schemeClr>
              </a:solidFill>
              <a:round/>
            </a:ln>
            <a:effectLst/>
          </c:spPr>
          <c:marker>
            <c:symbol val="circle"/>
            <c:size val="4"/>
            <c:spPr>
              <a:gradFill rotWithShape="1">
                <a:gsLst>
                  <a:gs pos="0">
                    <a:schemeClr val="dk1">
                      <a:tint val="88500"/>
                      <a:lumMod val="110000"/>
                      <a:satMod val="105000"/>
                      <a:tint val="67000"/>
                    </a:schemeClr>
                  </a:gs>
                  <a:gs pos="50000">
                    <a:schemeClr val="dk1">
                      <a:tint val="88500"/>
                      <a:lumMod val="105000"/>
                      <a:satMod val="103000"/>
                      <a:tint val="73000"/>
                    </a:schemeClr>
                  </a:gs>
                  <a:gs pos="100000">
                    <a:schemeClr val="dk1">
                      <a:tint val="88500"/>
                      <a:lumMod val="105000"/>
                      <a:satMod val="109000"/>
                      <a:tint val="81000"/>
                    </a:schemeClr>
                  </a:gs>
                </a:gsLst>
                <a:lin ang="5400000" scaled="0"/>
              </a:gradFill>
              <a:ln w="9525" cap="flat" cmpd="sng" algn="ctr">
                <a:solidFill>
                  <a:schemeClr val="dk1">
                    <a:tint val="88500"/>
                    <a:shade val="95000"/>
                  </a:schemeClr>
                </a:solidFill>
                <a:round/>
              </a:ln>
              <a:effectLst/>
            </c:spPr>
          </c:marker>
          <c:dLbls>
            <c:numFmt formatCode="#,##0.00" sourceLinked="0"/>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Sheet1!$A$2:$A$5</c:f>
              <c:strCache>
                <c:ptCount val="4"/>
                <c:pt idx="0">
                  <c:v>IG1</c:v>
                </c:pt>
                <c:pt idx="1">
                  <c:v>100-IG2</c:v>
                </c:pt>
                <c:pt idx="2">
                  <c:v>100-IG3</c:v>
                </c:pt>
                <c:pt idx="3">
                  <c:v>100-IG4</c:v>
                </c:pt>
              </c:strCache>
            </c:strRef>
          </c:cat>
          <c:val>
            <c:numRef>
              <c:f>Sheet1!$B$2:$B$5</c:f>
              <c:numCache>
                <c:formatCode>General</c:formatCode>
                <c:ptCount val="4"/>
                <c:pt idx="0" formatCode="0.0000">
                  <c:v>0.6361</c:v>
                </c:pt>
                <c:pt idx="1">
                  <c:v>0.57289999999999996</c:v>
                </c:pt>
                <c:pt idx="2">
                  <c:v>0.42656391080352779</c:v>
                </c:pt>
                <c:pt idx="3">
                  <c:v>0.29189999999999999</c:v>
                </c:pt>
              </c:numCache>
            </c:numRef>
          </c:val>
          <c:extLst>
            <c:ext xmlns:c16="http://schemas.microsoft.com/office/drawing/2014/chart" uri="{C3380CC4-5D6E-409C-BE32-E72D297353CC}">
              <c16:uniqueId val="{00000000-4ACF-4E8A-983C-813A3F19C5A8}"/>
            </c:ext>
          </c:extLst>
        </c:ser>
        <c:dLbls>
          <c:showLegendKey val="0"/>
          <c:showVal val="0"/>
          <c:showCatName val="0"/>
          <c:showSerName val="0"/>
          <c:showPercent val="0"/>
          <c:showBubbleSize val="0"/>
        </c:dLbls>
        <c:axId val="433150000"/>
        <c:axId val="433151640"/>
      </c:radarChart>
      <c:catAx>
        <c:axId val="4331500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crossAx val="433151640"/>
        <c:crosses val="autoZero"/>
        <c:auto val="1"/>
        <c:lblAlgn val="ctr"/>
        <c:lblOffset val="100"/>
        <c:noMultiLvlLbl val="0"/>
      </c:catAx>
      <c:valAx>
        <c:axId val="433151640"/>
        <c:scaling>
          <c:orientation val="minMax"/>
          <c:max val="1"/>
        </c:scaling>
        <c:delete val="1"/>
        <c:axPos val="l"/>
        <c:majorGridlines>
          <c:spPr>
            <a:ln w="9525" cap="flat" cmpd="sng" algn="ctr">
              <a:solidFill>
                <a:schemeClr val="bg1">
                  <a:lumMod val="85000"/>
                </a:schemeClr>
              </a:solidFill>
              <a:prstDash val="dash"/>
              <a:round/>
            </a:ln>
            <a:effectLst/>
          </c:spPr>
        </c:majorGridlines>
        <c:numFmt formatCode="0.0" sourceLinked="0"/>
        <c:majorTickMark val="none"/>
        <c:minorTickMark val="none"/>
        <c:tickLblPos val="nextTo"/>
        <c:crossAx val="43315000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rot="0" spcFirstLastPara="1" vertOverflow="ellipsis" vert="horz" wrap="square" anchor="ctr" anchorCtr="1"/>
          <a:lstStyle/>
          <a:p>
            <a:pPr>
              <a:defRPr sz="1000" b="1" i="0" u="none" strike="noStrike" kern="1200" cap="none" spc="20" baseline="0">
                <a:solidFill>
                  <a:schemeClr val="dk1">
                    <a:lumMod val="50000"/>
                    <a:lumOff val="50000"/>
                  </a:schemeClr>
                </a:solidFill>
                <a:latin typeface="+mn-lt"/>
                <a:ea typeface="+mn-ea"/>
                <a:cs typeface="+mn-cs"/>
              </a:defRPr>
            </a:pPr>
            <a:r>
              <a:rPr lang="en-US" sz="1000" b="1"/>
              <a:t>(a)</a:t>
            </a:r>
            <a:r>
              <a:rPr lang="en-US" sz="1000" b="1" baseline="0"/>
              <a:t> </a:t>
            </a:r>
            <a:r>
              <a:rPr lang="en-US" sz="1000" b="1"/>
              <a:t>Digital Transormation (DT) Index</a:t>
            </a:r>
          </a:p>
        </c:rich>
      </c:tx>
      <c:layout>
        <c:manualLayout>
          <c:xMode val="edge"/>
          <c:yMode val="edge"/>
          <c:x val="0.17361233480176211"/>
          <c:y val="3.4295513003715347E-2"/>
        </c:manualLayout>
      </c:layout>
      <c:overlay val="0"/>
      <c:spPr>
        <a:noFill/>
        <a:ln>
          <a:noFill/>
        </a:ln>
        <a:effectLst/>
      </c:spPr>
      <c:txPr>
        <a:bodyPr rot="0" spcFirstLastPara="1" vertOverflow="ellipsis" vert="horz" wrap="square" anchor="ctr" anchorCtr="1"/>
        <a:lstStyle/>
        <a:p>
          <a:pPr>
            <a:defRPr sz="1000" b="1" i="0" u="none" strike="noStrike" kern="1200" cap="none" spc="20" baseline="0">
              <a:solidFill>
                <a:schemeClr val="dk1">
                  <a:lumMod val="50000"/>
                  <a:lumOff val="50000"/>
                </a:schemeClr>
              </a:solidFill>
              <a:latin typeface="+mn-lt"/>
              <a:ea typeface="+mn-ea"/>
              <a:cs typeface="+mn-cs"/>
            </a:defRPr>
          </a:pPr>
          <a:endParaRPr lang="en-US"/>
        </a:p>
      </c:txPr>
    </c:title>
    <c:autoTitleDeleted val="0"/>
    <c:plotArea>
      <c:layout/>
      <c:lineChart>
        <c:grouping val="standard"/>
        <c:varyColors val="0"/>
        <c:ser>
          <c:idx val="0"/>
          <c:order val="0"/>
          <c:tx>
            <c:strRef>
              <c:f>Factor!$L$4</c:f>
              <c:strCache>
                <c:ptCount val="1"/>
                <c:pt idx="0">
                  <c:v>Digital Transormation (DT) Index</c:v>
                </c:pt>
              </c:strCache>
            </c:strRef>
          </c:tx>
          <c:spPr>
            <a:ln w="22225" cap="rnd" cmpd="sng" algn="ctr">
              <a:solidFill>
                <a:schemeClr val="accent3"/>
              </a:solidFill>
              <a:round/>
            </a:ln>
            <a:effectLst/>
          </c:spPr>
          <c:marker>
            <c:symbol val="none"/>
          </c:marker>
          <c:cat>
            <c:numRef>
              <c:f>Factor!$B$6:$B$47</c:f>
              <c:numCache>
                <c:formatCode>General</c:formatCode>
                <c:ptCount val="42"/>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pt idx="36">
                  <c:v>2016</c:v>
                </c:pt>
                <c:pt idx="37">
                  <c:v>2017</c:v>
                </c:pt>
                <c:pt idx="38">
                  <c:v>2018</c:v>
                </c:pt>
                <c:pt idx="39">
                  <c:v>2019</c:v>
                </c:pt>
                <c:pt idx="40">
                  <c:v>2020</c:v>
                </c:pt>
                <c:pt idx="41">
                  <c:v>2021</c:v>
                </c:pt>
              </c:numCache>
            </c:numRef>
          </c:cat>
          <c:val>
            <c:numRef>
              <c:f>Factor!$L$6:$L$47</c:f>
              <c:numCache>
                <c:formatCode>0.00</c:formatCode>
                <c:ptCount val="42"/>
                <c:pt idx="0">
                  <c:v>-3.396055</c:v>
                </c:pt>
                <c:pt idx="1">
                  <c:v>-3.2982070000000001</c:v>
                </c:pt>
                <c:pt idx="2">
                  <c:v>-3.2254710000000002</c:v>
                </c:pt>
                <c:pt idx="3">
                  <c:v>-3.1865700000000001</c:v>
                </c:pt>
                <c:pt idx="4">
                  <c:v>-2.4699119999999999</c:v>
                </c:pt>
                <c:pt idx="5">
                  <c:v>-2.2541039999999999</c:v>
                </c:pt>
                <c:pt idx="6">
                  <c:v>-1.862989</c:v>
                </c:pt>
                <c:pt idx="7">
                  <c:v>-2.169146</c:v>
                </c:pt>
                <c:pt idx="8">
                  <c:v>-2.5103800000000001</c:v>
                </c:pt>
                <c:pt idx="9">
                  <c:v>-2.1252870000000001</c:v>
                </c:pt>
                <c:pt idx="10">
                  <c:v>-2.2001539999999999</c:v>
                </c:pt>
                <c:pt idx="11">
                  <c:v>-1.7101120000000001</c:v>
                </c:pt>
                <c:pt idx="12">
                  <c:v>-1.6374409999999999</c:v>
                </c:pt>
                <c:pt idx="13">
                  <c:v>-1.6735279999999999</c:v>
                </c:pt>
                <c:pt idx="14">
                  <c:v>-1.4576560000000001</c:v>
                </c:pt>
                <c:pt idx="15">
                  <c:v>-1.1331260000000001</c:v>
                </c:pt>
                <c:pt idx="16">
                  <c:v>-0.32633830000000003</c:v>
                </c:pt>
                <c:pt idx="17">
                  <c:v>-0.60154229999999997</c:v>
                </c:pt>
                <c:pt idx="18">
                  <c:v>-0.61250260000000001</c:v>
                </c:pt>
                <c:pt idx="19">
                  <c:v>-0.50800630000000002</c:v>
                </c:pt>
                <c:pt idx="20">
                  <c:v>-0.55219079999999998</c:v>
                </c:pt>
                <c:pt idx="21">
                  <c:v>-0.823986</c:v>
                </c:pt>
                <c:pt idx="22">
                  <c:v>-0.31230940000000001</c:v>
                </c:pt>
                <c:pt idx="23">
                  <c:v>0.455623</c:v>
                </c:pt>
                <c:pt idx="24">
                  <c:v>0.76803370000000004</c:v>
                </c:pt>
                <c:pt idx="25">
                  <c:v>1.0955109999999999</c:v>
                </c:pt>
                <c:pt idx="26">
                  <c:v>1.3045519999999999</c:v>
                </c:pt>
                <c:pt idx="27">
                  <c:v>1.6425620000000001</c:v>
                </c:pt>
                <c:pt idx="28">
                  <c:v>2.0078689999999999</c:v>
                </c:pt>
                <c:pt idx="29">
                  <c:v>2.392369</c:v>
                </c:pt>
                <c:pt idx="30">
                  <c:v>2.6054629999999999</c:v>
                </c:pt>
                <c:pt idx="31">
                  <c:v>2.5418940000000001</c:v>
                </c:pt>
                <c:pt idx="32">
                  <c:v>2.40219</c:v>
                </c:pt>
                <c:pt idx="33">
                  <c:v>2.0834519999999999</c:v>
                </c:pt>
                <c:pt idx="34">
                  <c:v>1.9867889999999999</c:v>
                </c:pt>
                <c:pt idx="35">
                  <c:v>1.743117</c:v>
                </c:pt>
                <c:pt idx="36">
                  <c:v>1.767406</c:v>
                </c:pt>
                <c:pt idx="37">
                  <c:v>2.449757</c:v>
                </c:pt>
                <c:pt idx="38">
                  <c:v>2.3546</c:v>
                </c:pt>
                <c:pt idx="39">
                  <c:v>2.7780049999999998</c:v>
                </c:pt>
                <c:pt idx="40">
                  <c:v>3.5225420000000001</c:v>
                </c:pt>
                <c:pt idx="41">
                  <c:v>4.1452790000000004</c:v>
                </c:pt>
              </c:numCache>
            </c:numRef>
          </c:val>
          <c:smooth val="1"/>
          <c:extLst>
            <c:ext xmlns:c16="http://schemas.microsoft.com/office/drawing/2014/chart" uri="{C3380CC4-5D6E-409C-BE32-E72D297353CC}">
              <c16:uniqueId val="{00000000-37D3-4B3E-8B64-F5EC4AF821D3}"/>
            </c:ext>
          </c:extLst>
        </c:ser>
        <c:dLbls>
          <c:showLegendKey val="0"/>
          <c:showVal val="0"/>
          <c:showCatName val="0"/>
          <c:showSerName val="0"/>
          <c:showPercent val="0"/>
          <c:showBubbleSize val="0"/>
        </c:dLbls>
        <c:dropLines>
          <c:spPr>
            <a:ln w="9525" cap="flat" cmpd="sng" algn="ctr">
              <a:solidFill>
                <a:schemeClr val="dk1">
                  <a:lumMod val="35000"/>
                  <a:lumOff val="65000"/>
                  <a:alpha val="33000"/>
                </a:schemeClr>
              </a:solidFill>
              <a:prstDash val="sysDash"/>
              <a:round/>
            </a:ln>
            <a:effectLst/>
          </c:spPr>
        </c:dropLines>
        <c:smooth val="0"/>
        <c:axId val="495841040"/>
        <c:axId val="495845632"/>
      </c:lineChart>
      <c:catAx>
        <c:axId val="495841040"/>
        <c:scaling>
          <c:orientation val="minMax"/>
        </c:scaling>
        <c:delete val="0"/>
        <c:axPos val="b"/>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mn-lt"/>
                <a:ea typeface="+mn-ea"/>
                <a:cs typeface="+mn-cs"/>
              </a:defRPr>
            </a:pPr>
            <a:endParaRPr lang="en-US"/>
          </a:p>
        </c:txPr>
        <c:crossAx val="495845632"/>
        <c:crosses val="autoZero"/>
        <c:auto val="1"/>
        <c:lblAlgn val="ctr"/>
        <c:lblOffset val="100"/>
        <c:noMultiLvlLbl val="0"/>
      </c:catAx>
      <c:valAx>
        <c:axId val="495845632"/>
        <c:scaling>
          <c:orientation val="minMax"/>
          <c:max val="5"/>
          <c:min val="-5"/>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mn-lt"/>
                <a:ea typeface="+mn-ea"/>
                <a:cs typeface="+mn-cs"/>
              </a:defRPr>
            </a:pPr>
            <a:endParaRPr lang="en-US"/>
          </a:p>
        </c:txPr>
        <c:crossAx val="49584104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rot="0" spcFirstLastPara="1" vertOverflow="ellipsis" vert="horz" wrap="square" anchor="ctr" anchorCtr="1"/>
          <a:lstStyle/>
          <a:p>
            <a:pPr>
              <a:defRPr sz="1050" b="1" i="0" u="none" strike="noStrike" kern="1200" cap="none" spc="20" baseline="0">
                <a:solidFill>
                  <a:schemeClr val="dk1">
                    <a:lumMod val="50000"/>
                    <a:lumOff val="50000"/>
                  </a:schemeClr>
                </a:solidFill>
                <a:latin typeface="+mn-lt"/>
                <a:ea typeface="+mn-ea"/>
                <a:cs typeface="+mn-cs"/>
              </a:defRPr>
            </a:pPr>
            <a:r>
              <a:rPr lang="en-ID" sz="1050" b="1"/>
              <a:t>(b) Inclusive Growth (IG) Index </a:t>
            </a:r>
          </a:p>
        </c:rich>
      </c:tx>
      <c:overlay val="0"/>
      <c:spPr>
        <a:noFill/>
        <a:ln>
          <a:noFill/>
        </a:ln>
        <a:effectLst/>
      </c:spPr>
      <c:txPr>
        <a:bodyPr rot="0" spcFirstLastPara="1" vertOverflow="ellipsis" vert="horz" wrap="square" anchor="ctr" anchorCtr="1"/>
        <a:lstStyle/>
        <a:p>
          <a:pPr>
            <a:defRPr sz="1050" b="1" i="0" u="none" strike="noStrike" kern="1200" cap="none" spc="20" baseline="0">
              <a:solidFill>
                <a:schemeClr val="dk1">
                  <a:lumMod val="50000"/>
                  <a:lumOff val="50000"/>
                </a:schemeClr>
              </a:solidFill>
              <a:latin typeface="+mn-lt"/>
              <a:ea typeface="+mn-ea"/>
              <a:cs typeface="+mn-cs"/>
            </a:defRPr>
          </a:pPr>
          <a:endParaRPr lang="en-US"/>
        </a:p>
      </c:txPr>
    </c:title>
    <c:autoTitleDeleted val="0"/>
    <c:plotArea>
      <c:layout/>
      <c:lineChart>
        <c:grouping val="standard"/>
        <c:varyColors val="0"/>
        <c:ser>
          <c:idx val="0"/>
          <c:order val="0"/>
          <c:spPr>
            <a:ln w="22225" cap="rnd" cmpd="sng" algn="ctr">
              <a:solidFill>
                <a:schemeClr val="accent3"/>
              </a:solidFill>
              <a:round/>
            </a:ln>
            <a:effectLst/>
          </c:spPr>
          <c:marker>
            <c:symbol val="none"/>
          </c:marker>
          <c:cat>
            <c:numRef>
              <c:f>Factor!$B$6:$B$47</c:f>
              <c:numCache>
                <c:formatCode>General</c:formatCode>
                <c:ptCount val="42"/>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pt idx="36">
                  <c:v>2016</c:v>
                </c:pt>
                <c:pt idx="37">
                  <c:v>2017</c:v>
                </c:pt>
                <c:pt idx="38">
                  <c:v>2018</c:v>
                </c:pt>
                <c:pt idx="39">
                  <c:v>2019</c:v>
                </c:pt>
                <c:pt idx="40">
                  <c:v>2020</c:v>
                </c:pt>
                <c:pt idx="41">
                  <c:v>2021</c:v>
                </c:pt>
              </c:numCache>
            </c:numRef>
          </c:cat>
          <c:val>
            <c:numRef>
              <c:f>Factor!$X$6:$X$47</c:f>
              <c:numCache>
                <c:formatCode>0.00</c:formatCode>
                <c:ptCount val="42"/>
                <c:pt idx="0">
                  <c:v>-2.9038149999999998</c:v>
                </c:pt>
                <c:pt idx="1">
                  <c:v>-2.4204569999999999</c:v>
                </c:pt>
                <c:pt idx="2">
                  <c:v>-2.229374</c:v>
                </c:pt>
                <c:pt idx="3">
                  <c:v>-2.1391659999999999</c:v>
                </c:pt>
                <c:pt idx="4">
                  <c:v>-1.9839720000000001</c:v>
                </c:pt>
                <c:pt idx="5">
                  <c:v>-2.1060289999999999</c:v>
                </c:pt>
                <c:pt idx="6">
                  <c:v>-1.9140200000000001</c:v>
                </c:pt>
                <c:pt idx="7">
                  <c:v>-1.7905720000000001</c:v>
                </c:pt>
                <c:pt idx="8">
                  <c:v>-1.635318</c:v>
                </c:pt>
                <c:pt idx="9">
                  <c:v>-1.3489629999999999</c:v>
                </c:pt>
                <c:pt idx="10">
                  <c:v>-1.129227</c:v>
                </c:pt>
                <c:pt idx="11">
                  <c:v>-0.99695290000000003</c:v>
                </c:pt>
                <c:pt idx="12">
                  <c:v>-0.82804690000000003</c:v>
                </c:pt>
                <c:pt idx="13">
                  <c:v>-0.58750829999999998</c:v>
                </c:pt>
                <c:pt idx="14">
                  <c:v>-3.5166299999999998E-2</c:v>
                </c:pt>
                <c:pt idx="15">
                  <c:v>0.69611970000000001</c:v>
                </c:pt>
                <c:pt idx="16">
                  <c:v>-1.1207699999999999E-2</c:v>
                </c:pt>
                <c:pt idx="17">
                  <c:v>-0.14412849999999999</c:v>
                </c:pt>
                <c:pt idx="18">
                  <c:v>-1.29914</c:v>
                </c:pt>
                <c:pt idx="19">
                  <c:v>-1.37154</c:v>
                </c:pt>
                <c:pt idx="20">
                  <c:v>-1.0858680000000001</c:v>
                </c:pt>
                <c:pt idx="21">
                  <c:v>-0.84462099999999996</c:v>
                </c:pt>
                <c:pt idx="22">
                  <c:v>-0.32056630000000003</c:v>
                </c:pt>
                <c:pt idx="23">
                  <c:v>-0.19397320000000001</c:v>
                </c:pt>
                <c:pt idx="24">
                  <c:v>0.1965441</c:v>
                </c:pt>
                <c:pt idx="25">
                  <c:v>0.69237550000000003</c:v>
                </c:pt>
                <c:pt idx="26">
                  <c:v>0.64337860000000002</c:v>
                </c:pt>
                <c:pt idx="27">
                  <c:v>1.090141</c:v>
                </c:pt>
                <c:pt idx="28">
                  <c:v>1.0289900000000001</c:v>
                </c:pt>
                <c:pt idx="29">
                  <c:v>1.055199</c:v>
                </c:pt>
                <c:pt idx="30">
                  <c:v>1.3157909999999999</c:v>
                </c:pt>
                <c:pt idx="31">
                  <c:v>1.922498</c:v>
                </c:pt>
                <c:pt idx="32">
                  <c:v>1.9487969999999999</c:v>
                </c:pt>
                <c:pt idx="33">
                  <c:v>2.1109990000000001</c:v>
                </c:pt>
                <c:pt idx="34">
                  <c:v>2.0035419999999999</c:v>
                </c:pt>
                <c:pt idx="35">
                  <c:v>2.1777449999999998</c:v>
                </c:pt>
                <c:pt idx="36">
                  <c:v>2.0784639999999999</c:v>
                </c:pt>
                <c:pt idx="37">
                  <c:v>1.9958689999999999</c:v>
                </c:pt>
                <c:pt idx="38">
                  <c:v>2.1789869999999998</c:v>
                </c:pt>
                <c:pt idx="39">
                  <c:v>2.0621960000000001</c:v>
                </c:pt>
                <c:pt idx="40">
                  <c:v>2.0691540000000002</c:v>
                </c:pt>
                <c:pt idx="41">
                  <c:v>2.0528430000000002</c:v>
                </c:pt>
              </c:numCache>
            </c:numRef>
          </c:val>
          <c:smooth val="0"/>
          <c:extLst>
            <c:ext xmlns:c16="http://schemas.microsoft.com/office/drawing/2014/chart" uri="{C3380CC4-5D6E-409C-BE32-E72D297353CC}">
              <c16:uniqueId val="{00000000-8551-4F25-A0FA-33A612D57F04}"/>
            </c:ext>
          </c:extLst>
        </c:ser>
        <c:dLbls>
          <c:showLegendKey val="0"/>
          <c:showVal val="0"/>
          <c:showCatName val="0"/>
          <c:showSerName val="0"/>
          <c:showPercent val="0"/>
          <c:showBubbleSize val="0"/>
        </c:dLbls>
        <c:dropLines>
          <c:spPr>
            <a:ln w="9525" cap="flat" cmpd="sng" algn="ctr">
              <a:solidFill>
                <a:schemeClr val="dk1">
                  <a:lumMod val="35000"/>
                  <a:lumOff val="65000"/>
                  <a:alpha val="33000"/>
                </a:schemeClr>
              </a:solidFill>
              <a:prstDash val="dash"/>
              <a:round/>
            </a:ln>
            <a:effectLst/>
          </c:spPr>
        </c:dropLines>
        <c:smooth val="0"/>
        <c:axId val="408465464"/>
        <c:axId val="408464480"/>
      </c:lineChart>
      <c:catAx>
        <c:axId val="408465464"/>
        <c:scaling>
          <c:orientation val="minMax"/>
        </c:scaling>
        <c:delete val="0"/>
        <c:axPos val="b"/>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mn-lt"/>
                <a:ea typeface="+mn-ea"/>
                <a:cs typeface="+mn-cs"/>
              </a:defRPr>
            </a:pPr>
            <a:endParaRPr lang="en-US"/>
          </a:p>
        </c:txPr>
        <c:crossAx val="408464480"/>
        <c:crosses val="autoZero"/>
        <c:auto val="1"/>
        <c:lblAlgn val="ctr"/>
        <c:lblOffset val="100"/>
        <c:noMultiLvlLbl val="0"/>
      </c:catAx>
      <c:valAx>
        <c:axId val="408464480"/>
        <c:scaling>
          <c:orientation val="minMax"/>
          <c:max val="5"/>
          <c:min val="-5"/>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mn-lt"/>
                <a:ea typeface="+mn-ea"/>
                <a:cs typeface="+mn-cs"/>
              </a:defRPr>
            </a:pPr>
            <a:endParaRPr lang="en-US"/>
          </a:p>
        </c:txPr>
        <c:crossAx val="40846546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 id="16">
  <a:schemeClr val="accent3"/>
</cs:colorStyle>
</file>

<file path=word/charts/colors2.xml><?xml version="1.0" encoding="utf-8"?>
<cs:colorStyle xmlns:cs="http://schemas.microsoft.com/office/drawing/2012/chartStyle" xmlns:a="http://schemas.openxmlformats.org/drawingml/2006/main" meth="withinLinearReversed" id="23">
  <a:schemeClr val="accent3"/>
</cs:colorStyle>
</file>

<file path=word/charts/colors3.xml><?xml version="1.0" encoding="utf-8"?>
<cs:colorStyle xmlns:cs="http://schemas.microsoft.com/office/drawing/2012/chartStyle" xmlns:a="http://schemas.openxmlformats.org/drawingml/2006/main" meth="withinLinear" id="16">
  <a:schemeClr val="accent3"/>
</cs:colorStyle>
</file>

<file path=word/charts/colors4.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5.xml><?xml version="1.0" encoding="utf-8"?>
<cs:colorStyle xmlns:cs="http://schemas.microsoft.com/office/drawing/2012/chartStyle" xmlns:a="http://schemas.openxmlformats.org/drawingml/2006/main" meth="withinLinear" id="16">
  <a:schemeClr val="accent3"/>
</cs:colorStyle>
</file>

<file path=word/charts/colors6.xml><?xml version="1.0" encoding="utf-8"?>
<cs:colorStyle xmlns:cs="http://schemas.microsoft.com/office/drawing/2012/chartStyle" xmlns:a="http://schemas.openxmlformats.org/drawingml/2006/main" meth="withinLinear" id="16">
  <a:schemeClr val="accent3"/>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6">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6">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30">
  <cs:axisTitle>
    <cs:lnRef idx="0"/>
    <cs:fillRef idx="0"/>
    <cs:effectRef idx="0"/>
    <cs:fontRef idx="minor">
      <a:schemeClr val="dk1">
        <a:lumMod val="65000"/>
        <a:lumOff val="35000"/>
      </a:schemeClr>
    </cs:fontRef>
    <cs:defRPr sz="900" kern="1200" cap="all"/>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b="0" kern="1200" spc="20" baseline="0"/>
  </cs:categoryAxis>
  <cs:chartArea mods="allowNoLineOverride">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0"/>
    <cs:effectRef idx="0"/>
    <cs:fontRef idx="minor">
      <a:schemeClr val="dk1"/>
    </cs:fontRef>
    <cs:spPr>
      <a:ln w="22225" cap="rnd" cmpd="sng" algn="ctr">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cap="flat" cmpd="sng" algn="ctr">
        <a:solidFill>
          <a:schemeClr val="phClr"/>
        </a:solidFill>
        <a:round/>
      </a:ln>
    </cs:spPr>
  </cs:dataPointMarker>
  <cs:dataPointMarkerLayout symbol="circle" size="4"/>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dk1">
            <a:lumMod val="65000"/>
            <a:lumOff val="35000"/>
          </a:schemeClr>
        </a:solidFill>
      </a:ln>
    </cs:spPr>
  </cs:downBar>
  <cs:dropLine>
    <cs:lnRef idx="0"/>
    <cs:fillRef idx="0"/>
    <cs:effectRef idx="0"/>
    <cs:fontRef idx="minor">
      <a:schemeClr val="dk1"/>
    </cs:fontRef>
    <cs:spPr>
      <a:ln w="9525" cap="flat" cmpd="sng" algn="ctr">
        <a:solidFill>
          <a:schemeClr val="dk1">
            <a:lumMod val="35000"/>
            <a:lumOff val="65000"/>
            <a:alpha val="33000"/>
          </a:schemeClr>
        </a:solidFill>
        <a:round/>
      </a:ln>
    </cs:spPr>
  </cs:dropLine>
  <cs:errorBar>
    <cs:lnRef idx="0"/>
    <cs:fillRef idx="0"/>
    <cs:effectRef idx="0"/>
    <cs:fontRef idx="minor">
      <a:schemeClr val="dk1"/>
    </cs:fontRef>
    <cs:spPr>
      <a:ln w="9525">
        <a:solidFill>
          <a:schemeClr val="dk1">
            <a:lumMod val="65000"/>
            <a:lumOff val="35000"/>
          </a:schemeClr>
        </a:solidFill>
      </a:ln>
    </cs:spPr>
  </cs:errorBar>
  <cs:floor>
    <cs:lnRef idx="0"/>
    <cs:fillRef idx="0"/>
    <cs:effectRef idx="0"/>
    <cs:fontRef idx="minor">
      <a:schemeClr val="dk1"/>
    </cs:fontRef>
  </cs:floor>
  <cs:gridlineMajor>
    <cs:lnRef idx="0"/>
    <cs:fillRef idx="0"/>
    <cs:effectRef idx="0"/>
    <cs:fontRef idx="minor">
      <a:schemeClr val="dk1"/>
    </cs:fontRef>
    <cs:spPr>
      <a:ln>
        <a:solidFill>
          <a:schemeClr val="dk1">
            <a:lumMod val="15000"/>
            <a:lumOff val="85000"/>
          </a:schemeClr>
        </a:solidFill>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35000"/>
            <a:lumOff val="65000"/>
          </a:schemeClr>
        </a:solidFill>
      </a:ln>
    </cs:spPr>
  </cs:hiLoLine>
  <cs:leaderLine>
    <cs:lnRef idx="0"/>
    <cs:fillRef idx="0"/>
    <cs:effectRef idx="0"/>
    <cs:fontRef idx="minor">
      <a:schemeClr val="dk1"/>
    </cs:fontRef>
    <cs:spPr>
      <a:ln w="9525">
        <a:solidFill>
          <a:schemeClr val="dk1">
            <a:lumMod val="35000"/>
            <a:lumOff val="65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gradFill>
        <a:gsLst>
          <a:gs pos="100000">
            <a:schemeClr val="lt1">
              <a:lumMod val="95000"/>
            </a:schemeClr>
          </a:gs>
          <a:gs pos="0">
            <a:schemeClr val="lt1"/>
          </a:gs>
        </a:gsLst>
        <a:lin ang="5400000" scaled="0"/>
      </a:gradFill>
    </cs:spPr>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35000"/>
            <a:lumOff val="65000"/>
          </a:schemeClr>
        </a:solidFill>
        <a:prstDash val="dash"/>
      </a:ln>
    </cs:spPr>
  </cs:seriesLine>
  <cs:title>
    <cs:lnRef idx="0"/>
    <cs:fillRef idx="0"/>
    <cs:effectRef idx="0"/>
    <cs:fontRef idx="minor">
      <a:schemeClr val="dk1">
        <a:lumMod val="50000"/>
        <a:lumOff val="50000"/>
      </a:schemeClr>
    </cs:fontRef>
    <cs:defRPr sz="1400" kern="1200" cap="none" spc="2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65000"/>
        <a:lumOff val="35000"/>
      </a:schemeClr>
    </cs:fontRef>
    <cs:defRPr sz="900" kern="1200" spc="20" baseline="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30">
  <cs:axisTitle>
    <cs:lnRef idx="0"/>
    <cs:fillRef idx="0"/>
    <cs:effectRef idx="0"/>
    <cs:fontRef idx="minor">
      <a:schemeClr val="dk1">
        <a:lumMod val="65000"/>
        <a:lumOff val="35000"/>
      </a:schemeClr>
    </cs:fontRef>
    <cs:defRPr sz="900" kern="1200" cap="all"/>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b="0" kern="1200" spc="20" baseline="0"/>
  </cs:categoryAxis>
  <cs:chartArea mods="allowNoLineOverride">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0"/>
    <cs:effectRef idx="0"/>
    <cs:fontRef idx="minor">
      <a:schemeClr val="dk1"/>
    </cs:fontRef>
    <cs:spPr>
      <a:ln w="22225" cap="rnd" cmpd="sng" algn="ctr">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cap="flat" cmpd="sng" algn="ctr">
        <a:solidFill>
          <a:schemeClr val="phClr"/>
        </a:solidFill>
        <a:round/>
      </a:ln>
    </cs:spPr>
  </cs:dataPointMarker>
  <cs:dataPointMarkerLayout symbol="circle" size="4"/>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dk1">
            <a:lumMod val="65000"/>
            <a:lumOff val="35000"/>
          </a:schemeClr>
        </a:solidFill>
      </a:ln>
    </cs:spPr>
  </cs:downBar>
  <cs:dropLine>
    <cs:lnRef idx="0"/>
    <cs:fillRef idx="0"/>
    <cs:effectRef idx="0"/>
    <cs:fontRef idx="minor">
      <a:schemeClr val="dk1"/>
    </cs:fontRef>
    <cs:spPr>
      <a:ln w="9525" cap="flat" cmpd="sng" algn="ctr">
        <a:solidFill>
          <a:schemeClr val="dk1">
            <a:lumMod val="35000"/>
            <a:lumOff val="65000"/>
            <a:alpha val="33000"/>
          </a:schemeClr>
        </a:solidFill>
        <a:round/>
      </a:ln>
    </cs:spPr>
  </cs:dropLine>
  <cs:errorBar>
    <cs:lnRef idx="0"/>
    <cs:fillRef idx="0"/>
    <cs:effectRef idx="0"/>
    <cs:fontRef idx="minor">
      <a:schemeClr val="dk1"/>
    </cs:fontRef>
    <cs:spPr>
      <a:ln w="9525">
        <a:solidFill>
          <a:schemeClr val="dk1">
            <a:lumMod val="65000"/>
            <a:lumOff val="35000"/>
          </a:schemeClr>
        </a:solidFill>
      </a:ln>
    </cs:spPr>
  </cs:errorBar>
  <cs:floor>
    <cs:lnRef idx="0"/>
    <cs:fillRef idx="0"/>
    <cs:effectRef idx="0"/>
    <cs:fontRef idx="minor">
      <a:schemeClr val="dk1"/>
    </cs:fontRef>
  </cs:floor>
  <cs:gridlineMajor>
    <cs:lnRef idx="0"/>
    <cs:fillRef idx="0"/>
    <cs:effectRef idx="0"/>
    <cs:fontRef idx="minor">
      <a:schemeClr val="dk1"/>
    </cs:fontRef>
    <cs:spPr>
      <a:ln>
        <a:solidFill>
          <a:schemeClr val="dk1">
            <a:lumMod val="15000"/>
            <a:lumOff val="85000"/>
          </a:schemeClr>
        </a:solidFill>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35000"/>
            <a:lumOff val="65000"/>
          </a:schemeClr>
        </a:solidFill>
      </a:ln>
    </cs:spPr>
  </cs:hiLoLine>
  <cs:leaderLine>
    <cs:lnRef idx="0"/>
    <cs:fillRef idx="0"/>
    <cs:effectRef idx="0"/>
    <cs:fontRef idx="minor">
      <a:schemeClr val="dk1"/>
    </cs:fontRef>
    <cs:spPr>
      <a:ln w="9525">
        <a:solidFill>
          <a:schemeClr val="dk1">
            <a:lumMod val="35000"/>
            <a:lumOff val="65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gradFill>
        <a:gsLst>
          <a:gs pos="100000">
            <a:schemeClr val="lt1">
              <a:lumMod val="95000"/>
            </a:schemeClr>
          </a:gs>
          <a:gs pos="0">
            <a:schemeClr val="lt1"/>
          </a:gs>
        </a:gsLst>
        <a:lin ang="5400000" scaled="0"/>
      </a:gradFill>
    </cs:spPr>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35000"/>
            <a:lumOff val="65000"/>
          </a:schemeClr>
        </a:solidFill>
        <a:prstDash val="dash"/>
      </a:ln>
    </cs:spPr>
  </cs:seriesLine>
  <cs:title>
    <cs:lnRef idx="0"/>
    <cs:fillRef idx="0"/>
    <cs:effectRef idx="0"/>
    <cs:fontRef idx="minor">
      <a:schemeClr val="dk1">
        <a:lumMod val="50000"/>
        <a:lumOff val="50000"/>
      </a:schemeClr>
    </cs:fontRef>
    <cs:defRPr sz="1400" kern="1200" cap="none" spc="2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65000"/>
        <a:lumOff val="35000"/>
      </a:schemeClr>
    </cs:fontRef>
    <cs:defRPr sz="900" kern="1200" spc="20" baseline="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F14A6F7F-9450-4685-B5BA-2D111C7A0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16</Pages>
  <Words>25328</Words>
  <Characters>144371</Characters>
  <Application>Microsoft Office Word</Application>
  <DocSecurity>0</DocSecurity>
  <Lines>1203</Lines>
  <Paragraphs>338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9</cp:revision>
  <dcterms:created xsi:type="dcterms:W3CDTF">2023-11-03T07:38:00Z</dcterms:created>
  <dcterms:modified xsi:type="dcterms:W3CDTF">2024-01-03T13:15:00Z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0f684726-17de-3ca3-a243-db64f1976758</vt:lpwstr>
  </property>
  <property fmtid="{D5CDD505-2E9C-101B-9397-08002B2CF9AE}" pid="4" name="Mendeley Citation Style_1">
    <vt:lpwstr>http://www.zotero.org/styles/apa</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 6th edition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10th edition - Harvard</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(deprecated)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