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2161"/>
        <w:tblW w:w="9684" w:type="dxa"/>
        <w:tblLook w:val="04A0" w:firstRow="1" w:lastRow="0" w:firstColumn="1" w:lastColumn="0" w:noHBand="0" w:noVBand="1"/>
      </w:tblPr>
      <w:tblGrid>
        <w:gridCol w:w="2798"/>
        <w:gridCol w:w="6886"/>
      </w:tblGrid>
      <w:tr w:rsidR="00D93CE5" w:rsidTr="00EE07FE">
        <w:trPr>
          <w:trHeight w:val="2922"/>
        </w:trPr>
        <w:tc>
          <w:tcPr>
            <w:tcW w:w="2798" w:type="dxa"/>
            <w:shd w:val="clear" w:color="auto" w:fill="auto"/>
          </w:tcPr>
          <w:p w:rsidR="006054EE" w:rsidRPr="00EE13BD" w:rsidRDefault="002D3D70" w:rsidP="00C2538B">
            <w:pPr>
              <w:spacing w:after="0" w:line="240" w:lineRule="auto"/>
              <w:ind w:right="567"/>
              <w:contextualSpacing/>
              <w:rPr>
                <w:rFonts w:cs="Calibri"/>
                <w:b/>
                <w:sz w:val="28"/>
                <w:szCs w:val="28"/>
              </w:rPr>
            </w:pPr>
            <w:bookmarkStart w:id="0" w:name="_Toc471231410"/>
            <w:r>
              <w:rPr>
                <w:rFonts w:cs="Calibri"/>
                <w:b/>
                <w:noProof/>
                <w:sz w:val="28"/>
                <w:szCs w:val="28"/>
                <w:lang w:val="en-US"/>
              </w:rPr>
              <w:drawing>
                <wp:anchor distT="0" distB="0" distL="114300" distR="114300" simplePos="0" relativeHeight="251661312" behindDoc="0" locked="0" layoutInCell="1" allowOverlap="1">
                  <wp:simplePos x="0" y="0"/>
                  <wp:positionH relativeFrom="column">
                    <wp:posOffset>-20955</wp:posOffset>
                  </wp:positionH>
                  <wp:positionV relativeFrom="paragraph">
                    <wp:posOffset>60325</wp:posOffset>
                  </wp:positionV>
                  <wp:extent cx="491490" cy="66421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5021"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91490" cy="664210"/>
                          </a:xfrm>
                          <a:prstGeom prst="rect">
                            <a:avLst/>
                          </a:prstGeom>
                          <a:noFill/>
                          <a:ln>
                            <a:noFill/>
                          </a:ln>
                        </pic:spPr>
                      </pic:pic>
                    </a:graphicData>
                  </a:graphic>
                </wp:anchor>
              </w:drawing>
            </w:r>
          </w:p>
          <w:p w:rsidR="006054EE" w:rsidRPr="00EE13BD" w:rsidRDefault="006054EE" w:rsidP="00C2538B">
            <w:pPr>
              <w:spacing w:after="0" w:line="240" w:lineRule="auto"/>
              <w:ind w:right="567"/>
              <w:contextualSpacing/>
              <w:rPr>
                <w:rFonts w:cs="Calibri"/>
                <w:b/>
                <w:sz w:val="28"/>
                <w:szCs w:val="28"/>
              </w:rPr>
            </w:pPr>
          </w:p>
          <w:p w:rsidR="006054EE" w:rsidRPr="00EE13BD" w:rsidRDefault="006054EE" w:rsidP="00C2538B">
            <w:pPr>
              <w:spacing w:after="0" w:line="240" w:lineRule="auto"/>
              <w:ind w:right="567"/>
              <w:contextualSpacing/>
              <w:rPr>
                <w:rFonts w:cs="Calibri"/>
                <w:b/>
                <w:sz w:val="28"/>
                <w:szCs w:val="28"/>
              </w:rPr>
            </w:pPr>
          </w:p>
          <w:p w:rsidR="006054EE" w:rsidRPr="00EE13BD" w:rsidRDefault="006054EE" w:rsidP="00C2538B">
            <w:pPr>
              <w:spacing w:after="0" w:line="240" w:lineRule="auto"/>
              <w:ind w:right="567"/>
              <w:contextualSpacing/>
              <w:rPr>
                <w:rFonts w:cs="Calibri"/>
                <w:b/>
                <w:sz w:val="20"/>
                <w:szCs w:val="20"/>
              </w:rPr>
            </w:pPr>
          </w:p>
          <w:p w:rsidR="006054EE" w:rsidRPr="00EE13BD" w:rsidRDefault="006054EE" w:rsidP="00C2538B">
            <w:pPr>
              <w:spacing w:after="0" w:line="240" w:lineRule="auto"/>
              <w:ind w:right="33"/>
              <w:contextualSpacing/>
              <w:rPr>
                <w:rFonts w:cs="Calibri"/>
                <w:sz w:val="20"/>
                <w:szCs w:val="20"/>
              </w:rPr>
            </w:pPr>
          </w:p>
          <w:p w:rsidR="006054EE" w:rsidRDefault="006054EE" w:rsidP="00C2538B">
            <w:pPr>
              <w:spacing w:after="0" w:line="240" w:lineRule="auto"/>
              <w:ind w:right="33"/>
              <w:contextualSpacing/>
              <w:rPr>
                <w:rFonts w:cs="Calibri"/>
                <w:sz w:val="20"/>
                <w:szCs w:val="20"/>
              </w:rPr>
            </w:pPr>
          </w:p>
          <w:p w:rsidR="00E828BD" w:rsidRPr="00EE13BD" w:rsidRDefault="00E828BD" w:rsidP="00C2538B">
            <w:pPr>
              <w:spacing w:after="0" w:line="240" w:lineRule="auto"/>
              <w:ind w:right="33"/>
              <w:contextualSpacing/>
              <w:rPr>
                <w:rFonts w:cs="Calibri"/>
                <w:sz w:val="20"/>
                <w:szCs w:val="20"/>
              </w:rPr>
            </w:pPr>
          </w:p>
          <w:p w:rsidR="006054EE" w:rsidRDefault="006054EE" w:rsidP="00C2538B">
            <w:pPr>
              <w:spacing w:after="0" w:line="240" w:lineRule="auto"/>
              <w:ind w:right="33"/>
              <w:contextualSpacing/>
              <w:rPr>
                <w:rFonts w:cs="Calibri"/>
                <w:sz w:val="20"/>
                <w:szCs w:val="20"/>
              </w:rPr>
            </w:pPr>
          </w:p>
          <w:p w:rsidR="003B59CF" w:rsidRDefault="003B59CF" w:rsidP="00C2538B">
            <w:pPr>
              <w:spacing w:after="0" w:line="240" w:lineRule="auto"/>
              <w:ind w:right="33"/>
              <w:contextualSpacing/>
              <w:rPr>
                <w:rFonts w:cs="Calibri"/>
                <w:sz w:val="20"/>
                <w:szCs w:val="20"/>
              </w:rPr>
            </w:pPr>
          </w:p>
          <w:p w:rsidR="00931778" w:rsidRDefault="00931778" w:rsidP="00C2538B">
            <w:pPr>
              <w:spacing w:after="0" w:line="240" w:lineRule="auto"/>
              <w:ind w:right="33"/>
              <w:contextualSpacing/>
              <w:rPr>
                <w:rFonts w:cs="Calibri"/>
                <w:sz w:val="20"/>
                <w:szCs w:val="20"/>
              </w:rPr>
            </w:pPr>
          </w:p>
          <w:p w:rsidR="00931778" w:rsidRDefault="00931778" w:rsidP="00C2538B">
            <w:pPr>
              <w:spacing w:after="0" w:line="240" w:lineRule="auto"/>
              <w:ind w:right="33"/>
              <w:contextualSpacing/>
              <w:rPr>
                <w:rFonts w:cs="Calibri"/>
                <w:sz w:val="20"/>
                <w:szCs w:val="20"/>
              </w:rPr>
            </w:pPr>
          </w:p>
          <w:p w:rsidR="00931778" w:rsidRDefault="00931778" w:rsidP="00C2538B">
            <w:pPr>
              <w:spacing w:after="0" w:line="240" w:lineRule="auto"/>
              <w:ind w:right="33"/>
              <w:contextualSpacing/>
              <w:rPr>
                <w:rFonts w:cs="Calibri"/>
                <w:sz w:val="20"/>
                <w:szCs w:val="20"/>
              </w:rPr>
            </w:pPr>
          </w:p>
          <w:p w:rsidR="00931778" w:rsidRDefault="00931778" w:rsidP="00C2538B">
            <w:pPr>
              <w:spacing w:after="0" w:line="240" w:lineRule="auto"/>
              <w:ind w:right="33"/>
              <w:contextualSpacing/>
              <w:rPr>
                <w:rFonts w:cs="Calibri"/>
                <w:sz w:val="20"/>
                <w:szCs w:val="20"/>
              </w:rPr>
            </w:pPr>
          </w:p>
          <w:p w:rsidR="008866F3" w:rsidRPr="00EE13BD" w:rsidRDefault="002D3D70" w:rsidP="00C2538B">
            <w:pPr>
              <w:spacing w:after="0" w:line="240" w:lineRule="auto"/>
              <w:ind w:right="33"/>
              <w:contextualSpacing/>
              <w:rPr>
                <w:rFonts w:cs="Calibri"/>
                <w:sz w:val="20"/>
                <w:szCs w:val="20"/>
              </w:rPr>
            </w:pPr>
            <w:r w:rsidRPr="00EE13BD">
              <w:rPr>
                <w:noProof/>
                <w:lang w:val="en-US"/>
              </w:rPr>
              <w:drawing>
                <wp:anchor distT="0" distB="0" distL="114300" distR="114300" simplePos="0" relativeHeight="251658240" behindDoc="0" locked="0" layoutInCell="1" allowOverlap="1">
                  <wp:simplePos x="0" y="0"/>
                  <wp:positionH relativeFrom="column">
                    <wp:posOffset>-10160</wp:posOffset>
                  </wp:positionH>
                  <wp:positionV relativeFrom="paragraph">
                    <wp:posOffset>128905</wp:posOffset>
                  </wp:positionV>
                  <wp:extent cx="480695" cy="231775"/>
                  <wp:effectExtent l="0" t="0" r="0" b="0"/>
                  <wp:wrapNone/>
                  <wp:docPr id="17" name="Picture 9" descr="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11100" name="Picture 9" descr="open acces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80695" cy="231775"/>
                          </a:xfrm>
                          <a:prstGeom prst="rect">
                            <a:avLst/>
                          </a:prstGeom>
                          <a:noFill/>
                          <a:ln>
                            <a:noFill/>
                          </a:ln>
                        </pic:spPr>
                      </pic:pic>
                    </a:graphicData>
                  </a:graphic>
                </wp:anchor>
              </w:drawing>
            </w:r>
            <w:r w:rsidR="006108D6">
              <w:rPr>
                <w:noProof/>
                <w:lang w:val="en-US"/>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83185</wp:posOffset>
                      </wp:positionV>
                      <wp:extent cx="1572260"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226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D4594" id="_x0000_t32" coordsize="21600,21600" o:spt="32" o:oned="t" path="m,l21600,21600e" filled="f">
                      <v:path arrowok="t" fillok="f" o:connecttype="none"/>
                      <o:lock v:ext="edit" shapetype="t"/>
                    </v:shapetype>
                    <v:shape id="AutoShape 11" o:spid="_x0000_s1026" type="#_x0000_t32" style="position:absolute;margin-left:-.8pt;margin-top:6.55pt;width:12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" strokecolor="#7f7f7f">
                      <o:lock v:ext="edit" shapetype="f"/>
                    </v:shape>
                  </w:pict>
                </mc:Fallback>
              </mc:AlternateContent>
            </w:r>
          </w:p>
          <w:p w:rsidR="00CD60F4" w:rsidRPr="00E828BD" w:rsidRDefault="00CD60F4" w:rsidP="00C2538B">
            <w:pPr>
              <w:spacing w:after="0" w:line="240" w:lineRule="auto"/>
              <w:ind w:right="33"/>
              <w:contextualSpacing/>
              <w:rPr>
                <w:rFonts w:cs="Calibri"/>
                <w:sz w:val="14"/>
                <w:szCs w:val="20"/>
              </w:rPr>
            </w:pPr>
          </w:p>
          <w:p w:rsidR="006054EE" w:rsidRPr="00EE13BD" w:rsidRDefault="006054EE" w:rsidP="00C2538B">
            <w:pPr>
              <w:spacing w:after="0" w:line="240" w:lineRule="auto"/>
              <w:ind w:right="33"/>
              <w:contextualSpacing/>
              <w:rPr>
                <w:rFonts w:cs="Calibri"/>
                <w:sz w:val="20"/>
                <w:szCs w:val="20"/>
              </w:rPr>
            </w:pPr>
          </w:p>
          <w:p w:rsidR="006054EE" w:rsidRPr="00EE13BD" w:rsidRDefault="006054EE" w:rsidP="00C2538B">
            <w:pPr>
              <w:spacing w:after="0" w:line="240" w:lineRule="auto"/>
              <w:ind w:right="33"/>
              <w:contextualSpacing/>
              <w:rPr>
                <w:rFonts w:cs="Calibri"/>
                <w:sz w:val="20"/>
                <w:szCs w:val="20"/>
              </w:rPr>
            </w:pPr>
          </w:p>
        </w:tc>
        <w:tc>
          <w:tcPr>
            <w:tcW w:w="6886" w:type="dxa"/>
            <w:vMerge w:val="restart"/>
            <w:shd w:val="clear" w:color="auto" w:fill="auto"/>
          </w:tcPr>
          <w:p w:rsidR="0008700E" w:rsidRPr="00841E48" w:rsidRDefault="002D3D70" w:rsidP="00C2538B">
            <w:pPr>
              <w:spacing w:after="0" w:line="240" w:lineRule="auto"/>
              <w:rPr>
                <w:rFonts w:cs="Calibri"/>
                <w:szCs w:val="24"/>
                <w:lang w:val="en-US"/>
              </w:rPr>
            </w:pPr>
            <w:r w:rsidRPr="00EE13BD">
              <w:rPr>
                <w:rFonts w:cs="Calibri"/>
                <w:b/>
                <w:szCs w:val="24"/>
              </w:rPr>
              <w:t>Article Type:</w:t>
            </w:r>
            <w:r w:rsidRPr="00EE13BD">
              <w:rPr>
                <w:rFonts w:cs="Calibri"/>
                <w:szCs w:val="24"/>
              </w:rPr>
              <w:t xml:space="preserve"> Research Paper</w:t>
            </w:r>
          </w:p>
          <w:p w:rsidR="006054EE" w:rsidRPr="00EE13BD" w:rsidRDefault="002D3D70" w:rsidP="00C2538B">
            <w:pPr>
              <w:spacing w:after="0" w:line="240" w:lineRule="auto"/>
              <w:rPr>
                <w:rFonts w:cs="Calibri"/>
                <w:szCs w:val="24"/>
              </w:rPr>
            </w:pPr>
            <w:r w:rsidRPr="00EE13BD">
              <w:rPr>
                <w:rFonts w:cs="Calibri"/>
                <w:szCs w:val="24"/>
              </w:rPr>
              <w:t xml:space="preserve"> </w:t>
            </w:r>
          </w:p>
          <w:p w:rsidR="00F4212B" w:rsidRPr="00C63872" w:rsidRDefault="002D3D70" w:rsidP="00F4212B">
            <w:pPr>
              <w:spacing w:after="0" w:line="240" w:lineRule="auto"/>
              <w:ind w:right="33"/>
              <w:rPr>
                <w:rFonts w:cs="Calibri"/>
                <w:sz w:val="36"/>
                <w:szCs w:val="36"/>
                <w:lang w:val="en-US"/>
              </w:rPr>
            </w:pPr>
            <w:r w:rsidRPr="009F5464">
              <w:rPr>
                <w:rFonts w:cs="Calibri"/>
                <w:sz w:val="36"/>
                <w:szCs w:val="36"/>
              </w:rPr>
              <w:t xml:space="preserve">THE IMPACT OF </w:t>
            </w:r>
            <w:r w:rsidR="00A60183">
              <w:rPr>
                <w:rFonts w:cs="Calibri"/>
                <w:sz w:val="36"/>
                <w:szCs w:val="36"/>
                <w:lang w:val="en-US"/>
              </w:rPr>
              <w:t>WORKING MOTHER</w:t>
            </w:r>
            <w:r w:rsidR="00541A7A">
              <w:rPr>
                <w:rFonts w:cs="Calibri"/>
                <w:sz w:val="36"/>
                <w:szCs w:val="36"/>
                <w:lang w:val="en-US"/>
              </w:rPr>
              <w:t>’</w:t>
            </w:r>
            <w:r w:rsidR="00A60183">
              <w:rPr>
                <w:rFonts w:cs="Calibri"/>
                <w:sz w:val="36"/>
                <w:szCs w:val="36"/>
                <w:lang w:val="en-US"/>
              </w:rPr>
              <w:t>S</w:t>
            </w:r>
            <w:r w:rsidR="00753A41">
              <w:rPr>
                <w:rFonts w:cs="Calibri"/>
                <w:sz w:val="36"/>
                <w:szCs w:val="36"/>
                <w:lang w:val="en-US"/>
              </w:rPr>
              <w:t xml:space="preserve"> BARGAINING POWER</w:t>
            </w:r>
            <w:r w:rsidR="00A60183">
              <w:rPr>
                <w:rFonts w:cs="Calibri"/>
                <w:sz w:val="36"/>
                <w:szCs w:val="36"/>
                <w:lang w:val="en-US"/>
              </w:rPr>
              <w:t xml:space="preserve"> </w:t>
            </w:r>
            <w:r w:rsidRPr="009F5464">
              <w:rPr>
                <w:rFonts w:cs="Calibri"/>
                <w:sz w:val="36"/>
                <w:szCs w:val="36"/>
              </w:rPr>
              <w:t xml:space="preserve">ON </w:t>
            </w:r>
            <w:r w:rsidR="00A60183">
              <w:rPr>
                <w:rFonts w:cs="Calibri"/>
                <w:sz w:val="36"/>
                <w:szCs w:val="36"/>
                <w:lang w:val="en-US"/>
              </w:rPr>
              <w:t xml:space="preserve">THEIR </w:t>
            </w:r>
            <w:r w:rsidRPr="009F5464">
              <w:rPr>
                <w:rFonts w:cs="Calibri"/>
                <w:sz w:val="36"/>
                <w:szCs w:val="36"/>
              </w:rPr>
              <w:t>CHILDREN'S HUMAN CAPITAL IN INDONESI</w:t>
            </w:r>
            <w:r w:rsidR="00C63872">
              <w:rPr>
                <w:rFonts w:cs="Calibri"/>
                <w:sz w:val="36"/>
                <w:szCs w:val="36"/>
                <w:lang w:val="en-US"/>
              </w:rPr>
              <w:t>A</w:t>
            </w:r>
          </w:p>
          <w:p w:rsidR="00F200DC" w:rsidRPr="00EE13BD" w:rsidRDefault="00F200DC" w:rsidP="00F4212B">
            <w:pPr>
              <w:spacing w:after="0" w:line="240" w:lineRule="auto"/>
              <w:ind w:right="33"/>
              <w:rPr>
                <w:rFonts w:cs="Calibri"/>
                <w:b/>
                <w:szCs w:val="28"/>
              </w:rPr>
            </w:pPr>
          </w:p>
          <w:p w:rsidR="006054EE" w:rsidRPr="0001778C" w:rsidRDefault="002D3D70" w:rsidP="00C2538B">
            <w:pPr>
              <w:spacing w:after="0" w:line="240" w:lineRule="auto"/>
              <w:ind w:right="33"/>
              <w:rPr>
                <w:rFonts w:cs="Calibri"/>
                <w:szCs w:val="21"/>
                <w:shd w:val="clear" w:color="auto" w:fill="FFFFFF"/>
                <w:vertAlign w:val="superscript"/>
              </w:rPr>
            </w:pPr>
            <w:r w:rsidRPr="00071D59">
              <w:rPr>
                <w:rFonts w:cs="Calibri"/>
                <w:szCs w:val="21"/>
                <w:shd w:val="clear" w:color="auto" w:fill="FFFFFF"/>
                <w:lang w:val="en-US"/>
              </w:rPr>
              <w:t>Ni Komang Widya Anggaraini</w:t>
            </w:r>
            <w:r w:rsidR="00931778" w:rsidRPr="00841E48">
              <w:rPr>
                <w:rFonts w:cs="Calibri"/>
                <w:szCs w:val="21"/>
                <w:shd w:val="clear" w:color="auto" w:fill="FFFFFF"/>
                <w:vertAlign w:val="superscript"/>
                <w:lang w:val="en-US"/>
              </w:rPr>
              <w:t>1</w:t>
            </w:r>
            <w:r w:rsidR="00931778">
              <w:rPr>
                <w:rFonts w:cs="Calibri"/>
                <w:szCs w:val="21"/>
                <w:shd w:val="clear" w:color="auto" w:fill="FFFFFF"/>
                <w:lang w:val="en-US"/>
              </w:rPr>
              <w:t xml:space="preserve">*, </w:t>
            </w:r>
            <w:r w:rsidR="00F4212B">
              <w:t xml:space="preserve"> </w:t>
            </w:r>
            <w:r w:rsidR="00F4212B" w:rsidRPr="00F4212B">
              <w:rPr>
                <w:rFonts w:cs="Calibri"/>
                <w:szCs w:val="21"/>
                <w:shd w:val="clear" w:color="auto" w:fill="FFFFFF"/>
                <w:lang w:val="en-US"/>
              </w:rPr>
              <w:t>Ni Putu Wiwin Setyari</w:t>
            </w:r>
            <w:r w:rsidR="00931778" w:rsidRPr="00841E48">
              <w:rPr>
                <w:rFonts w:cs="Calibri"/>
                <w:szCs w:val="21"/>
                <w:shd w:val="clear" w:color="auto" w:fill="FFFFFF"/>
                <w:vertAlign w:val="superscript"/>
                <w:lang w:val="en-US"/>
              </w:rPr>
              <w:t>2</w:t>
            </w:r>
          </w:p>
          <w:p w:rsidR="0008700E" w:rsidRPr="00EE13BD" w:rsidRDefault="0008700E" w:rsidP="00C2538B">
            <w:pPr>
              <w:spacing w:after="0" w:line="240" w:lineRule="auto"/>
              <w:ind w:right="33"/>
              <w:rPr>
                <w:rFonts w:cs="Calibri"/>
                <w:bCs/>
                <w:szCs w:val="24"/>
              </w:rPr>
            </w:pPr>
          </w:p>
          <w:p w:rsidR="00071D59" w:rsidRDefault="002D3D70" w:rsidP="00D777A5">
            <w:pPr>
              <w:tabs>
                <w:tab w:val="center" w:pos="3968"/>
              </w:tabs>
              <w:spacing w:after="0" w:line="240" w:lineRule="auto"/>
              <w:jc w:val="both"/>
              <w:rPr>
                <w:rFonts w:cs="Calibri"/>
                <w:iCs/>
                <w:sz w:val="20"/>
                <w:szCs w:val="20"/>
              </w:rPr>
            </w:pPr>
            <w:r w:rsidRPr="00E27CF3">
              <w:rPr>
                <w:rFonts w:cs="Calibri"/>
                <w:b/>
                <w:iCs/>
                <w:sz w:val="20"/>
                <w:szCs w:val="20"/>
              </w:rPr>
              <w:t>Abstract</w:t>
            </w:r>
            <w:r w:rsidR="00E60B5A" w:rsidRPr="009F50E6">
              <w:rPr>
                <w:rFonts w:cs="Calibri"/>
                <w:b/>
                <w:iCs/>
                <w:sz w:val="20"/>
                <w:szCs w:val="20"/>
              </w:rPr>
              <w:t xml:space="preserve">: </w:t>
            </w:r>
            <w:r w:rsidR="00F4212B" w:rsidRPr="009F50E6">
              <w:rPr>
                <w:sz w:val="20"/>
                <w:szCs w:val="20"/>
              </w:rPr>
              <w:t xml:space="preserve"> </w:t>
            </w:r>
            <w:r w:rsidRPr="009F50E6">
              <w:rPr>
                <w:sz w:val="20"/>
                <w:szCs w:val="20"/>
              </w:rPr>
              <w:t xml:space="preserve"> </w:t>
            </w:r>
            <w:r w:rsidR="009A3082" w:rsidRPr="009F50E6">
              <w:rPr>
                <w:sz w:val="20"/>
                <w:szCs w:val="20"/>
              </w:rPr>
              <w:t xml:space="preserve"> </w:t>
            </w:r>
            <w:r w:rsidR="00A31AA1" w:rsidRPr="009F50E6">
              <w:rPr>
                <w:sz w:val="20"/>
                <w:szCs w:val="20"/>
              </w:rPr>
              <w:t xml:space="preserve">  </w:t>
            </w:r>
            <w:r w:rsidR="00A31AA1" w:rsidRPr="009F50E6">
              <w:rPr>
                <w:sz w:val="20"/>
                <w:szCs w:val="20"/>
                <w:lang w:val="en-US"/>
              </w:rPr>
              <w:t>E</w:t>
            </w:r>
            <w:r w:rsidR="00A31AA1" w:rsidRPr="009F50E6">
              <w:rPr>
                <w:sz w:val="20"/>
                <w:szCs w:val="20"/>
              </w:rPr>
              <w:t xml:space="preserve">ducation is one of the strongest instruments owned by society to reduce poverty and vulnerability. </w:t>
            </w:r>
            <w:r w:rsidR="00A31AA1" w:rsidRPr="009F50E6">
              <w:rPr>
                <w:sz w:val="20"/>
                <w:szCs w:val="20"/>
                <w:lang w:val="en-US"/>
              </w:rPr>
              <w:t>T</w:t>
            </w:r>
            <w:r w:rsidR="00A31AA1" w:rsidRPr="009F50E6">
              <w:rPr>
                <w:sz w:val="20"/>
                <w:szCs w:val="20"/>
              </w:rPr>
              <w:t>his is because knowledge and skills are acquired through education. Thus increasing productivity and creating access</w:t>
            </w:r>
            <w:r w:rsidR="009F50E6" w:rsidRPr="009F50E6">
              <w:rPr>
                <w:sz w:val="20"/>
                <w:szCs w:val="20"/>
              </w:rPr>
              <w:t xml:space="preserve"> to employment opportunities. </w:t>
            </w:r>
            <w:r w:rsidR="009F50E6" w:rsidRPr="009F50E6">
              <w:rPr>
                <w:sz w:val="20"/>
                <w:szCs w:val="20"/>
                <w:lang w:val="en-US"/>
              </w:rPr>
              <w:t>So</w:t>
            </w:r>
            <w:r w:rsidR="00A31AA1" w:rsidRPr="009F50E6">
              <w:rPr>
                <w:sz w:val="20"/>
                <w:szCs w:val="20"/>
              </w:rPr>
              <w:t xml:space="preserve"> that income will increase along with the increase in education</w:t>
            </w:r>
            <w:r w:rsidR="00A31AA1" w:rsidRPr="00A31AA1">
              <w:t xml:space="preserve">. </w:t>
            </w:r>
            <w:r w:rsidR="009A3082" w:rsidRPr="009A3082">
              <w:rPr>
                <w:rFonts w:cs="Calibri"/>
                <w:iCs/>
                <w:sz w:val="20"/>
                <w:szCs w:val="20"/>
              </w:rPr>
              <w:t>The most strategic target in developing quality human resources is children.</w:t>
            </w:r>
            <w:r w:rsidRPr="00071D59">
              <w:rPr>
                <w:rFonts w:cs="Calibri"/>
                <w:iCs/>
                <w:sz w:val="20"/>
                <w:szCs w:val="20"/>
              </w:rPr>
              <w:t xml:space="preserve"> </w:t>
            </w:r>
            <w:r w:rsidR="009A3082">
              <w:t xml:space="preserve"> </w:t>
            </w:r>
            <w:r w:rsidR="009A3082" w:rsidRPr="009A3082">
              <w:rPr>
                <w:rFonts w:cs="Calibri"/>
                <w:iCs/>
                <w:sz w:val="20"/>
                <w:szCs w:val="20"/>
              </w:rPr>
              <w:t xml:space="preserve">There is an empirical study of the </w:t>
            </w:r>
            <w:r w:rsidR="00EB6F62">
              <w:rPr>
                <w:rFonts w:cs="Calibri"/>
                <w:iCs/>
                <w:sz w:val="20"/>
                <w:szCs w:val="20"/>
                <w:lang w:val="en-US"/>
              </w:rPr>
              <w:t>effect</w:t>
            </w:r>
            <w:r w:rsidR="009A3082" w:rsidRPr="009A3082">
              <w:rPr>
                <w:rFonts w:cs="Calibri"/>
                <w:iCs/>
                <w:sz w:val="20"/>
                <w:szCs w:val="20"/>
              </w:rPr>
              <w:t xml:space="preserve"> on household resource allocation where household decisions are influenced by the power that individuals have in the household. The distribution of power within the household can affect the level of spending on education for each child.</w:t>
            </w:r>
            <w:r w:rsidRPr="00071D59">
              <w:rPr>
                <w:rFonts w:cs="Calibri"/>
                <w:iCs/>
                <w:sz w:val="20"/>
                <w:szCs w:val="20"/>
              </w:rPr>
              <w:t xml:space="preserve"> </w:t>
            </w:r>
            <w:r w:rsidR="009A3082">
              <w:t xml:space="preserve"> </w:t>
            </w:r>
            <w:r w:rsidR="009A3082" w:rsidRPr="009A3082">
              <w:rPr>
                <w:rFonts w:cs="Calibri"/>
                <w:iCs/>
                <w:sz w:val="20"/>
                <w:szCs w:val="20"/>
              </w:rPr>
              <w:t xml:space="preserve">This study aims to determine the impact of working </w:t>
            </w:r>
            <w:r w:rsidR="00A60183">
              <w:rPr>
                <w:rFonts w:cs="Calibri"/>
                <w:iCs/>
                <w:sz w:val="20"/>
                <w:szCs w:val="20"/>
                <w:lang w:val="en-US"/>
              </w:rPr>
              <w:t>mothers</w:t>
            </w:r>
            <w:r w:rsidR="009A3082" w:rsidRPr="009A3082">
              <w:rPr>
                <w:rFonts w:cs="Calibri"/>
                <w:iCs/>
                <w:sz w:val="20"/>
                <w:szCs w:val="20"/>
              </w:rPr>
              <w:t xml:space="preserve"> on </w:t>
            </w:r>
            <w:r w:rsidR="00A60183">
              <w:rPr>
                <w:rFonts w:cs="Calibri"/>
                <w:iCs/>
                <w:sz w:val="20"/>
                <w:szCs w:val="20"/>
                <w:lang w:val="en-US"/>
              </w:rPr>
              <w:t xml:space="preserve">their </w:t>
            </w:r>
            <w:r w:rsidR="009A3082" w:rsidRPr="009A3082">
              <w:rPr>
                <w:rFonts w:cs="Calibri"/>
                <w:iCs/>
                <w:sz w:val="20"/>
                <w:szCs w:val="20"/>
              </w:rPr>
              <w:t xml:space="preserve">children's human capital in Indonesia and the differences in the influence of relative education and the relative income of </w:t>
            </w:r>
            <w:r w:rsidR="002206A3">
              <w:rPr>
                <w:rFonts w:cs="Calibri"/>
                <w:iCs/>
                <w:sz w:val="20"/>
                <w:szCs w:val="20"/>
              </w:rPr>
              <w:t>working mother</w:t>
            </w:r>
            <w:r w:rsidR="009A3082" w:rsidRPr="009A3082">
              <w:rPr>
                <w:rFonts w:cs="Calibri"/>
                <w:iCs/>
                <w:sz w:val="20"/>
                <w:szCs w:val="20"/>
              </w:rPr>
              <w:t xml:space="preserve"> on children's human capital in Indonesia. The analysis technique used is the Ordinary Least Square (OLS) and Chow-test to determine the difference in the effect of the relative education and relative income of working </w:t>
            </w:r>
            <w:r w:rsidR="00A60183">
              <w:rPr>
                <w:rFonts w:cs="Calibri"/>
                <w:iCs/>
                <w:sz w:val="20"/>
                <w:szCs w:val="20"/>
                <w:lang w:val="en-US"/>
              </w:rPr>
              <w:t>mothers</w:t>
            </w:r>
            <w:r w:rsidR="009A3082" w:rsidRPr="009A3082">
              <w:rPr>
                <w:rFonts w:cs="Calibri"/>
                <w:iCs/>
                <w:sz w:val="20"/>
                <w:szCs w:val="20"/>
              </w:rPr>
              <w:t xml:space="preserve"> on </w:t>
            </w:r>
            <w:r w:rsidR="00A60183">
              <w:rPr>
                <w:rFonts w:cs="Calibri"/>
                <w:iCs/>
                <w:sz w:val="20"/>
                <w:szCs w:val="20"/>
                <w:lang w:val="en-US"/>
              </w:rPr>
              <w:t xml:space="preserve">their </w:t>
            </w:r>
            <w:r w:rsidR="009A3082" w:rsidRPr="009A3082">
              <w:rPr>
                <w:rFonts w:cs="Calibri"/>
                <w:iCs/>
                <w:sz w:val="20"/>
                <w:szCs w:val="20"/>
              </w:rPr>
              <w:t>children's human capital in Indonesia.</w:t>
            </w:r>
            <w:r w:rsidR="009A3082">
              <w:rPr>
                <w:rFonts w:cs="Calibri"/>
                <w:iCs/>
                <w:sz w:val="20"/>
                <w:szCs w:val="20"/>
                <w:lang w:val="en-ID"/>
              </w:rPr>
              <w:t xml:space="preserve"> </w:t>
            </w:r>
            <w:r w:rsidR="009A3082">
              <w:t xml:space="preserve"> </w:t>
            </w:r>
            <w:r w:rsidR="009A3082" w:rsidRPr="009A3082">
              <w:rPr>
                <w:rFonts w:cs="Calibri"/>
                <w:iCs/>
                <w:sz w:val="20"/>
                <w:szCs w:val="20"/>
              </w:rPr>
              <w:t xml:space="preserve">Using IFLS5 data, </w:t>
            </w:r>
            <w:r w:rsidR="00EB6F62">
              <w:rPr>
                <w:rFonts w:cs="Calibri"/>
                <w:iCs/>
                <w:sz w:val="20"/>
                <w:szCs w:val="20"/>
                <w:lang w:val="en-US"/>
              </w:rPr>
              <w:t>we found out</w:t>
            </w:r>
            <w:r w:rsidR="009A3082" w:rsidRPr="009A3082">
              <w:rPr>
                <w:rFonts w:cs="Calibri"/>
                <w:iCs/>
                <w:sz w:val="20"/>
                <w:szCs w:val="20"/>
              </w:rPr>
              <w:t xml:space="preserve"> that the impact of </w:t>
            </w:r>
            <w:r w:rsidR="00A60183">
              <w:rPr>
                <w:rFonts w:cs="Calibri"/>
                <w:iCs/>
                <w:sz w:val="20"/>
                <w:szCs w:val="20"/>
                <w:lang w:val="en-US"/>
              </w:rPr>
              <w:t>working mothers</w:t>
            </w:r>
            <w:r w:rsidR="009A3082" w:rsidRPr="009A3082">
              <w:rPr>
                <w:rFonts w:cs="Calibri"/>
                <w:iCs/>
                <w:sz w:val="20"/>
                <w:szCs w:val="20"/>
              </w:rPr>
              <w:t xml:space="preserve"> has a significant effect on children's human capital in Indonesia and there is a significant difference where the income of working </w:t>
            </w:r>
            <w:r w:rsidR="00A60183">
              <w:rPr>
                <w:rFonts w:cs="Calibri"/>
                <w:iCs/>
                <w:sz w:val="20"/>
                <w:szCs w:val="20"/>
                <w:lang w:val="en-US"/>
              </w:rPr>
              <w:t>mothers</w:t>
            </w:r>
            <w:r w:rsidR="009A3082" w:rsidRPr="009A3082">
              <w:rPr>
                <w:rFonts w:cs="Calibri"/>
                <w:iCs/>
                <w:sz w:val="20"/>
                <w:szCs w:val="20"/>
              </w:rPr>
              <w:t xml:space="preserve"> has a greater influence on children's human capital in Indonesia.</w:t>
            </w:r>
          </w:p>
          <w:p w:rsidR="006054EE" w:rsidRDefault="002D3D70" w:rsidP="00C2538B">
            <w:pPr>
              <w:tabs>
                <w:tab w:val="center" w:pos="3968"/>
              </w:tabs>
              <w:spacing w:after="0" w:line="240" w:lineRule="auto"/>
              <w:rPr>
                <w:rFonts w:cs="Calibri"/>
                <w:iCs/>
                <w:sz w:val="20"/>
                <w:szCs w:val="20"/>
                <w:lang w:val="en-US"/>
              </w:rPr>
            </w:pPr>
            <w:r w:rsidRPr="00E27CF3">
              <w:rPr>
                <w:rFonts w:cs="Calibri"/>
                <w:b/>
                <w:iCs/>
                <w:sz w:val="20"/>
                <w:szCs w:val="20"/>
              </w:rPr>
              <w:t>Keywords:</w:t>
            </w:r>
            <w:r w:rsidRPr="00E27CF3">
              <w:rPr>
                <w:rFonts w:cs="Calibri"/>
                <w:b/>
                <w:iCs/>
                <w:sz w:val="20"/>
                <w:szCs w:val="20"/>
                <w:lang w:val="en-US"/>
              </w:rPr>
              <w:t xml:space="preserve"> </w:t>
            </w:r>
            <w:r w:rsidR="00F4212B">
              <w:t xml:space="preserve"> </w:t>
            </w:r>
            <w:r w:rsidR="009A3082">
              <w:t xml:space="preserve"> </w:t>
            </w:r>
            <w:r w:rsidR="009A3082" w:rsidRPr="009A3082">
              <w:rPr>
                <w:rFonts w:cs="Calibri"/>
                <w:sz w:val="20"/>
                <w:lang w:val="en-US"/>
              </w:rPr>
              <w:t>Impact; Working Power of Women; Children's Human Capital; OLS; Chow-test.</w:t>
            </w:r>
          </w:p>
          <w:p w:rsidR="003B59CF" w:rsidRPr="003B59CF" w:rsidRDefault="002D3D70" w:rsidP="00C2538B">
            <w:pPr>
              <w:tabs>
                <w:tab w:val="center" w:pos="3968"/>
              </w:tabs>
              <w:spacing w:after="0" w:line="240" w:lineRule="auto"/>
              <w:rPr>
                <w:rFonts w:cs="Calibri"/>
                <w:sz w:val="18"/>
                <w:lang w:val="en-US"/>
              </w:rPr>
            </w:pPr>
            <w:r w:rsidRPr="003228CC">
              <w:rPr>
                <w:rFonts w:cs="Calibri"/>
                <w:b/>
                <w:sz w:val="20"/>
                <w:lang w:val="en-US"/>
              </w:rPr>
              <w:t>JEL Classification</w:t>
            </w:r>
            <w:r w:rsidRPr="003228CC">
              <w:rPr>
                <w:rFonts w:cs="Calibri"/>
                <w:sz w:val="18"/>
                <w:lang w:val="en-US"/>
              </w:rPr>
              <w:t xml:space="preserve">: </w:t>
            </w:r>
            <w:r w:rsidR="003228CC" w:rsidRPr="003228CC">
              <w:rPr>
                <w:rFonts w:cs="Calibri"/>
                <w:sz w:val="20"/>
              </w:rPr>
              <w:t>P46;</w:t>
            </w:r>
            <w:r w:rsidR="003228CC" w:rsidRPr="003228CC">
              <w:rPr>
                <w:rFonts w:cs="Calibri"/>
                <w:sz w:val="20"/>
                <w:lang w:val="en-US"/>
              </w:rPr>
              <w:t xml:space="preserve"> </w:t>
            </w:r>
            <w:r w:rsidR="003228CC" w:rsidRPr="003228CC">
              <w:rPr>
                <w:rFonts w:cs="Calibri"/>
                <w:sz w:val="20"/>
              </w:rPr>
              <w:t>J24;</w:t>
            </w:r>
            <w:r w:rsidR="003228CC" w:rsidRPr="003228CC">
              <w:rPr>
                <w:rFonts w:cs="Calibri"/>
                <w:sz w:val="20"/>
                <w:lang w:val="en-US"/>
              </w:rPr>
              <w:t xml:space="preserve"> </w:t>
            </w:r>
            <w:r w:rsidR="003228CC" w:rsidRPr="003228CC">
              <w:rPr>
                <w:rFonts w:cs="Calibri"/>
                <w:sz w:val="20"/>
              </w:rPr>
              <w:t>O15;</w:t>
            </w:r>
            <w:r w:rsidR="003228CC" w:rsidRPr="003228CC">
              <w:rPr>
                <w:rFonts w:cs="Calibri"/>
                <w:sz w:val="20"/>
                <w:lang w:val="en-US"/>
              </w:rPr>
              <w:t xml:space="preserve"> </w:t>
            </w:r>
            <w:r w:rsidR="003228CC" w:rsidRPr="003228CC">
              <w:rPr>
                <w:rFonts w:cs="Calibri"/>
                <w:sz w:val="20"/>
              </w:rPr>
              <w:t>D31</w:t>
            </w:r>
          </w:p>
          <w:p w:rsidR="0008700E" w:rsidRPr="0008700E" w:rsidRDefault="0008700E" w:rsidP="00C2538B">
            <w:pPr>
              <w:spacing w:after="0" w:line="240" w:lineRule="auto"/>
              <w:ind w:left="35" w:right="33"/>
              <w:rPr>
                <w:rFonts w:cs="Calibri"/>
                <w:sz w:val="18"/>
                <w:szCs w:val="20"/>
              </w:rPr>
            </w:pPr>
          </w:p>
          <w:p w:rsidR="0005336D" w:rsidRDefault="006108D6" w:rsidP="00C2538B">
            <w:pPr>
              <w:spacing w:after="0" w:line="240" w:lineRule="auto"/>
              <w:ind w:right="33"/>
              <w:rPr>
                <w:rFonts w:cs="Calibri"/>
                <w:iCs/>
                <w:sz w:val="20"/>
                <w:szCs w:val="20"/>
              </w:rPr>
            </w:pPr>
            <w:r>
              <w:rPr>
                <w:rFonts w:cs="Calibri"/>
                <w:iCs/>
                <w:noProof/>
                <w:sz w:val="20"/>
                <w:szCs w:val="20"/>
              </w:rPr>
              <w:pict>
                <v:rect id="_x0000_i1025" style="width:331.85pt;height:1pt" o:hrstd="t" o:hrnoshade="t" o:hr="t" fillcolor="#a0a0a0" stroked="f"/>
              </w:pict>
            </w:r>
          </w:p>
          <w:p w:rsidR="0008700E" w:rsidRPr="0008700E" w:rsidRDefault="0008700E" w:rsidP="00C2538B">
            <w:pPr>
              <w:pStyle w:val="Judul2"/>
              <w:spacing w:before="0" w:after="0" w:line="240" w:lineRule="auto"/>
              <w:rPr>
                <w:rFonts w:ascii="Calibri" w:hAnsi="Calibri" w:cs="Calibri"/>
                <w:i w:val="0"/>
                <w:sz w:val="24"/>
              </w:rPr>
            </w:pPr>
          </w:p>
          <w:p w:rsidR="006054EE" w:rsidRPr="004E5C73" w:rsidRDefault="002D3D70" w:rsidP="00C2538B">
            <w:pPr>
              <w:pStyle w:val="Judul2"/>
              <w:spacing w:before="0" w:after="0" w:line="240" w:lineRule="auto"/>
              <w:rPr>
                <w:rFonts w:ascii="Garamond" w:hAnsi="Garamond" w:cs="Calibri"/>
                <w:i w:val="0"/>
              </w:rPr>
            </w:pPr>
            <w:r w:rsidRPr="004E5C73">
              <w:rPr>
                <w:rFonts w:ascii="Garamond" w:hAnsi="Garamond" w:cs="Calibri"/>
                <w:i w:val="0"/>
              </w:rPr>
              <w:t>Introduction</w:t>
            </w:r>
          </w:p>
          <w:p w:rsidR="0008700E" w:rsidRDefault="0008700E" w:rsidP="00C2538B">
            <w:pPr>
              <w:spacing w:after="0" w:line="240" w:lineRule="auto"/>
              <w:rPr>
                <w:lang w:val="en-US"/>
              </w:rPr>
            </w:pPr>
          </w:p>
          <w:p w:rsidR="00264D17" w:rsidRPr="00BF57B9" w:rsidRDefault="002D3D70" w:rsidP="00D777A5">
            <w:pPr>
              <w:spacing w:after="0" w:line="240" w:lineRule="auto"/>
              <w:jc w:val="both"/>
              <w:rPr>
                <w:lang w:val="en-US"/>
              </w:rPr>
            </w:pPr>
            <w:r w:rsidRPr="00265379">
              <w:rPr>
                <w:lang w:val="en-US"/>
              </w:rPr>
              <w:t>Development refers to activities carried out by a country or region that aims to develop the quality of life of its people (Rustiadi et al. 2011). There are several parameters to measure the success of an area's development, one of which is the Human Development Index (HDI) (Maulana and Bowo, 2013).</w:t>
            </w:r>
            <w:r w:rsidR="00071D59" w:rsidRPr="00071D59">
              <w:rPr>
                <w:lang w:val="en-US"/>
              </w:rPr>
              <w:t xml:space="preserve"> </w:t>
            </w:r>
            <w:r>
              <w:t xml:space="preserve"> </w:t>
            </w:r>
            <w:r w:rsidRPr="00265379">
              <w:rPr>
                <w:lang w:val="en-US"/>
              </w:rPr>
              <w:t>HDI is a measure to see the impact of regional development performance which has a very broad dimension because it shows the quality of the population of an area in terms of life expectancy, education, and a decent standard of living (Melliana and Zain, 2013). The level of overall welfare can be seen from the HDI as a measuring tool because it can describe economic and non-economic factors (Aji et al., 2014).</w:t>
            </w:r>
          </w:p>
        </w:tc>
      </w:tr>
      <w:tr w:rsidR="00D93CE5" w:rsidTr="00EE07FE">
        <w:trPr>
          <w:trHeight w:val="5675"/>
        </w:trPr>
        <w:tc>
          <w:tcPr>
            <w:tcW w:w="2798" w:type="dxa"/>
            <w:shd w:val="clear" w:color="auto" w:fill="auto"/>
          </w:tcPr>
          <w:p w:rsidR="00E60B5A" w:rsidRPr="007B32AE" w:rsidRDefault="002D3D70" w:rsidP="00C2538B">
            <w:pPr>
              <w:pStyle w:val="TeksCatatanKaki"/>
              <w:spacing w:after="0" w:line="240" w:lineRule="auto"/>
              <w:contextualSpacing/>
              <w:rPr>
                <w:rFonts w:cs="Calibri"/>
                <w:b/>
                <w:bCs/>
                <w:sz w:val="18"/>
                <w:szCs w:val="18"/>
                <w:lang w:val="en-ID"/>
              </w:rPr>
            </w:pPr>
            <w:r w:rsidRPr="007B32AE">
              <w:rPr>
                <w:rFonts w:cs="Calibri"/>
                <w:b/>
                <w:bCs/>
                <w:sz w:val="18"/>
                <w:szCs w:val="18"/>
              </w:rPr>
              <w:t>AFFILIATION:</w:t>
            </w:r>
          </w:p>
          <w:p w:rsidR="00931778" w:rsidRPr="00F4212B" w:rsidRDefault="002D3D70" w:rsidP="00931778">
            <w:pPr>
              <w:tabs>
                <w:tab w:val="left" w:pos="4032"/>
              </w:tabs>
              <w:spacing w:after="0" w:line="240" w:lineRule="auto"/>
              <w:contextualSpacing/>
              <w:rPr>
                <w:rFonts w:cs="Calibri"/>
                <w:sz w:val="18"/>
                <w:szCs w:val="18"/>
                <w:lang w:val="en-US"/>
              </w:rPr>
            </w:pPr>
            <w:r>
              <w:rPr>
                <w:rFonts w:cs="Calibri"/>
                <w:sz w:val="18"/>
                <w:szCs w:val="18"/>
                <w:vertAlign w:val="superscript"/>
                <w:lang w:val="en-US"/>
              </w:rPr>
              <w:t>1</w:t>
            </w:r>
            <w:r w:rsidR="00F4212B">
              <w:t xml:space="preserve"> </w:t>
            </w:r>
            <w:r w:rsidR="00F4212B">
              <w:rPr>
                <w:rFonts w:cs="Calibri"/>
                <w:sz w:val="18"/>
                <w:szCs w:val="18"/>
                <w:lang w:val="en-US"/>
              </w:rPr>
              <w:t>Faculty of Economics and B</w:t>
            </w:r>
            <w:r w:rsidR="00F4212B" w:rsidRPr="00F4212B">
              <w:rPr>
                <w:rFonts w:cs="Calibri"/>
                <w:sz w:val="18"/>
                <w:szCs w:val="18"/>
                <w:lang w:val="en-US"/>
              </w:rPr>
              <w:t>usiness, Udayana University, Bali, Indonesia</w:t>
            </w:r>
          </w:p>
          <w:p w:rsidR="00930DAE" w:rsidRDefault="00930DAE" w:rsidP="00931778">
            <w:pPr>
              <w:tabs>
                <w:tab w:val="left" w:pos="4032"/>
              </w:tabs>
              <w:spacing w:after="0" w:line="240" w:lineRule="auto"/>
              <w:contextualSpacing/>
              <w:rPr>
                <w:rFonts w:cs="Calibri"/>
                <w:sz w:val="18"/>
                <w:szCs w:val="18"/>
              </w:rPr>
            </w:pPr>
          </w:p>
          <w:p w:rsidR="002A73C6" w:rsidRPr="007B32AE" w:rsidRDefault="002D3D70" w:rsidP="00C2538B">
            <w:pPr>
              <w:tabs>
                <w:tab w:val="left" w:pos="4032"/>
              </w:tabs>
              <w:spacing w:after="0" w:line="240" w:lineRule="auto"/>
              <w:contextualSpacing/>
              <w:rPr>
                <w:rFonts w:cs="Calibri"/>
                <w:sz w:val="18"/>
                <w:szCs w:val="18"/>
                <w:lang w:val="en-US"/>
              </w:rPr>
            </w:pPr>
            <w:r>
              <w:rPr>
                <w:rFonts w:cs="Calibri"/>
                <w:sz w:val="18"/>
                <w:szCs w:val="18"/>
                <w:vertAlign w:val="superscript"/>
                <w:lang w:val="en-US"/>
              </w:rPr>
              <w:t>2</w:t>
            </w:r>
            <w:r w:rsidR="00F4212B">
              <w:t xml:space="preserve"> </w:t>
            </w:r>
            <w:r w:rsidR="00F4212B" w:rsidRPr="00F4212B">
              <w:rPr>
                <w:rFonts w:cs="Calibri"/>
                <w:sz w:val="18"/>
                <w:szCs w:val="18"/>
                <w:lang w:val="en-US"/>
              </w:rPr>
              <w:t xml:space="preserve">Faculty of Economics and Business, Udayana University, Bali, Indonesia </w:t>
            </w:r>
          </w:p>
          <w:p w:rsidR="006054EE" w:rsidRPr="007B32AE" w:rsidRDefault="006054EE" w:rsidP="00C2538B">
            <w:pPr>
              <w:tabs>
                <w:tab w:val="left" w:pos="4032"/>
              </w:tabs>
              <w:spacing w:after="0" w:line="240" w:lineRule="auto"/>
              <w:contextualSpacing/>
              <w:rPr>
                <w:rFonts w:cs="Calibri"/>
                <w:sz w:val="18"/>
                <w:szCs w:val="18"/>
                <w:highlight w:val="yellow"/>
              </w:rPr>
            </w:pPr>
          </w:p>
          <w:p w:rsidR="00841E48" w:rsidRPr="007B32AE" w:rsidRDefault="002D3D70" w:rsidP="00C2538B">
            <w:pPr>
              <w:pStyle w:val="TeksCatatanKaki"/>
              <w:spacing w:after="0" w:line="240" w:lineRule="auto"/>
              <w:contextualSpacing/>
              <w:rPr>
                <w:rFonts w:cs="Calibri"/>
                <w:b/>
                <w:bCs/>
                <w:sz w:val="18"/>
                <w:szCs w:val="18"/>
              </w:rPr>
            </w:pPr>
            <w:r w:rsidRPr="007B32AE">
              <w:rPr>
                <w:rFonts w:cs="Calibri"/>
                <w:b/>
                <w:bCs/>
                <w:sz w:val="18"/>
                <w:szCs w:val="18"/>
              </w:rPr>
              <w:t>*CORRESPONDENCE:</w:t>
            </w:r>
          </w:p>
          <w:p w:rsidR="00264D17" w:rsidRDefault="002D3D70" w:rsidP="00C2538B">
            <w:pPr>
              <w:pStyle w:val="TeksCatatanKaki"/>
              <w:spacing w:after="0" w:line="240" w:lineRule="auto"/>
              <w:contextualSpacing/>
              <w:rPr>
                <w:rFonts w:cs="Calibri"/>
                <w:sz w:val="18"/>
                <w:lang w:val="en-US"/>
              </w:rPr>
            </w:pPr>
            <w:r w:rsidRPr="00071D59">
              <w:rPr>
                <w:rFonts w:cs="Calibri"/>
                <w:sz w:val="18"/>
                <w:lang w:val="en-US"/>
              </w:rPr>
              <w:t>widyaanggaraini@gmail.com</w:t>
            </w:r>
          </w:p>
          <w:p w:rsidR="00071D59" w:rsidRPr="007B32AE" w:rsidRDefault="00071D59" w:rsidP="00C2538B">
            <w:pPr>
              <w:pStyle w:val="TeksCatatanKaki"/>
              <w:spacing w:after="0" w:line="240" w:lineRule="auto"/>
              <w:contextualSpacing/>
              <w:rPr>
                <w:rFonts w:cs="Calibri"/>
                <w:sz w:val="18"/>
                <w:szCs w:val="18"/>
              </w:rPr>
            </w:pPr>
          </w:p>
          <w:p w:rsidR="006054EE" w:rsidRPr="007B32AE" w:rsidRDefault="002D3D70" w:rsidP="00C2538B">
            <w:pPr>
              <w:pStyle w:val="TeksCatatanKaki"/>
              <w:spacing w:after="0" w:line="240" w:lineRule="auto"/>
              <w:contextualSpacing/>
              <w:rPr>
                <w:rFonts w:cs="Calibri"/>
                <w:sz w:val="16"/>
                <w:szCs w:val="16"/>
              </w:rPr>
            </w:pPr>
            <w:r w:rsidRPr="007B32AE">
              <w:rPr>
                <w:rFonts w:cs="Calibri"/>
                <w:b/>
                <w:bCs/>
                <w:sz w:val="18"/>
                <w:szCs w:val="18"/>
              </w:rPr>
              <w:t xml:space="preserve">THIS ARTICLE IS AVAILABLE IN: </w:t>
            </w:r>
            <w:hyperlink r:id="rId10" w:history="1">
              <w:r w:rsidR="004F4F97">
                <w:rPr>
                  <w:rStyle w:val="Hyperlink"/>
                  <w:rFonts w:cs="Calibri"/>
                  <w:sz w:val="16"/>
                  <w:szCs w:val="16"/>
                  <w:u w:val="none"/>
                  <w:lang w:val="en-US"/>
                </w:rPr>
                <w:t>http://journal.umy.ac.id/index.php/esp</w:t>
              </w:r>
            </w:hyperlink>
            <w:r w:rsidRPr="007B32AE">
              <w:rPr>
                <w:rFonts w:cs="Calibri"/>
                <w:sz w:val="16"/>
                <w:szCs w:val="16"/>
              </w:rPr>
              <w:t xml:space="preserve"> </w:t>
            </w:r>
          </w:p>
          <w:p w:rsidR="006054EE" w:rsidRPr="007B32AE" w:rsidRDefault="006054EE" w:rsidP="00C2538B">
            <w:pPr>
              <w:spacing w:after="0" w:line="240" w:lineRule="auto"/>
              <w:contextualSpacing/>
              <w:rPr>
                <w:rFonts w:cs="Calibri"/>
                <w:sz w:val="18"/>
                <w:szCs w:val="18"/>
                <w:highlight w:val="yellow"/>
              </w:rPr>
            </w:pPr>
          </w:p>
          <w:p w:rsidR="006054EE" w:rsidRPr="006B61DA" w:rsidRDefault="002D3D70" w:rsidP="00C2538B">
            <w:pPr>
              <w:spacing w:after="0" w:line="240" w:lineRule="auto"/>
              <w:contextualSpacing/>
              <w:rPr>
                <w:rFonts w:cs="Calibri"/>
                <w:lang w:val="en-US"/>
              </w:rPr>
            </w:pPr>
            <w:r w:rsidRPr="007B32AE">
              <w:rPr>
                <w:rFonts w:cs="Calibri"/>
                <w:b/>
                <w:bCs/>
                <w:sz w:val="18"/>
                <w:szCs w:val="18"/>
              </w:rPr>
              <w:t>DOI:</w:t>
            </w:r>
            <w:r w:rsidRPr="007B32AE">
              <w:rPr>
                <w:rFonts w:cs="Calibri"/>
                <w:sz w:val="18"/>
                <w:szCs w:val="18"/>
              </w:rPr>
              <w:t xml:space="preserve"> </w:t>
            </w:r>
            <w:r w:rsidR="00931778">
              <w:rPr>
                <w:rFonts w:cs="Calibri"/>
                <w:sz w:val="18"/>
                <w:szCs w:val="18"/>
                <w:lang w:val="en-US"/>
              </w:rPr>
              <w:t>[</w:t>
            </w:r>
            <w:r w:rsidR="00931778" w:rsidRPr="00565B8F">
              <w:rPr>
                <w:rFonts w:cs="Calibri"/>
                <w:color w:val="000000"/>
                <w:sz w:val="18"/>
                <w:szCs w:val="16"/>
                <w:lang w:val="en-US"/>
              </w:rPr>
              <w:t>filled by the journal manager</w:t>
            </w:r>
            <w:r w:rsidR="00931778">
              <w:rPr>
                <w:rFonts w:cs="Calibri"/>
                <w:color w:val="000000"/>
                <w:sz w:val="18"/>
                <w:szCs w:val="16"/>
                <w:lang w:val="en-US"/>
              </w:rPr>
              <w:t>]</w:t>
            </w:r>
          </w:p>
          <w:p w:rsidR="006054EE" w:rsidRPr="007B32AE" w:rsidRDefault="006054EE" w:rsidP="00C2538B">
            <w:pPr>
              <w:spacing w:after="0" w:line="240" w:lineRule="auto"/>
              <w:ind w:right="33"/>
              <w:contextualSpacing/>
              <w:rPr>
                <w:rFonts w:cs="Calibri"/>
                <w:bCs/>
                <w:sz w:val="18"/>
                <w:szCs w:val="18"/>
              </w:rPr>
            </w:pPr>
          </w:p>
          <w:p w:rsidR="006054EE" w:rsidRPr="007B32AE" w:rsidRDefault="002D3D70" w:rsidP="00C2538B">
            <w:pPr>
              <w:spacing w:after="0" w:line="240" w:lineRule="auto"/>
              <w:ind w:right="567"/>
              <w:contextualSpacing/>
              <w:rPr>
                <w:rFonts w:cs="Calibri"/>
                <w:b/>
                <w:sz w:val="18"/>
                <w:szCs w:val="18"/>
              </w:rPr>
            </w:pPr>
            <w:r w:rsidRPr="007B32AE">
              <w:rPr>
                <w:rFonts w:cs="Calibri"/>
                <w:b/>
                <w:sz w:val="18"/>
                <w:szCs w:val="18"/>
              </w:rPr>
              <w:t>CITATION:</w:t>
            </w:r>
          </w:p>
          <w:p w:rsidR="006054EE" w:rsidRPr="007B32AE" w:rsidRDefault="002D3D70" w:rsidP="00C2538B">
            <w:pPr>
              <w:spacing w:after="0" w:line="240" w:lineRule="auto"/>
              <w:contextualSpacing/>
              <w:rPr>
                <w:rFonts w:cs="Calibri"/>
                <w:bCs/>
                <w:sz w:val="18"/>
                <w:szCs w:val="18"/>
              </w:rPr>
            </w:pPr>
            <w:r>
              <w:rPr>
                <w:rFonts w:cs="Calibri"/>
                <w:sz w:val="18"/>
                <w:szCs w:val="18"/>
                <w:lang w:val="en-US"/>
              </w:rPr>
              <w:t>[</w:t>
            </w:r>
            <w:r w:rsidRPr="00565B8F">
              <w:rPr>
                <w:rFonts w:cs="Calibri"/>
                <w:color w:val="000000"/>
                <w:sz w:val="18"/>
                <w:szCs w:val="16"/>
                <w:lang w:val="en-US"/>
              </w:rPr>
              <w:t>filled by the journal manager</w:t>
            </w:r>
            <w:r>
              <w:rPr>
                <w:rFonts w:cs="Calibri"/>
                <w:color w:val="000000"/>
                <w:sz w:val="18"/>
                <w:szCs w:val="16"/>
                <w:lang w:val="en-US"/>
              </w:rPr>
              <w:t>]</w:t>
            </w:r>
          </w:p>
          <w:p w:rsidR="006054EE" w:rsidRPr="007B32AE" w:rsidRDefault="006054EE" w:rsidP="00C2538B">
            <w:pPr>
              <w:spacing w:after="0" w:line="240" w:lineRule="auto"/>
              <w:contextualSpacing/>
              <w:rPr>
                <w:rFonts w:cs="Calibri"/>
                <w:bCs/>
                <w:sz w:val="18"/>
                <w:szCs w:val="18"/>
              </w:rPr>
            </w:pPr>
          </w:p>
          <w:p w:rsidR="006054EE" w:rsidRPr="007B32AE" w:rsidRDefault="002D3D70" w:rsidP="00C2538B">
            <w:pPr>
              <w:spacing w:after="0" w:line="240" w:lineRule="auto"/>
              <w:ind w:right="567"/>
              <w:contextualSpacing/>
              <w:rPr>
                <w:rFonts w:cs="Calibri"/>
                <w:b/>
                <w:sz w:val="18"/>
                <w:szCs w:val="18"/>
              </w:rPr>
            </w:pPr>
            <w:r w:rsidRPr="007B32AE">
              <w:rPr>
                <w:rFonts w:cs="Calibri"/>
                <w:b/>
                <w:sz w:val="18"/>
                <w:szCs w:val="18"/>
              </w:rPr>
              <w:t>ARTICLE HISTORY</w:t>
            </w:r>
          </w:p>
          <w:p w:rsidR="00E60B5A" w:rsidRPr="007B32AE" w:rsidRDefault="002D3D70" w:rsidP="00C2538B">
            <w:pPr>
              <w:spacing w:after="0" w:line="240" w:lineRule="auto"/>
              <w:ind w:right="567"/>
              <w:rPr>
                <w:rFonts w:cs="Calibri"/>
                <w:b/>
                <w:sz w:val="18"/>
                <w:szCs w:val="18"/>
              </w:rPr>
            </w:pPr>
            <w:r w:rsidRPr="007B32AE">
              <w:rPr>
                <w:rFonts w:cs="Calibri"/>
                <w:b/>
                <w:sz w:val="18"/>
                <w:szCs w:val="18"/>
              </w:rPr>
              <w:t>Received:</w:t>
            </w:r>
          </w:p>
          <w:p w:rsidR="00E60B5A" w:rsidRPr="007B32AE" w:rsidRDefault="002D3D70" w:rsidP="00C2538B">
            <w:pPr>
              <w:spacing w:after="0" w:line="240" w:lineRule="auto"/>
              <w:ind w:right="567"/>
              <w:rPr>
                <w:rFonts w:cs="Calibri"/>
                <w:sz w:val="18"/>
                <w:szCs w:val="18"/>
                <w:lang w:val="en-ID"/>
              </w:rPr>
            </w:pPr>
            <w:r>
              <w:rPr>
                <w:rFonts w:cs="Calibri"/>
                <w:sz w:val="18"/>
                <w:szCs w:val="18"/>
                <w:lang w:val="en-US"/>
              </w:rPr>
              <w:t>[</w:t>
            </w:r>
            <w:r w:rsidRPr="00565B8F">
              <w:rPr>
                <w:rFonts w:cs="Calibri"/>
                <w:color w:val="000000"/>
                <w:sz w:val="18"/>
                <w:szCs w:val="16"/>
                <w:lang w:val="en-US"/>
              </w:rPr>
              <w:t>filled by the journal manager</w:t>
            </w:r>
            <w:r>
              <w:rPr>
                <w:rFonts w:cs="Calibri"/>
                <w:color w:val="000000"/>
                <w:sz w:val="18"/>
                <w:szCs w:val="16"/>
                <w:lang w:val="en-US"/>
              </w:rPr>
              <w:t>]</w:t>
            </w:r>
          </w:p>
          <w:p w:rsidR="00E60B5A" w:rsidRPr="007B32AE" w:rsidRDefault="002D3D70" w:rsidP="00C2538B">
            <w:pPr>
              <w:spacing w:after="0" w:line="240" w:lineRule="auto"/>
              <w:ind w:right="567"/>
              <w:rPr>
                <w:rFonts w:cs="Calibri"/>
                <w:b/>
                <w:sz w:val="18"/>
                <w:szCs w:val="18"/>
              </w:rPr>
            </w:pPr>
            <w:r w:rsidRPr="007B32AE">
              <w:rPr>
                <w:rFonts w:cs="Calibri"/>
                <w:b/>
                <w:sz w:val="18"/>
                <w:szCs w:val="18"/>
              </w:rPr>
              <w:t>Reviewed:</w:t>
            </w:r>
          </w:p>
          <w:p w:rsidR="00CB30EE" w:rsidRDefault="002D3D70" w:rsidP="00C2538B">
            <w:pPr>
              <w:spacing w:after="0" w:line="240" w:lineRule="auto"/>
              <w:ind w:right="567"/>
              <w:rPr>
                <w:rFonts w:cs="Calibri"/>
                <w:sz w:val="18"/>
                <w:szCs w:val="18"/>
                <w:lang w:val="en-US"/>
              </w:rPr>
            </w:pPr>
            <w:r>
              <w:rPr>
                <w:rFonts w:cs="Calibri"/>
                <w:sz w:val="18"/>
                <w:szCs w:val="18"/>
                <w:lang w:val="en-US"/>
              </w:rPr>
              <w:t>[</w:t>
            </w:r>
            <w:r w:rsidRPr="00565B8F">
              <w:rPr>
                <w:rFonts w:cs="Calibri"/>
                <w:color w:val="000000"/>
                <w:sz w:val="18"/>
                <w:szCs w:val="16"/>
                <w:lang w:val="en-US"/>
              </w:rPr>
              <w:t>filled by the journal manager</w:t>
            </w:r>
            <w:r>
              <w:rPr>
                <w:rFonts w:cs="Calibri"/>
                <w:color w:val="000000"/>
                <w:sz w:val="18"/>
                <w:szCs w:val="16"/>
                <w:lang w:val="en-US"/>
              </w:rPr>
              <w:t>]</w:t>
            </w:r>
          </w:p>
          <w:p w:rsidR="00E60B5A" w:rsidRPr="007B32AE" w:rsidRDefault="002D3D70" w:rsidP="00C2538B">
            <w:pPr>
              <w:spacing w:after="0" w:line="240" w:lineRule="auto"/>
              <w:ind w:right="567"/>
              <w:rPr>
                <w:rFonts w:cs="Calibri"/>
                <w:b/>
                <w:sz w:val="18"/>
                <w:szCs w:val="18"/>
              </w:rPr>
            </w:pPr>
            <w:r w:rsidRPr="007B32AE">
              <w:rPr>
                <w:rFonts w:cs="Calibri"/>
                <w:b/>
                <w:sz w:val="18"/>
                <w:szCs w:val="18"/>
              </w:rPr>
              <w:t>Revised:</w:t>
            </w:r>
          </w:p>
          <w:p w:rsidR="00B41805" w:rsidRPr="007B32AE" w:rsidRDefault="002D3D70" w:rsidP="00C2538B">
            <w:pPr>
              <w:spacing w:after="0" w:line="240" w:lineRule="auto"/>
              <w:ind w:right="567"/>
              <w:rPr>
                <w:rFonts w:cs="Calibri"/>
                <w:sz w:val="18"/>
                <w:szCs w:val="18"/>
                <w:lang w:val="en-ID"/>
              </w:rPr>
            </w:pPr>
            <w:r>
              <w:rPr>
                <w:rFonts w:cs="Calibri"/>
                <w:sz w:val="18"/>
                <w:szCs w:val="18"/>
                <w:lang w:val="en-US"/>
              </w:rPr>
              <w:t>[</w:t>
            </w:r>
            <w:r w:rsidRPr="00565B8F">
              <w:rPr>
                <w:rFonts w:cs="Calibri"/>
                <w:color w:val="000000"/>
                <w:sz w:val="18"/>
                <w:szCs w:val="16"/>
                <w:lang w:val="en-US"/>
              </w:rPr>
              <w:t>filled by the journal manager</w:t>
            </w:r>
            <w:r>
              <w:rPr>
                <w:rFonts w:cs="Calibri"/>
                <w:color w:val="000000"/>
                <w:sz w:val="18"/>
                <w:szCs w:val="16"/>
                <w:lang w:val="en-US"/>
              </w:rPr>
              <w:t>]</w:t>
            </w:r>
          </w:p>
          <w:p w:rsidR="00E60B5A" w:rsidRPr="007B32AE" w:rsidRDefault="002D3D70" w:rsidP="00C2538B">
            <w:pPr>
              <w:spacing w:after="0" w:line="240" w:lineRule="auto"/>
              <w:ind w:right="567"/>
              <w:rPr>
                <w:rFonts w:cs="Calibri"/>
                <w:b/>
                <w:sz w:val="18"/>
                <w:szCs w:val="18"/>
              </w:rPr>
            </w:pPr>
            <w:r w:rsidRPr="007B32AE">
              <w:rPr>
                <w:rFonts w:cs="Calibri"/>
                <w:b/>
                <w:sz w:val="18"/>
                <w:szCs w:val="18"/>
              </w:rPr>
              <w:t>Accepted:</w:t>
            </w:r>
          </w:p>
          <w:p w:rsidR="00CB30EE" w:rsidRPr="007B32AE" w:rsidRDefault="002D3D70" w:rsidP="00C2538B">
            <w:pPr>
              <w:spacing w:after="0" w:line="240" w:lineRule="auto"/>
              <w:ind w:right="567"/>
              <w:rPr>
                <w:rFonts w:cs="Calibri"/>
                <w:sz w:val="18"/>
                <w:szCs w:val="18"/>
                <w:lang w:val="en-US"/>
              </w:rPr>
            </w:pPr>
            <w:r>
              <w:rPr>
                <w:rFonts w:cs="Calibri"/>
                <w:sz w:val="18"/>
                <w:szCs w:val="18"/>
                <w:lang w:val="en-US"/>
              </w:rPr>
              <w:t>[</w:t>
            </w:r>
            <w:r w:rsidRPr="00565B8F">
              <w:rPr>
                <w:rFonts w:cs="Calibri"/>
                <w:color w:val="000000"/>
                <w:sz w:val="18"/>
                <w:szCs w:val="16"/>
                <w:lang w:val="en-US"/>
              </w:rPr>
              <w:t>filled by the journal manager</w:t>
            </w:r>
            <w:r>
              <w:rPr>
                <w:rFonts w:cs="Calibri"/>
                <w:color w:val="000000"/>
                <w:sz w:val="18"/>
                <w:szCs w:val="16"/>
                <w:lang w:val="en-US"/>
              </w:rPr>
              <w:t>]</w:t>
            </w:r>
          </w:p>
          <w:p w:rsidR="006054EE" w:rsidRPr="007B32AE" w:rsidRDefault="006054EE" w:rsidP="00C2538B">
            <w:pPr>
              <w:spacing w:after="0" w:line="240" w:lineRule="auto"/>
              <w:ind w:right="567"/>
              <w:contextualSpacing/>
              <w:rPr>
                <w:rFonts w:cs="Calibri"/>
                <w:noProof/>
              </w:rPr>
            </w:pPr>
          </w:p>
        </w:tc>
        <w:tc>
          <w:tcPr>
            <w:tcW w:w="6886" w:type="dxa"/>
            <w:vMerge/>
            <w:shd w:val="clear" w:color="auto" w:fill="auto"/>
          </w:tcPr>
          <w:p w:rsidR="006054EE" w:rsidRPr="00EE13BD" w:rsidRDefault="006054EE" w:rsidP="00C2538B">
            <w:pPr>
              <w:spacing w:after="0" w:line="240" w:lineRule="auto"/>
              <w:ind w:left="35" w:right="33"/>
              <w:contextualSpacing/>
              <w:jc w:val="right"/>
              <w:rPr>
                <w:rFonts w:cs="Calibri"/>
                <w:b/>
                <w:sz w:val="36"/>
                <w:szCs w:val="36"/>
              </w:rPr>
            </w:pPr>
          </w:p>
        </w:tc>
      </w:tr>
      <w:bookmarkEnd w:id="0"/>
    </w:tbl>
    <w:p w:rsidR="00931778" w:rsidRDefault="00931778" w:rsidP="00C2538B">
      <w:pPr>
        <w:spacing w:after="0" w:line="240" w:lineRule="auto"/>
        <w:jc w:val="both"/>
        <w:rPr>
          <w:lang w:val="en-US"/>
        </w:rPr>
      </w:pPr>
    </w:p>
    <w:p w:rsidR="00071D59" w:rsidRPr="00071D59" w:rsidRDefault="002D3D70" w:rsidP="00071D59">
      <w:pPr>
        <w:spacing w:after="0" w:line="240" w:lineRule="auto"/>
        <w:jc w:val="both"/>
        <w:rPr>
          <w:lang w:val="en-US"/>
        </w:rPr>
      </w:pPr>
      <w:r w:rsidRPr="00D5206C">
        <w:rPr>
          <w:lang w:val="en-US"/>
        </w:rPr>
        <w:lastRenderedPageBreak/>
        <w:t>From the perspective of UNDP (United Nations Development Program) (2018), human development is formulated as an enlarging the choices of people as well as the level achieved from these efforts. The UNDP concept of human development contains four elements: productivity, equity, sustainability, and empowerment.</w:t>
      </w:r>
      <w:r>
        <w:rPr>
          <w:lang w:val="en-US"/>
        </w:rPr>
        <w:t xml:space="preserve"> </w:t>
      </w:r>
      <w:r w:rsidRPr="00D5206C">
        <w:rPr>
          <w:lang w:val="en-US"/>
        </w:rPr>
        <w:t>UNDP data (2018) shows Indonesia's progress in each HDI indicator puts Indonesia in the high human development category and Indonesia is in 111th position out of 189 count</w:t>
      </w:r>
      <w:r w:rsidR="00EB6F62">
        <w:rPr>
          <w:lang w:val="en-US"/>
        </w:rPr>
        <w:t>ries and regions. The increase of</w:t>
      </w:r>
      <w:r w:rsidRPr="00D5206C">
        <w:rPr>
          <w:lang w:val="en-US"/>
        </w:rPr>
        <w:t xml:space="preserve"> Indonesian human development index is a positive signal for the development of Indonesia's human resources.</w:t>
      </w:r>
    </w:p>
    <w:p w:rsidR="00264D17" w:rsidRDefault="00264D17" w:rsidP="00264D17">
      <w:pPr>
        <w:spacing w:after="0" w:line="240" w:lineRule="auto"/>
        <w:jc w:val="both"/>
        <w:rPr>
          <w:lang w:val="en-US"/>
        </w:rPr>
      </w:pPr>
    </w:p>
    <w:p w:rsidR="00264D17" w:rsidRDefault="00EB6F62" w:rsidP="00264D17">
      <w:pPr>
        <w:spacing w:after="0" w:line="240" w:lineRule="auto"/>
        <w:jc w:val="both"/>
        <w:rPr>
          <w:lang w:val="en-US"/>
        </w:rPr>
      </w:pPr>
      <w:r>
        <w:rPr>
          <w:lang w:val="en-US"/>
        </w:rPr>
        <w:t>The increase of</w:t>
      </w:r>
      <w:r w:rsidR="002D3D70" w:rsidRPr="002B4538">
        <w:rPr>
          <w:lang w:val="en-US"/>
        </w:rPr>
        <w:t xml:space="preserve"> human resources can be said as a non-physical investment or better known as human resource investment, </w:t>
      </w:r>
      <w:r>
        <w:rPr>
          <w:lang w:val="en-US"/>
        </w:rPr>
        <w:t xml:space="preserve"> </w:t>
      </w:r>
      <w:r w:rsidR="002D3D70" w:rsidRPr="002B4538">
        <w:rPr>
          <w:lang w:val="en-US"/>
        </w:rPr>
        <w:t>is the number of funds spent and the opportunity to earn income during the investment process. Such investment is called human capital (Simanjuntak, 2001: 138). The term human capital was known since thirty years ago when Gary S. Becker, a Nobel laureate in economics, wrote a book entitled Human Capital in 1964.</w:t>
      </w:r>
      <w:r w:rsidR="00071D59" w:rsidRPr="00071D59">
        <w:rPr>
          <w:lang w:val="en-US"/>
        </w:rPr>
        <w:t xml:space="preserve"> </w:t>
      </w:r>
      <w:r w:rsidR="002D3D70" w:rsidRPr="002B4538">
        <w:rPr>
          <w:lang w:val="en-US"/>
        </w:rPr>
        <w:t xml:space="preserve">The human capital theory proposed by Becker (1975: 17) explains that a person can increase his income </w:t>
      </w:r>
      <w:r w:rsidR="008126AA">
        <w:rPr>
          <w:lang w:val="en-US"/>
        </w:rPr>
        <w:t>by increasing their</w:t>
      </w:r>
      <w:r w:rsidR="002D3D70" w:rsidRPr="002B4538">
        <w:rPr>
          <w:lang w:val="en-US"/>
        </w:rPr>
        <w:t xml:space="preserve"> education. Income increases with age where the increase is also directly proportional to individual expertise due to increased education (Nathan, 1989).</w:t>
      </w:r>
      <w:r w:rsidR="00071D59" w:rsidRPr="00071D59">
        <w:rPr>
          <w:lang w:val="en-US"/>
        </w:rPr>
        <w:t xml:space="preserve"> </w:t>
      </w:r>
      <w:r w:rsidR="002D3D70" w:rsidRPr="002B4538">
        <w:rPr>
          <w:lang w:val="en-US"/>
        </w:rPr>
        <w:t>It can be interpreted that the knowledge and skills possessed will increase so that it can increase one's productivity. This is the basis for the assumptions of human capital. The most strategic target in developing quality human resources is children.</w:t>
      </w:r>
      <w:r w:rsidR="00071D59" w:rsidRPr="00071D59">
        <w:rPr>
          <w:lang w:val="en-US"/>
        </w:rPr>
        <w:t xml:space="preserve"> </w:t>
      </w:r>
      <w:r w:rsidR="002D3D70" w:rsidRPr="002B4538">
        <w:rPr>
          <w:lang w:val="en-US"/>
        </w:rPr>
        <w:t>Children as part of family members and also as the next generation are very important to be able to increase human resources in national development. This can be achieved through education, Weiss (2006) and Todaro and Smith (2011: 27-29) state that education is one of the most powerful instruments a society has to reduce poverty and vulnerability.</w:t>
      </w:r>
    </w:p>
    <w:p w:rsidR="00071D59" w:rsidRPr="00264D17" w:rsidRDefault="00071D59" w:rsidP="00264D17">
      <w:pPr>
        <w:spacing w:after="0" w:line="240" w:lineRule="auto"/>
        <w:jc w:val="both"/>
        <w:rPr>
          <w:lang w:val="en-US"/>
        </w:rPr>
      </w:pPr>
    </w:p>
    <w:p w:rsidR="00264D17" w:rsidRDefault="002D3D70" w:rsidP="00264D17">
      <w:pPr>
        <w:spacing w:after="0" w:line="240" w:lineRule="auto"/>
        <w:jc w:val="both"/>
        <w:rPr>
          <w:lang w:val="en-US"/>
        </w:rPr>
      </w:pPr>
      <w:r w:rsidRPr="001219C0">
        <w:rPr>
          <w:lang w:val="en-US"/>
        </w:rPr>
        <w:t>The issue of gender emerged as a deconstruction of the patriarchal culture that had hegemonized the paradigm of society for at least three thousand years. Gender is more emphasized on the differences in roles and functions that exist and is made by society. Gender differences often lead to various inequalities and injustices for women. These forms of gender injustice are not by human rights, so in 1993 the United Nations made a Declaration on the Elimination of Violence Against Women.</w:t>
      </w:r>
      <w:r w:rsidR="00071D59" w:rsidRPr="00071D59">
        <w:rPr>
          <w:lang w:val="en-US"/>
        </w:rPr>
        <w:t xml:space="preserve"> </w:t>
      </w:r>
      <w:r w:rsidR="008126AA">
        <w:rPr>
          <w:lang w:val="en-US"/>
        </w:rPr>
        <w:t>In Indonesia</w:t>
      </w:r>
      <w:r w:rsidRPr="001219C0">
        <w:rPr>
          <w:lang w:val="en-US"/>
        </w:rPr>
        <w:t xml:space="preserve">, the government is working towards the realization of gender equality through Presidential Instruction No. 9 of 2000 concerning Gender Equality in National Development. The World Bank in the book </w:t>
      </w:r>
      <w:r w:rsidRPr="00203ABF">
        <w:rPr>
          <w:lang w:val="en-US"/>
        </w:rPr>
        <w:t>Engendering</w:t>
      </w:r>
      <w:r w:rsidRPr="001219C0">
        <w:rPr>
          <w:lang w:val="en-US"/>
        </w:rPr>
        <w:t xml:space="preserve"> Development states that gender equality is a major development issue that will strengthen the country's ability to develop, reduce poverty, and run government effectively (Sofiani, 2009).</w:t>
      </w:r>
      <w:r w:rsidR="00071D59" w:rsidRPr="00071D59">
        <w:rPr>
          <w:lang w:val="en-US"/>
        </w:rPr>
        <w:t xml:space="preserve"> </w:t>
      </w:r>
      <w:r w:rsidRPr="001219C0">
        <w:rPr>
          <w:lang w:val="en-US"/>
        </w:rPr>
        <w:t>The progress of the times is often accompanied by the development of information and the level of human intellectual ability, so the role of women in life continues to change to respond to the challenges of the times and improve household welfare.</w:t>
      </w:r>
      <w:r w:rsidR="00071D59" w:rsidRPr="00071D59">
        <w:rPr>
          <w:lang w:val="en-US"/>
        </w:rPr>
        <w:t xml:space="preserve"> </w:t>
      </w:r>
      <w:r w:rsidR="00FD3D74" w:rsidRPr="00FD3D74">
        <w:rPr>
          <w:lang w:val="en-US"/>
        </w:rPr>
        <w:t>According to Mangkuprawira and Vitalaya (2007), women's decision to work is not only motivated by economic factors but because of knowledge skills and self-actualization as well as wanting to gain inner satisfaction caused by the general assumption that the world of work is the world of men so that women will feel that they have been able to sit in line with men by self-actualizing themselves through work, however, women cannot be separated from their nature. Women have the opportunity to appear in a world that is traditionally considered the world of men because of women's movements and studies (Saskara et al, 2012).</w:t>
      </w:r>
    </w:p>
    <w:p w:rsidR="00071D59" w:rsidRPr="00264D17" w:rsidRDefault="00071D59" w:rsidP="00264D17">
      <w:pPr>
        <w:spacing w:after="0" w:line="240" w:lineRule="auto"/>
        <w:jc w:val="both"/>
        <w:rPr>
          <w:lang w:val="en-US"/>
        </w:rPr>
      </w:pPr>
    </w:p>
    <w:p w:rsidR="00264D17" w:rsidRDefault="002D3D70" w:rsidP="00264D17">
      <w:pPr>
        <w:spacing w:after="0" w:line="240" w:lineRule="auto"/>
        <w:jc w:val="both"/>
        <w:rPr>
          <w:lang w:val="en-US"/>
        </w:rPr>
      </w:pPr>
      <w:r w:rsidRPr="000D6A0B">
        <w:rPr>
          <w:lang w:val="en-US"/>
        </w:rPr>
        <w:t xml:space="preserve">The rise of </w:t>
      </w:r>
      <w:r w:rsidR="008126AA">
        <w:rPr>
          <w:lang w:val="en-US"/>
        </w:rPr>
        <w:t xml:space="preserve">working </w:t>
      </w:r>
      <w:r w:rsidRPr="000D6A0B">
        <w:rPr>
          <w:lang w:val="en-US"/>
        </w:rPr>
        <w:t xml:space="preserve">housewives </w:t>
      </w:r>
      <w:r w:rsidR="008126AA">
        <w:rPr>
          <w:lang w:val="en-US"/>
        </w:rPr>
        <w:t>creates</w:t>
      </w:r>
      <w:r w:rsidRPr="000D6A0B">
        <w:rPr>
          <w:lang w:val="en-US"/>
        </w:rPr>
        <w:t xml:space="preserve"> the formation of a new role for women that is different from normal</w:t>
      </w:r>
      <w:r w:rsidR="008126AA">
        <w:rPr>
          <w:lang w:val="en-US"/>
        </w:rPr>
        <w:t xml:space="preserve"> gender roles, which</w:t>
      </w:r>
      <w:r w:rsidRPr="000D6A0B">
        <w:rPr>
          <w:lang w:val="en-US"/>
        </w:rPr>
        <w:t xml:space="preserve"> becomes an important study. According to Suroto (1992: 15), household welfare can be achieved through additional income obtained by household members both wife and husband from outside the household life. </w:t>
      </w:r>
      <w:r w:rsidR="008126AA">
        <w:rPr>
          <w:lang w:val="en-US"/>
        </w:rPr>
        <w:t>Once</w:t>
      </w:r>
      <w:r w:rsidRPr="000D6A0B">
        <w:rPr>
          <w:lang w:val="en-US"/>
        </w:rPr>
        <w:t xml:space="preserve"> </w:t>
      </w:r>
      <w:r w:rsidR="002206A3">
        <w:rPr>
          <w:lang w:val="en-US"/>
        </w:rPr>
        <w:t>working mother</w:t>
      </w:r>
      <w:r w:rsidRPr="000D6A0B">
        <w:rPr>
          <w:lang w:val="en-US"/>
        </w:rPr>
        <w:t xml:space="preserve"> carry out household activities </w:t>
      </w:r>
      <w:r w:rsidR="008126AA">
        <w:rPr>
          <w:lang w:val="en-US"/>
        </w:rPr>
        <w:t>and also</w:t>
      </w:r>
      <w:r w:rsidRPr="000D6A0B">
        <w:rPr>
          <w:lang w:val="en-US"/>
        </w:rPr>
        <w:t xml:space="preserve"> activities in the public sector, they will be faced with conditions where their role in the household economy becomes increasingly important.</w:t>
      </w:r>
      <w:r w:rsidR="00071D59" w:rsidRPr="00071D59">
        <w:rPr>
          <w:lang w:val="en-US"/>
        </w:rPr>
        <w:t xml:space="preserve"> </w:t>
      </w:r>
      <w:r w:rsidRPr="000D6A0B">
        <w:rPr>
          <w:lang w:val="en-US"/>
        </w:rPr>
        <w:t>At the same time, women get higher formal education opportunities and enable them to enter competitive employment. It is difficult to identify a causal relationship between maternal educational attainment and children's outcomes because mothers who have higher levels of education or return to school tend to be different from mothers who do not</w:t>
      </w:r>
      <w:r w:rsidR="00071D59" w:rsidRPr="00071D59">
        <w:rPr>
          <w:lang w:val="en-US"/>
        </w:rPr>
        <w:t xml:space="preserve"> (Brooks-Gunn, Guo, &amp; Furstenberg, 1993; Felmlee, 1988; Leadbeater, 1996; Way &amp; Leadbeater, 1999). </w:t>
      </w:r>
      <w:r w:rsidR="00062902" w:rsidRPr="00062902">
        <w:rPr>
          <w:lang w:val="en-US"/>
        </w:rPr>
        <w:t xml:space="preserve">The changing role of women initially led to allegations of changes in relationship patterns in the household. </w:t>
      </w:r>
      <w:r w:rsidR="00B325B8">
        <w:rPr>
          <w:lang w:val="en-US"/>
        </w:rPr>
        <w:t xml:space="preserve">A change in women’s role in the household occurred once she is employed and creates her own income, which also creates a change in men’s </w:t>
      </w:r>
      <w:r w:rsidR="00062902" w:rsidRPr="00062902">
        <w:rPr>
          <w:lang w:val="en-US"/>
        </w:rPr>
        <w:t>(Nurhamida, 2013).</w:t>
      </w:r>
      <w:r w:rsidR="00062902">
        <w:rPr>
          <w:lang w:val="en-US"/>
        </w:rPr>
        <w:t xml:space="preserve"> </w:t>
      </w:r>
      <w:r w:rsidR="002206A3">
        <w:rPr>
          <w:lang w:val="en-US"/>
        </w:rPr>
        <w:t>Working mother</w:t>
      </w:r>
      <w:r w:rsidR="00062902" w:rsidRPr="00062902">
        <w:rPr>
          <w:lang w:val="en-US"/>
        </w:rPr>
        <w:t xml:space="preserve"> have more power in decision-making related to important household decisions, where men whose wives work will be more involved in carrying out household tasks which tend to be more egalitarian. The power that men (fathers) and women (mothers) have in the household can have different impacts on children's welfare.</w:t>
      </w:r>
    </w:p>
    <w:p w:rsidR="00071D59" w:rsidRPr="00264D17" w:rsidRDefault="00071D59" w:rsidP="00264D17">
      <w:pPr>
        <w:spacing w:after="0" w:line="240" w:lineRule="auto"/>
        <w:jc w:val="both"/>
        <w:rPr>
          <w:lang w:val="en-US"/>
        </w:rPr>
      </w:pPr>
    </w:p>
    <w:p w:rsidR="00264D17" w:rsidRDefault="002D3D70" w:rsidP="00264D17">
      <w:pPr>
        <w:spacing w:after="0" w:line="240" w:lineRule="auto"/>
        <w:jc w:val="both"/>
        <w:rPr>
          <w:lang w:val="en-US"/>
        </w:rPr>
      </w:pPr>
      <w:r w:rsidRPr="00816700">
        <w:rPr>
          <w:lang w:val="en-US"/>
        </w:rPr>
        <w:t>This study aims to deter</w:t>
      </w:r>
      <w:r w:rsidR="00A12D04" w:rsidRPr="00816700">
        <w:rPr>
          <w:lang w:val="en-US"/>
        </w:rPr>
        <w:t xml:space="preserve">mine the impact of working mother’s bargaining power, </w:t>
      </w:r>
      <w:r w:rsidR="00C63872" w:rsidRPr="00816700">
        <w:rPr>
          <w:lang w:val="en-US"/>
        </w:rPr>
        <w:t>where</w:t>
      </w:r>
      <w:r w:rsidR="00A12D04" w:rsidRPr="00816700">
        <w:rPr>
          <w:lang w:val="en-US"/>
        </w:rPr>
        <w:t xml:space="preserve"> bargaining power </w:t>
      </w:r>
      <w:r w:rsidR="00BC6BC5" w:rsidRPr="00816700">
        <w:rPr>
          <w:lang w:val="en-US"/>
        </w:rPr>
        <w:t xml:space="preserve">in this study is proxied by women’s </w:t>
      </w:r>
      <w:r w:rsidR="00203DB1" w:rsidRPr="00816700">
        <w:rPr>
          <w:lang w:val="en-US"/>
        </w:rPr>
        <w:t>household decision making</w:t>
      </w:r>
      <w:r w:rsidR="00816700" w:rsidRPr="00816700">
        <w:rPr>
          <w:lang w:val="en-US"/>
        </w:rPr>
        <w:t xml:space="preserve"> power over her spouse shown</w:t>
      </w:r>
      <w:r w:rsidR="00A12D04" w:rsidRPr="00816700">
        <w:rPr>
          <w:lang w:val="en-US"/>
        </w:rPr>
        <w:t xml:space="preserve"> by </w:t>
      </w:r>
      <w:r w:rsidRPr="00816700">
        <w:rPr>
          <w:lang w:val="en-US"/>
        </w:rPr>
        <w:t xml:space="preserve">the relative education and relative income of </w:t>
      </w:r>
      <w:r w:rsidR="002206A3">
        <w:rPr>
          <w:lang w:val="en-US"/>
        </w:rPr>
        <w:t>working mother</w:t>
      </w:r>
      <w:r w:rsidRPr="00816700">
        <w:rPr>
          <w:lang w:val="en-US"/>
        </w:rPr>
        <w:t xml:space="preserve"> on children's human capital in Indonesia, where children's human capital is seen from children's education,</w:t>
      </w:r>
      <w:r w:rsidRPr="00EF0B81">
        <w:rPr>
          <w:lang w:val="en-US"/>
        </w:rPr>
        <w:t xml:space="preserve"> namely from the years of schooling. Several empirical studies in the intrahousehold resources allocation framework that have been conducted in Indonesia have</w:t>
      </w:r>
      <w:r w:rsidR="00B325B8">
        <w:rPr>
          <w:lang w:val="en-US"/>
        </w:rPr>
        <w:t xml:space="preserve"> been</w:t>
      </w:r>
      <w:r w:rsidRPr="00EF0B81">
        <w:rPr>
          <w:lang w:val="en-US"/>
        </w:rPr>
        <w:t xml:space="preserve"> focus</w:t>
      </w:r>
      <w:r w:rsidR="00B325B8">
        <w:rPr>
          <w:lang w:val="en-US"/>
        </w:rPr>
        <w:t>ing</w:t>
      </w:r>
      <w:r w:rsidRPr="00EF0B81">
        <w:rPr>
          <w:lang w:val="en-US"/>
        </w:rPr>
        <w:t xml:space="preserve"> on education as an indicator of welfare. There are various other indicators in measuring children's human capital related to education.</w:t>
      </w:r>
      <w:r w:rsidR="00071D59" w:rsidRPr="00071D59">
        <w:rPr>
          <w:lang w:val="en-US"/>
        </w:rPr>
        <w:t xml:space="preserve"> </w:t>
      </w:r>
      <w:r w:rsidRPr="00EF0B81">
        <w:rPr>
          <w:lang w:val="en-US"/>
        </w:rPr>
        <w:t>The location of the residence, namely the demographics of the area in the village or the city, is very different, where generally children who live in cities have better quality human capital than those who live in villages because of the advancement of technology and information. As well as access, in this case, the distance from residence to school and vice versa from school to residence also affects children's education where the farther the access from home to school, the lower the child's human capital will be.</w:t>
      </w:r>
      <w:r w:rsidR="00071D59" w:rsidRPr="00071D59">
        <w:rPr>
          <w:lang w:val="en-US"/>
        </w:rPr>
        <w:t xml:space="preserve"> </w:t>
      </w:r>
      <w:r w:rsidRPr="00EF0B81">
        <w:rPr>
          <w:lang w:val="en-US"/>
        </w:rPr>
        <w:t xml:space="preserve">The age of the mother and the age of the father, the number of family members where the more the number of individuals in the family will affect the consumption pattern, and household income including the child's education. </w:t>
      </w:r>
    </w:p>
    <w:p w:rsidR="00071D59" w:rsidRPr="00264D17" w:rsidRDefault="00071D59" w:rsidP="00264D17">
      <w:pPr>
        <w:spacing w:after="0" w:line="240" w:lineRule="auto"/>
        <w:jc w:val="both"/>
        <w:rPr>
          <w:lang w:val="en-US"/>
        </w:rPr>
      </w:pPr>
    </w:p>
    <w:p w:rsidR="00071D59" w:rsidRPr="00071D59" w:rsidRDefault="002D3D70" w:rsidP="00071D59">
      <w:pPr>
        <w:spacing w:after="0" w:line="240" w:lineRule="auto"/>
        <w:jc w:val="both"/>
        <w:rPr>
          <w:lang w:val="en-US"/>
        </w:rPr>
      </w:pPr>
      <w:r w:rsidRPr="009A7AED">
        <w:rPr>
          <w:lang w:val="en-US"/>
        </w:rPr>
        <w:t xml:space="preserve">The imbalance of resource allocation among children is a strong conclusion in several studies that specifically discuss the effects of birth orders in intrahousehold resources allocation. The effect of birth orders on resource allocation is ambiguous </w:t>
      </w:r>
      <w:r w:rsidR="00BD67AD">
        <w:rPr>
          <w:lang w:val="en-US"/>
        </w:rPr>
        <w:t>on</w:t>
      </w:r>
      <w:r w:rsidRPr="009A7AED">
        <w:rPr>
          <w:lang w:val="en-US"/>
        </w:rPr>
        <w:t xml:space="preserve"> which theory (biology, psychology, and culture) states that there is a negative effect of birth order with resource allocation, which means that the eldest child will benefit more than his younger siblings (Ejrnaes, 2002).</w:t>
      </w:r>
      <w:r w:rsidRPr="00071D59">
        <w:rPr>
          <w:lang w:val="en-US"/>
        </w:rPr>
        <w:t xml:space="preserve"> </w:t>
      </w:r>
      <w:r w:rsidRPr="009A7AED">
        <w:rPr>
          <w:lang w:val="en-US"/>
        </w:rPr>
        <w:t xml:space="preserve">Meanwhile, empirically, the relative order obtained </w:t>
      </w:r>
      <w:r w:rsidRPr="009A7AED">
        <w:rPr>
          <w:lang w:val="en-US"/>
        </w:rPr>
        <w:lastRenderedPageBreak/>
        <w:t>has a positive impact, meaning that children who are born later, get a better allocation of resources than their siblings who were born earlier (Ejrnes 2002, 2004; Horton 1988). Therefore, indicators are used as control variables in seeing how women's power affects children's human capital.</w:t>
      </w:r>
    </w:p>
    <w:p w:rsidR="00264D17" w:rsidRPr="00264D17" w:rsidRDefault="00264D17" w:rsidP="00264D17">
      <w:pPr>
        <w:spacing w:after="0" w:line="240" w:lineRule="auto"/>
        <w:jc w:val="both"/>
        <w:rPr>
          <w:lang w:val="en-US"/>
        </w:rPr>
      </w:pPr>
    </w:p>
    <w:p w:rsidR="00071D59" w:rsidRPr="00071D59" w:rsidRDefault="002D3D70" w:rsidP="00071D59">
      <w:pPr>
        <w:spacing w:after="0" w:line="240" w:lineRule="auto"/>
        <w:jc w:val="both"/>
        <w:rPr>
          <w:lang w:val="en-US"/>
        </w:rPr>
      </w:pPr>
      <w:r w:rsidRPr="009A7AED">
        <w:rPr>
          <w:lang w:val="en-US"/>
        </w:rPr>
        <w:t>Many studies include measures that would be considered indicators of women's power, such as ownership of assets (Beegle et al 2001; Quisumbing 1994; Doss 2006; Friedemann-Sa´nchez 2006; Setyari et al 2018) which provide empirical evidence of the influence on resource allocation household.</w:t>
      </w:r>
      <w:r w:rsidRPr="00071D59">
        <w:t xml:space="preserve"> </w:t>
      </w:r>
      <w:r w:rsidR="007D7012" w:rsidRPr="007D7012">
        <w:t>However, this framework has not been explored much to see the impact of resource allocation within the household on household decisions, especially on the bargaining power of working women who are mothers regarding decisions about their children's education level.</w:t>
      </w:r>
      <w:r w:rsidR="007D7012">
        <w:rPr>
          <w:lang w:val="en-US"/>
        </w:rPr>
        <w:t xml:space="preserve"> </w:t>
      </w:r>
      <w:r w:rsidRPr="009A7AED">
        <w:t xml:space="preserve">The combination of short-term and long-term assistance is the government's strategy to sustainably lift </w:t>
      </w:r>
      <w:r w:rsidR="00BD67AD">
        <w:rPr>
          <w:lang w:val="en-US"/>
        </w:rPr>
        <w:t>Program Keluarga Harapan (Conditional Cash Transfer, PKH)</w:t>
      </w:r>
      <w:r w:rsidRPr="009A7AED">
        <w:t xml:space="preserve"> recipients from poverty (Nazara and Sri, 2013). Also, the government has issued several programs, </w:t>
      </w:r>
      <w:r w:rsidR="00BD67AD">
        <w:rPr>
          <w:lang w:val="en-US"/>
        </w:rPr>
        <w:t xml:space="preserve">The Bantuan Langsung Tunai (Unconditional Cash Transfer, </w:t>
      </w:r>
      <w:r w:rsidRPr="009A7AED">
        <w:t>BLT</w:t>
      </w:r>
      <w:r w:rsidR="00BD67AD">
        <w:rPr>
          <w:lang w:val="en-US"/>
        </w:rPr>
        <w:t>)</w:t>
      </w:r>
      <w:r w:rsidRPr="009A7AED">
        <w:t xml:space="preserve"> and </w:t>
      </w:r>
      <w:r w:rsidR="00BD67AD">
        <w:rPr>
          <w:lang w:val="en-US"/>
        </w:rPr>
        <w:t xml:space="preserve">Bantuan Langsung Sementara Masyarakat (another type of unconditional cash transfer, </w:t>
      </w:r>
      <w:r w:rsidRPr="009A7AED">
        <w:t>BLSM</w:t>
      </w:r>
      <w:r w:rsidR="00BD67AD">
        <w:rPr>
          <w:lang w:val="en-US"/>
        </w:rPr>
        <w:t>)</w:t>
      </w:r>
      <w:r w:rsidRPr="009A7AED">
        <w:t>, where these programs, especially regarding the field of education, will have an impact on improving the quality of children's human capital, where households that have children and receive programs can send their children to a higher level of education.</w:t>
      </w:r>
      <w:r w:rsidRPr="00071D59">
        <w:rPr>
          <w:lang w:val="en-US"/>
        </w:rPr>
        <w:t xml:space="preserve"> </w:t>
      </w:r>
      <w:r w:rsidRPr="009A7AED">
        <w:rPr>
          <w:lang w:val="en-US"/>
        </w:rPr>
        <w:t xml:space="preserve">In this study, indicators, location of residence, access to education, and </w:t>
      </w:r>
      <w:r w:rsidR="00BD67AD">
        <w:rPr>
          <w:lang w:val="en-US"/>
        </w:rPr>
        <w:t>PKH</w:t>
      </w:r>
      <w:r w:rsidRPr="009A7AED">
        <w:rPr>
          <w:lang w:val="en-US"/>
        </w:rPr>
        <w:t xml:space="preserve"> provided by the government, assets, mother's age, father's age, number of family members, and childbirth order were used as control variables.</w:t>
      </w:r>
      <w:r w:rsidRPr="00071D59">
        <w:rPr>
          <w:lang w:val="en-US"/>
        </w:rPr>
        <w:t xml:space="preserve"> </w:t>
      </w:r>
    </w:p>
    <w:p w:rsidR="00264D17" w:rsidRPr="00264D17" w:rsidRDefault="00264D17" w:rsidP="00264D17">
      <w:pPr>
        <w:spacing w:after="0" w:line="240" w:lineRule="auto"/>
        <w:jc w:val="both"/>
        <w:rPr>
          <w:lang w:val="en-US"/>
        </w:rPr>
      </w:pPr>
    </w:p>
    <w:p w:rsidR="00931778" w:rsidRDefault="002D3D70" w:rsidP="007D7012">
      <w:pPr>
        <w:spacing w:after="0" w:line="240" w:lineRule="auto"/>
        <w:jc w:val="both"/>
        <w:rPr>
          <w:rFonts w:cs="Calibri"/>
          <w:lang w:val="en-US"/>
        </w:rPr>
      </w:pPr>
      <w:r w:rsidRPr="00F913FD">
        <w:rPr>
          <w:lang w:val="en-US"/>
        </w:rPr>
        <w:t xml:space="preserve">The level of children's welfare cannot be separated from the role of the mother because by using her abilities, a mother can allocate resources owned by the household. This depends on the amount of power possessed by the mother in the household to carry out her preferences (Doss, 2013). Therefore, the measure of power is very important to </w:t>
      </w:r>
      <w:r w:rsidR="00EB5AED">
        <w:rPr>
          <w:lang w:val="en-US"/>
        </w:rPr>
        <w:t>do, especially mothers to</w:t>
      </w:r>
      <w:r w:rsidRPr="00F913FD">
        <w:rPr>
          <w:lang w:val="en-US"/>
        </w:rPr>
        <w:t xml:space="preserve"> allocate resources in the household which will have an impact on the welfare of their children.</w:t>
      </w:r>
      <w:r w:rsidRPr="00071D59">
        <w:rPr>
          <w:lang w:val="en-US"/>
        </w:rPr>
        <w:t xml:space="preserve"> </w:t>
      </w:r>
      <w:r w:rsidR="006D12CA" w:rsidRPr="006D12CA">
        <w:rPr>
          <w:lang w:val="en-US"/>
        </w:rPr>
        <w:t>Given that the role of women today and in the past is very different, where the progress of the era is often accompanied by the development of information and the level of human intellectual ability, resulting in the role of women in life that continues to change to respond to the challenges of the times and improve household welfare. When women who work not only carry out household activities, but have already carried out activities in the public sector, they will be faced with conditions where their roles wi</w:t>
      </w:r>
      <w:r w:rsidR="006D12CA">
        <w:rPr>
          <w:lang w:val="en-US"/>
        </w:rPr>
        <w:t xml:space="preserve">ll be increasingly complex and </w:t>
      </w:r>
      <w:r w:rsidRPr="00F913FD">
        <w:rPr>
          <w:lang w:val="en-US"/>
        </w:rPr>
        <w:t xml:space="preserve">children who are the younger generation who are expected to become the nation's successor and the ideals of national development, </w:t>
      </w:r>
      <w:r w:rsidR="002206A3">
        <w:rPr>
          <w:lang w:val="en-US"/>
        </w:rPr>
        <w:t>working mother</w:t>
      </w:r>
      <w:r w:rsidRPr="00F913FD">
        <w:rPr>
          <w:lang w:val="en-US"/>
        </w:rPr>
        <w:t xml:space="preserve"> who have power in household decision making will have an impact on the human capital of children in Indonesia.</w:t>
      </w:r>
      <w:r w:rsidR="007D7012" w:rsidRPr="007D7012">
        <w:rPr>
          <w:rFonts w:asciiTheme="minorHAnsi" w:hAnsiTheme="minorHAnsi" w:cs="Times New Roman"/>
          <w:bCs/>
          <w:szCs w:val="24"/>
        </w:rPr>
        <w:t xml:space="preserve"> </w:t>
      </w:r>
    </w:p>
    <w:p w:rsidR="00B37F82" w:rsidRDefault="00B37F82" w:rsidP="00931778">
      <w:pPr>
        <w:pStyle w:val="Default"/>
        <w:jc w:val="both"/>
        <w:rPr>
          <w:rFonts w:ascii="Calibri" w:hAnsi="Calibri" w:cs="Calibri"/>
          <w:sz w:val="22"/>
          <w:lang w:val="en-US"/>
        </w:rPr>
      </w:pPr>
    </w:p>
    <w:p w:rsidR="00931778" w:rsidRPr="004E5C73" w:rsidRDefault="002D3D70" w:rsidP="00931778">
      <w:pPr>
        <w:pStyle w:val="DaftarParagraf"/>
        <w:spacing w:after="0" w:line="240" w:lineRule="auto"/>
        <w:ind w:left="0"/>
        <w:jc w:val="center"/>
        <w:rPr>
          <w:rFonts w:ascii="Garamond" w:hAnsi="Garamond" w:cs="Calibri"/>
          <w:b/>
          <w:bCs/>
          <w:sz w:val="28"/>
          <w:szCs w:val="24"/>
          <w:lang w:val="en-US"/>
        </w:rPr>
      </w:pPr>
      <w:r w:rsidRPr="005005BF">
        <w:rPr>
          <w:rFonts w:ascii="Garamond" w:hAnsi="Garamond" w:cs="Calibri"/>
          <w:b/>
          <w:bCs/>
          <w:sz w:val="28"/>
          <w:szCs w:val="24"/>
          <w:lang w:val="en-US"/>
        </w:rPr>
        <w:t>Research Method</w:t>
      </w:r>
    </w:p>
    <w:p w:rsidR="00B37F82" w:rsidRDefault="00B37F82" w:rsidP="00931778">
      <w:pPr>
        <w:spacing w:after="0" w:line="240" w:lineRule="auto"/>
        <w:contextualSpacing/>
        <w:jc w:val="both"/>
        <w:rPr>
          <w:rFonts w:asciiTheme="minorHAnsi" w:hAnsiTheme="minorHAnsi" w:cstheme="minorHAnsi"/>
          <w:lang w:val="en-US"/>
        </w:rPr>
      </w:pPr>
    </w:p>
    <w:p w:rsidR="00071D59" w:rsidRPr="00071D59" w:rsidRDefault="002D3D70" w:rsidP="00071D59">
      <w:pPr>
        <w:spacing w:after="0" w:line="240" w:lineRule="auto"/>
        <w:contextualSpacing/>
        <w:jc w:val="both"/>
        <w:rPr>
          <w:rFonts w:asciiTheme="minorHAnsi" w:hAnsiTheme="minorHAnsi" w:cstheme="minorHAnsi"/>
          <w:lang w:val="en-US"/>
        </w:rPr>
      </w:pPr>
      <w:r w:rsidRPr="00A602B2">
        <w:rPr>
          <w:rFonts w:asciiTheme="minorHAnsi" w:hAnsiTheme="minorHAnsi" w:cstheme="minorHAnsi"/>
          <w:lang w:val="en-US"/>
        </w:rPr>
        <w:t xml:space="preserve">This research was conducted in Indonesia because it uses IFLS Micro Data. The Indonesia Family Life Survey (IFLS) or Survey of the Aspects of Indonesian Household Life (SAKERTI) is the most comprehensive longitudinal household survey ever conducted in Indonesia, conducted and collected by an organization or institution called RAND. The IFLS data </w:t>
      </w:r>
      <w:r w:rsidRPr="00A602B2">
        <w:rPr>
          <w:rFonts w:asciiTheme="minorHAnsi" w:hAnsiTheme="minorHAnsi" w:cstheme="minorHAnsi"/>
          <w:lang w:val="en-US"/>
        </w:rPr>
        <w:lastRenderedPageBreak/>
        <w:t>used is IFLS5, which was passed down between late October 2014 and late April 2015 with remote tracking until the end of August 2015, adding the following modules beyond those used in IFLS4. This paper uses IFLS-5 data with criteria from respondents, namely households were women as working mothers have school children aged 6-18 and have a life partner.</w:t>
      </w:r>
      <w:r w:rsidRPr="00071D59">
        <w:rPr>
          <w:rFonts w:asciiTheme="minorHAnsi" w:hAnsiTheme="minorHAnsi" w:cstheme="minorHAnsi"/>
          <w:lang w:val="en-US"/>
        </w:rPr>
        <w:t xml:space="preserve"> </w:t>
      </w:r>
    </w:p>
    <w:p w:rsidR="00B37F82" w:rsidRPr="00B37F82" w:rsidRDefault="00B37F82" w:rsidP="00071D59">
      <w:pPr>
        <w:spacing w:after="0" w:line="240" w:lineRule="auto"/>
        <w:contextualSpacing/>
        <w:jc w:val="both"/>
        <w:rPr>
          <w:rFonts w:asciiTheme="minorHAnsi" w:hAnsiTheme="minorHAnsi" w:cstheme="minorHAnsi"/>
          <w:lang w:val="en-US"/>
        </w:rPr>
      </w:pPr>
    </w:p>
    <w:p w:rsidR="00071D59" w:rsidRPr="00071D59" w:rsidRDefault="002D3D70" w:rsidP="00071D59">
      <w:pPr>
        <w:spacing w:after="0" w:line="240" w:lineRule="auto"/>
        <w:contextualSpacing/>
        <w:jc w:val="both"/>
        <w:rPr>
          <w:rFonts w:asciiTheme="minorHAnsi" w:hAnsiTheme="minorHAnsi" w:cstheme="minorHAnsi"/>
          <w:lang w:val="sv-SE"/>
        </w:rPr>
      </w:pPr>
      <w:r w:rsidRPr="00B77396">
        <w:rPr>
          <w:rFonts w:asciiTheme="minorHAnsi" w:hAnsiTheme="minorHAnsi" w:cstheme="minorHAnsi"/>
          <w:lang w:val="en-US"/>
        </w:rPr>
        <w:t xml:space="preserve">Data analysis methods used in this study are Ordinary Least Square (OLS) and Chow-test. The impact of the Power of </w:t>
      </w:r>
      <w:r w:rsidR="002206A3">
        <w:rPr>
          <w:rFonts w:asciiTheme="minorHAnsi" w:hAnsiTheme="minorHAnsi" w:cstheme="minorHAnsi"/>
          <w:lang w:val="en-US"/>
        </w:rPr>
        <w:t>Working mother</w:t>
      </w:r>
      <w:r w:rsidRPr="00B77396">
        <w:rPr>
          <w:rFonts w:asciiTheme="minorHAnsi" w:hAnsiTheme="minorHAnsi" w:cstheme="minorHAnsi"/>
          <w:lang w:val="en-US"/>
        </w:rPr>
        <w:t xml:space="preserve"> (X) on Children's Human Capital in Indonesia (Y) can be formulated by the following equation:</w:t>
      </w:r>
      <w:r w:rsidRPr="00071D59">
        <w:rPr>
          <w:rFonts w:asciiTheme="minorHAnsi" w:hAnsiTheme="minorHAnsi" w:cstheme="minorHAnsi"/>
          <w:lang w:val="en-US"/>
        </w:rPr>
        <w:t xml:space="preserve"> </w:t>
      </w:r>
    </w:p>
    <w:p w:rsidR="00071D59" w:rsidRPr="00071D59" w:rsidRDefault="00D44EE9" w:rsidP="00071D59">
      <w:pPr>
        <w:spacing w:after="0" w:line="240" w:lineRule="auto"/>
        <w:contextualSpacing/>
        <w:jc w:val="both"/>
        <w:rPr>
          <w:rFonts w:asciiTheme="minorHAnsi" w:hAnsiTheme="minorHAnsi" w:cstheme="minorHAnsi"/>
          <w:lang w:val="en-US"/>
        </w:rPr>
      </w:pPr>
      <m:oMath>
        <m:acc>
          <m:accPr>
            <m:ctrlPr>
              <w:rPr>
                <w:rFonts w:ascii="Cambria Math" w:hAnsi="Cambria Math" w:cstheme="minorHAnsi"/>
                <w:lang w:val="en-US"/>
              </w:rPr>
            </m:ctrlPr>
          </m:accPr>
          <m:e>
            <m:r>
              <m:rPr>
                <m:sty m:val="p"/>
              </m:rPr>
              <w:rPr>
                <w:rFonts w:ascii="Cambria Math" w:hAnsi="Cambria Math" w:cstheme="minorHAnsi"/>
                <w:lang w:val="en-US"/>
              </w:rPr>
              <m:t>Y</m:t>
            </m:r>
          </m:e>
        </m:acc>
      </m:oMath>
      <w:r w:rsidR="002D3D70" w:rsidRPr="00071D59">
        <w:rPr>
          <w:rFonts w:asciiTheme="minorHAnsi" w:hAnsiTheme="minorHAnsi" w:cstheme="minorHAnsi"/>
          <w:vertAlign w:val="subscript"/>
          <w:lang w:val="en-US"/>
        </w:rPr>
        <w:t>i</w:t>
      </w:r>
      <w:r w:rsidR="002D3D70" w:rsidRPr="00071D59">
        <w:rPr>
          <w:rFonts w:asciiTheme="minorHAnsi" w:hAnsiTheme="minorHAnsi" w:cstheme="minorHAnsi"/>
          <w:lang w:val="en-US"/>
        </w:rPr>
        <w:t>=β</w:t>
      </w:r>
      <w:r w:rsidR="002D3D70" w:rsidRPr="00071D59">
        <w:rPr>
          <w:rFonts w:asciiTheme="minorHAnsi" w:hAnsiTheme="minorHAnsi" w:cstheme="minorHAnsi"/>
          <w:vertAlign w:val="subscript"/>
          <w:lang w:val="en-US"/>
        </w:rPr>
        <w:t xml:space="preserve">0 </w:t>
      </w:r>
      <w:r w:rsidR="002D3D70" w:rsidRPr="00071D59">
        <w:rPr>
          <w:rFonts w:asciiTheme="minorHAnsi" w:hAnsiTheme="minorHAnsi" w:cstheme="minorHAnsi"/>
          <w:lang w:val="en-US"/>
        </w:rPr>
        <w:t>+ β</w:t>
      </w:r>
      <w:r w:rsidR="002D3D70" w:rsidRPr="00071D59">
        <w:rPr>
          <w:rFonts w:asciiTheme="minorHAnsi" w:hAnsiTheme="minorHAnsi" w:cstheme="minorHAnsi"/>
          <w:vertAlign w:val="subscript"/>
          <w:lang w:val="en-US"/>
        </w:rPr>
        <w:t>1</w:t>
      </w:r>
      <w:r w:rsidR="002D3D70" w:rsidRPr="00071D59">
        <w:rPr>
          <w:rFonts w:asciiTheme="minorHAnsi" w:hAnsiTheme="minorHAnsi" w:cstheme="minorHAnsi"/>
          <w:lang w:val="en-US"/>
        </w:rPr>
        <w:t>Ɵ</w:t>
      </w:r>
      <w:r w:rsidR="002D3D70" w:rsidRPr="00071D59">
        <w:rPr>
          <w:rFonts w:asciiTheme="minorHAnsi" w:hAnsiTheme="minorHAnsi" w:cstheme="minorHAnsi"/>
          <w:vertAlign w:val="subscript"/>
          <w:lang w:val="en-US"/>
        </w:rPr>
        <w:t>i</w:t>
      </w:r>
      <w:r w:rsidR="002D3D70" w:rsidRPr="00071D59">
        <w:rPr>
          <w:rFonts w:asciiTheme="minorHAnsi" w:hAnsiTheme="minorHAnsi" w:cstheme="minorHAnsi"/>
          <w:lang w:val="en-US"/>
        </w:rPr>
        <w:t>+β</w:t>
      </w:r>
      <w:r w:rsidR="002D3D70" w:rsidRPr="00071D59">
        <w:rPr>
          <w:rFonts w:asciiTheme="minorHAnsi" w:hAnsiTheme="minorHAnsi" w:cstheme="minorHAnsi"/>
          <w:vertAlign w:val="subscript"/>
          <w:lang w:val="en-US"/>
        </w:rPr>
        <w:t xml:space="preserve">k </w:t>
      </w:r>
      <w:r w:rsidR="002D3D70" w:rsidRPr="00071D59">
        <w:rPr>
          <w:rFonts w:asciiTheme="minorHAnsi" w:hAnsiTheme="minorHAnsi" w:cstheme="minorHAnsi"/>
          <w:lang w:val="en-US"/>
        </w:rPr>
        <w:t>X</w:t>
      </w:r>
      <w:r w:rsidR="002D3D70" w:rsidRPr="00071D59">
        <w:rPr>
          <w:rFonts w:asciiTheme="minorHAnsi" w:hAnsiTheme="minorHAnsi" w:cstheme="minorHAnsi"/>
          <w:vertAlign w:val="subscript"/>
          <w:lang w:val="en-US"/>
        </w:rPr>
        <w:t>Ki</w:t>
      </w:r>
      <w:r w:rsidR="002D3D70" w:rsidRPr="00071D59">
        <w:rPr>
          <w:rFonts w:asciiTheme="minorHAnsi" w:hAnsiTheme="minorHAnsi" w:cstheme="minorHAnsi"/>
          <w:lang w:val="en-US"/>
        </w:rPr>
        <w:t xml:space="preserve">...........................................................(1) </w:t>
      </w:r>
    </w:p>
    <w:p w:rsidR="00071D59" w:rsidRPr="00071D59" w:rsidRDefault="002D3D70" w:rsidP="00071D59">
      <w:pPr>
        <w:spacing w:after="0" w:line="240" w:lineRule="auto"/>
        <w:contextualSpacing/>
        <w:jc w:val="both"/>
        <w:rPr>
          <w:rFonts w:asciiTheme="minorHAnsi" w:hAnsiTheme="minorHAnsi" w:cstheme="minorHAnsi"/>
          <w:lang w:val="en-US"/>
        </w:rPr>
      </w:pPr>
      <w:r w:rsidRPr="00D572C4">
        <w:rPr>
          <w:rFonts w:asciiTheme="minorHAnsi" w:hAnsiTheme="minorHAnsi" w:cstheme="minorHAnsi"/>
          <w:lang w:val="en-US"/>
        </w:rPr>
        <w:t>Information</w:t>
      </w:r>
      <w:r w:rsidRPr="00071D59">
        <w:rPr>
          <w:rFonts w:asciiTheme="minorHAnsi" w:hAnsiTheme="minorHAnsi" w:cstheme="minorHAnsi"/>
          <w:lang w:val="en-US"/>
        </w:rPr>
        <w:t>:</w:t>
      </w:r>
    </w:p>
    <w:p w:rsidR="00071D59" w:rsidRPr="00071D59" w:rsidRDefault="00D44EE9" w:rsidP="00071D59">
      <w:pPr>
        <w:spacing w:after="0" w:line="240" w:lineRule="auto"/>
        <w:contextualSpacing/>
        <w:jc w:val="both"/>
        <w:rPr>
          <w:rFonts w:asciiTheme="minorHAnsi" w:hAnsiTheme="minorHAnsi" w:cstheme="minorHAnsi"/>
          <w:lang w:val="en-US"/>
        </w:rPr>
      </w:pPr>
      <m:oMath>
        <m:acc>
          <m:accPr>
            <m:ctrlPr>
              <w:rPr>
                <w:rFonts w:ascii="Cambria Math" w:hAnsi="Cambria Math" w:cstheme="minorHAnsi"/>
                <w:lang w:val="en-US"/>
              </w:rPr>
            </m:ctrlPr>
          </m:accPr>
          <m:e>
            <m:r>
              <m:rPr>
                <m:sty m:val="p"/>
              </m:rPr>
              <w:rPr>
                <w:rFonts w:ascii="Cambria Math" w:hAnsi="Cambria Math" w:cstheme="minorHAnsi"/>
                <w:lang w:val="en-US"/>
              </w:rPr>
              <m:t>Y</m:t>
            </m:r>
          </m:e>
        </m:acc>
      </m:oMath>
      <w:r w:rsidR="002D3D70" w:rsidRPr="00071D59">
        <w:rPr>
          <w:rFonts w:asciiTheme="minorHAnsi" w:hAnsiTheme="minorHAnsi" w:cstheme="minorHAnsi"/>
          <w:vertAlign w:val="subscript"/>
          <w:lang w:val="en-US"/>
        </w:rPr>
        <w:t>i</w:t>
      </w:r>
      <w:r w:rsidR="002D3D70">
        <w:rPr>
          <w:rFonts w:asciiTheme="minorHAnsi" w:hAnsiTheme="minorHAnsi" w:cstheme="minorHAnsi"/>
          <w:lang w:val="en-US"/>
        </w:rPr>
        <w:tab/>
      </w:r>
      <w:r w:rsidR="002D3D70" w:rsidRPr="00071D59">
        <w:rPr>
          <w:rFonts w:asciiTheme="minorHAnsi" w:hAnsiTheme="minorHAnsi" w:cstheme="minorHAnsi"/>
          <w:lang w:val="en-US"/>
        </w:rPr>
        <w:t>=</w:t>
      </w:r>
      <w:r w:rsidR="00D572C4" w:rsidRPr="00D572C4">
        <w:t xml:space="preserve"> </w:t>
      </w:r>
      <w:r w:rsidR="00D572C4" w:rsidRPr="00D572C4">
        <w:rPr>
          <w:rFonts w:asciiTheme="minorHAnsi" w:hAnsiTheme="minorHAnsi" w:cstheme="minorHAnsi"/>
          <w:iCs/>
          <w:lang w:val="en-US"/>
        </w:rPr>
        <w:t>Children's human capital</w:t>
      </w:r>
      <w:r w:rsidR="002D3D70" w:rsidRPr="00071D59">
        <w:rPr>
          <w:rFonts w:asciiTheme="minorHAnsi" w:hAnsiTheme="minorHAnsi" w:cstheme="minorHAnsi"/>
          <w:lang w:val="en-US"/>
        </w:rPr>
        <w:t xml:space="preserve"> </w:t>
      </w:r>
    </w:p>
    <w:p w:rsidR="00071D59" w:rsidRPr="00071D59" w:rsidRDefault="002D3D70" w:rsidP="00071D59">
      <w:pPr>
        <w:spacing w:after="0" w:line="240" w:lineRule="auto"/>
        <w:contextualSpacing/>
        <w:jc w:val="both"/>
        <w:rPr>
          <w:rFonts w:asciiTheme="minorHAnsi" w:hAnsiTheme="minorHAnsi" w:cstheme="minorHAnsi"/>
          <w:lang w:val="en-US"/>
        </w:rPr>
      </w:pPr>
      <w:r w:rsidRPr="00071D59">
        <w:rPr>
          <w:rFonts w:asciiTheme="minorHAnsi" w:hAnsiTheme="minorHAnsi" w:cstheme="minorHAnsi"/>
          <w:lang w:val="en-US"/>
        </w:rPr>
        <w:t>β</w:t>
      </w:r>
      <w:r w:rsidRPr="00071D59">
        <w:rPr>
          <w:rFonts w:asciiTheme="minorHAnsi" w:hAnsiTheme="minorHAnsi" w:cstheme="minorHAnsi"/>
          <w:vertAlign w:val="subscript"/>
          <w:lang w:val="en-US"/>
        </w:rPr>
        <w:t>0</w:t>
      </w:r>
      <w:r w:rsidRPr="00071D59">
        <w:rPr>
          <w:rFonts w:asciiTheme="minorHAnsi" w:hAnsiTheme="minorHAnsi" w:cstheme="minorHAnsi"/>
          <w:lang w:val="en-US"/>
        </w:rPr>
        <w:t>.β</w:t>
      </w:r>
      <w:r w:rsidRPr="00071D59">
        <w:rPr>
          <w:rFonts w:asciiTheme="minorHAnsi" w:hAnsiTheme="minorHAnsi" w:cstheme="minorHAnsi"/>
          <w:vertAlign w:val="subscript"/>
          <w:lang w:val="en-US"/>
        </w:rPr>
        <w:t xml:space="preserve">1 </w:t>
      </w:r>
      <w:r w:rsidRPr="00071D59">
        <w:rPr>
          <w:rFonts w:asciiTheme="minorHAnsi" w:hAnsiTheme="minorHAnsi" w:cstheme="minorHAnsi"/>
          <w:lang w:val="en-US"/>
        </w:rPr>
        <w:t>.β</w:t>
      </w:r>
      <w:r w:rsidRPr="00071D59">
        <w:rPr>
          <w:rFonts w:asciiTheme="minorHAnsi" w:hAnsiTheme="minorHAnsi" w:cstheme="minorHAnsi"/>
          <w:vertAlign w:val="subscript"/>
          <w:lang w:val="en-US"/>
        </w:rPr>
        <w:t>k</w:t>
      </w:r>
      <w:r w:rsidRPr="00071D59">
        <w:rPr>
          <w:rFonts w:asciiTheme="minorHAnsi" w:hAnsiTheme="minorHAnsi" w:cstheme="minorHAnsi"/>
          <w:vertAlign w:val="subscript"/>
          <w:lang w:val="en-US"/>
        </w:rPr>
        <w:tab/>
      </w:r>
      <w:r w:rsidRPr="00071D59">
        <w:rPr>
          <w:rFonts w:asciiTheme="minorHAnsi" w:hAnsiTheme="minorHAnsi" w:cstheme="minorHAnsi"/>
          <w:lang w:val="en-US"/>
        </w:rPr>
        <w:t>=</w:t>
      </w:r>
      <w:r w:rsidR="00D572C4" w:rsidRPr="00D572C4">
        <w:t xml:space="preserve"> </w:t>
      </w:r>
      <w:r w:rsidR="00D572C4" w:rsidRPr="00D572C4">
        <w:rPr>
          <w:rFonts w:asciiTheme="minorHAnsi" w:hAnsiTheme="minorHAnsi" w:cstheme="minorHAnsi"/>
          <w:lang w:val="en-US"/>
        </w:rPr>
        <w:t>Regression coefficient of each</w:t>
      </w:r>
      <w:r w:rsidRPr="00071D59">
        <w:rPr>
          <w:rFonts w:asciiTheme="minorHAnsi" w:hAnsiTheme="minorHAnsi" w:cstheme="minorHAnsi"/>
          <w:lang w:val="en-US"/>
        </w:rPr>
        <w:t xml:space="preserve"> Ɵ</w:t>
      </w:r>
      <w:r w:rsidRPr="00071D59">
        <w:rPr>
          <w:rFonts w:asciiTheme="minorHAnsi" w:hAnsiTheme="minorHAnsi" w:cstheme="minorHAnsi"/>
          <w:vertAlign w:val="subscript"/>
          <w:lang w:val="en-US"/>
        </w:rPr>
        <w:t>1</w:t>
      </w:r>
      <w:r w:rsidRPr="00071D59">
        <w:rPr>
          <w:rFonts w:asciiTheme="minorHAnsi" w:hAnsiTheme="minorHAnsi" w:cstheme="minorHAnsi"/>
          <w:lang w:val="en-US"/>
        </w:rPr>
        <w:t>, X</w:t>
      </w:r>
      <w:r w:rsidRPr="00071D59">
        <w:rPr>
          <w:rFonts w:asciiTheme="minorHAnsi" w:hAnsiTheme="minorHAnsi" w:cstheme="minorHAnsi"/>
          <w:vertAlign w:val="subscript"/>
          <w:lang w:val="en-US"/>
        </w:rPr>
        <w:t>k</w:t>
      </w:r>
      <w:r w:rsidRPr="00071D59">
        <w:rPr>
          <w:rFonts w:asciiTheme="minorHAnsi" w:hAnsiTheme="minorHAnsi" w:cstheme="minorHAnsi"/>
          <w:lang w:val="en-US"/>
        </w:rPr>
        <w:t xml:space="preserve"> </w:t>
      </w:r>
    </w:p>
    <w:p w:rsidR="00071D59" w:rsidRPr="00071D59" w:rsidRDefault="002D3D70" w:rsidP="00071D59">
      <w:pPr>
        <w:spacing w:after="0" w:line="240" w:lineRule="auto"/>
        <w:ind w:left="851" w:hanging="851"/>
        <w:contextualSpacing/>
        <w:jc w:val="both"/>
        <w:rPr>
          <w:rFonts w:asciiTheme="minorHAnsi" w:hAnsiTheme="minorHAnsi" w:cstheme="minorHAnsi"/>
          <w:lang w:val="en-US"/>
        </w:rPr>
      </w:pPr>
      <w:r w:rsidRPr="00071D59">
        <w:rPr>
          <w:rFonts w:asciiTheme="minorHAnsi" w:hAnsiTheme="minorHAnsi" w:cstheme="minorHAnsi"/>
          <w:lang w:val="en-US"/>
        </w:rPr>
        <w:t>Ɵ</w:t>
      </w:r>
      <w:r>
        <w:rPr>
          <w:rFonts w:asciiTheme="minorHAnsi" w:hAnsiTheme="minorHAnsi" w:cstheme="minorHAnsi"/>
          <w:lang w:val="en-US"/>
        </w:rPr>
        <w:t xml:space="preserve">            </w:t>
      </w:r>
      <w:r w:rsidRPr="00071D59">
        <w:rPr>
          <w:rFonts w:asciiTheme="minorHAnsi" w:hAnsiTheme="minorHAnsi" w:cstheme="minorHAnsi"/>
          <w:lang w:val="en-US"/>
        </w:rPr>
        <w:t>=</w:t>
      </w:r>
      <w:r w:rsidR="00D572C4" w:rsidRPr="00D572C4">
        <w:t xml:space="preserve"> </w:t>
      </w:r>
      <w:r w:rsidR="00D572C4" w:rsidRPr="00D572C4">
        <w:rPr>
          <w:rFonts w:asciiTheme="minorHAnsi" w:hAnsiTheme="minorHAnsi" w:cstheme="minorHAnsi"/>
          <w:lang w:val="en-US"/>
        </w:rPr>
        <w:t xml:space="preserve">The relative power of </w:t>
      </w:r>
      <w:r w:rsidR="002206A3">
        <w:rPr>
          <w:rFonts w:asciiTheme="minorHAnsi" w:hAnsiTheme="minorHAnsi" w:cstheme="minorHAnsi"/>
          <w:lang w:val="en-US"/>
        </w:rPr>
        <w:t>working mother</w:t>
      </w:r>
      <w:r w:rsidR="00D572C4" w:rsidRPr="00D572C4">
        <w:rPr>
          <w:rFonts w:asciiTheme="minorHAnsi" w:hAnsiTheme="minorHAnsi" w:cstheme="minorHAnsi"/>
          <w:lang w:val="en-US"/>
        </w:rPr>
        <w:t xml:space="preserve"> as measured by the relative education and relative income of </w:t>
      </w:r>
      <w:r w:rsidR="002206A3">
        <w:rPr>
          <w:rFonts w:asciiTheme="minorHAnsi" w:hAnsiTheme="minorHAnsi" w:cstheme="minorHAnsi"/>
          <w:lang w:val="en-US"/>
        </w:rPr>
        <w:t>working mother</w:t>
      </w:r>
      <w:r w:rsidR="00D572C4" w:rsidRPr="00D572C4">
        <w:rPr>
          <w:rFonts w:asciiTheme="minorHAnsi" w:hAnsiTheme="minorHAnsi" w:cstheme="minorHAnsi"/>
          <w:lang w:val="en-US"/>
        </w:rPr>
        <w:t xml:space="preserve"> against their partners</w:t>
      </w:r>
    </w:p>
    <w:p w:rsidR="00071D59" w:rsidRDefault="002D3D70" w:rsidP="00071D59">
      <w:pPr>
        <w:spacing w:after="0" w:line="240" w:lineRule="auto"/>
        <w:contextualSpacing/>
        <w:jc w:val="both"/>
        <w:rPr>
          <w:rFonts w:asciiTheme="minorHAnsi" w:hAnsiTheme="minorHAnsi" w:cstheme="minorHAnsi"/>
          <w:lang w:val="en-US"/>
        </w:rPr>
      </w:pPr>
      <w:r w:rsidRPr="00071D59">
        <w:rPr>
          <w:rFonts w:asciiTheme="minorHAnsi" w:hAnsiTheme="minorHAnsi" w:cstheme="minorHAnsi"/>
          <w:lang w:val="en-US"/>
        </w:rPr>
        <w:t>X</w:t>
      </w:r>
      <w:r w:rsidRPr="00071D59">
        <w:rPr>
          <w:rFonts w:asciiTheme="minorHAnsi" w:hAnsiTheme="minorHAnsi" w:cstheme="minorHAnsi"/>
          <w:vertAlign w:val="subscript"/>
          <w:lang w:val="en-US"/>
        </w:rPr>
        <w:t>k</w:t>
      </w:r>
      <w:r w:rsidRPr="00071D59">
        <w:rPr>
          <w:rFonts w:asciiTheme="minorHAnsi" w:hAnsiTheme="minorHAnsi" w:cstheme="minorHAnsi"/>
          <w:lang w:val="en-US"/>
        </w:rPr>
        <w:t xml:space="preserve">  </w:t>
      </w:r>
      <w:r w:rsidRPr="00071D59">
        <w:rPr>
          <w:rFonts w:asciiTheme="minorHAnsi" w:hAnsiTheme="minorHAnsi" w:cstheme="minorHAnsi"/>
          <w:lang w:val="en-US"/>
        </w:rPr>
        <w:tab/>
        <w:t>=</w:t>
      </w:r>
      <w:r w:rsidR="00D572C4" w:rsidRPr="00D572C4">
        <w:t xml:space="preserve"> </w:t>
      </w:r>
      <w:r w:rsidR="00D572C4" w:rsidRPr="00D572C4">
        <w:rPr>
          <w:rFonts w:asciiTheme="minorHAnsi" w:hAnsiTheme="minorHAnsi" w:cstheme="minorHAnsi"/>
          <w:lang w:val="en-US"/>
        </w:rPr>
        <w:t xml:space="preserve">Control Variable </w:t>
      </w:r>
      <w:r w:rsidRPr="00071D59">
        <w:rPr>
          <w:rFonts w:asciiTheme="minorHAnsi" w:hAnsiTheme="minorHAnsi" w:cstheme="minorHAnsi"/>
          <w:lang w:val="en-US"/>
        </w:rPr>
        <w:t>(X</w:t>
      </w:r>
      <w:r w:rsidRPr="00071D59">
        <w:rPr>
          <w:rFonts w:asciiTheme="minorHAnsi" w:hAnsiTheme="minorHAnsi" w:cstheme="minorHAnsi"/>
          <w:vertAlign w:val="subscript"/>
          <w:lang w:val="en-US"/>
        </w:rPr>
        <w:t>3</w:t>
      </w:r>
      <w:r w:rsidRPr="00071D59">
        <w:rPr>
          <w:rFonts w:asciiTheme="minorHAnsi" w:hAnsiTheme="minorHAnsi" w:cstheme="minorHAnsi"/>
          <w:lang w:val="en-US"/>
        </w:rPr>
        <w:t>,X</w:t>
      </w:r>
      <w:r w:rsidRPr="00071D59">
        <w:rPr>
          <w:rFonts w:asciiTheme="minorHAnsi" w:hAnsiTheme="minorHAnsi" w:cstheme="minorHAnsi"/>
          <w:vertAlign w:val="subscript"/>
          <w:lang w:val="en-US"/>
        </w:rPr>
        <w:t>4</w:t>
      </w:r>
      <w:r w:rsidRPr="00071D59">
        <w:rPr>
          <w:rFonts w:asciiTheme="minorHAnsi" w:hAnsiTheme="minorHAnsi" w:cstheme="minorHAnsi"/>
          <w:lang w:val="en-US"/>
        </w:rPr>
        <w:t>, X</w:t>
      </w:r>
      <w:r w:rsidRPr="00071D59">
        <w:rPr>
          <w:rFonts w:asciiTheme="minorHAnsi" w:hAnsiTheme="minorHAnsi" w:cstheme="minorHAnsi"/>
          <w:vertAlign w:val="subscript"/>
          <w:lang w:val="en-US"/>
        </w:rPr>
        <w:t>5</w:t>
      </w:r>
      <w:r w:rsidRPr="00071D59">
        <w:rPr>
          <w:rFonts w:asciiTheme="minorHAnsi" w:hAnsiTheme="minorHAnsi" w:cstheme="minorHAnsi"/>
          <w:lang w:val="en-US"/>
        </w:rPr>
        <w:t>, X</w:t>
      </w:r>
      <w:r w:rsidRPr="00071D59">
        <w:rPr>
          <w:rFonts w:asciiTheme="minorHAnsi" w:hAnsiTheme="minorHAnsi" w:cstheme="minorHAnsi"/>
          <w:vertAlign w:val="subscript"/>
          <w:lang w:val="en-US"/>
        </w:rPr>
        <w:t xml:space="preserve">6, </w:t>
      </w:r>
      <w:r w:rsidRPr="00071D59">
        <w:rPr>
          <w:rFonts w:asciiTheme="minorHAnsi" w:hAnsiTheme="minorHAnsi" w:cstheme="minorHAnsi"/>
          <w:lang w:val="en-US"/>
        </w:rPr>
        <w:t>X</w:t>
      </w:r>
      <w:r w:rsidRPr="00071D59">
        <w:rPr>
          <w:rFonts w:asciiTheme="minorHAnsi" w:hAnsiTheme="minorHAnsi" w:cstheme="minorHAnsi"/>
          <w:vertAlign w:val="subscript"/>
          <w:lang w:val="en-US"/>
        </w:rPr>
        <w:t xml:space="preserve">7, </w:t>
      </w:r>
      <w:r w:rsidRPr="00071D59">
        <w:rPr>
          <w:rFonts w:asciiTheme="minorHAnsi" w:hAnsiTheme="minorHAnsi" w:cstheme="minorHAnsi"/>
          <w:lang w:val="en-US"/>
        </w:rPr>
        <w:t>X</w:t>
      </w:r>
      <w:r w:rsidRPr="00071D59">
        <w:rPr>
          <w:rFonts w:asciiTheme="minorHAnsi" w:hAnsiTheme="minorHAnsi" w:cstheme="minorHAnsi"/>
          <w:vertAlign w:val="subscript"/>
          <w:lang w:val="en-US"/>
        </w:rPr>
        <w:t>8</w:t>
      </w:r>
      <w:r w:rsidRPr="00071D59">
        <w:rPr>
          <w:rFonts w:asciiTheme="minorHAnsi" w:hAnsiTheme="minorHAnsi" w:cstheme="minorHAnsi"/>
          <w:lang w:val="en-US"/>
        </w:rPr>
        <w:t>, X</w:t>
      </w:r>
      <w:r w:rsidRPr="00071D59">
        <w:rPr>
          <w:rFonts w:asciiTheme="minorHAnsi" w:hAnsiTheme="minorHAnsi" w:cstheme="minorHAnsi"/>
          <w:vertAlign w:val="subscript"/>
          <w:lang w:val="en-US"/>
        </w:rPr>
        <w:t>9</w:t>
      </w:r>
      <w:r w:rsidRPr="00071D59">
        <w:rPr>
          <w:rFonts w:asciiTheme="minorHAnsi" w:hAnsiTheme="minorHAnsi" w:cstheme="minorHAnsi"/>
          <w:lang w:val="en-US"/>
        </w:rPr>
        <w:t>, X</w:t>
      </w:r>
      <w:r w:rsidRPr="00071D59">
        <w:rPr>
          <w:rFonts w:asciiTheme="minorHAnsi" w:hAnsiTheme="minorHAnsi" w:cstheme="minorHAnsi"/>
          <w:vertAlign w:val="subscript"/>
          <w:lang w:val="en-US"/>
        </w:rPr>
        <w:t>10</w:t>
      </w:r>
      <w:r w:rsidRPr="00071D59">
        <w:rPr>
          <w:rFonts w:asciiTheme="minorHAnsi" w:hAnsiTheme="minorHAnsi" w:cstheme="minorHAnsi"/>
          <w:lang w:val="en-US"/>
        </w:rPr>
        <w:t>, X</w:t>
      </w:r>
      <w:r w:rsidRPr="00071D59">
        <w:rPr>
          <w:rFonts w:asciiTheme="minorHAnsi" w:hAnsiTheme="minorHAnsi" w:cstheme="minorHAnsi"/>
          <w:vertAlign w:val="subscript"/>
          <w:lang w:val="en-US"/>
        </w:rPr>
        <w:t>11</w:t>
      </w:r>
      <w:r w:rsidRPr="00071D59">
        <w:rPr>
          <w:rFonts w:asciiTheme="minorHAnsi" w:hAnsiTheme="minorHAnsi" w:cstheme="minorHAnsi"/>
          <w:lang w:val="en-US"/>
        </w:rPr>
        <w:t>, X</w:t>
      </w:r>
      <w:r w:rsidRPr="00071D59">
        <w:rPr>
          <w:rFonts w:asciiTheme="minorHAnsi" w:hAnsiTheme="minorHAnsi" w:cstheme="minorHAnsi"/>
          <w:vertAlign w:val="subscript"/>
          <w:lang w:val="en-US"/>
        </w:rPr>
        <w:t>12</w:t>
      </w:r>
      <w:r w:rsidRPr="00071D59">
        <w:rPr>
          <w:rFonts w:asciiTheme="minorHAnsi" w:hAnsiTheme="minorHAnsi" w:cstheme="minorHAnsi"/>
          <w:lang w:val="en-US"/>
        </w:rPr>
        <w:t>, X</w:t>
      </w:r>
      <w:r w:rsidRPr="00071D59">
        <w:rPr>
          <w:rFonts w:asciiTheme="minorHAnsi" w:hAnsiTheme="minorHAnsi" w:cstheme="minorHAnsi"/>
          <w:vertAlign w:val="subscript"/>
          <w:lang w:val="en-US"/>
        </w:rPr>
        <w:t>13</w:t>
      </w:r>
      <w:r w:rsidRPr="00071D59">
        <w:rPr>
          <w:rFonts w:asciiTheme="minorHAnsi" w:hAnsiTheme="minorHAnsi" w:cstheme="minorHAnsi"/>
          <w:lang w:val="en-US"/>
        </w:rPr>
        <w:t>, X</w:t>
      </w:r>
      <w:r w:rsidRPr="00071D59">
        <w:rPr>
          <w:rFonts w:asciiTheme="minorHAnsi" w:hAnsiTheme="minorHAnsi" w:cstheme="minorHAnsi"/>
          <w:vertAlign w:val="subscript"/>
          <w:lang w:val="en-US"/>
        </w:rPr>
        <w:t>14</w:t>
      </w:r>
      <w:r w:rsidRPr="00071D59">
        <w:rPr>
          <w:rFonts w:asciiTheme="minorHAnsi" w:hAnsiTheme="minorHAnsi" w:cstheme="minorHAnsi"/>
          <w:lang w:val="en-US"/>
        </w:rPr>
        <w:t>, X</w:t>
      </w:r>
      <w:r w:rsidRPr="00071D59">
        <w:rPr>
          <w:rFonts w:asciiTheme="minorHAnsi" w:hAnsiTheme="minorHAnsi" w:cstheme="minorHAnsi"/>
          <w:vertAlign w:val="subscript"/>
          <w:lang w:val="en-US"/>
        </w:rPr>
        <w:t>15</w:t>
      </w:r>
      <w:r w:rsidRPr="00071D59">
        <w:rPr>
          <w:rFonts w:asciiTheme="minorHAnsi" w:hAnsiTheme="minorHAnsi" w:cstheme="minorHAnsi"/>
          <w:lang w:val="en-US"/>
        </w:rPr>
        <w:t>)</w:t>
      </w:r>
    </w:p>
    <w:p w:rsidR="00894730" w:rsidRPr="00071D59" w:rsidRDefault="00894730" w:rsidP="00071D59">
      <w:pPr>
        <w:spacing w:after="0" w:line="240" w:lineRule="auto"/>
        <w:contextualSpacing/>
        <w:jc w:val="both"/>
        <w:rPr>
          <w:rFonts w:asciiTheme="minorHAnsi" w:hAnsiTheme="minorHAnsi" w:cstheme="minorHAnsi"/>
          <w:lang w:val="en-US"/>
        </w:rPr>
      </w:pPr>
    </w:p>
    <w:p w:rsidR="00071D59" w:rsidRPr="00071D59" w:rsidRDefault="002D3D70" w:rsidP="00071D59">
      <w:pPr>
        <w:spacing w:after="0" w:line="240" w:lineRule="auto"/>
        <w:contextualSpacing/>
        <w:jc w:val="both"/>
        <w:rPr>
          <w:rFonts w:asciiTheme="minorHAnsi" w:hAnsiTheme="minorHAnsi" w:cstheme="minorHAnsi"/>
          <w:lang w:val="en-US"/>
        </w:rPr>
      </w:pPr>
      <w:r w:rsidRPr="00D572C4">
        <w:rPr>
          <w:rFonts w:asciiTheme="minorHAnsi" w:hAnsiTheme="minorHAnsi" w:cstheme="minorHAnsi"/>
          <w:lang w:val="en-US"/>
        </w:rPr>
        <w:t>However, at the time of testing, there will be two models, namely</w:t>
      </w:r>
      <w:r w:rsidRPr="00071D59">
        <w:rPr>
          <w:rFonts w:asciiTheme="minorHAnsi" w:hAnsiTheme="minorHAnsi" w:cstheme="minorHAnsi"/>
          <w:lang w:val="en-US"/>
        </w:rPr>
        <w:t>:</w:t>
      </w:r>
    </w:p>
    <w:p w:rsidR="00071D59" w:rsidRPr="00071D59" w:rsidRDefault="00D44EE9" w:rsidP="00071D59">
      <w:pPr>
        <w:spacing w:after="0" w:line="240" w:lineRule="auto"/>
        <w:contextualSpacing/>
        <w:jc w:val="both"/>
        <w:rPr>
          <w:rFonts w:asciiTheme="minorHAnsi" w:hAnsiTheme="minorHAnsi" w:cstheme="minorHAnsi"/>
          <w:lang w:val="en-US"/>
        </w:rPr>
      </w:pPr>
      <m:oMath>
        <m:acc>
          <m:accPr>
            <m:ctrlPr>
              <w:rPr>
                <w:rFonts w:ascii="Cambria Math" w:hAnsi="Cambria Math" w:cstheme="minorHAnsi"/>
                <w:lang w:val="en-US"/>
              </w:rPr>
            </m:ctrlPr>
          </m:accPr>
          <m:e>
            <m:r>
              <m:rPr>
                <m:sty m:val="p"/>
              </m:rPr>
              <w:rPr>
                <w:rFonts w:ascii="Cambria Math" w:hAnsi="Cambria Math" w:cstheme="minorHAnsi"/>
                <w:lang w:val="en-US"/>
              </w:rPr>
              <m:t>Y</m:t>
            </m:r>
          </m:e>
        </m:acc>
      </m:oMath>
      <w:r w:rsidR="002D3D70" w:rsidRPr="00071D59">
        <w:rPr>
          <w:rFonts w:asciiTheme="minorHAnsi" w:hAnsiTheme="minorHAnsi" w:cstheme="minorHAnsi"/>
          <w:vertAlign w:val="subscript"/>
          <w:lang w:val="en-US"/>
        </w:rPr>
        <w:t>i</w:t>
      </w:r>
      <w:r w:rsidR="002D3D70" w:rsidRPr="00071D59">
        <w:rPr>
          <w:rFonts w:asciiTheme="minorHAnsi" w:hAnsiTheme="minorHAnsi" w:cstheme="minorHAnsi"/>
          <w:lang w:val="en-US"/>
        </w:rPr>
        <w:t xml:space="preserve"> =  β</w:t>
      </w:r>
      <w:r w:rsidR="002D3D70" w:rsidRPr="00071D59">
        <w:rPr>
          <w:rFonts w:asciiTheme="minorHAnsi" w:hAnsiTheme="minorHAnsi" w:cstheme="minorHAnsi"/>
          <w:vertAlign w:val="subscript"/>
          <w:lang w:val="en-US"/>
        </w:rPr>
        <w:t xml:space="preserve">0 </w:t>
      </w:r>
      <w:r w:rsidR="002D3D70" w:rsidRPr="00071D59">
        <w:rPr>
          <w:rFonts w:asciiTheme="minorHAnsi" w:hAnsiTheme="minorHAnsi" w:cstheme="minorHAnsi"/>
          <w:lang w:val="en-US"/>
        </w:rPr>
        <w:t>+ β 1</w:t>
      </w:r>
      <w:r w:rsidR="002D3D70" w:rsidRPr="00071D59">
        <w:rPr>
          <w:rFonts w:asciiTheme="minorHAnsi" w:hAnsiTheme="minorHAnsi" w:cstheme="minorHAnsi"/>
          <w:vertAlign w:val="subscript"/>
          <w:lang w:val="en-US"/>
        </w:rPr>
        <w:t xml:space="preserve">1 </w:t>
      </w:r>
      <w:r w:rsidR="002D3D70" w:rsidRPr="00071D59">
        <w:rPr>
          <w:rFonts w:asciiTheme="minorHAnsi" w:hAnsiTheme="minorHAnsi" w:cstheme="minorHAnsi"/>
          <w:lang w:val="en-US"/>
        </w:rPr>
        <w:t>X1</w:t>
      </w:r>
      <w:r w:rsidR="002D3D70" w:rsidRPr="00071D59">
        <w:rPr>
          <w:rFonts w:asciiTheme="minorHAnsi" w:hAnsiTheme="minorHAnsi" w:cstheme="minorHAnsi"/>
          <w:vertAlign w:val="subscript"/>
          <w:lang w:val="en-US"/>
        </w:rPr>
        <w:t>1i</w:t>
      </w:r>
      <w:r w:rsidR="002D3D70" w:rsidRPr="00071D59">
        <w:rPr>
          <w:rFonts w:asciiTheme="minorHAnsi" w:hAnsiTheme="minorHAnsi" w:cstheme="minorHAnsi"/>
          <w:lang w:val="en-US"/>
        </w:rPr>
        <w:t xml:space="preserve"> + β</w:t>
      </w:r>
      <w:r w:rsidR="002D3D70" w:rsidRPr="00071D59">
        <w:rPr>
          <w:rFonts w:asciiTheme="minorHAnsi" w:hAnsiTheme="minorHAnsi" w:cstheme="minorHAnsi"/>
          <w:vertAlign w:val="subscript"/>
          <w:lang w:val="en-US"/>
        </w:rPr>
        <w:t xml:space="preserve">k </w:t>
      </w:r>
      <w:r w:rsidR="002D3D70" w:rsidRPr="00071D59">
        <w:rPr>
          <w:rFonts w:asciiTheme="minorHAnsi" w:hAnsiTheme="minorHAnsi" w:cstheme="minorHAnsi"/>
          <w:lang w:val="en-US"/>
        </w:rPr>
        <w:t>X</w:t>
      </w:r>
      <w:r w:rsidR="002D3D70" w:rsidRPr="00071D59">
        <w:rPr>
          <w:rFonts w:asciiTheme="minorHAnsi" w:hAnsiTheme="minorHAnsi" w:cstheme="minorHAnsi"/>
          <w:vertAlign w:val="subscript"/>
          <w:lang w:val="en-US"/>
        </w:rPr>
        <w:t>Ki</w:t>
      </w:r>
      <w:r w:rsidR="002D3D70" w:rsidRPr="00071D59">
        <w:rPr>
          <w:rFonts w:asciiTheme="minorHAnsi" w:hAnsiTheme="minorHAnsi" w:cstheme="minorHAnsi"/>
          <w:lang w:val="en-US"/>
        </w:rPr>
        <w:t xml:space="preserve">...........................................................(2) </w:t>
      </w:r>
    </w:p>
    <w:p w:rsidR="00071D59" w:rsidRPr="00071D59" w:rsidRDefault="002D3D70" w:rsidP="00071D59">
      <w:pPr>
        <w:spacing w:after="0" w:line="240" w:lineRule="auto"/>
        <w:contextualSpacing/>
        <w:jc w:val="both"/>
        <w:rPr>
          <w:rFonts w:asciiTheme="minorHAnsi" w:hAnsiTheme="minorHAnsi" w:cstheme="minorHAnsi"/>
          <w:lang w:val="en-US"/>
        </w:rPr>
      </w:pPr>
      <w:r w:rsidRPr="00D572C4">
        <w:rPr>
          <w:rFonts w:asciiTheme="minorHAnsi" w:hAnsiTheme="minorHAnsi" w:cstheme="minorHAnsi"/>
          <w:lang w:val="en-US"/>
        </w:rPr>
        <w:t>Information</w:t>
      </w:r>
      <w:r w:rsidRPr="00071D59">
        <w:rPr>
          <w:rFonts w:asciiTheme="minorHAnsi" w:hAnsiTheme="minorHAnsi" w:cstheme="minorHAnsi"/>
          <w:lang w:val="en-US"/>
        </w:rPr>
        <w:t>:</w:t>
      </w:r>
    </w:p>
    <w:p w:rsidR="00071D59" w:rsidRPr="00071D59" w:rsidRDefault="002D3D70" w:rsidP="00071D59">
      <w:pPr>
        <w:spacing w:after="0" w:line="240" w:lineRule="auto"/>
        <w:contextualSpacing/>
        <w:jc w:val="both"/>
        <w:rPr>
          <w:rFonts w:asciiTheme="minorHAnsi" w:hAnsiTheme="minorHAnsi" w:cstheme="minorHAnsi"/>
          <w:lang w:val="en-US"/>
        </w:rPr>
      </w:pPr>
      <w:r w:rsidRPr="00071D59">
        <w:rPr>
          <w:rFonts w:asciiTheme="minorHAnsi" w:hAnsiTheme="minorHAnsi" w:cstheme="minorHAnsi"/>
          <w:lang w:val="en-US"/>
        </w:rPr>
        <w:t>X1</w:t>
      </w:r>
      <w:r w:rsidRPr="00071D59">
        <w:rPr>
          <w:rFonts w:asciiTheme="minorHAnsi" w:hAnsiTheme="minorHAnsi" w:cstheme="minorHAnsi"/>
          <w:vertAlign w:val="subscript"/>
          <w:lang w:val="en-US"/>
        </w:rPr>
        <w:t>1</w:t>
      </w:r>
      <w:r w:rsidRPr="00071D59">
        <w:rPr>
          <w:rFonts w:asciiTheme="minorHAnsi" w:hAnsiTheme="minorHAnsi" w:cstheme="minorHAnsi"/>
          <w:vertAlign w:val="subscript"/>
          <w:lang w:val="en-US"/>
        </w:rPr>
        <w:tab/>
      </w:r>
      <w:r w:rsidRPr="00071D59">
        <w:rPr>
          <w:rFonts w:asciiTheme="minorHAnsi" w:hAnsiTheme="minorHAnsi" w:cstheme="minorHAnsi"/>
          <w:lang w:val="en-US"/>
        </w:rPr>
        <w:t xml:space="preserve">= </w:t>
      </w:r>
      <w:r w:rsidR="00D572C4" w:rsidRPr="00D572C4">
        <w:rPr>
          <w:rFonts w:asciiTheme="minorHAnsi" w:hAnsiTheme="minorHAnsi" w:cstheme="minorHAnsi"/>
          <w:lang w:val="en-US"/>
        </w:rPr>
        <w:t xml:space="preserve">the relative education of </w:t>
      </w:r>
      <w:r w:rsidR="002206A3">
        <w:rPr>
          <w:rFonts w:asciiTheme="minorHAnsi" w:hAnsiTheme="minorHAnsi" w:cstheme="minorHAnsi"/>
          <w:lang w:val="en-US"/>
        </w:rPr>
        <w:t>working mother</w:t>
      </w:r>
      <w:r w:rsidRPr="00071D59">
        <w:rPr>
          <w:rFonts w:asciiTheme="minorHAnsi" w:hAnsiTheme="minorHAnsi" w:cstheme="minorHAnsi"/>
          <w:lang w:val="en-US"/>
        </w:rPr>
        <w:t xml:space="preserve"> </w:t>
      </w:r>
    </w:p>
    <w:p w:rsidR="00071D59" w:rsidRPr="00071D59" w:rsidRDefault="00D44EE9" w:rsidP="00071D59">
      <w:pPr>
        <w:spacing w:after="0" w:line="240" w:lineRule="auto"/>
        <w:contextualSpacing/>
        <w:jc w:val="both"/>
        <w:rPr>
          <w:rFonts w:asciiTheme="minorHAnsi" w:hAnsiTheme="minorHAnsi" w:cstheme="minorHAnsi"/>
          <w:lang w:val="en-US"/>
        </w:rPr>
      </w:pPr>
      <m:oMath>
        <m:acc>
          <m:accPr>
            <m:ctrlPr>
              <w:rPr>
                <w:rFonts w:ascii="Cambria Math" w:hAnsi="Cambria Math" w:cstheme="minorHAnsi"/>
                <w:lang w:val="en-US"/>
              </w:rPr>
            </m:ctrlPr>
          </m:accPr>
          <m:e>
            <m:r>
              <m:rPr>
                <m:sty m:val="p"/>
              </m:rPr>
              <w:rPr>
                <w:rFonts w:ascii="Cambria Math" w:hAnsi="Cambria Math" w:cstheme="minorHAnsi"/>
                <w:lang w:val="en-US"/>
              </w:rPr>
              <m:t>Y</m:t>
            </m:r>
          </m:e>
        </m:acc>
      </m:oMath>
      <w:r w:rsidR="002D3D70" w:rsidRPr="00071D59">
        <w:rPr>
          <w:rFonts w:asciiTheme="minorHAnsi" w:hAnsiTheme="minorHAnsi" w:cstheme="minorHAnsi"/>
          <w:vertAlign w:val="subscript"/>
          <w:lang w:val="en-US"/>
        </w:rPr>
        <w:t>i</w:t>
      </w:r>
      <w:r w:rsidR="002D3D70" w:rsidRPr="00071D59">
        <w:rPr>
          <w:rFonts w:asciiTheme="minorHAnsi" w:hAnsiTheme="minorHAnsi" w:cstheme="minorHAnsi"/>
          <w:lang w:val="en-US"/>
        </w:rPr>
        <w:t xml:space="preserve"> =  β</w:t>
      </w:r>
      <w:r w:rsidR="002D3D70" w:rsidRPr="00071D59">
        <w:rPr>
          <w:rFonts w:asciiTheme="minorHAnsi" w:hAnsiTheme="minorHAnsi" w:cstheme="minorHAnsi"/>
          <w:vertAlign w:val="subscript"/>
          <w:lang w:val="en-US"/>
        </w:rPr>
        <w:t xml:space="preserve">0 </w:t>
      </w:r>
      <w:r w:rsidR="002D3D70" w:rsidRPr="00071D59">
        <w:rPr>
          <w:rFonts w:asciiTheme="minorHAnsi" w:hAnsiTheme="minorHAnsi" w:cstheme="minorHAnsi"/>
          <w:lang w:val="en-US"/>
        </w:rPr>
        <w:t>+ β 1</w:t>
      </w:r>
      <w:r w:rsidR="002D3D70" w:rsidRPr="00071D59">
        <w:rPr>
          <w:rFonts w:asciiTheme="minorHAnsi" w:hAnsiTheme="minorHAnsi" w:cstheme="minorHAnsi"/>
          <w:vertAlign w:val="subscript"/>
          <w:lang w:val="en-US"/>
        </w:rPr>
        <w:t xml:space="preserve">1 </w:t>
      </w:r>
      <w:r w:rsidR="002D3D70" w:rsidRPr="00071D59">
        <w:rPr>
          <w:rFonts w:asciiTheme="minorHAnsi" w:hAnsiTheme="minorHAnsi" w:cstheme="minorHAnsi"/>
          <w:lang w:val="en-US"/>
        </w:rPr>
        <w:t>X1</w:t>
      </w:r>
      <w:r w:rsidR="002D3D70" w:rsidRPr="00071D59">
        <w:rPr>
          <w:rFonts w:asciiTheme="minorHAnsi" w:hAnsiTheme="minorHAnsi" w:cstheme="minorHAnsi"/>
          <w:vertAlign w:val="subscript"/>
          <w:lang w:val="en-US"/>
        </w:rPr>
        <w:t>2i</w:t>
      </w:r>
      <w:r w:rsidR="002D3D70" w:rsidRPr="00071D59">
        <w:rPr>
          <w:rFonts w:asciiTheme="minorHAnsi" w:hAnsiTheme="minorHAnsi" w:cstheme="minorHAnsi"/>
          <w:lang w:val="en-US"/>
        </w:rPr>
        <w:t xml:space="preserve"> +β</w:t>
      </w:r>
      <w:r w:rsidR="002D3D70" w:rsidRPr="00071D59">
        <w:rPr>
          <w:rFonts w:asciiTheme="minorHAnsi" w:hAnsiTheme="minorHAnsi" w:cstheme="minorHAnsi"/>
          <w:vertAlign w:val="subscript"/>
          <w:lang w:val="en-US"/>
        </w:rPr>
        <w:t xml:space="preserve">k </w:t>
      </w:r>
      <w:r w:rsidR="002D3D70" w:rsidRPr="00071D59">
        <w:rPr>
          <w:rFonts w:asciiTheme="minorHAnsi" w:hAnsiTheme="minorHAnsi" w:cstheme="minorHAnsi"/>
          <w:lang w:val="en-US"/>
        </w:rPr>
        <w:t>X</w:t>
      </w:r>
      <w:r w:rsidR="002D3D70" w:rsidRPr="00071D59">
        <w:rPr>
          <w:rFonts w:asciiTheme="minorHAnsi" w:hAnsiTheme="minorHAnsi" w:cstheme="minorHAnsi"/>
          <w:vertAlign w:val="subscript"/>
          <w:lang w:val="en-US"/>
        </w:rPr>
        <w:t>Ki</w:t>
      </w:r>
      <w:r w:rsidR="002D3D70" w:rsidRPr="00071D59">
        <w:rPr>
          <w:rFonts w:asciiTheme="minorHAnsi" w:hAnsiTheme="minorHAnsi" w:cstheme="minorHAnsi"/>
          <w:lang w:val="en-US"/>
        </w:rPr>
        <w:t xml:space="preserve">...........................................................(3) </w:t>
      </w:r>
    </w:p>
    <w:p w:rsidR="00071D59" w:rsidRPr="00071D59" w:rsidRDefault="002D3D70" w:rsidP="00071D59">
      <w:pPr>
        <w:spacing w:after="0" w:line="240" w:lineRule="auto"/>
        <w:contextualSpacing/>
        <w:jc w:val="both"/>
        <w:rPr>
          <w:rFonts w:asciiTheme="minorHAnsi" w:hAnsiTheme="minorHAnsi" w:cstheme="minorHAnsi"/>
          <w:lang w:val="en-US"/>
        </w:rPr>
      </w:pPr>
      <w:r w:rsidRPr="00D572C4">
        <w:rPr>
          <w:rFonts w:asciiTheme="minorHAnsi" w:hAnsiTheme="minorHAnsi" w:cstheme="minorHAnsi"/>
          <w:lang w:val="en-US"/>
        </w:rPr>
        <w:t>Information</w:t>
      </w:r>
      <w:r w:rsidRPr="00071D59">
        <w:rPr>
          <w:rFonts w:asciiTheme="minorHAnsi" w:hAnsiTheme="minorHAnsi" w:cstheme="minorHAnsi"/>
          <w:lang w:val="en-US"/>
        </w:rPr>
        <w:t>:</w:t>
      </w:r>
    </w:p>
    <w:p w:rsidR="00071D59" w:rsidRPr="00071D59" w:rsidRDefault="002D3D70" w:rsidP="00071D59">
      <w:pPr>
        <w:spacing w:after="0" w:line="240" w:lineRule="auto"/>
        <w:contextualSpacing/>
        <w:jc w:val="both"/>
        <w:rPr>
          <w:rFonts w:asciiTheme="minorHAnsi" w:hAnsiTheme="minorHAnsi" w:cstheme="minorHAnsi"/>
          <w:lang w:val="en-US"/>
        </w:rPr>
      </w:pPr>
      <w:r w:rsidRPr="00071D59">
        <w:rPr>
          <w:rFonts w:asciiTheme="minorHAnsi" w:hAnsiTheme="minorHAnsi" w:cstheme="minorHAnsi"/>
          <w:lang w:val="en-US"/>
        </w:rPr>
        <w:t>X1</w:t>
      </w:r>
      <w:r w:rsidRPr="00071D59">
        <w:rPr>
          <w:rFonts w:asciiTheme="minorHAnsi" w:hAnsiTheme="minorHAnsi" w:cstheme="minorHAnsi"/>
          <w:vertAlign w:val="subscript"/>
          <w:lang w:val="en-US"/>
        </w:rPr>
        <w:t>2</w:t>
      </w:r>
      <w:r w:rsidRPr="00071D59">
        <w:rPr>
          <w:rFonts w:asciiTheme="minorHAnsi" w:hAnsiTheme="minorHAnsi" w:cstheme="minorHAnsi"/>
          <w:lang w:val="en-US"/>
        </w:rPr>
        <w:tab/>
      </w:r>
      <w:r w:rsidRPr="00071D59">
        <w:rPr>
          <w:rFonts w:asciiTheme="minorHAnsi" w:hAnsiTheme="minorHAnsi" w:cstheme="minorHAnsi"/>
          <w:lang w:val="en-US"/>
        </w:rPr>
        <w:tab/>
        <w:t xml:space="preserve">= </w:t>
      </w:r>
      <w:r w:rsidR="00D572C4" w:rsidRPr="00D572C4">
        <w:rPr>
          <w:rFonts w:asciiTheme="minorHAnsi" w:hAnsiTheme="minorHAnsi" w:cstheme="minorHAnsi"/>
          <w:lang w:val="en-US"/>
        </w:rPr>
        <w:t xml:space="preserve">relative income of </w:t>
      </w:r>
      <w:r w:rsidR="002206A3">
        <w:rPr>
          <w:rFonts w:asciiTheme="minorHAnsi" w:hAnsiTheme="minorHAnsi" w:cstheme="minorHAnsi"/>
          <w:lang w:val="en-US"/>
        </w:rPr>
        <w:t>working mother</w:t>
      </w:r>
      <w:r w:rsidRPr="00071D59">
        <w:rPr>
          <w:rFonts w:asciiTheme="minorHAnsi" w:hAnsiTheme="minorHAnsi" w:cstheme="minorHAnsi"/>
          <w:lang w:val="en-US"/>
        </w:rPr>
        <w:t xml:space="preserve"> </w:t>
      </w:r>
    </w:p>
    <w:p w:rsidR="00B37F82" w:rsidRPr="00B37F82" w:rsidRDefault="00B37F82" w:rsidP="00071D59">
      <w:pPr>
        <w:spacing w:after="0" w:line="240" w:lineRule="auto"/>
        <w:contextualSpacing/>
        <w:jc w:val="both"/>
        <w:rPr>
          <w:rFonts w:asciiTheme="minorHAnsi" w:hAnsiTheme="minorHAnsi" w:cstheme="minorHAnsi"/>
          <w:lang w:val="en-US"/>
        </w:rPr>
      </w:pPr>
    </w:p>
    <w:p w:rsidR="00815805" w:rsidRPr="00815805" w:rsidRDefault="002D3D70" w:rsidP="00815805">
      <w:pPr>
        <w:spacing w:after="0" w:line="240" w:lineRule="auto"/>
        <w:ind w:firstLine="720"/>
        <w:jc w:val="both"/>
        <w:rPr>
          <w:rFonts w:asciiTheme="minorHAnsi" w:hAnsiTheme="minorHAnsi" w:cs="Times New Roman"/>
        </w:rPr>
      </w:pPr>
      <w:r w:rsidRPr="00815805">
        <w:rPr>
          <w:rFonts w:asciiTheme="minorHAnsi" w:hAnsiTheme="minorHAnsi" w:cstheme="minorHAnsi"/>
          <w:lang w:val="en-US"/>
        </w:rPr>
        <w:t xml:space="preserve">The test to determine the difference in the effect between relative education and the relative income of </w:t>
      </w:r>
      <w:r w:rsidR="002206A3">
        <w:rPr>
          <w:rFonts w:asciiTheme="minorHAnsi" w:hAnsiTheme="minorHAnsi" w:cstheme="minorHAnsi"/>
          <w:lang w:val="en-US"/>
        </w:rPr>
        <w:t>working mother</w:t>
      </w:r>
      <w:r w:rsidRPr="00815805">
        <w:rPr>
          <w:rFonts w:asciiTheme="minorHAnsi" w:hAnsiTheme="minorHAnsi" w:cstheme="minorHAnsi"/>
          <w:lang w:val="en-US"/>
        </w:rPr>
        <w:t xml:space="preserve"> on children's human capital in Indonesia is used the Chow-test. Chow-test is a tool to test the test for equality of coefficients or the coefficient similarity test and this test was found </w:t>
      </w:r>
      <w:r w:rsidRPr="0036667D">
        <w:rPr>
          <w:rFonts w:asciiTheme="minorHAnsi" w:hAnsiTheme="minorHAnsi" w:cstheme="minorHAnsi"/>
          <w:color w:val="000000" w:themeColor="text1"/>
          <w:lang w:val="en-US"/>
        </w:rPr>
        <w:t xml:space="preserve">by Gregory Chow. The Chow test can be used to detect whether there are differences between groups (Wooldridge, 2016: 246). The standard F test can be used for this purpose in an unlimited model that includes the interaction between the dummy group and all variables. </w:t>
      </w:r>
      <w:r w:rsidR="0036667D" w:rsidRPr="0036667D">
        <w:rPr>
          <w:rFonts w:asciiTheme="minorHAnsi" w:hAnsiTheme="minorHAnsi" w:cs="Times New Roman"/>
          <w:color w:val="000000" w:themeColor="text1"/>
        </w:rPr>
        <w:t xml:space="preserve">If the value of F count&gt; F table or if sig F &lt;0.1 then the null hypothesis is rejected and concludes that there is a different influence between the power of </w:t>
      </w:r>
      <w:r w:rsidR="002206A3">
        <w:rPr>
          <w:rFonts w:asciiTheme="minorHAnsi" w:hAnsiTheme="minorHAnsi" w:cs="Times New Roman"/>
          <w:color w:val="000000" w:themeColor="text1"/>
        </w:rPr>
        <w:t>working mother</w:t>
      </w:r>
      <w:r w:rsidR="0036667D" w:rsidRPr="0036667D">
        <w:rPr>
          <w:rFonts w:asciiTheme="minorHAnsi" w:hAnsiTheme="minorHAnsi" w:cs="Times New Roman"/>
          <w:color w:val="000000" w:themeColor="text1"/>
        </w:rPr>
        <w:t xml:space="preserve"> as proxied</w:t>
      </w:r>
      <w:r w:rsidR="0036667D" w:rsidRPr="0036667D">
        <w:rPr>
          <w:rFonts w:asciiTheme="minorHAnsi" w:hAnsiTheme="minorHAnsi" w:cs="Times New Roman"/>
        </w:rPr>
        <w:t xml:space="preserve"> by the relative education of </w:t>
      </w:r>
      <w:r w:rsidR="002206A3">
        <w:rPr>
          <w:rFonts w:asciiTheme="minorHAnsi" w:hAnsiTheme="minorHAnsi" w:cs="Times New Roman"/>
        </w:rPr>
        <w:t>working mother</w:t>
      </w:r>
      <w:r w:rsidR="0036667D" w:rsidRPr="0036667D">
        <w:rPr>
          <w:rFonts w:asciiTheme="minorHAnsi" w:hAnsiTheme="minorHAnsi" w:cs="Times New Roman"/>
        </w:rPr>
        <w:t xml:space="preserve"> and the relative income of </w:t>
      </w:r>
      <w:r w:rsidR="002206A3">
        <w:rPr>
          <w:rFonts w:asciiTheme="minorHAnsi" w:hAnsiTheme="minorHAnsi" w:cs="Times New Roman"/>
        </w:rPr>
        <w:t>working mother</w:t>
      </w:r>
      <w:r w:rsidR="0036667D" w:rsidRPr="0036667D">
        <w:rPr>
          <w:rFonts w:asciiTheme="minorHAnsi" w:hAnsiTheme="minorHAnsi" w:cs="Times New Roman"/>
        </w:rPr>
        <w:t xml:space="preserve"> on the human capital of children in Indonesia.</w:t>
      </w:r>
    </w:p>
    <w:p w:rsidR="00942B26" w:rsidRDefault="00942B26" w:rsidP="00942B26">
      <w:pPr>
        <w:spacing w:after="0" w:line="240" w:lineRule="auto"/>
        <w:contextualSpacing/>
        <w:jc w:val="both"/>
        <w:rPr>
          <w:rFonts w:ascii="Garamond" w:hAnsi="Garamond" w:cs="Calibri"/>
          <w:b/>
          <w:sz w:val="28"/>
          <w:lang w:val="en-US"/>
        </w:rPr>
      </w:pPr>
    </w:p>
    <w:p w:rsidR="00931778" w:rsidRPr="00985D9E" w:rsidRDefault="002D3D70" w:rsidP="00931778">
      <w:pPr>
        <w:pStyle w:val="DaftarParagraf"/>
        <w:spacing w:after="0" w:line="240" w:lineRule="auto"/>
        <w:ind w:left="0"/>
        <w:contextualSpacing w:val="0"/>
        <w:jc w:val="center"/>
        <w:rPr>
          <w:rFonts w:ascii="Garamond" w:hAnsi="Garamond" w:cs="Calibri"/>
          <w:b/>
          <w:sz w:val="28"/>
          <w:lang w:val="en-US"/>
        </w:rPr>
      </w:pPr>
      <w:r w:rsidRPr="00985D9E">
        <w:rPr>
          <w:rFonts w:ascii="Garamond" w:hAnsi="Garamond" w:cs="Calibri"/>
          <w:b/>
          <w:sz w:val="28"/>
          <w:lang w:val="en-US"/>
        </w:rPr>
        <w:t>Result and Discussion</w:t>
      </w:r>
    </w:p>
    <w:p w:rsidR="00931778" w:rsidRPr="0067000D" w:rsidRDefault="00931778" w:rsidP="00931778">
      <w:pPr>
        <w:pStyle w:val="DaftarParagraf"/>
        <w:spacing w:after="0" w:line="240" w:lineRule="auto"/>
        <w:ind w:left="0"/>
        <w:contextualSpacing w:val="0"/>
        <w:jc w:val="center"/>
        <w:rPr>
          <w:rFonts w:cs="Calibri"/>
          <w:b/>
          <w:sz w:val="20"/>
          <w:lang w:val="en-US"/>
        </w:rPr>
      </w:pPr>
    </w:p>
    <w:p w:rsidR="00894730" w:rsidRDefault="002D3D70" w:rsidP="00894730">
      <w:pPr>
        <w:pStyle w:val="DaftarParagraf"/>
        <w:spacing w:after="0" w:line="240" w:lineRule="auto"/>
        <w:ind w:left="0"/>
        <w:jc w:val="both"/>
        <w:rPr>
          <w:rFonts w:cs="Calibri"/>
          <w:lang w:val="en-US"/>
        </w:rPr>
      </w:pPr>
      <w:r w:rsidRPr="00701CA3">
        <w:rPr>
          <w:rFonts w:cs="Calibri"/>
          <w:lang w:val="en-US"/>
        </w:rPr>
        <w:t>Several studies that focus on the distribution of power in households to children's education include Klugman et al (2012), Wong (2012) where the distribution of power in household decision making, especially for women, has been shown to improve welfare by increasing human capital in the household.</w:t>
      </w:r>
      <w:r w:rsidRPr="00894730">
        <w:rPr>
          <w:rFonts w:cs="Calibri"/>
          <w:lang w:val="en-US"/>
        </w:rPr>
        <w:t xml:space="preserve"> </w:t>
      </w:r>
      <w:r w:rsidRPr="00701CA3">
        <w:rPr>
          <w:rFonts w:cs="Calibri"/>
          <w:lang w:val="en-US"/>
        </w:rPr>
        <w:t xml:space="preserve">From the IFLS wave, 4 data used in this study consisted of variables of relative income, relative education, location, PKH, age of </w:t>
      </w:r>
      <w:r w:rsidR="002206A3">
        <w:rPr>
          <w:rFonts w:cs="Calibri"/>
          <w:lang w:val="en-US"/>
        </w:rPr>
        <w:t>working mother</w:t>
      </w:r>
      <w:r w:rsidRPr="00701CA3">
        <w:rPr>
          <w:rFonts w:cs="Calibri"/>
          <w:lang w:val="en-US"/>
        </w:rPr>
        <w:t xml:space="preserve">, age of spouse, age of children, number of family members, birth order, child status. However, by making the test more restricted / the variable increases, namely the variables of assets and access, there is a decrease in the number of </w:t>
      </w:r>
      <w:r w:rsidRPr="00701CA3">
        <w:rPr>
          <w:rFonts w:cs="Calibri"/>
          <w:lang w:val="en-US"/>
        </w:rPr>
        <w:lastRenderedPageBreak/>
        <w:t xml:space="preserve">observations. In this study, 2,301 people were categorized as children, the average age of </w:t>
      </w:r>
      <w:r w:rsidR="002206A3">
        <w:rPr>
          <w:rFonts w:cs="Calibri"/>
          <w:lang w:val="en-US"/>
        </w:rPr>
        <w:t>working mother</w:t>
      </w:r>
      <w:r w:rsidRPr="00701CA3">
        <w:rPr>
          <w:rFonts w:cs="Calibri"/>
          <w:lang w:val="en-US"/>
        </w:rPr>
        <w:t xml:space="preserve"> was 37 years old.</w:t>
      </w:r>
    </w:p>
    <w:p w:rsidR="00894730" w:rsidRPr="00894730" w:rsidRDefault="00894730" w:rsidP="00894730">
      <w:pPr>
        <w:pStyle w:val="DaftarParagraf"/>
        <w:spacing w:after="0" w:line="240" w:lineRule="auto"/>
        <w:ind w:left="0"/>
        <w:jc w:val="both"/>
        <w:rPr>
          <w:rFonts w:cs="Calibri"/>
          <w:lang w:val="en-US"/>
        </w:rPr>
      </w:pPr>
    </w:p>
    <w:p w:rsidR="00894730" w:rsidRPr="00894730" w:rsidRDefault="002D3D70" w:rsidP="00894730">
      <w:pPr>
        <w:pStyle w:val="DaftarParagraf"/>
        <w:spacing w:line="240" w:lineRule="auto"/>
        <w:ind w:left="0"/>
        <w:jc w:val="both"/>
        <w:rPr>
          <w:rFonts w:cs="Calibri"/>
          <w:lang w:val="en-US"/>
        </w:rPr>
      </w:pPr>
      <w:r w:rsidRPr="00CF69FA">
        <w:rPr>
          <w:rFonts w:cs="Calibri"/>
          <w:lang w:val="en-US"/>
        </w:rPr>
        <w:t>Table 1 is a summary of the descriptive statistics of all variables used in this study. Educ_ar2014 is the human capital of children in Indonesia, namely children's education, measured by the number of years the child has studied. This variable is used as an outcome variable.</w:t>
      </w:r>
      <w:r w:rsidRPr="00894730">
        <w:rPr>
          <w:rFonts w:cs="Calibri"/>
          <w:lang w:val="en-US"/>
        </w:rPr>
        <w:t xml:space="preserve"> </w:t>
      </w:r>
      <w:r w:rsidRPr="00CF69FA">
        <w:rPr>
          <w:rFonts w:cs="Calibri"/>
          <w:lang w:val="en-US"/>
        </w:rPr>
        <w:t xml:space="preserve">Meanwhile, </w:t>
      </w:r>
      <w:r w:rsidR="002D0E05">
        <w:rPr>
          <w:rFonts w:cs="Calibri"/>
          <w:lang w:val="en-US"/>
        </w:rPr>
        <w:t>relative_educ</w:t>
      </w:r>
      <w:r w:rsidRPr="00CF69FA">
        <w:rPr>
          <w:rFonts w:cs="Calibri"/>
          <w:lang w:val="en-US"/>
        </w:rPr>
        <w:t xml:space="preserve"> and </w:t>
      </w:r>
      <w:r w:rsidR="002D0E05">
        <w:rPr>
          <w:rFonts w:cs="Calibri"/>
          <w:lang w:val="en-US"/>
        </w:rPr>
        <w:t>relative_income</w:t>
      </w:r>
      <w:r w:rsidRPr="00CF69FA">
        <w:rPr>
          <w:rFonts w:cs="Calibri"/>
          <w:lang w:val="en-US"/>
        </w:rPr>
        <w:t xml:space="preserve"> are the projected impact of </w:t>
      </w:r>
      <w:r w:rsidR="002206A3">
        <w:rPr>
          <w:rFonts w:cs="Calibri"/>
          <w:lang w:val="en-US"/>
        </w:rPr>
        <w:t>working mother</w:t>
      </w:r>
      <w:r w:rsidRPr="00CF69FA">
        <w:rPr>
          <w:rFonts w:cs="Calibri"/>
          <w:lang w:val="en-US"/>
        </w:rPr>
        <w:t xml:space="preserve">'s power with the relative education of </w:t>
      </w:r>
      <w:r w:rsidR="002206A3">
        <w:rPr>
          <w:rFonts w:cs="Calibri"/>
          <w:lang w:val="en-US"/>
        </w:rPr>
        <w:t>working mother</w:t>
      </w:r>
      <w:r w:rsidRPr="00CF69FA">
        <w:rPr>
          <w:rFonts w:cs="Calibri"/>
          <w:lang w:val="en-US"/>
        </w:rPr>
        <w:t xml:space="preserve"> against their partners and the relative income of women working towards their partners and include several indicators that are used to control the impact of women's power at work on children's human capital in Indonesia.</w:t>
      </w:r>
    </w:p>
    <w:p w:rsidR="009C3777" w:rsidRDefault="009C3777" w:rsidP="00F200DC">
      <w:pPr>
        <w:pStyle w:val="DaftarParagraf"/>
        <w:spacing w:line="240" w:lineRule="auto"/>
        <w:ind w:left="0"/>
        <w:jc w:val="both"/>
        <w:rPr>
          <w:rFonts w:cs="Calibri"/>
          <w:b/>
        </w:rPr>
      </w:pPr>
    </w:p>
    <w:p w:rsidR="00B37F82" w:rsidRPr="00F200DC" w:rsidRDefault="002D3D70" w:rsidP="00F200DC">
      <w:pPr>
        <w:pStyle w:val="DaftarParagraf"/>
        <w:spacing w:line="240" w:lineRule="auto"/>
        <w:ind w:left="0"/>
        <w:jc w:val="both"/>
        <w:rPr>
          <w:rFonts w:cs="Calibri"/>
          <w:b/>
          <w:i/>
          <w:lang w:val="en-US"/>
        </w:rPr>
      </w:pPr>
      <w:r>
        <w:rPr>
          <w:rFonts w:cs="Calibri"/>
          <w:b/>
        </w:rPr>
        <w:t>Table 1</w:t>
      </w:r>
      <w:r w:rsidRPr="00B37F82">
        <w:rPr>
          <w:rFonts w:cs="Calibri"/>
          <w:b/>
        </w:rPr>
        <w:t xml:space="preserve">.  </w:t>
      </w:r>
      <w:r w:rsidR="00777BE4" w:rsidRPr="00777BE4">
        <w:rPr>
          <w:rFonts w:cs="Calibri"/>
          <w:lang w:val="en-US"/>
        </w:rPr>
        <w:t>Descriptive statistics</w:t>
      </w:r>
    </w:p>
    <w:tbl>
      <w:tblPr>
        <w:tblW w:w="8120" w:type="dxa"/>
        <w:jc w:val="center"/>
        <w:tblLook w:val="04A0" w:firstRow="1" w:lastRow="0" w:firstColumn="1" w:lastColumn="0" w:noHBand="0" w:noVBand="1"/>
      </w:tblPr>
      <w:tblGrid>
        <w:gridCol w:w="1709"/>
        <w:gridCol w:w="45"/>
        <w:gridCol w:w="1223"/>
        <w:gridCol w:w="45"/>
        <w:gridCol w:w="1360"/>
        <w:gridCol w:w="317"/>
        <w:gridCol w:w="68"/>
        <w:gridCol w:w="1023"/>
        <w:gridCol w:w="111"/>
        <w:gridCol w:w="229"/>
        <w:gridCol w:w="1053"/>
        <w:gridCol w:w="213"/>
        <w:gridCol w:w="724"/>
      </w:tblGrid>
      <w:tr w:rsidR="002D0E05" w:rsidTr="002D0E05">
        <w:trPr>
          <w:trHeight w:val="440"/>
          <w:jc w:val="center"/>
        </w:trPr>
        <w:tc>
          <w:tcPr>
            <w:tcW w:w="1709" w:type="dxa"/>
            <w:tcBorders>
              <w:top w:val="single" w:sz="4" w:space="0" w:color="auto"/>
              <w:left w:val="nil"/>
              <w:bottom w:val="single" w:sz="4" w:space="0" w:color="auto"/>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Variable</w:t>
            </w:r>
          </w:p>
        </w:tc>
        <w:tc>
          <w:tcPr>
            <w:tcW w:w="1268" w:type="dxa"/>
            <w:gridSpan w:val="2"/>
            <w:tcBorders>
              <w:top w:val="single" w:sz="4" w:space="0" w:color="auto"/>
              <w:left w:val="nil"/>
              <w:bottom w:val="single" w:sz="4" w:space="0" w:color="auto"/>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Obs</w:t>
            </w:r>
          </w:p>
        </w:tc>
        <w:tc>
          <w:tcPr>
            <w:tcW w:w="1405" w:type="dxa"/>
            <w:gridSpan w:val="2"/>
            <w:tcBorders>
              <w:top w:val="single" w:sz="4" w:space="0" w:color="auto"/>
              <w:left w:val="nil"/>
              <w:bottom w:val="single" w:sz="4" w:space="0" w:color="auto"/>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Mean</w:t>
            </w:r>
          </w:p>
        </w:tc>
        <w:tc>
          <w:tcPr>
            <w:tcW w:w="1748" w:type="dxa"/>
            <w:gridSpan w:val="5"/>
            <w:tcBorders>
              <w:top w:val="single" w:sz="4" w:space="0" w:color="auto"/>
              <w:left w:val="nil"/>
              <w:bottom w:val="single" w:sz="4" w:space="0" w:color="auto"/>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std. dev.</w:t>
            </w:r>
          </w:p>
        </w:tc>
        <w:tc>
          <w:tcPr>
            <w:tcW w:w="1053" w:type="dxa"/>
            <w:tcBorders>
              <w:top w:val="single" w:sz="4" w:space="0" w:color="auto"/>
              <w:left w:val="nil"/>
              <w:bottom w:val="single" w:sz="4" w:space="0" w:color="auto"/>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Min</w:t>
            </w:r>
          </w:p>
        </w:tc>
        <w:tc>
          <w:tcPr>
            <w:tcW w:w="937" w:type="dxa"/>
            <w:gridSpan w:val="2"/>
            <w:tcBorders>
              <w:top w:val="single" w:sz="4" w:space="0" w:color="auto"/>
              <w:left w:val="nil"/>
              <w:bottom w:val="single" w:sz="4" w:space="0" w:color="auto"/>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Max</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Human Capital</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3.6</w:t>
            </w:r>
            <w:r w:rsidRPr="00894730">
              <w:rPr>
                <w:rFonts w:asciiTheme="minorHAnsi" w:eastAsia="Times New Roman" w:hAnsiTheme="minorHAnsi" w:cstheme="minorHAnsi"/>
                <w:color w:val="000000"/>
                <w:lang w:val="en-US"/>
              </w:rPr>
              <w:t>7</w:t>
            </w:r>
            <w:r>
              <w:rPr>
                <w:rFonts w:asciiTheme="minorHAnsi" w:eastAsia="Times New Roman" w:hAnsiTheme="minorHAnsi" w:cstheme="minorHAnsi"/>
                <w:color w:val="000000"/>
                <w:lang w:val="en-US"/>
              </w:rPr>
              <w:t>7707</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2.4</w:t>
            </w:r>
            <w:r>
              <w:rPr>
                <w:rFonts w:asciiTheme="minorHAnsi" w:eastAsia="Times New Roman" w:hAnsiTheme="minorHAnsi" w:cstheme="minorHAnsi"/>
                <w:color w:val="000000"/>
                <w:lang w:val="en-US"/>
              </w:rPr>
              <w:t>75743</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11</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Relative_Educ</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w:t>
            </w:r>
            <w:r w:rsidR="006C24C0">
              <w:rPr>
                <w:rFonts w:asciiTheme="minorHAnsi" w:eastAsia="Times New Roman" w:hAnsiTheme="minorHAnsi" w:cstheme="minorHAnsi"/>
                <w:color w:val="000000"/>
                <w:lang w:val="en-US"/>
              </w:rPr>
              <w:t>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1.22</w:t>
            </w:r>
            <w:r>
              <w:rPr>
                <w:rFonts w:asciiTheme="minorHAnsi" w:eastAsia="Times New Roman" w:hAnsiTheme="minorHAnsi" w:cstheme="minorHAnsi"/>
                <w:color w:val="000000"/>
                <w:lang w:val="en-US"/>
              </w:rPr>
              <w:t>0171</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w:t>
            </w:r>
            <w:r>
              <w:rPr>
                <w:rFonts w:asciiTheme="minorHAnsi" w:eastAsia="Times New Roman" w:hAnsiTheme="minorHAnsi" w:cstheme="minorHAnsi"/>
                <w:color w:val="000000"/>
                <w:lang w:val="en-US"/>
              </w:rPr>
              <w:t>090919</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.0833333</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12</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Relative_Income</w:t>
            </w:r>
          </w:p>
        </w:tc>
        <w:tc>
          <w:tcPr>
            <w:tcW w:w="1268" w:type="dxa"/>
            <w:gridSpan w:val="2"/>
            <w:tcBorders>
              <w:top w:val="nil"/>
              <w:left w:val="nil"/>
              <w:bottom w:val="nil"/>
              <w:right w:val="nil"/>
            </w:tcBorders>
            <w:shd w:val="clear" w:color="auto" w:fill="auto"/>
            <w:noWrap/>
            <w:vAlign w:val="center"/>
            <w:hideMark/>
          </w:tcPr>
          <w:p w:rsidR="002D0E05" w:rsidRPr="00894730" w:rsidRDefault="006C24C0"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2.355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21.</w:t>
            </w:r>
            <w:r>
              <w:rPr>
                <w:rFonts w:asciiTheme="minorHAnsi" w:eastAsia="Times New Roman" w:hAnsiTheme="minorHAnsi" w:cstheme="minorHAnsi"/>
                <w:color w:val="000000"/>
                <w:lang w:val="en-US"/>
              </w:rPr>
              <w:t>49927</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25.</w:t>
            </w:r>
            <w:r>
              <w:rPr>
                <w:rFonts w:asciiTheme="minorHAnsi" w:eastAsia="Times New Roman" w:hAnsiTheme="minorHAnsi" w:cstheme="minorHAnsi"/>
                <w:color w:val="000000"/>
                <w:lang w:val="en-US"/>
              </w:rPr>
              <w:t>9138</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100</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 xml:space="preserve">Location </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.50</w:t>
            </w:r>
            <w:r>
              <w:rPr>
                <w:rFonts w:asciiTheme="minorHAnsi" w:eastAsia="Times New Roman" w:hAnsiTheme="minorHAnsi" w:cstheme="minorHAnsi"/>
                <w:color w:val="000000"/>
                <w:lang w:val="en-US"/>
              </w:rPr>
              <w:t>27601</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.500</w:t>
            </w:r>
            <w:r>
              <w:rPr>
                <w:rFonts w:asciiTheme="minorHAnsi" w:eastAsia="Times New Roman" w:hAnsiTheme="minorHAnsi" w:cstheme="minorHAnsi"/>
                <w:color w:val="000000"/>
                <w:lang w:val="en-US"/>
              </w:rPr>
              <w:t>0986</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w:t>
            </w:r>
          </w:p>
        </w:tc>
      </w:tr>
      <w:tr w:rsidR="002D0E05" w:rsidTr="002D0E05">
        <w:trPr>
          <w:trHeight w:val="440"/>
          <w:jc w:val="center"/>
        </w:trPr>
        <w:tc>
          <w:tcPr>
            <w:tcW w:w="8120" w:type="dxa"/>
            <w:gridSpan w:val="13"/>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variable dummy (</w:t>
            </w:r>
            <w:r w:rsidRPr="00BD18CB">
              <w:rPr>
                <w:rFonts w:asciiTheme="minorHAnsi" w:eastAsia="Times New Roman" w:hAnsiTheme="minorHAnsi" w:cstheme="minorHAnsi"/>
                <w:color w:val="000000"/>
                <w:lang w:val="en-US"/>
              </w:rPr>
              <w:t xml:space="preserve">1 </w:t>
            </w:r>
            <w:r>
              <w:rPr>
                <w:rFonts w:asciiTheme="minorHAnsi" w:eastAsia="Times New Roman" w:hAnsiTheme="minorHAnsi" w:cstheme="minorHAnsi"/>
                <w:color w:val="000000"/>
                <w:lang w:val="en-US"/>
              </w:rPr>
              <w:t>for urban</w:t>
            </w:r>
            <w:r w:rsidRPr="00BD18CB">
              <w:rPr>
                <w:rFonts w:asciiTheme="minorHAnsi" w:eastAsia="Times New Roman" w:hAnsiTheme="minorHAnsi" w:cstheme="minorHAnsi"/>
                <w:color w:val="000000"/>
                <w:lang w:val="en-US"/>
              </w:rPr>
              <w:t xml:space="preserve">, 0 </w:t>
            </w:r>
            <w:r>
              <w:rPr>
                <w:rFonts w:asciiTheme="minorHAnsi" w:eastAsia="Times New Roman" w:hAnsiTheme="minorHAnsi" w:cstheme="minorHAnsi"/>
                <w:color w:val="000000"/>
                <w:lang w:val="en-US"/>
              </w:rPr>
              <w:t>for others</w:t>
            </w:r>
            <w:r w:rsidRPr="00894730">
              <w:rPr>
                <w:rFonts w:asciiTheme="minorHAnsi" w:eastAsia="Times New Roman" w:hAnsiTheme="minorHAnsi" w:cstheme="minorHAnsi"/>
                <w:color w:val="000000"/>
                <w:lang w:val="en-US"/>
              </w:rPr>
              <w:t>)</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Blsm</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.16</w:t>
            </w:r>
            <w:r>
              <w:rPr>
                <w:rFonts w:asciiTheme="minorHAnsi" w:eastAsia="Times New Roman" w:hAnsiTheme="minorHAnsi" w:cstheme="minorHAnsi"/>
                <w:color w:val="000000"/>
                <w:lang w:val="en-US"/>
              </w:rPr>
              <w:t>26327</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.36</w:t>
            </w:r>
            <w:r>
              <w:rPr>
                <w:rFonts w:asciiTheme="minorHAnsi" w:eastAsia="Times New Roman" w:hAnsiTheme="minorHAnsi" w:cstheme="minorHAnsi"/>
                <w:color w:val="000000"/>
                <w:lang w:val="en-US"/>
              </w:rPr>
              <w:t>91086</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w:t>
            </w:r>
          </w:p>
        </w:tc>
      </w:tr>
      <w:tr w:rsidR="002D0E05" w:rsidTr="002D0E05">
        <w:trPr>
          <w:trHeight w:val="440"/>
          <w:jc w:val="center"/>
        </w:trPr>
        <w:tc>
          <w:tcPr>
            <w:tcW w:w="8120" w:type="dxa"/>
            <w:gridSpan w:val="13"/>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 xml:space="preserve">variabel dummy (1 </w:t>
            </w:r>
            <w:r>
              <w:rPr>
                <w:rFonts w:asciiTheme="minorHAnsi" w:eastAsia="Times New Roman" w:hAnsiTheme="minorHAnsi" w:cstheme="minorHAnsi"/>
                <w:color w:val="000000"/>
                <w:lang w:val="en-US"/>
              </w:rPr>
              <w:t>for BLSM recipient</w:t>
            </w:r>
            <w:r w:rsidRPr="00894730">
              <w:rPr>
                <w:rFonts w:asciiTheme="minorHAnsi" w:eastAsia="Times New Roman" w:hAnsiTheme="minorHAnsi" w:cstheme="minorHAnsi"/>
                <w:color w:val="000000"/>
                <w:lang w:val="en-US"/>
              </w:rPr>
              <w:t xml:space="preserve">, 0 </w:t>
            </w:r>
            <w:r>
              <w:rPr>
                <w:rFonts w:asciiTheme="minorHAnsi" w:eastAsia="Times New Roman" w:hAnsiTheme="minorHAnsi" w:cstheme="minorHAnsi"/>
                <w:color w:val="000000"/>
                <w:lang w:val="en-US"/>
              </w:rPr>
              <w:t>for others</w:t>
            </w:r>
            <w:r w:rsidRPr="00894730">
              <w:rPr>
                <w:rFonts w:asciiTheme="minorHAnsi" w:eastAsia="Times New Roman" w:hAnsiTheme="minorHAnsi" w:cstheme="minorHAnsi"/>
                <w:color w:val="000000"/>
                <w:lang w:val="en-US"/>
              </w:rPr>
              <w:t>)</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Pkh</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.04</w:t>
            </w:r>
            <w:r>
              <w:rPr>
                <w:rFonts w:asciiTheme="minorHAnsi" w:eastAsia="Times New Roman" w:hAnsiTheme="minorHAnsi" w:cstheme="minorHAnsi"/>
                <w:color w:val="000000"/>
                <w:lang w:val="en-US"/>
              </w:rPr>
              <w:t>54352</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.20</w:t>
            </w:r>
            <w:r>
              <w:rPr>
                <w:rFonts w:asciiTheme="minorHAnsi" w:eastAsia="Times New Roman" w:hAnsiTheme="minorHAnsi" w:cstheme="minorHAnsi"/>
                <w:color w:val="000000"/>
                <w:lang w:val="en-US"/>
              </w:rPr>
              <w:t>8301</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w:t>
            </w:r>
          </w:p>
        </w:tc>
      </w:tr>
      <w:tr w:rsidR="002D0E05" w:rsidTr="002D0E05">
        <w:trPr>
          <w:trHeight w:val="440"/>
          <w:jc w:val="center"/>
        </w:trPr>
        <w:tc>
          <w:tcPr>
            <w:tcW w:w="8120" w:type="dxa"/>
            <w:gridSpan w:val="13"/>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 xml:space="preserve">variabel dummy (1 </w:t>
            </w:r>
            <w:r>
              <w:rPr>
                <w:rFonts w:asciiTheme="minorHAnsi" w:eastAsia="Times New Roman" w:hAnsiTheme="minorHAnsi" w:cstheme="minorHAnsi"/>
                <w:color w:val="000000"/>
                <w:lang w:val="en-US"/>
              </w:rPr>
              <w:t>for PKH recipients</w:t>
            </w:r>
            <w:r w:rsidRPr="00894730">
              <w:rPr>
                <w:rFonts w:asciiTheme="minorHAnsi" w:eastAsia="Times New Roman" w:hAnsiTheme="minorHAnsi" w:cstheme="minorHAnsi"/>
                <w:color w:val="000000"/>
                <w:lang w:val="en-US"/>
              </w:rPr>
              <w:t xml:space="preserve">, 0 </w:t>
            </w:r>
            <w:r>
              <w:rPr>
                <w:rFonts w:asciiTheme="minorHAnsi" w:eastAsia="Times New Roman" w:hAnsiTheme="minorHAnsi" w:cstheme="minorHAnsi"/>
                <w:color w:val="000000"/>
                <w:lang w:val="en-US"/>
              </w:rPr>
              <w:t>others</w:t>
            </w:r>
            <w:r w:rsidRPr="00894730">
              <w:rPr>
                <w:rFonts w:asciiTheme="minorHAnsi" w:eastAsia="Times New Roman" w:hAnsiTheme="minorHAnsi" w:cstheme="minorHAnsi"/>
                <w:color w:val="000000"/>
                <w:lang w:val="en-US"/>
              </w:rPr>
              <w:t>)</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Blt</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.17</w:t>
            </w:r>
            <w:r>
              <w:rPr>
                <w:rFonts w:asciiTheme="minorHAnsi" w:eastAsia="Times New Roman" w:hAnsiTheme="minorHAnsi" w:cstheme="minorHAnsi"/>
                <w:color w:val="000000"/>
                <w:lang w:val="en-US"/>
              </w:rPr>
              <w:t>57962</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.380</w:t>
            </w:r>
            <w:r>
              <w:rPr>
                <w:rFonts w:asciiTheme="minorHAnsi" w:eastAsia="Times New Roman" w:hAnsiTheme="minorHAnsi" w:cstheme="minorHAnsi"/>
                <w:color w:val="000000"/>
                <w:lang w:val="en-US"/>
              </w:rPr>
              <w:t>7275</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w:t>
            </w:r>
          </w:p>
        </w:tc>
      </w:tr>
      <w:tr w:rsidR="002D0E05" w:rsidTr="002D0E05">
        <w:trPr>
          <w:trHeight w:val="440"/>
          <w:jc w:val="center"/>
        </w:trPr>
        <w:tc>
          <w:tcPr>
            <w:tcW w:w="8120" w:type="dxa"/>
            <w:gridSpan w:val="13"/>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 xml:space="preserve">variable dummy (1 </w:t>
            </w:r>
            <w:r>
              <w:rPr>
                <w:rFonts w:asciiTheme="minorHAnsi" w:eastAsia="Times New Roman" w:hAnsiTheme="minorHAnsi" w:cstheme="minorHAnsi"/>
                <w:color w:val="000000"/>
                <w:lang w:val="en-US"/>
              </w:rPr>
              <w:t>for BLT recipients</w:t>
            </w:r>
            <w:r w:rsidRPr="00894730">
              <w:rPr>
                <w:rFonts w:asciiTheme="minorHAnsi" w:eastAsia="Times New Roman" w:hAnsiTheme="minorHAnsi" w:cstheme="minorHAnsi"/>
                <w:color w:val="000000"/>
                <w:lang w:val="en-US"/>
              </w:rPr>
              <w:t xml:space="preserve">, 0 </w:t>
            </w:r>
            <w:r>
              <w:rPr>
                <w:rFonts w:asciiTheme="minorHAnsi" w:eastAsia="Times New Roman" w:hAnsiTheme="minorHAnsi" w:cstheme="minorHAnsi"/>
                <w:color w:val="000000"/>
                <w:lang w:val="en-US"/>
              </w:rPr>
              <w:t>for others</w:t>
            </w:r>
            <w:r w:rsidRPr="00894730">
              <w:rPr>
                <w:rFonts w:asciiTheme="minorHAnsi" w:eastAsia="Times New Roman" w:hAnsiTheme="minorHAnsi" w:cstheme="minorHAnsi"/>
                <w:color w:val="000000"/>
                <w:lang w:val="en-US"/>
              </w:rPr>
              <w:t>)</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Women’s Age</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37.</w:t>
            </w:r>
            <w:r>
              <w:rPr>
                <w:rFonts w:asciiTheme="minorHAnsi" w:eastAsia="Times New Roman" w:hAnsiTheme="minorHAnsi" w:cstheme="minorHAnsi"/>
                <w:color w:val="000000"/>
                <w:lang w:val="en-US"/>
              </w:rPr>
              <w:t>2259</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6.52</w:t>
            </w:r>
            <w:r>
              <w:rPr>
                <w:rFonts w:asciiTheme="minorHAnsi" w:eastAsia="Times New Roman" w:hAnsiTheme="minorHAnsi" w:cstheme="minorHAnsi"/>
                <w:color w:val="000000"/>
                <w:lang w:val="en-US"/>
              </w:rPr>
              <w:t>9126</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21</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67</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Partner’s Age</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w:t>
            </w:r>
            <w:r w:rsidR="006C24C0">
              <w:rPr>
                <w:rFonts w:asciiTheme="minorHAnsi" w:eastAsia="Times New Roman" w:hAnsiTheme="minorHAnsi" w:cstheme="minorHAnsi"/>
                <w:color w:val="000000"/>
                <w:lang w:val="en-US"/>
              </w:rPr>
              <w:t>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41.</w:t>
            </w:r>
            <w:r>
              <w:rPr>
                <w:rFonts w:asciiTheme="minorHAnsi" w:eastAsia="Times New Roman" w:hAnsiTheme="minorHAnsi" w:cstheme="minorHAnsi"/>
                <w:color w:val="000000"/>
                <w:lang w:val="en-US"/>
              </w:rPr>
              <w:t>7617</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7.4</w:t>
            </w:r>
            <w:r>
              <w:rPr>
                <w:rFonts w:asciiTheme="minorHAnsi" w:eastAsia="Times New Roman" w:hAnsiTheme="minorHAnsi" w:cstheme="minorHAnsi"/>
                <w:color w:val="000000"/>
                <w:lang w:val="en-US"/>
              </w:rPr>
              <w:t>40428</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24</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79</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 xml:space="preserve">Children’s </w:t>
            </w:r>
            <w:r w:rsidRPr="00894730">
              <w:rPr>
                <w:rFonts w:asciiTheme="minorHAnsi" w:eastAsia="Times New Roman" w:hAnsiTheme="minorHAnsi" w:cstheme="minorHAnsi"/>
                <w:color w:val="000000"/>
                <w:lang w:val="en-US"/>
              </w:rPr>
              <w:t>Age</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10.06</w:t>
            </w:r>
            <w:r>
              <w:rPr>
                <w:rFonts w:asciiTheme="minorHAnsi" w:eastAsia="Times New Roman" w:hAnsiTheme="minorHAnsi" w:cstheme="minorHAnsi"/>
                <w:color w:val="000000"/>
                <w:lang w:val="en-US"/>
              </w:rPr>
              <w:t>879</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2.4</w:t>
            </w:r>
            <w:r>
              <w:rPr>
                <w:rFonts w:asciiTheme="minorHAnsi" w:eastAsia="Times New Roman" w:hAnsiTheme="minorHAnsi" w:cstheme="minorHAnsi"/>
                <w:color w:val="000000"/>
                <w:lang w:val="en-US"/>
              </w:rPr>
              <w:t>67706</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6</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14</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hhsize1</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4.77</w:t>
            </w:r>
            <w:r>
              <w:rPr>
                <w:rFonts w:asciiTheme="minorHAnsi" w:eastAsia="Times New Roman" w:hAnsiTheme="minorHAnsi" w:cstheme="minorHAnsi"/>
                <w:color w:val="000000"/>
                <w:lang w:val="en-US"/>
              </w:rPr>
              <w:t>8344</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1.32</w:t>
            </w:r>
            <w:r>
              <w:rPr>
                <w:rFonts w:asciiTheme="minorHAnsi" w:eastAsia="Times New Roman" w:hAnsiTheme="minorHAnsi" w:cstheme="minorHAnsi"/>
                <w:color w:val="000000"/>
                <w:lang w:val="en-US"/>
              </w:rPr>
              <w:t>621</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3</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13</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Birth Order</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1.5</w:t>
            </w:r>
            <w:r>
              <w:rPr>
                <w:rFonts w:asciiTheme="minorHAnsi" w:eastAsia="Times New Roman" w:hAnsiTheme="minorHAnsi" w:cstheme="minorHAnsi"/>
                <w:color w:val="000000"/>
                <w:lang w:val="en-US"/>
              </w:rPr>
              <w:t>12527</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.7</w:t>
            </w:r>
            <w:r>
              <w:rPr>
                <w:rFonts w:asciiTheme="minorHAnsi" w:eastAsia="Times New Roman" w:hAnsiTheme="minorHAnsi" w:cstheme="minorHAnsi"/>
                <w:color w:val="000000"/>
                <w:lang w:val="en-US"/>
              </w:rPr>
              <w:t>105171</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6</w:t>
            </w:r>
          </w:p>
        </w:tc>
      </w:tr>
      <w:tr w:rsidR="002D0E05" w:rsidTr="002D0E05">
        <w:trPr>
          <w:trHeight w:val="440"/>
          <w:jc w:val="center"/>
        </w:trPr>
        <w:tc>
          <w:tcPr>
            <w:tcW w:w="1709"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Biological</w:t>
            </w:r>
          </w:p>
        </w:tc>
        <w:tc>
          <w:tcPr>
            <w:tcW w:w="1268"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405"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.9</w:t>
            </w:r>
            <w:r>
              <w:rPr>
                <w:rFonts w:asciiTheme="minorHAnsi" w:eastAsia="Times New Roman" w:hAnsiTheme="minorHAnsi" w:cstheme="minorHAnsi"/>
                <w:color w:val="000000"/>
                <w:lang w:val="en-US"/>
              </w:rPr>
              <w:t>774947</w:t>
            </w:r>
          </w:p>
        </w:tc>
        <w:tc>
          <w:tcPr>
            <w:tcW w:w="1748" w:type="dxa"/>
            <w:gridSpan w:val="5"/>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w:t>
            </w:r>
            <w:r>
              <w:rPr>
                <w:rFonts w:asciiTheme="minorHAnsi" w:eastAsia="Times New Roman" w:hAnsiTheme="minorHAnsi" w:cstheme="minorHAnsi"/>
                <w:color w:val="000000"/>
                <w:lang w:val="en-US"/>
              </w:rPr>
              <w:t>1483515</w:t>
            </w:r>
          </w:p>
        </w:tc>
        <w:tc>
          <w:tcPr>
            <w:tcW w:w="1053" w:type="dxa"/>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w:t>
            </w:r>
          </w:p>
        </w:tc>
        <w:tc>
          <w:tcPr>
            <w:tcW w:w="937" w:type="dxa"/>
            <w:gridSpan w:val="2"/>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w:t>
            </w:r>
          </w:p>
        </w:tc>
      </w:tr>
      <w:tr w:rsidR="002D0E05" w:rsidTr="002D0E05">
        <w:trPr>
          <w:trHeight w:val="440"/>
          <w:jc w:val="center"/>
        </w:trPr>
        <w:tc>
          <w:tcPr>
            <w:tcW w:w="8120" w:type="dxa"/>
            <w:gridSpan w:val="13"/>
            <w:tcBorders>
              <w:top w:val="nil"/>
              <w:left w:val="nil"/>
              <w:bottom w:val="nil"/>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variable dummy (</w:t>
            </w:r>
            <w:r w:rsidRPr="00213059">
              <w:rPr>
                <w:rFonts w:asciiTheme="minorHAnsi" w:eastAsia="Times New Roman" w:hAnsiTheme="minorHAnsi" w:cstheme="minorHAnsi"/>
                <w:color w:val="000000"/>
                <w:lang w:val="en-US"/>
              </w:rPr>
              <w:t xml:space="preserve">1 for biological children, 0 </w:t>
            </w:r>
            <w:r>
              <w:rPr>
                <w:rFonts w:asciiTheme="minorHAnsi" w:eastAsia="Times New Roman" w:hAnsiTheme="minorHAnsi" w:cstheme="minorHAnsi"/>
                <w:color w:val="000000"/>
                <w:lang w:val="en-US"/>
              </w:rPr>
              <w:t>for others</w:t>
            </w:r>
            <w:r w:rsidRPr="00894730">
              <w:rPr>
                <w:rFonts w:asciiTheme="minorHAnsi" w:eastAsia="Times New Roman" w:hAnsiTheme="minorHAnsi" w:cstheme="minorHAnsi"/>
                <w:color w:val="000000"/>
                <w:lang w:val="en-US"/>
              </w:rPr>
              <w:t>)</w:t>
            </w:r>
          </w:p>
        </w:tc>
      </w:tr>
      <w:tr w:rsidR="002D0E05" w:rsidTr="002D0E05">
        <w:trPr>
          <w:trHeight w:val="417"/>
          <w:jc w:val="center"/>
        </w:trPr>
        <w:tc>
          <w:tcPr>
            <w:tcW w:w="1754" w:type="dxa"/>
            <w:gridSpan w:val="2"/>
            <w:tcBorders>
              <w:top w:val="nil"/>
              <w:left w:val="nil"/>
              <w:bottom w:val="nil"/>
              <w:right w:val="nil"/>
            </w:tcBorders>
            <w:shd w:val="clear" w:color="auto" w:fill="auto"/>
            <w:noWrap/>
            <w:vAlign w:val="bottom"/>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t xml:space="preserve">Asset </w:t>
            </w:r>
          </w:p>
        </w:tc>
        <w:tc>
          <w:tcPr>
            <w:tcW w:w="1268" w:type="dxa"/>
            <w:gridSpan w:val="2"/>
            <w:tcBorders>
              <w:top w:val="nil"/>
              <w:left w:val="nil"/>
              <w:bottom w:val="nil"/>
              <w:right w:val="nil"/>
            </w:tcBorders>
            <w:shd w:val="clear" w:color="auto" w:fill="auto"/>
            <w:vAlign w:val="bottom"/>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w:t>
            </w:r>
            <w:r w:rsidR="006C24C0">
              <w:rPr>
                <w:rFonts w:asciiTheme="minorHAnsi" w:eastAsia="Times New Roman" w:hAnsiTheme="minorHAnsi" w:cstheme="minorHAnsi"/>
                <w:color w:val="000000"/>
                <w:lang w:val="en-US"/>
              </w:rPr>
              <w:t>355</w:t>
            </w:r>
          </w:p>
        </w:tc>
        <w:tc>
          <w:tcPr>
            <w:tcW w:w="1677" w:type="dxa"/>
            <w:gridSpan w:val="2"/>
            <w:tcBorders>
              <w:top w:val="nil"/>
              <w:left w:val="nil"/>
              <w:bottom w:val="nil"/>
              <w:right w:val="nil"/>
            </w:tcBorders>
            <w:shd w:val="clear" w:color="auto" w:fill="auto"/>
            <w:vAlign w:val="bottom"/>
          </w:tcPr>
          <w:p w:rsidR="002D0E05" w:rsidRPr="00894730" w:rsidRDefault="002D0E05" w:rsidP="002D0E05">
            <w:pPr>
              <w:widowControl w:val="0"/>
              <w:autoSpaceDE w:val="0"/>
              <w:autoSpaceDN w:val="0"/>
              <w:spacing w:after="0" w:line="240" w:lineRule="auto"/>
              <w:ind w:firstLine="146"/>
              <w:rPr>
                <w:rFonts w:asciiTheme="minorHAnsi" w:eastAsia="Times New Roman" w:hAnsiTheme="minorHAnsi" w:cstheme="minorHAnsi"/>
                <w:color w:val="000000"/>
                <w:lang w:val="en-US"/>
              </w:rPr>
            </w:pPr>
            <w:r w:rsidRPr="00894730">
              <w:rPr>
                <w:rFonts w:asciiTheme="minorHAnsi" w:eastAsia="Times New Roman" w:hAnsiTheme="minorHAnsi" w:cstheme="minorHAnsi"/>
                <w:lang w:val="en-US"/>
              </w:rPr>
              <w:t>.2</w:t>
            </w:r>
            <w:r>
              <w:rPr>
                <w:rFonts w:asciiTheme="minorHAnsi" w:eastAsia="Times New Roman" w:hAnsiTheme="minorHAnsi" w:cstheme="minorHAnsi"/>
                <w:lang w:val="en-US"/>
              </w:rPr>
              <w:t>919089</w:t>
            </w:r>
          </w:p>
        </w:tc>
        <w:tc>
          <w:tcPr>
            <w:tcW w:w="1091" w:type="dxa"/>
            <w:gridSpan w:val="2"/>
            <w:tcBorders>
              <w:top w:val="nil"/>
              <w:left w:val="nil"/>
              <w:bottom w:val="nil"/>
              <w:right w:val="nil"/>
            </w:tcBorders>
            <w:shd w:val="clear" w:color="auto" w:fill="auto"/>
            <w:vAlign w:val="bottom"/>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lang w:val="en-US"/>
              </w:rPr>
              <w:t>.4</w:t>
            </w:r>
            <w:r>
              <w:rPr>
                <w:rFonts w:asciiTheme="minorHAnsi" w:eastAsia="Times New Roman" w:hAnsiTheme="minorHAnsi" w:cstheme="minorHAnsi"/>
                <w:lang w:val="en-US"/>
              </w:rPr>
              <w:t>688285</w:t>
            </w:r>
          </w:p>
        </w:tc>
        <w:tc>
          <w:tcPr>
            <w:tcW w:w="1606" w:type="dxa"/>
            <w:gridSpan w:val="4"/>
            <w:tcBorders>
              <w:top w:val="nil"/>
              <w:left w:val="nil"/>
              <w:bottom w:val="nil"/>
              <w:right w:val="nil"/>
            </w:tcBorders>
            <w:shd w:val="clear" w:color="auto" w:fill="auto"/>
            <w:vAlign w:val="bottom"/>
          </w:tcPr>
          <w:p w:rsidR="002D0E05" w:rsidRPr="00894730" w:rsidRDefault="002D0E05" w:rsidP="002D0E05">
            <w:pPr>
              <w:widowControl w:val="0"/>
              <w:autoSpaceDE w:val="0"/>
              <w:autoSpaceDN w:val="0"/>
              <w:spacing w:after="0" w:line="240" w:lineRule="auto"/>
              <w:ind w:firstLine="37"/>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0</w:t>
            </w:r>
          </w:p>
        </w:tc>
        <w:tc>
          <w:tcPr>
            <w:tcW w:w="724" w:type="dxa"/>
            <w:tcBorders>
              <w:top w:val="nil"/>
              <w:left w:val="nil"/>
              <w:bottom w:val="nil"/>
              <w:right w:val="nil"/>
            </w:tcBorders>
            <w:shd w:val="clear" w:color="auto" w:fill="auto"/>
            <w:vAlign w:val="bottom"/>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19.8</w:t>
            </w:r>
          </w:p>
        </w:tc>
      </w:tr>
      <w:tr w:rsidR="002D0E05" w:rsidTr="002D0E05">
        <w:trPr>
          <w:trHeight w:val="660"/>
          <w:jc w:val="center"/>
        </w:trPr>
        <w:tc>
          <w:tcPr>
            <w:tcW w:w="1754" w:type="dxa"/>
            <w:gridSpan w:val="2"/>
            <w:tcBorders>
              <w:top w:val="nil"/>
              <w:left w:val="nil"/>
              <w:bottom w:val="single" w:sz="4" w:space="0" w:color="auto"/>
              <w:right w:val="nil"/>
            </w:tcBorders>
            <w:shd w:val="clear" w:color="auto" w:fill="auto"/>
            <w:noWrap/>
            <w:vAlign w:val="center"/>
            <w:hideMark/>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Pr>
                <w:rFonts w:asciiTheme="minorHAnsi" w:eastAsia="Times New Roman" w:hAnsiTheme="minorHAnsi" w:cstheme="minorHAnsi"/>
                <w:color w:val="000000"/>
                <w:lang w:val="en-US"/>
              </w:rPr>
              <w:lastRenderedPageBreak/>
              <w:t xml:space="preserve">Access </w:t>
            </w:r>
          </w:p>
        </w:tc>
        <w:tc>
          <w:tcPr>
            <w:tcW w:w="1268" w:type="dxa"/>
            <w:gridSpan w:val="2"/>
            <w:tcBorders>
              <w:top w:val="nil"/>
              <w:left w:val="nil"/>
              <w:bottom w:val="single" w:sz="4" w:space="0" w:color="auto"/>
              <w:right w:val="nil"/>
            </w:tcBorders>
            <w:shd w:val="clear" w:color="auto" w:fill="auto"/>
            <w:vAlign w:val="center"/>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2.3</w:t>
            </w:r>
            <w:r>
              <w:rPr>
                <w:rFonts w:asciiTheme="minorHAnsi" w:eastAsia="Times New Roman" w:hAnsiTheme="minorHAnsi" w:cstheme="minorHAnsi"/>
                <w:color w:val="000000"/>
                <w:lang w:val="en-US"/>
              </w:rPr>
              <w:t>55</w:t>
            </w:r>
          </w:p>
        </w:tc>
        <w:tc>
          <w:tcPr>
            <w:tcW w:w="1745" w:type="dxa"/>
            <w:gridSpan w:val="3"/>
            <w:tcBorders>
              <w:top w:val="nil"/>
              <w:left w:val="nil"/>
              <w:bottom w:val="single" w:sz="4" w:space="0" w:color="auto"/>
              <w:right w:val="nil"/>
            </w:tcBorders>
            <w:shd w:val="clear" w:color="auto" w:fill="auto"/>
            <w:vAlign w:val="center"/>
          </w:tcPr>
          <w:p w:rsidR="002D0E05" w:rsidRPr="00894730" w:rsidRDefault="002D0E05" w:rsidP="002D0E05">
            <w:pPr>
              <w:widowControl w:val="0"/>
              <w:autoSpaceDE w:val="0"/>
              <w:autoSpaceDN w:val="0"/>
              <w:spacing w:after="0" w:line="240" w:lineRule="auto"/>
              <w:ind w:firstLine="146"/>
              <w:jc w:val="center"/>
              <w:rPr>
                <w:rFonts w:asciiTheme="minorHAnsi" w:eastAsia="Times New Roman" w:hAnsiTheme="minorHAnsi" w:cstheme="minorHAnsi"/>
                <w:color w:val="000000"/>
                <w:lang w:val="en-US"/>
              </w:rPr>
            </w:pPr>
            <w:r>
              <w:rPr>
                <w:rFonts w:asciiTheme="minorHAnsi" w:eastAsia="Times New Roman" w:hAnsiTheme="minorHAnsi" w:cstheme="minorHAnsi"/>
                <w:lang w:val="en-US"/>
              </w:rPr>
              <w:t>12.969</w:t>
            </w:r>
          </w:p>
        </w:tc>
        <w:tc>
          <w:tcPr>
            <w:tcW w:w="1134" w:type="dxa"/>
            <w:gridSpan w:val="2"/>
            <w:tcBorders>
              <w:top w:val="nil"/>
              <w:left w:val="nil"/>
              <w:bottom w:val="single" w:sz="4" w:space="0" w:color="auto"/>
              <w:right w:val="nil"/>
            </w:tcBorders>
            <w:shd w:val="clear" w:color="auto" w:fill="auto"/>
            <w:vAlign w:val="center"/>
          </w:tcPr>
          <w:p w:rsidR="002D0E05" w:rsidRPr="00894730" w:rsidRDefault="002D0E05" w:rsidP="002D0E05">
            <w:pPr>
              <w:widowControl w:val="0"/>
              <w:autoSpaceDE w:val="0"/>
              <w:autoSpaceDN w:val="0"/>
              <w:spacing w:after="0" w:line="240" w:lineRule="auto"/>
              <w:rPr>
                <w:rFonts w:asciiTheme="minorHAnsi" w:eastAsia="Times New Roman" w:hAnsiTheme="minorHAnsi" w:cstheme="minorHAnsi"/>
                <w:color w:val="000000"/>
                <w:lang w:val="en-US"/>
              </w:rPr>
            </w:pPr>
            <w:r w:rsidRPr="00894730">
              <w:rPr>
                <w:rFonts w:asciiTheme="minorHAnsi" w:eastAsia="Times New Roman" w:hAnsiTheme="minorHAnsi" w:cstheme="minorHAnsi"/>
                <w:lang w:val="en-US"/>
              </w:rPr>
              <w:t>18.</w:t>
            </w:r>
            <w:r>
              <w:rPr>
                <w:rFonts w:asciiTheme="minorHAnsi" w:eastAsia="Times New Roman" w:hAnsiTheme="minorHAnsi" w:cstheme="minorHAnsi"/>
                <w:lang w:val="en-US"/>
              </w:rPr>
              <w:t>71715</w:t>
            </w:r>
          </w:p>
        </w:tc>
        <w:tc>
          <w:tcPr>
            <w:tcW w:w="1495" w:type="dxa"/>
            <w:gridSpan w:val="3"/>
            <w:tcBorders>
              <w:top w:val="nil"/>
              <w:left w:val="nil"/>
              <w:bottom w:val="single" w:sz="4" w:space="0" w:color="auto"/>
              <w:right w:val="nil"/>
            </w:tcBorders>
            <w:shd w:val="clear" w:color="auto" w:fill="auto"/>
            <w:vAlign w:val="center"/>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1</w:t>
            </w:r>
          </w:p>
        </w:tc>
        <w:tc>
          <w:tcPr>
            <w:tcW w:w="724" w:type="dxa"/>
            <w:tcBorders>
              <w:top w:val="nil"/>
              <w:left w:val="nil"/>
              <w:bottom w:val="single" w:sz="4" w:space="0" w:color="auto"/>
              <w:right w:val="nil"/>
            </w:tcBorders>
            <w:shd w:val="clear" w:color="auto" w:fill="auto"/>
            <w:vAlign w:val="center"/>
          </w:tcPr>
          <w:p w:rsidR="002D0E05" w:rsidRPr="00894730" w:rsidRDefault="002D0E05" w:rsidP="002D0E05">
            <w:pPr>
              <w:widowControl w:val="0"/>
              <w:autoSpaceDE w:val="0"/>
              <w:autoSpaceDN w:val="0"/>
              <w:spacing w:after="0" w:line="240" w:lineRule="auto"/>
              <w:jc w:val="center"/>
              <w:rPr>
                <w:rFonts w:asciiTheme="minorHAnsi" w:eastAsia="Times New Roman" w:hAnsiTheme="minorHAnsi" w:cstheme="minorHAnsi"/>
                <w:color w:val="000000"/>
                <w:lang w:val="en-US"/>
              </w:rPr>
            </w:pPr>
            <w:r w:rsidRPr="00894730">
              <w:rPr>
                <w:rFonts w:asciiTheme="minorHAnsi" w:eastAsia="Times New Roman" w:hAnsiTheme="minorHAnsi" w:cstheme="minorHAnsi"/>
                <w:color w:val="000000"/>
                <w:lang w:val="en-US"/>
              </w:rPr>
              <w:t>600</w:t>
            </w:r>
          </w:p>
        </w:tc>
      </w:tr>
    </w:tbl>
    <w:p w:rsidR="00894730" w:rsidRPr="00894730" w:rsidRDefault="002D3D70" w:rsidP="00894730">
      <w:pPr>
        <w:widowControl w:val="0"/>
        <w:tabs>
          <w:tab w:val="left" w:pos="426"/>
        </w:tabs>
        <w:autoSpaceDE w:val="0"/>
        <w:autoSpaceDN w:val="0"/>
        <w:spacing w:after="0" w:line="480" w:lineRule="auto"/>
        <w:jc w:val="both"/>
        <w:rPr>
          <w:rFonts w:asciiTheme="minorHAnsi" w:eastAsia="Times New Roman" w:hAnsiTheme="minorHAnsi" w:cstheme="minorHAnsi"/>
          <w:lang w:val="en-US"/>
        </w:rPr>
      </w:pPr>
      <w:r w:rsidRPr="00213059">
        <w:rPr>
          <w:rFonts w:asciiTheme="minorHAnsi" w:eastAsia="Times New Roman" w:hAnsiTheme="minorHAnsi" w:cstheme="minorHAnsi"/>
          <w:lang w:val="en-US"/>
        </w:rPr>
        <w:t>Source: IFLS4, processed data</w:t>
      </w:r>
    </w:p>
    <w:p w:rsidR="0036667D" w:rsidRDefault="0036667D">
      <w:pPr>
        <w:spacing w:after="0" w:line="240" w:lineRule="auto"/>
        <w:rPr>
          <w:rFonts w:cs="Calibri"/>
          <w:lang w:val="en-US"/>
        </w:rPr>
      </w:pPr>
    </w:p>
    <w:p w:rsidR="00894730" w:rsidRDefault="00894730" w:rsidP="00894730">
      <w:pPr>
        <w:pStyle w:val="DaftarParagraf"/>
        <w:spacing w:after="0" w:line="240" w:lineRule="auto"/>
        <w:ind w:left="0"/>
        <w:jc w:val="both"/>
        <w:rPr>
          <w:rFonts w:cs="Calibri"/>
          <w:lang w:val="en-US"/>
        </w:rPr>
      </w:pPr>
    </w:p>
    <w:p w:rsidR="00815805" w:rsidRPr="00894730" w:rsidRDefault="00815805" w:rsidP="00894730">
      <w:pPr>
        <w:pStyle w:val="DaftarParagraf"/>
        <w:spacing w:after="0" w:line="240" w:lineRule="auto"/>
        <w:ind w:left="0"/>
        <w:jc w:val="both"/>
        <w:rPr>
          <w:rFonts w:cs="Calibri"/>
          <w:lang w:val="en-US"/>
        </w:rPr>
      </w:pPr>
    </w:p>
    <w:p w:rsidR="00973E91" w:rsidRDefault="0036667D" w:rsidP="00931778">
      <w:pPr>
        <w:pStyle w:val="DaftarParagraf"/>
        <w:spacing w:after="0" w:line="240" w:lineRule="auto"/>
        <w:ind w:left="0"/>
        <w:jc w:val="both"/>
        <w:rPr>
          <w:rFonts w:cs="Calibri"/>
        </w:rPr>
      </w:pPr>
      <w:r>
        <w:rPr>
          <w:rFonts w:cs="Calibri"/>
          <w:b/>
        </w:rPr>
        <w:t>Table 2</w:t>
      </w:r>
      <w:r>
        <w:rPr>
          <w:rFonts w:cs="Calibri"/>
          <w:b/>
          <w:lang w:val="en-US"/>
        </w:rPr>
        <w:t>.</w:t>
      </w:r>
      <w:r w:rsidRPr="00011256">
        <w:rPr>
          <w:rFonts w:cs="Calibri"/>
          <w:b/>
        </w:rPr>
        <w:t xml:space="preserve"> </w:t>
      </w:r>
      <w:r>
        <w:rPr>
          <w:rFonts w:cs="Calibri"/>
        </w:rPr>
        <w:t>Regression Results on the impact of w</w:t>
      </w:r>
      <w:r w:rsidRPr="005A0FF3">
        <w:rPr>
          <w:rFonts w:cs="Calibri"/>
        </w:rPr>
        <w:t xml:space="preserve">orking </w:t>
      </w:r>
      <w:r>
        <w:rPr>
          <w:rFonts w:cs="Calibri"/>
          <w:lang w:val="en-US"/>
        </w:rPr>
        <w:t>mothers</w:t>
      </w:r>
      <w:r>
        <w:rPr>
          <w:rFonts w:cs="Calibri"/>
        </w:rPr>
        <w:t xml:space="preserve"> on children</w:t>
      </w:r>
      <w:r>
        <w:rPr>
          <w:rFonts w:cs="Calibri"/>
          <w:lang w:val="en-US"/>
        </w:rPr>
        <w:t>’s h</w:t>
      </w:r>
      <w:r>
        <w:rPr>
          <w:rFonts w:cs="Calibri"/>
        </w:rPr>
        <w:t xml:space="preserve">uman </w:t>
      </w:r>
      <w:r>
        <w:rPr>
          <w:rFonts w:cs="Calibri"/>
          <w:lang w:val="en-US"/>
        </w:rPr>
        <w:t>c</w:t>
      </w:r>
      <w:r w:rsidRPr="005A0FF3">
        <w:rPr>
          <w:rFonts w:cs="Calibri"/>
        </w:rPr>
        <w:t>apital in Indonesia</w:t>
      </w:r>
    </w:p>
    <w:tbl>
      <w:tblPr>
        <w:tblpPr w:leftFromText="180" w:rightFromText="180" w:vertAnchor="page" w:horzAnchor="margin" w:tblpY="3586"/>
        <w:tblW w:w="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270"/>
        <w:gridCol w:w="1365"/>
        <w:gridCol w:w="1276"/>
        <w:gridCol w:w="1276"/>
        <w:gridCol w:w="1403"/>
      </w:tblGrid>
      <w:tr w:rsidR="005E4957" w:rsidTr="000A53EB">
        <w:trPr>
          <w:trHeight w:val="282"/>
        </w:trPr>
        <w:tc>
          <w:tcPr>
            <w:tcW w:w="1442" w:type="dxa"/>
            <w:vMerge w:val="restart"/>
            <w:shd w:val="clear" w:color="auto" w:fill="auto"/>
            <w:noWrap/>
            <w:vAlign w:val="center"/>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VARIABLES</w:t>
            </w:r>
          </w:p>
        </w:tc>
        <w:tc>
          <w:tcPr>
            <w:tcW w:w="1270" w:type="dxa"/>
            <w:shd w:val="clear" w:color="auto" w:fill="auto"/>
            <w:noWrap/>
            <w:vAlign w:val="bottom"/>
            <w:hideMark/>
          </w:tcPr>
          <w:p w:rsidR="005E4957" w:rsidRPr="000A53EB" w:rsidRDefault="005F55DA"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(1)</w:t>
            </w:r>
          </w:p>
        </w:tc>
        <w:tc>
          <w:tcPr>
            <w:tcW w:w="1365" w:type="dxa"/>
            <w:shd w:val="clear" w:color="auto" w:fill="auto"/>
            <w:noWrap/>
            <w:vAlign w:val="bottom"/>
            <w:hideMark/>
          </w:tcPr>
          <w:p w:rsidR="005E4957" w:rsidRPr="000A53EB" w:rsidRDefault="005F55DA"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w:t>
            </w:r>
            <w:r w:rsidR="005E4957" w:rsidRPr="000A53EB">
              <w:rPr>
                <w:rFonts w:asciiTheme="minorHAnsi" w:eastAsia="Times New Roman" w:hAnsiTheme="minorHAnsi" w:cs="Calibri"/>
                <w:color w:val="000000"/>
                <w:lang w:val="en-US"/>
              </w:rPr>
              <w:t>2</w:t>
            </w:r>
            <w:r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5F55DA"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w:t>
            </w:r>
            <w:r w:rsidR="005E4957" w:rsidRPr="000A53EB">
              <w:rPr>
                <w:rFonts w:asciiTheme="minorHAnsi" w:eastAsia="Times New Roman" w:hAnsiTheme="minorHAnsi" w:cs="Calibri"/>
                <w:color w:val="000000"/>
                <w:lang w:val="en-US"/>
              </w:rPr>
              <w:t>3</w:t>
            </w:r>
            <w:r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5F55DA"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w:t>
            </w:r>
            <w:r w:rsidR="005E4957" w:rsidRPr="000A53EB">
              <w:rPr>
                <w:rFonts w:asciiTheme="minorHAnsi" w:eastAsia="Times New Roman" w:hAnsiTheme="minorHAnsi" w:cs="Calibri"/>
                <w:color w:val="000000"/>
                <w:lang w:val="en-US"/>
              </w:rPr>
              <w:t>4</w:t>
            </w:r>
            <w:r w:rsidRPr="000A53EB">
              <w:rPr>
                <w:rFonts w:asciiTheme="minorHAnsi" w:eastAsia="Times New Roman" w:hAnsiTheme="minorHAnsi" w:cs="Calibri"/>
                <w:color w:val="000000"/>
                <w:lang w:val="en-US"/>
              </w:rPr>
              <w:t>)</w:t>
            </w:r>
          </w:p>
        </w:tc>
        <w:tc>
          <w:tcPr>
            <w:tcW w:w="1403" w:type="dxa"/>
            <w:shd w:val="clear" w:color="auto" w:fill="auto"/>
            <w:noWrap/>
            <w:vAlign w:val="bottom"/>
            <w:hideMark/>
          </w:tcPr>
          <w:p w:rsidR="005E4957" w:rsidRPr="000A53EB" w:rsidRDefault="005F55DA"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w:t>
            </w:r>
            <w:r w:rsidR="005E4957" w:rsidRPr="000A53EB">
              <w:rPr>
                <w:rFonts w:asciiTheme="minorHAnsi" w:eastAsia="Times New Roman" w:hAnsiTheme="minorHAnsi" w:cs="Calibri"/>
                <w:color w:val="000000"/>
                <w:lang w:val="en-US"/>
              </w:rPr>
              <w:t>5</w:t>
            </w:r>
            <w:r w:rsidRPr="000A53EB">
              <w:rPr>
                <w:rFonts w:asciiTheme="minorHAnsi" w:eastAsia="Times New Roman" w:hAnsiTheme="minorHAnsi" w:cs="Calibri"/>
                <w:color w:val="000000"/>
                <w:lang w:val="en-US"/>
              </w:rPr>
              <w:t>)</w:t>
            </w:r>
          </w:p>
        </w:tc>
      </w:tr>
      <w:tr w:rsidR="005E4957" w:rsidTr="000A53EB">
        <w:trPr>
          <w:trHeight w:val="268"/>
        </w:trPr>
        <w:tc>
          <w:tcPr>
            <w:tcW w:w="1442" w:type="dxa"/>
            <w:vMerge/>
            <w:vAlign w:val="center"/>
            <w:hideMark/>
          </w:tcPr>
          <w:p w:rsidR="005E4957" w:rsidRPr="000A53EB" w:rsidRDefault="005E4957"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bols_r</w:t>
            </w:r>
          </w:p>
        </w:tc>
        <w:tc>
          <w:tcPr>
            <w:tcW w:w="1365"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bols_ur</w:t>
            </w:r>
          </w:p>
        </w:tc>
        <w:tc>
          <w:tcPr>
            <w:tcW w:w="1276"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bols_ur1</w:t>
            </w:r>
          </w:p>
        </w:tc>
        <w:tc>
          <w:tcPr>
            <w:tcW w:w="1276"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bols_ur2</w:t>
            </w:r>
          </w:p>
        </w:tc>
        <w:tc>
          <w:tcPr>
            <w:tcW w:w="1403"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bols_ur3</w:t>
            </w:r>
          </w:p>
        </w:tc>
      </w:tr>
      <w:tr w:rsidR="005E4957" w:rsidTr="000A53EB">
        <w:trPr>
          <w:trHeight w:val="282"/>
        </w:trPr>
        <w:tc>
          <w:tcPr>
            <w:tcW w:w="1442" w:type="dxa"/>
            <w:vMerge w:val="restart"/>
            <w:shd w:val="clear" w:color="auto" w:fill="auto"/>
            <w:noWrap/>
            <w:vAlign w:val="center"/>
            <w:hideMark/>
          </w:tcPr>
          <w:p w:rsidR="005E4957" w:rsidRPr="000A53EB" w:rsidRDefault="005E4957"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rel_educ2014</w:t>
            </w:r>
          </w:p>
        </w:tc>
        <w:tc>
          <w:tcPr>
            <w:tcW w:w="1270"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-0.05</w:t>
            </w:r>
            <w:r w:rsidR="005F55DA" w:rsidRPr="000A53EB">
              <w:rPr>
                <w:rFonts w:asciiTheme="minorHAnsi" w:eastAsia="Times New Roman" w:hAnsiTheme="minorHAnsi" w:cs="Calibri"/>
                <w:color w:val="000000"/>
                <w:lang w:val="en-US"/>
              </w:rPr>
              <w:t>55</w:t>
            </w:r>
          </w:p>
        </w:tc>
        <w:tc>
          <w:tcPr>
            <w:tcW w:w="1365"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w:t>
            </w:r>
            <w:r w:rsidR="005F55DA" w:rsidRPr="000A53EB">
              <w:rPr>
                <w:rFonts w:asciiTheme="minorHAnsi" w:eastAsia="Times New Roman" w:hAnsiTheme="minorHAnsi" w:cs="Calibri"/>
                <w:color w:val="000000"/>
                <w:lang w:val="en-US"/>
              </w:rPr>
              <w:t>184</w:t>
            </w:r>
          </w:p>
        </w:tc>
        <w:tc>
          <w:tcPr>
            <w:tcW w:w="1276" w:type="dxa"/>
            <w:shd w:val="clear" w:color="auto" w:fill="auto"/>
            <w:noWrap/>
            <w:vAlign w:val="bottom"/>
            <w:hideMark/>
          </w:tcPr>
          <w:p w:rsidR="005E4957" w:rsidRPr="000A53EB" w:rsidRDefault="005F55DA" w:rsidP="005F55DA">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0.0232</w:t>
            </w:r>
            <w:r w:rsidR="005E4957"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w:t>
            </w:r>
            <w:r w:rsidR="005F55DA" w:rsidRPr="000A53EB">
              <w:rPr>
                <w:rFonts w:asciiTheme="minorHAnsi" w:eastAsia="Times New Roman" w:hAnsiTheme="minorHAnsi" w:cs="Calibri"/>
                <w:color w:val="000000"/>
                <w:lang w:val="en-US"/>
              </w:rPr>
              <w:t>267</w:t>
            </w:r>
          </w:p>
        </w:tc>
        <w:tc>
          <w:tcPr>
            <w:tcW w:w="1403"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0.0208</w:t>
            </w:r>
          </w:p>
        </w:tc>
      </w:tr>
      <w:tr w:rsidR="005E4957" w:rsidTr="000A53EB">
        <w:trPr>
          <w:trHeight w:val="268"/>
        </w:trPr>
        <w:tc>
          <w:tcPr>
            <w:tcW w:w="1442" w:type="dxa"/>
            <w:vMerge/>
            <w:vAlign w:val="center"/>
            <w:hideMark/>
          </w:tcPr>
          <w:p w:rsidR="005E4957" w:rsidRPr="000A53EB" w:rsidRDefault="005E4957"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5E4957" w:rsidRPr="000A53EB" w:rsidRDefault="005F55DA"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(0.0436</w:t>
            </w:r>
            <w:r w:rsidR="005E4957" w:rsidRPr="000A53EB">
              <w:rPr>
                <w:rFonts w:asciiTheme="minorHAnsi" w:eastAsia="Times New Roman" w:hAnsiTheme="minorHAnsi" w:cs="Calibri"/>
                <w:color w:val="000000"/>
                <w:lang w:val="en-US"/>
              </w:rPr>
              <w:t>)</w:t>
            </w:r>
          </w:p>
        </w:tc>
        <w:tc>
          <w:tcPr>
            <w:tcW w:w="1365"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(0.140</w:t>
            </w:r>
            <w:r w:rsidR="005E4957"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(0.0139</w:t>
            </w:r>
            <w:r w:rsidR="005E4957"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(0.0237</w:t>
            </w:r>
            <w:r w:rsidR="005E4957" w:rsidRPr="000A53EB">
              <w:rPr>
                <w:rFonts w:asciiTheme="minorHAnsi" w:eastAsia="Times New Roman" w:hAnsiTheme="minorHAnsi" w:cs="Calibri"/>
                <w:color w:val="000000"/>
                <w:lang w:val="en-US"/>
              </w:rPr>
              <w:t>)</w:t>
            </w:r>
          </w:p>
        </w:tc>
        <w:tc>
          <w:tcPr>
            <w:tcW w:w="1403" w:type="dxa"/>
            <w:shd w:val="clear" w:color="auto" w:fill="auto"/>
            <w:noWrap/>
            <w:vAlign w:val="bottom"/>
            <w:hideMark/>
          </w:tcPr>
          <w:p w:rsidR="005E4957" w:rsidRPr="000A53EB" w:rsidRDefault="005F55DA"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(0.0198</w:t>
            </w:r>
            <w:r w:rsidR="005E4957" w:rsidRPr="000A53EB">
              <w:rPr>
                <w:rFonts w:asciiTheme="minorHAnsi" w:eastAsia="Times New Roman" w:hAnsiTheme="minorHAnsi" w:cs="Calibri"/>
                <w:color w:val="000000"/>
                <w:lang w:val="en-US"/>
              </w:rPr>
              <w:t>)</w:t>
            </w:r>
          </w:p>
        </w:tc>
      </w:tr>
      <w:tr w:rsidR="005E4957" w:rsidTr="000A53EB">
        <w:trPr>
          <w:trHeight w:val="268"/>
        </w:trPr>
        <w:tc>
          <w:tcPr>
            <w:tcW w:w="1442" w:type="dxa"/>
            <w:vMerge w:val="restart"/>
            <w:shd w:val="clear" w:color="auto" w:fill="auto"/>
            <w:noWrap/>
            <w:vAlign w:val="center"/>
            <w:hideMark/>
          </w:tcPr>
          <w:p w:rsidR="005E4957" w:rsidRPr="000A53EB" w:rsidRDefault="005E4957"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rel_inc2014</w:t>
            </w:r>
          </w:p>
        </w:tc>
        <w:tc>
          <w:tcPr>
            <w:tcW w:w="1270" w:type="dxa"/>
            <w:shd w:val="clear" w:color="auto" w:fill="auto"/>
            <w:noWrap/>
            <w:vAlign w:val="bottom"/>
            <w:hideMark/>
          </w:tcPr>
          <w:p w:rsidR="005E4957" w:rsidRPr="000A53EB" w:rsidRDefault="005F55DA"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0.00898</w:t>
            </w:r>
            <w:r w:rsidR="005E4957" w:rsidRPr="000A53EB">
              <w:rPr>
                <w:rFonts w:asciiTheme="minorHAnsi" w:eastAsia="Times New Roman" w:hAnsiTheme="minorHAnsi" w:cs="Calibri"/>
                <w:color w:val="000000"/>
                <w:lang w:val="en-US"/>
              </w:rPr>
              <w:t>***</w:t>
            </w:r>
          </w:p>
        </w:tc>
        <w:tc>
          <w:tcPr>
            <w:tcW w:w="1365"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-0.0007</w:t>
            </w:r>
            <w:r w:rsidR="007B3EA5" w:rsidRPr="000A53EB">
              <w:rPr>
                <w:rFonts w:asciiTheme="minorHAnsi" w:eastAsia="Times New Roman" w:hAnsiTheme="minorHAnsi" w:cs="Calibri"/>
                <w:color w:val="000000"/>
                <w:lang w:val="en-US"/>
              </w:rPr>
              <w:t>80</w:t>
            </w:r>
          </w:p>
        </w:tc>
        <w:tc>
          <w:tcPr>
            <w:tcW w:w="1276"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-0.000807</w:t>
            </w:r>
          </w:p>
        </w:tc>
        <w:tc>
          <w:tcPr>
            <w:tcW w:w="1276"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-9.11e-05</w:t>
            </w:r>
          </w:p>
        </w:tc>
        <w:tc>
          <w:tcPr>
            <w:tcW w:w="1403"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-0.00113</w:t>
            </w:r>
          </w:p>
        </w:tc>
      </w:tr>
      <w:tr w:rsidR="005E4957" w:rsidTr="000A53EB">
        <w:trPr>
          <w:trHeight w:val="268"/>
        </w:trPr>
        <w:tc>
          <w:tcPr>
            <w:tcW w:w="1442" w:type="dxa"/>
            <w:vMerge/>
            <w:vAlign w:val="center"/>
            <w:hideMark/>
          </w:tcPr>
          <w:p w:rsidR="005E4957" w:rsidRPr="000A53EB" w:rsidRDefault="005E4957"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5E4957" w:rsidRPr="000A53EB" w:rsidRDefault="005F55DA"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(0.00161</w:t>
            </w:r>
            <w:r w:rsidR="005E4957" w:rsidRPr="000A53EB">
              <w:rPr>
                <w:rFonts w:asciiTheme="minorHAnsi" w:eastAsia="Times New Roman" w:hAnsiTheme="minorHAnsi" w:cs="Calibri"/>
                <w:color w:val="000000"/>
                <w:lang w:val="en-US"/>
              </w:rPr>
              <w:t>)</w:t>
            </w:r>
          </w:p>
        </w:tc>
        <w:tc>
          <w:tcPr>
            <w:tcW w:w="1365"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(0.000526</w:t>
            </w:r>
            <w:r w:rsidR="005E4957"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(0.000524</w:t>
            </w:r>
            <w:r w:rsidR="005E4957"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(0.000946</w:t>
            </w:r>
            <w:r w:rsidR="005E4957" w:rsidRPr="000A53EB">
              <w:rPr>
                <w:rFonts w:asciiTheme="minorHAnsi" w:eastAsia="Times New Roman" w:hAnsiTheme="minorHAnsi" w:cs="Calibri"/>
                <w:color w:val="000000"/>
                <w:lang w:val="en-US"/>
              </w:rPr>
              <w:t>)</w:t>
            </w:r>
          </w:p>
        </w:tc>
        <w:tc>
          <w:tcPr>
            <w:tcW w:w="1403"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w:t>
            </w:r>
            <w:r w:rsidR="007B3EA5" w:rsidRPr="000A53EB">
              <w:rPr>
                <w:rFonts w:asciiTheme="minorHAnsi" w:eastAsia="Times New Roman" w:hAnsiTheme="minorHAnsi" w:cs="Calibri"/>
                <w:color w:val="000000"/>
                <w:lang w:val="en-US"/>
              </w:rPr>
              <w:t>794</w:t>
            </w:r>
            <w:r w:rsidRPr="000A53EB">
              <w:rPr>
                <w:rFonts w:asciiTheme="minorHAnsi" w:eastAsia="Times New Roman" w:hAnsiTheme="minorHAnsi" w:cs="Calibri"/>
                <w:color w:val="000000"/>
                <w:lang w:val="en-US"/>
              </w:rPr>
              <w:t>)</w:t>
            </w:r>
          </w:p>
        </w:tc>
      </w:tr>
      <w:tr w:rsidR="005E4957" w:rsidTr="000A53EB">
        <w:trPr>
          <w:trHeight w:val="268"/>
        </w:trPr>
        <w:tc>
          <w:tcPr>
            <w:tcW w:w="1442" w:type="dxa"/>
            <w:vMerge w:val="restart"/>
            <w:shd w:val="clear" w:color="auto" w:fill="auto"/>
            <w:noWrap/>
            <w:vAlign w:val="center"/>
            <w:hideMark/>
          </w:tcPr>
          <w:p w:rsidR="005E4957" w:rsidRPr="000A53EB" w:rsidRDefault="00562DCB" w:rsidP="005E4957">
            <w:pPr>
              <w:widowControl w:val="0"/>
              <w:autoSpaceDE w:val="0"/>
              <w:autoSpaceDN w:val="0"/>
              <w:spacing w:after="0" w:line="240" w:lineRule="auto"/>
              <w:rPr>
                <w:rFonts w:asciiTheme="minorHAnsi" w:eastAsia="Times New Roman" w:hAnsiTheme="minorHAnsi" w:cs="Calibri"/>
                <w:color w:val="000000"/>
                <w:lang w:val="en-US"/>
              </w:rPr>
            </w:pPr>
            <w:r>
              <w:rPr>
                <w:rFonts w:asciiTheme="minorHAnsi" w:eastAsia="Times New Roman" w:hAnsiTheme="minorHAnsi" w:cs="Calibri"/>
                <w:color w:val="000000"/>
                <w:lang w:val="en-US"/>
              </w:rPr>
              <w:t>Location</w:t>
            </w:r>
          </w:p>
        </w:tc>
        <w:tc>
          <w:tcPr>
            <w:tcW w:w="1270"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5E4957" w:rsidRPr="000A53EB" w:rsidRDefault="007B3EA5" w:rsidP="007B3EA5">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0.136</w:t>
            </w:r>
            <w:r w:rsidR="005E4957"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0.121</w:t>
            </w:r>
            <w:r w:rsidR="005E4957"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0.142</w:t>
            </w:r>
            <w:r w:rsidR="005E4957" w:rsidRPr="000A53EB">
              <w:rPr>
                <w:rFonts w:asciiTheme="minorHAnsi" w:eastAsia="Times New Roman" w:hAnsiTheme="minorHAnsi" w:cs="Calibri"/>
                <w:color w:val="000000"/>
                <w:lang w:val="en-US"/>
              </w:rPr>
              <w:t>***</w:t>
            </w:r>
          </w:p>
        </w:tc>
        <w:tc>
          <w:tcPr>
            <w:tcW w:w="1403"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0.0713*</w:t>
            </w:r>
          </w:p>
        </w:tc>
      </w:tr>
      <w:tr w:rsidR="005E4957" w:rsidTr="000A53EB">
        <w:trPr>
          <w:trHeight w:val="268"/>
        </w:trPr>
        <w:tc>
          <w:tcPr>
            <w:tcW w:w="1442" w:type="dxa"/>
            <w:vMerge/>
            <w:vAlign w:val="center"/>
            <w:hideMark/>
          </w:tcPr>
          <w:p w:rsidR="005E4957" w:rsidRPr="000A53EB" w:rsidRDefault="005E4957"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(0.0288</w:t>
            </w:r>
            <w:r w:rsidR="005E4957"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5E4957" w:rsidP="007B3EA5">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(0.02</w:t>
            </w:r>
            <w:r w:rsidR="007B3EA5" w:rsidRPr="000A53EB">
              <w:rPr>
                <w:rFonts w:asciiTheme="minorHAnsi" w:eastAsia="Times New Roman" w:hAnsiTheme="minorHAnsi" w:cs="Calibri"/>
                <w:color w:val="000000"/>
                <w:lang w:val="en-US"/>
              </w:rPr>
              <w:t>88</w:t>
            </w:r>
            <w:r w:rsidRPr="000A53EB">
              <w:rPr>
                <w:rFonts w:asciiTheme="minorHAnsi" w:eastAsia="Times New Roman" w:hAnsiTheme="minorHAnsi" w:cs="Calibri"/>
                <w:color w:val="000000"/>
                <w:lang w:val="en-US"/>
              </w:rPr>
              <w:t>)</w:t>
            </w:r>
          </w:p>
        </w:tc>
        <w:tc>
          <w:tcPr>
            <w:tcW w:w="1276"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(0.0502</w:t>
            </w:r>
            <w:r w:rsidR="005E4957" w:rsidRPr="000A53EB">
              <w:rPr>
                <w:rFonts w:asciiTheme="minorHAnsi" w:eastAsia="Times New Roman" w:hAnsiTheme="minorHAnsi" w:cs="Calibri"/>
                <w:color w:val="000000"/>
                <w:lang w:val="en-US"/>
              </w:rPr>
              <w:t>)</w:t>
            </w:r>
          </w:p>
        </w:tc>
        <w:tc>
          <w:tcPr>
            <w:tcW w:w="1403" w:type="dxa"/>
            <w:shd w:val="clear" w:color="auto" w:fill="auto"/>
            <w:noWrap/>
            <w:vAlign w:val="bottom"/>
            <w:hideMark/>
          </w:tcPr>
          <w:p w:rsidR="005E4957"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(0.0421</w:t>
            </w:r>
            <w:r w:rsidR="005E4957" w:rsidRPr="000A53EB">
              <w:rPr>
                <w:rFonts w:asciiTheme="minorHAnsi" w:eastAsia="Times New Roman" w:hAnsiTheme="minorHAnsi" w:cs="Calibri"/>
                <w:color w:val="000000"/>
                <w:lang w:val="en-US"/>
              </w:rPr>
              <w:t>)</w:t>
            </w:r>
          </w:p>
        </w:tc>
      </w:tr>
      <w:tr w:rsidR="005E4957" w:rsidTr="000A53EB">
        <w:trPr>
          <w:trHeight w:val="268"/>
        </w:trPr>
        <w:tc>
          <w:tcPr>
            <w:tcW w:w="1442" w:type="dxa"/>
            <w:vMerge w:val="restart"/>
            <w:shd w:val="clear" w:color="auto" w:fill="auto"/>
            <w:noWrap/>
            <w:vAlign w:val="center"/>
            <w:hideMark/>
          </w:tcPr>
          <w:p w:rsidR="005E4957" w:rsidRPr="000A53EB" w:rsidRDefault="00562DCB" w:rsidP="005E4957">
            <w:pPr>
              <w:widowControl w:val="0"/>
              <w:autoSpaceDE w:val="0"/>
              <w:autoSpaceDN w:val="0"/>
              <w:spacing w:after="0" w:line="240" w:lineRule="auto"/>
              <w:rPr>
                <w:rFonts w:asciiTheme="minorHAnsi" w:eastAsia="Times New Roman" w:hAnsiTheme="minorHAnsi" w:cs="Calibri"/>
                <w:color w:val="000000"/>
                <w:lang w:val="en-US"/>
              </w:rPr>
            </w:pPr>
            <w:r>
              <w:rPr>
                <w:rFonts w:asciiTheme="minorHAnsi" w:eastAsia="Times New Roman" w:hAnsiTheme="minorHAnsi" w:cs="Calibri"/>
                <w:color w:val="000000"/>
                <w:lang w:val="en-US"/>
              </w:rPr>
              <w:t>Access</w:t>
            </w:r>
          </w:p>
        </w:tc>
        <w:tc>
          <w:tcPr>
            <w:tcW w:w="1270"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403"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w:t>
            </w:r>
            <w:r w:rsidR="007B3EA5" w:rsidRPr="000A53EB">
              <w:rPr>
                <w:rFonts w:asciiTheme="minorHAnsi" w:eastAsia="Times New Roman" w:hAnsiTheme="minorHAnsi" w:cs="Calibri"/>
                <w:color w:val="000000"/>
                <w:lang w:val="en-US"/>
              </w:rPr>
              <w:t>836</w:t>
            </w:r>
          </w:p>
        </w:tc>
      </w:tr>
      <w:tr w:rsidR="005E4957" w:rsidTr="000A53EB">
        <w:trPr>
          <w:trHeight w:val="268"/>
        </w:trPr>
        <w:tc>
          <w:tcPr>
            <w:tcW w:w="1442" w:type="dxa"/>
            <w:vMerge/>
            <w:vAlign w:val="center"/>
            <w:hideMark/>
          </w:tcPr>
          <w:p w:rsidR="005E4957" w:rsidRPr="000A53EB" w:rsidRDefault="005E4957"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403"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(0.00159)</w:t>
            </w:r>
          </w:p>
        </w:tc>
      </w:tr>
      <w:tr w:rsidR="007B3EA5" w:rsidTr="000A53EB">
        <w:trPr>
          <w:trHeight w:val="282"/>
        </w:trPr>
        <w:tc>
          <w:tcPr>
            <w:tcW w:w="1442" w:type="dxa"/>
            <w:vMerge w:val="restart"/>
            <w:shd w:val="clear" w:color="auto" w:fill="auto"/>
            <w:noWrap/>
            <w:vAlign w:val="center"/>
            <w:hideMark/>
          </w:tcPr>
          <w:p w:rsidR="007B3EA5" w:rsidRPr="000A53EB" w:rsidRDefault="007B3EA5"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BLSM</w:t>
            </w:r>
          </w:p>
        </w:tc>
        <w:tc>
          <w:tcPr>
            <w:tcW w:w="1270" w:type="dxa"/>
            <w:shd w:val="clear" w:color="auto" w:fill="auto"/>
            <w:noWrap/>
            <w:vAlign w:val="bottom"/>
            <w:hideMark/>
          </w:tcPr>
          <w:p w:rsidR="007B3EA5"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7B3EA5"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-0.105***</w:t>
            </w:r>
          </w:p>
        </w:tc>
        <w:tc>
          <w:tcPr>
            <w:tcW w:w="1276" w:type="dxa"/>
            <w:shd w:val="clear" w:color="auto" w:fill="auto"/>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0.0201</w:t>
            </w:r>
          </w:p>
        </w:tc>
        <w:tc>
          <w:tcPr>
            <w:tcW w:w="1403"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0.0152</w:t>
            </w:r>
          </w:p>
        </w:tc>
      </w:tr>
      <w:tr w:rsidR="007B3EA5" w:rsidTr="000A53EB">
        <w:trPr>
          <w:trHeight w:val="268"/>
        </w:trPr>
        <w:tc>
          <w:tcPr>
            <w:tcW w:w="1442" w:type="dxa"/>
            <w:vMerge/>
            <w:vAlign w:val="center"/>
            <w:hideMark/>
          </w:tcPr>
          <w:p w:rsidR="007B3EA5" w:rsidRPr="000A53EB" w:rsidRDefault="007B3EA5"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7B3EA5"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7B3EA5"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(0.0406)</w:t>
            </w:r>
          </w:p>
        </w:tc>
        <w:tc>
          <w:tcPr>
            <w:tcW w:w="1276"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(0.0774)</w:t>
            </w:r>
          </w:p>
        </w:tc>
        <w:tc>
          <w:tcPr>
            <w:tcW w:w="1403"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(0.0639)</w:t>
            </w:r>
          </w:p>
        </w:tc>
      </w:tr>
      <w:tr w:rsidR="007B3EA5" w:rsidTr="000A53EB">
        <w:trPr>
          <w:trHeight w:val="268"/>
        </w:trPr>
        <w:tc>
          <w:tcPr>
            <w:tcW w:w="1442" w:type="dxa"/>
            <w:vMerge w:val="restart"/>
            <w:shd w:val="clear" w:color="auto" w:fill="auto"/>
            <w:noWrap/>
            <w:vAlign w:val="center"/>
            <w:hideMark/>
          </w:tcPr>
          <w:p w:rsidR="007B3EA5" w:rsidRPr="000A53EB" w:rsidRDefault="007B3EA5"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PKH</w:t>
            </w:r>
          </w:p>
        </w:tc>
        <w:tc>
          <w:tcPr>
            <w:tcW w:w="1270" w:type="dxa"/>
            <w:shd w:val="clear" w:color="auto" w:fill="auto"/>
            <w:noWrap/>
            <w:vAlign w:val="bottom"/>
            <w:hideMark/>
          </w:tcPr>
          <w:p w:rsidR="007B3EA5"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-0.155**</w:t>
            </w:r>
          </w:p>
        </w:tc>
        <w:tc>
          <w:tcPr>
            <w:tcW w:w="1276"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-0.0175</w:t>
            </w:r>
          </w:p>
        </w:tc>
        <w:tc>
          <w:tcPr>
            <w:tcW w:w="1276"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0.0422</w:t>
            </w:r>
          </w:p>
        </w:tc>
        <w:tc>
          <w:tcPr>
            <w:tcW w:w="1403"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0.0987</w:t>
            </w:r>
          </w:p>
        </w:tc>
      </w:tr>
      <w:tr w:rsidR="007B3EA5" w:rsidTr="000A53EB">
        <w:trPr>
          <w:trHeight w:val="268"/>
        </w:trPr>
        <w:tc>
          <w:tcPr>
            <w:tcW w:w="1442" w:type="dxa"/>
            <w:vMerge/>
            <w:vAlign w:val="center"/>
            <w:hideMark/>
          </w:tcPr>
          <w:p w:rsidR="007B3EA5" w:rsidRPr="000A53EB" w:rsidRDefault="007B3EA5"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7B3EA5" w:rsidRPr="000A53EB" w:rsidRDefault="007B3EA5"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(0.0634)</w:t>
            </w:r>
          </w:p>
        </w:tc>
        <w:tc>
          <w:tcPr>
            <w:tcW w:w="1276"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(0.0660)</w:t>
            </w:r>
          </w:p>
        </w:tc>
        <w:tc>
          <w:tcPr>
            <w:tcW w:w="1276"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(0.129)</w:t>
            </w:r>
          </w:p>
        </w:tc>
        <w:tc>
          <w:tcPr>
            <w:tcW w:w="1403" w:type="dxa"/>
            <w:shd w:val="clear" w:color="auto" w:fill="auto"/>
            <w:noWrap/>
            <w:hideMark/>
          </w:tcPr>
          <w:p w:rsidR="007B3EA5" w:rsidRPr="000A53EB" w:rsidRDefault="007B3EA5"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(0.104)</w:t>
            </w:r>
          </w:p>
        </w:tc>
      </w:tr>
      <w:tr w:rsidR="000A53EB" w:rsidTr="000A53EB">
        <w:trPr>
          <w:trHeight w:val="268"/>
        </w:trPr>
        <w:tc>
          <w:tcPr>
            <w:tcW w:w="1442" w:type="dxa"/>
            <w:vMerge w:val="restart"/>
            <w:shd w:val="clear" w:color="auto" w:fill="auto"/>
            <w:noWrap/>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BLT</w:t>
            </w: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-0.200***</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-0.220***</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-0.133**</w:t>
            </w:r>
          </w:p>
        </w:tc>
      </w:tr>
      <w:tr w:rsidR="000A53EB" w:rsidTr="000A53EB">
        <w:trPr>
          <w:trHeight w:val="268"/>
        </w:trPr>
        <w:tc>
          <w:tcPr>
            <w:tcW w:w="1442" w:type="dxa"/>
            <w:vMerge/>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(0.0399)</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(0.0764)</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(0.0641)</w:t>
            </w:r>
          </w:p>
        </w:tc>
      </w:tr>
      <w:tr w:rsidR="000A53EB" w:rsidTr="000A53EB">
        <w:trPr>
          <w:trHeight w:val="268"/>
        </w:trPr>
        <w:tc>
          <w:tcPr>
            <w:tcW w:w="1442" w:type="dxa"/>
            <w:vMerge w:val="restart"/>
            <w:shd w:val="clear" w:color="auto" w:fill="auto"/>
            <w:noWrap/>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 xml:space="preserve">Asset </w:t>
            </w: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0.0693*</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0.0739*</w:t>
            </w:r>
          </w:p>
        </w:tc>
      </w:tr>
      <w:tr w:rsidR="000A53EB" w:rsidTr="000A53EB">
        <w:trPr>
          <w:trHeight w:val="268"/>
        </w:trPr>
        <w:tc>
          <w:tcPr>
            <w:tcW w:w="1442" w:type="dxa"/>
            <w:vMerge/>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(0.0376)</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(0.0379)</w:t>
            </w:r>
          </w:p>
        </w:tc>
      </w:tr>
      <w:tr w:rsidR="000A53EB" w:rsidTr="000A53EB">
        <w:trPr>
          <w:trHeight w:val="268"/>
        </w:trPr>
        <w:tc>
          <w:tcPr>
            <w:tcW w:w="1442" w:type="dxa"/>
            <w:vMerge w:val="restart"/>
            <w:shd w:val="clear" w:color="auto" w:fill="auto"/>
            <w:noWrap/>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Women’s age</w:t>
            </w: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0.00661*</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0.00616*</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0.00419</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0.00483</w:t>
            </w:r>
          </w:p>
        </w:tc>
      </w:tr>
      <w:tr w:rsidR="000A53EB" w:rsidTr="000A53EB">
        <w:trPr>
          <w:trHeight w:val="268"/>
        </w:trPr>
        <w:tc>
          <w:tcPr>
            <w:tcW w:w="1442" w:type="dxa"/>
            <w:vMerge/>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(0.00346)</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(0.00345)</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(0.00633)</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(0.00534)</w:t>
            </w:r>
          </w:p>
        </w:tc>
      </w:tr>
      <w:tr w:rsidR="000A53EB" w:rsidTr="000A53EB">
        <w:trPr>
          <w:trHeight w:val="268"/>
        </w:trPr>
        <w:tc>
          <w:tcPr>
            <w:tcW w:w="1442" w:type="dxa"/>
            <w:vMerge w:val="restart"/>
            <w:shd w:val="clear" w:color="auto" w:fill="auto"/>
            <w:noWrap/>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Partner’s age</w:t>
            </w: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-0.00217</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-0.00163</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-0.00709</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-0.00241</w:t>
            </w:r>
          </w:p>
        </w:tc>
      </w:tr>
      <w:tr w:rsidR="000A53EB" w:rsidTr="000A53EB">
        <w:trPr>
          <w:trHeight w:val="268"/>
        </w:trPr>
        <w:tc>
          <w:tcPr>
            <w:tcW w:w="1442" w:type="dxa"/>
            <w:vMerge/>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(0.00297)</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(0.00296)</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(0.00549)</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(0.00460)</w:t>
            </w:r>
          </w:p>
        </w:tc>
      </w:tr>
      <w:tr w:rsidR="000A53EB" w:rsidTr="000A53EB">
        <w:trPr>
          <w:trHeight w:val="268"/>
        </w:trPr>
        <w:tc>
          <w:tcPr>
            <w:tcW w:w="1442" w:type="dxa"/>
            <w:vMerge w:val="restart"/>
            <w:shd w:val="clear" w:color="auto" w:fill="auto"/>
            <w:noWrap/>
            <w:vAlign w:val="center"/>
            <w:hideMark/>
          </w:tcPr>
          <w:p w:rsidR="000A53EB" w:rsidRPr="000A53EB" w:rsidRDefault="000A53EB" w:rsidP="005F55DA">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Children’s age</w:t>
            </w: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0.922***</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0.924***</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0.928***</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0.945***</w:t>
            </w:r>
          </w:p>
        </w:tc>
      </w:tr>
      <w:tr w:rsidR="000A53EB" w:rsidTr="000A53EB">
        <w:trPr>
          <w:trHeight w:val="268"/>
        </w:trPr>
        <w:tc>
          <w:tcPr>
            <w:tcW w:w="1442" w:type="dxa"/>
            <w:vMerge/>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(0.00489)</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(0.00488)</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(0.00883)</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(0.00959)</w:t>
            </w:r>
          </w:p>
        </w:tc>
      </w:tr>
      <w:tr w:rsidR="000A53EB" w:rsidTr="000A53EB">
        <w:trPr>
          <w:trHeight w:val="268"/>
        </w:trPr>
        <w:tc>
          <w:tcPr>
            <w:tcW w:w="1442" w:type="dxa"/>
            <w:vMerge w:val="restart"/>
            <w:shd w:val="clear" w:color="auto" w:fill="auto"/>
            <w:noWrap/>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HHsize</w:t>
            </w: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-0.0581***</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-0.0521***</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-0.0497**</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0.000327</w:t>
            </w:r>
          </w:p>
        </w:tc>
      </w:tr>
      <w:tr w:rsidR="000A53EB" w:rsidTr="000A53EB">
        <w:trPr>
          <w:trHeight w:val="268"/>
        </w:trPr>
        <w:tc>
          <w:tcPr>
            <w:tcW w:w="1442" w:type="dxa"/>
            <w:vMerge/>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(0.0107)</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(0.0107)</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(0.0214)</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(0.0195)</w:t>
            </w:r>
          </w:p>
        </w:tc>
      </w:tr>
      <w:tr w:rsidR="000A53EB" w:rsidTr="002D0E05">
        <w:trPr>
          <w:trHeight w:val="268"/>
        </w:trPr>
        <w:tc>
          <w:tcPr>
            <w:tcW w:w="1442" w:type="dxa"/>
            <w:vMerge w:val="restart"/>
            <w:shd w:val="clear" w:color="auto" w:fill="auto"/>
            <w:noWrap/>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Birth Order</w:t>
            </w: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-0.0592**</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-0.0485**</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-0.0183</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-0.104***</w:t>
            </w:r>
          </w:p>
        </w:tc>
      </w:tr>
      <w:tr w:rsidR="000A53EB" w:rsidTr="002D0E05">
        <w:trPr>
          <w:trHeight w:val="268"/>
        </w:trPr>
        <w:tc>
          <w:tcPr>
            <w:tcW w:w="1442" w:type="dxa"/>
            <w:vMerge/>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(0.0238)</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(0.0238)</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(0.0441)</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(0.0361)</w:t>
            </w:r>
          </w:p>
        </w:tc>
      </w:tr>
      <w:tr w:rsidR="000A53EB" w:rsidTr="002D0E05">
        <w:trPr>
          <w:trHeight w:val="268"/>
        </w:trPr>
        <w:tc>
          <w:tcPr>
            <w:tcW w:w="1442" w:type="dxa"/>
            <w:vMerge w:val="restart"/>
            <w:shd w:val="clear" w:color="auto" w:fill="auto"/>
            <w:noWrap/>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Biological</w:t>
            </w: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0.357***</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0.371***</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0.237</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0.215</w:t>
            </w:r>
          </w:p>
        </w:tc>
      </w:tr>
      <w:tr w:rsidR="000A53EB" w:rsidTr="002D0E05">
        <w:trPr>
          <w:trHeight w:val="268"/>
        </w:trPr>
        <w:tc>
          <w:tcPr>
            <w:tcW w:w="1442" w:type="dxa"/>
            <w:vMerge/>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vAlign w:val="bottom"/>
            <w:hideMark/>
          </w:tcPr>
          <w:p w:rsidR="000A53EB" w:rsidRPr="000A53EB" w:rsidRDefault="000A53EB" w:rsidP="005E4957">
            <w:pPr>
              <w:widowControl w:val="0"/>
              <w:autoSpaceDE w:val="0"/>
              <w:autoSpaceDN w:val="0"/>
              <w:spacing w:after="0" w:line="240" w:lineRule="auto"/>
              <w:jc w:val="center"/>
              <w:rPr>
                <w:rFonts w:asciiTheme="minorHAnsi" w:eastAsia="Times New Roman" w:hAnsiTheme="minorHAnsi" w:cs="Calibri"/>
                <w:color w:val="000000"/>
                <w:lang w:val="en-US"/>
              </w:rPr>
            </w:pP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(0.0742)</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(0.0739)</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(0.149)</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(0.134)</w:t>
            </w:r>
          </w:p>
        </w:tc>
      </w:tr>
      <w:tr w:rsidR="000A53EB" w:rsidTr="002D0E05">
        <w:trPr>
          <w:trHeight w:val="268"/>
        </w:trPr>
        <w:tc>
          <w:tcPr>
            <w:tcW w:w="1442" w:type="dxa"/>
            <w:vMerge w:val="restart"/>
            <w:shd w:val="clear" w:color="auto" w:fill="auto"/>
            <w:noWrap/>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Constant</w:t>
            </w:r>
          </w:p>
        </w:tc>
        <w:tc>
          <w:tcPr>
            <w:tcW w:w="1270"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4.543***</w:t>
            </w: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-5.886***</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-5.916***</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-5.597***</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-6.004***</w:t>
            </w:r>
          </w:p>
        </w:tc>
      </w:tr>
      <w:tr w:rsidR="000A53EB" w:rsidTr="002D0E05">
        <w:trPr>
          <w:trHeight w:val="268"/>
        </w:trPr>
        <w:tc>
          <w:tcPr>
            <w:tcW w:w="1442" w:type="dxa"/>
            <w:vMerge/>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p>
        </w:tc>
        <w:tc>
          <w:tcPr>
            <w:tcW w:w="1270"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(0.0740)</w:t>
            </w: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(0.117)</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(0.116)</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(0.221)</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(0.193)</w:t>
            </w:r>
          </w:p>
        </w:tc>
      </w:tr>
      <w:tr w:rsidR="005E4957" w:rsidTr="000A53EB">
        <w:trPr>
          <w:trHeight w:val="268"/>
        </w:trPr>
        <w:tc>
          <w:tcPr>
            <w:tcW w:w="1442" w:type="dxa"/>
            <w:shd w:val="clear" w:color="auto" w:fill="auto"/>
            <w:noWrap/>
            <w:vAlign w:val="center"/>
            <w:hideMark/>
          </w:tcPr>
          <w:p w:rsidR="005E4957" w:rsidRPr="000A53EB" w:rsidRDefault="005E4957"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prob. F</w:t>
            </w:r>
          </w:p>
        </w:tc>
        <w:tc>
          <w:tcPr>
            <w:tcW w:w="1270"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w:t>
            </w:r>
          </w:p>
        </w:tc>
        <w:tc>
          <w:tcPr>
            <w:tcW w:w="1365"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w:t>
            </w:r>
          </w:p>
        </w:tc>
        <w:tc>
          <w:tcPr>
            <w:tcW w:w="1276"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w:t>
            </w:r>
          </w:p>
        </w:tc>
        <w:tc>
          <w:tcPr>
            <w:tcW w:w="1276"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w:t>
            </w:r>
          </w:p>
        </w:tc>
        <w:tc>
          <w:tcPr>
            <w:tcW w:w="1403" w:type="dxa"/>
            <w:shd w:val="clear" w:color="auto" w:fill="auto"/>
            <w:noWrap/>
            <w:vAlign w:val="bottom"/>
            <w:hideMark/>
          </w:tcPr>
          <w:p w:rsidR="005E4957" w:rsidRPr="000A53EB" w:rsidRDefault="005E4957" w:rsidP="005E4957">
            <w:pPr>
              <w:widowControl w:val="0"/>
              <w:autoSpaceDE w:val="0"/>
              <w:autoSpaceDN w:val="0"/>
              <w:spacing w:after="0" w:line="240" w:lineRule="auto"/>
              <w:jc w:val="center"/>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0.000</w:t>
            </w:r>
          </w:p>
        </w:tc>
      </w:tr>
      <w:tr w:rsidR="000A53EB" w:rsidTr="002D0E05">
        <w:trPr>
          <w:trHeight w:val="268"/>
        </w:trPr>
        <w:tc>
          <w:tcPr>
            <w:tcW w:w="1442" w:type="dxa"/>
            <w:shd w:val="clear" w:color="auto" w:fill="auto"/>
            <w:noWrap/>
            <w:vAlign w:val="center"/>
            <w:hideMark/>
          </w:tcPr>
          <w:p w:rsidR="000A53EB" w:rsidRPr="000A53EB" w:rsidRDefault="000A53EB" w:rsidP="005E4957">
            <w:pPr>
              <w:widowControl w:val="0"/>
              <w:autoSpaceDE w:val="0"/>
              <w:autoSpaceDN w:val="0"/>
              <w:spacing w:after="0" w:line="240" w:lineRule="auto"/>
              <w:rPr>
                <w:rFonts w:asciiTheme="minorHAnsi" w:eastAsia="Times New Roman" w:hAnsiTheme="minorHAnsi" w:cs="Calibri"/>
                <w:color w:val="000000"/>
                <w:lang w:val="en-US"/>
              </w:rPr>
            </w:pPr>
            <w:r w:rsidRPr="000A53EB">
              <w:rPr>
                <w:rFonts w:asciiTheme="minorHAnsi" w:eastAsia="Times New Roman" w:hAnsiTheme="minorHAnsi" w:cs="Calibri"/>
                <w:color w:val="000000"/>
                <w:lang w:val="en-US"/>
              </w:rPr>
              <w:t>R-Squared</w:t>
            </w:r>
          </w:p>
        </w:tc>
        <w:tc>
          <w:tcPr>
            <w:tcW w:w="1270"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0.005</w:t>
            </w:r>
          </w:p>
        </w:tc>
        <w:tc>
          <w:tcPr>
            <w:tcW w:w="1365"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0.899</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0.900</w:t>
            </w:r>
          </w:p>
        </w:tc>
        <w:tc>
          <w:tcPr>
            <w:tcW w:w="1276"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0.900</w:t>
            </w:r>
          </w:p>
        </w:tc>
        <w:tc>
          <w:tcPr>
            <w:tcW w:w="1403" w:type="dxa"/>
            <w:shd w:val="clear" w:color="auto" w:fill="auto"/>
            <w:noWrap/>
            <w:hideMark/>
          </w:tcPr>
          <w:p w:rsidR="000A53EB" w:rsidRPr="000A53EB" w:rsidRDefault="000A53EB" w:rsidP="002D0E05">
            <w:pPr>
              <w:widowControl w:val="0"/>
              <w:autoSpaceDE w:val="0"/>
              <w:autoSpaceDN w:val="0"/>
              <w:adjustRightInd w:val="0"/>
              <w:spacing w:after="0" w:line="240" w:lineRule="auto"/>
              <w:jc w:val="center"/>
              <w:rPr>
                <w:rFonts w:asciiTheme="minorHAnsi" w:hAnsiTheme="minorHAnsi" w:cs="Times New Roman"/>
              </w:rPr>
            </w:pPr>
            <w:r w:rsidRPr="000A53EB">
              <w:rPr>
                <w:rFonts w:asciiTheme="minorHAnsi" w:hAnsiTheme="minorHAnsi" w:cs="Times New Roman"/>
              </w:rPr>
              <w:t>0.903</w:t>
            </w:r>
          </w:p>
        </w:tc>
      </w:tr>
    </w:tbl>
    <w:p w:rsidR="00973E91" w:rsidRPr="00973E91" w:rsidRDefault="005E4957" w:rsidP="00973E91">
      <w:pPr>
        <w:spacing w:after="0" w:line="240" w:lineRule="auto"/>
        <w:jc w:val="both"/>
        <w:rPr>
          <w:rFonts w:cs="Calibri"/>
          <w:lang w:val="en-US"/>
        </w:rPr>
      </w:pPr>
      <w:r w:rsidRPr="005A0FF3">
        <w:rPr>
          <w:rFonts w:cs="Calibri"/>
          <w:lang w:val="en-US"/>
        </w:rPr>
        <w:t xml:space="preserve"> </w:t>
      </w:r>
      <w:r w:rsidR="002D3D70" w:rsidRPr="005A0FF3">
        <w:rPr>
          <w:rFonts w:cs="Calibri"/>
          <w:lang w:val="en-US"/>
        </w:rPr>
        <w:t xml:space="preserve">Source: IFLS5 processed with </w:t>
      </w:r>
      <w:r w:rsidR="00247679">
        <w:rPr>
          <w:rFonts w:cs="Calibri"/>
          <w:lang w:val="en-US"/>
        </w:rPr>
        <w:t>STATA</w:t>
      </w:r>
      <w:r w:rsidR="002D3D70" w:rsidRPr="005A0FF3">
        <w:rPr>
          <w:rFonts w:cs="Calibri"/>
          <w:lang w:val="en-US"/>
        </w:rPr>
        <w:t>.</w:t>
      </w:r>
    </w:p>
    <w:p w:rsidR="00973E91" w:rsidRPr="00973E91" w:rsidRDefault="002D3D70" w:rsidP="00973E91">
      <w:pPr>
        <w:spacing w:after="0" w:line="240" w:lineRule="auto"/>
        <w:jc w:val="both"/>
        <w:rPr>
          <w:rFonts w:cs="Calibri"/>
          <w:lang w:val="en-US"/>
        </w:rPr>
      </w:pPr>
      <w:r w:rsidRPr="00973E91">
        <w:rPr>
          <w:rFonts w:cs="Calibri"/>
          <w:lang w:val="en-US"/>
        </w:rPr>
        <w:t xml:space="preserve"> Standard errors in parentheses</w:t>
      </w:r>
    </w:p>
    <w:p w:rsidR="00973E91" w:rsidRPr="00973E91" w:rsidRDefault="002D3D70" w:rsidP="00973E91">
      <w:pPr>
        <w:spacing w:after="0" w:line="240" w:lineRule="auto"/>
        <w:jc w:val="both"/>
        <w:rPr>
          <w:rFonts w:cs="Calibri"/>
          <w:lang w:val="en-US"/>
        </w:rPr>
      </w:pPr>
      <w:r w:rsidRPr="00973E91">
        <w:rPr>
          <w:rFonts w:cs="Calibri"/>
          <w:lang w:val="en-US"/>
        </w:rPr>
        <w:t xml:space="preserve"> *** p&lt;0.01, ** p&lt;0.05, * p&lt;0.1</w:t>
      </w:r>
    </w:p>
    <w:p w:rsidR="009C3777" w:rsidRDefault="009C3777" w:rsidP="009C3777">
      <w:pPr>
        <w:spacing w:after="0" w:line="240" w:lineRule="auto"/>
        <w:jc w:val="both"/>
        <w:rPr>
          <w:rFonts w:cs="Calibri"/>
          <w:lang w:val="en-US"/>
        </w:rPr>
      </w:pPr>
    </w:p>
    <w:p w:rsidR="002C4C1C" w:rsidRDefault="009C3777" w:rsidP="009C3777">
      <w:pPr>
        <w:spacing w:after="0" w:line="240" w:lineRule="auto"/>
        <w:jc w:val="both"/>
        <w:rPr>
          <w:rFonts w:cs="Calibri"/>
          <w:b/>
          <w:sz w:val="24"/>
        </w:rPr>
      </w:pPr>
      <w:r w:rsidRPr="005A0FF3">
        <w:rPr>
          <w:rFonts w:cs="Calibri"/>
          <w:lang w:val="en-US"/>
        </w:rPr>
        <w:t>Table 2 shows the results of the regression carried out with the help of STATA14. These results then become the basis for describing the independent variables on the d</w:t>
      </w:r>
      <w:r>
        <w:rPr>
          <w:rFonts w:cs="Calibri"/>
          <w:lang w:val="en-US"/>
        </w:rPr>
        <w:t xml:space="preserve">ependent variable in this study. </w:t>
      </w:r>
      <w:r w:rsidRPr="005A0FF3">
        <w:rPr>
          <w:rFonts w:cs="Calibri"/>
          <w:lang w:val="en-US"/>
        </w:rPr>
        <w:t xml:space="preserve">The results of research on the impact of </w:t>
      </w:r>
      <w:r>
        <w:rPr>
          <w:rFonts w:cs="Calibri"/>
          <w:lang w:val="en-US"/>
        </w:rPr>
        <w:t>working mother</w:t>
      </w:r>
      <w:r w:rsidRPr="005A0FF3">
        <w:rPr>
          <w:rFonts w:cs="Calibri"/>
          <w:lang w:val="en-US"/>
        </w:rPr>
        <w:t xml:space="preserve">'s power on children's human capital in Indonesia can be explained </w:t>
      </w:r>
      <w:r>
        <w:rPr>
          <w:rFonts w:cs="Calibri"/>
          <w:lang w:val="en-US"/>
        </w:rPr>
        <w:t>on Table 2.</w:t>
      </w:r>
    </w:p>
    <w:p w:rsidR="00973E91" w:rsidRDefault="002D3D70" w:rsidP="00973E91">
      <w:pPr>
        <w:spacing w:after="0" w:line="240" w:lineRule="auto"/>
        <w:jc w:val="both"/>
        <w:rPr>
          <w:rFonts w:cs="Calibri"/>
          <w:lang w:val="en-US"/>
        </w:rPr>
      </w:pPr>
      <w:r w:rsidRPr="00AD27D4">
        <w:rPr>
          <w:rFonts w:cs="Calibri"/>
          <w:lang w:val="en-US"/>
        </w:rPr>
        <w:t>The location variable has a significant positive effect on children's human capital</w:t>
      </w:r>
      <w:r w:rsidR="000F5F57" w:rsidRPr="000F5F57">
        <w:rPr>
          <w:rFonts w:cs="Calibri"/>
          <w:lang w:val="en-US"/>
        </w:rPr>
        <w:t xml:space="preserve"> </w:t>
      </w:r>
      <w:r w:rsidR="000F5F57" w:rsidRPr="00AD27D4">
        <w:rPr>
          <w:rFonts w:cs="Calibri"/>
          <w:lang w:val="en-US"/>
        </w:rPr>
        <w:t xml:space="preserve">in the </w:t>
      </w:r>
      <w:r w:rsidR="000F5F57">
        <w:rPr>
          <w:rFonts w:cs="Calibri"/>
          <w:lang w:val="en-US"/>
        </w:rPr>
        <w:t xml:space="preserve">unrestricted, unrestricted 1, unrestricted 2, and unrestricted3 </w:t>
      </w:r>
      <w:r w:rsidR="000F5F57" w:rsidRPr="00AD27D4">
        <w:rPr>
          <w:rFonts w:cs="Calibri"/>
          <w:lang w:val="en-US"/>
        </w:rPr>
        <w:t>tests</w:t>
      </w:r>
      <w:r w:rsidRPr="00AD27D4">
        <w:rPr>
          <w:rFonts w:cs="Calibri"/>
          <w:lang w:val="en-US"/>
        </w:rPr>
        <w:t xml:space="preserve">. The location of the residence, namely the demographics of the area in the village or the city, is very different, where generally children who live in cities have better quality human capital </w:t>
      </w:r>
      <w:r w:rsidRPr="00AD27D4">
        <w:rPr>
          <w:rFonts w:cs="Calibri"/>
          <w:lang w:val="en-US"/>
        </w:rPr>
        <w:lastRenderedPageBreak/>
        <w:t>than those who live in villages because of the advancement of technology and information. Conversely, the access variable, in this case, the distance from residence to school and vice versa from school to residence, has no effect on children's human capital.</w:t>
      </w:r>
      <w:r w:rsidRPr="00973E91">
        <w:rPr>
          <w:rFonts w:cs="Calibri"/>
          <w:lang w:val="en-US"/>
        </w:rPr>
        <w:t xml:space="preserve"> </w:t>
      </w:r>
      <w:r w:rsidRPr="00AD27D4">
        <w:rPr>
          <w:rFonts w:cs="Calibri"/>
          <w:lang w:val="en-US"/>
        </w:rPr>
        <w:t>This means that the farther or closer access from home to school does not affect the child's human capital. Government program assistance has a significant negative effect, where BLSM wi</w:t>
      </w:r>
      <w:r w:rsidR="000F5F57">
        <w:rPr>
          <w:rFonts w:cs="Calibri"/>
          <w:lang w:val="en-US"/>
        </w:rPr>
        <w:t>th a coefficient value of -0.105</w:t>
      </w:r>
      <w:r w:rsidRPr="00AD27D4">
        <w:rPr>
          <w:rFonts w:cs="Calibri"/>
          <w:lang w:val="en-US"/>
        </w:rPr>
        <w:t xml:space="preserve"> in the un</w:t>
      </w:r>
      <w:r w:rsidR="000F5F57">
        <w:rPr>
          <w:rFonts w:cs="Calibri"/>
          <w:lang w:val="en-US"/>
        </w:rPr>
        <w:t xml:space="preserve">restricted test1, PKH of -0,155 </w:t>
      </w:r>
      <w:r w:rsidRPr="00AD27D4">
        <w:rPr>
          <w:rFonts w:cs="Calibri"/>
          <w:lang w:val="en-US"/>
        </w:rPr>
        <w:t>in the unrestricted test, a</w:t>
      </w:r>
      <w:r w:rsidR="000F5F57">
        <w:rPr>
          <w:rFonts w:cs="Calibri"/>
          <w:lang w:val="en-US"/>
        </w:rPr>
        <w:t>nd BLT of -0.133</w:t>
      </w:r>
      <w:r w:rsidRPr="00AD27D4">
        <w:rPr>
          <w:rFonts w:cs="Calibri"/>
          <w:lang w:val="en-US"/>
        </w:rPr>
        <w:t xml:space="preserve"> in the unrestricted test3. The negative results indicate that government assistance is still distributed inequality.</w:t>
      </w:r>
      <w:r w:rsidRPr="00973E91">
        <w:rPr>
          <w:rFonts w:cs="Calibri"/>
          <w:lang w:val="en-US"/>
        </w:rPr>
        <w:t xml:space="preserve"> </w:t>
      </w:r>
    </w:p>
    <w:p w:rsidR="00973E91" w:rsidRDefault="00973E91" w:rsidP="00973E91">
      <w:pPr>
        <w:spacing w:after="0" w:line="240" w:lineRule="auto"/>
        <w:jc w:val="both"/>
        <w:rPr>
          <w:rFonts w:cs="Calibri"/>
          <w:lang w:val="en-US"/>
        </w:rPr>
      </w:pPr>
    </w:p>
    <w:p w:rsidR="00973E91" w:rsidRPr="00973E91" w:rsidRDefault="00751677" w:rsidP="00973E91">
      <w:pPr>
        <w:spacing w:after="0" w:line="240" w:lineRule="auto"/>
        <w:jc w:val="both"/>
        <w:rPr>
          <w:rFonts w:cs="Calibri"/>
          <w:lang w:val="en-US"/>
        </w:rPr>
      </w:pPr>
      <w:r>
        <w:rPr>
          <w:rFonts w:cs="Calibri"/>
          <w:lang w:val="en-US"/>
        </w:rPr>
        <w:t>Asset ownerships</w:t>
      </w:r>
      <w:r w:rsidR="002D3D70" w:rsidRPr="000136F0">
        <w:rPr>
          <w:rFonts w:cs="Calibri"/>
          <w:lang w:val="en-US"/>
        </w:rPr>
        <w:t xml:space="preserve"> also has a significant positive effect, </w:t>
      </w:r>
      <w:r w:rsidR="00050D2D">
        <w:rPr>
          <w:rFonts w:cs="Calibri"/>
          <w:lang w:val="en-US"/>
        </w:rPr>
        <w:t>where the</w:t>
      </w:r>
      <w:r w:rsidR="002D3D70" w:rsidRPr="000136F0">
        <w:rPr>
          <w:rFonts w:cs="Calibri"/>
          <w:lang w:val="en-US"/>
        </w:rPr>
        <w:t xml:space="preserve"> coefficient value </w:t>
      </w:r>
      <w:r w:rsidR="00050D2D">
        <w:rPr>
          <w:rFonts w:cs="Calibri"/>
          <w:lang w:val="en-US"/>
        </w:rPr>
        <w:t>shows</w:t>
      </w:r>
      <w:r w:rsidR="000F5F57">
        <w:rPr>
          <w:rFonts w:cs="Calibri"/>
          <w:lang w:val="en-US"/>
        </w:rPr>
        <w:t xml:space="preserve"> 0.0693 and 0.0793 </w:t>
      </w:r>
      <w:r w:rsidR="002D3D70" w:rsidRPr="000136F0">
        <w:rPr>
          <w:rFonts w:cs="Calibri"/>
          <w:lang w:val="en-US"/>
        </w:rPr>
        <w:t xml:space="preserve">on the unrestricted 2 </w:t>
      </w:r>
      <w:r w:rsidR="000F5F57">
        <w:rPr>
          <w:rFonts w:cs="Calibri"/>
          <w:lang w:val="en-US"/>
        </w:rPr>
        <w:t xml:space="preserve">and unrestricted 3 </w:t>
      </w:r>
      <w:r w:rsidR="002D3D70" w:rsidRPr="000136F0">
        <w:rPr>
          <w:rFonts w:cs="Calibri"/>
          <w:lang w:val="en-US"/>
        </w:rPr>
        <w:t xml:space="preserve">test. This shows that the share of assets during the marriage will increase women's </w:t>
      </w:r>
      <w:r w:rsidR="00050D2D">
        <w:rPr>
          <w:rFonts w:cs="Calibri"/>
          <w:lang w:val="en-US"/>
        </w:rPr>
        <w:t xml:space="preserve">bargaining </w:t>
      </w:r>
      <w:r w:rsidR="002D3D70" w:rsidRPr="000136F0">
        <w:rPr>
          <w:rFonts w:cs="Calibri"/>
          <w:lang w:val="en-US"/>
        </w:rPr>
        <w:t>power in decision making, which is related to children's education. The proportion of power will increase between women and men depending on their age. From the results obtained, the age of women working has a significant positive effect wi</w:t>
      </w:r>
      <w:r w:rsidR="000F5F57">
        <w:rPr>
          <w:rFonts w:cs="Calibri"/>
          <w:lang w:val="en-US"/>
        </w:rPr>
        <w:t xml:space="preserve">th a coefficient value of 0.0061 </w:t>
      </w:r>
      <w:r w:rsidR="002D3D70" w:rsidRPr="000136F0">
        <w:rPr>
          <w:rFonts w:cs="Calibri"/>
          <w:lang w:val="en-US"/>
        </w:rPr>
        <w:t>for unrestricted1, this shows that where women's power increases according to their age.</w:t>
      </w:r>
      <w:r w:rsidR="002D3D70" w:rsidRPr="00973E91">
        <w:rPr>
          <w:rFonts w:cs="Calibri"/>
          <w:lang w:val="en-US"/>
        </w:rPr>
        <w:t xml:space="preserve"> </w:t>
      </w:r>
      <w:r w:rsidR="002D3D70" w:rsidRPr="000136F0">
        <w:rPr>
          <w:rFonts w:cs="Calibri"/>
          <w:lang w:val="en-US"/>
        </w:rPr>
        <w:t>However, the age of the partner does not affect the child's human capital wi</w:t>
      </w:r>
      <w:r w:rsidR="005B300D">
        <w:rPr>
          <w:rFonts w:cs="Calibri"/>
          <w:lang w:val="en-US"/>
        </w:rPr>
        <w:t>th a coefficient value of -0.0024</w:t>
      </w:r>
      <w:r w:rsidR="002D3D70" w:rsidRPr="000136F0">
        <w:rPr>
          <w:rFonts w:cs="Calibri"/>
          <w:lang w:val="en-US"/>
        </w:rPr>
        <w:t xml:space="preserve">. While children's age has a significant positive effect on children's human capital with a coefficient value of </w:t>
      </w:r>
      <w:r w:rsidR="005B300D">
        <w:rPr>
          <w:rFonts w:cs="Calibri"/>
          <w:lang w:val="en-US"/>
        </w:rPr>
        <w:t xml:space="preserve">0.945 </w:t>
      </w:r>
      <w:r w:rsidR="002D3D70" w:rsidRPr="000136F0">
        <w:rPr>
          <w:rFonts w:cs="Calibri"/>
          <w:lang w:val="en-US"/>
        </w:rPr>
        <w:t>for unrestricted3, this means that the increasing age of the child, the higher the level of education taken according to their age.</w:t>
      </w:r>
    </w:p>
    <w:p w:rsidR="00973E91" w:rsidRPr="00973E91" w:rsidRDefault="00973E91" w:rsidP="00973E91">
      <w:pPr>
        <w:spacing w:after="0" w:line="240" w:lineRule="auto"/>
        <w:jc w:val="both"/>
        <w:rPr>
          <w:rFonts w:cs="Calibri"/>
          <w:lang w:val="en-US"/>
        </w:rPr>
      </w:pPr>
    </w:p>
    <w:p w:rsidR="00973E91" w:rsidRDefault="002D3D70" w:rsidP="00973E91">
      <w:pPr>
        <w:spacing w:after="0" w:line="240" w:lineRule="auto"/>
        <w:jc w:val="both"/>
        <w:rPr>
          <w:rFonts w:cs="Calibri"/>
          <w:lang w:val="en-US"/>
        </w:rPr>
      </w:pPr>
      <w:r w:rsidRPr="00340971">
        <w:rPr>
          <w:rFonts w:cs="Calibri"/>
          <w:lang w:val="en-US"/>
        </w:rPr>
        <w:t>The coefficient value of the number of family members of -0.0</w:t>
      </w:r>
      <w:r w:rsidR="005B300D">
        <w:rPr>
          <w:rFonts w:cs="Calibri"/>
          <w:lang w:val="en-US"/>
        </w:rPr>
        <w:t>497</w:t>
      </w:r>
      <w:r w:rsidRPr="00340971">
        <w:rPr>
          <w:rFonts w:cs="Calibri"/>
          <w:lang w:val="en-US"/>
        </w:rPr>
        <w:t xml:space="preserve"> has a significant negative effect on children's human capital in the unrestricted2 test, the negative results indicate that the more number of family members the lower the value, this is because of the more the number of family members the more expenditure in the household.</w:t>
      </w:r>
      <w:r w:rsidRPr="00973E91">
        <w:rPr>
          <w:rFonts w:cs="Calibri"/>
          <w:lang w:val="en-US"/>
        </w:rPr>
        <w:t xml:space="preserve">  </w:t>
      </w:r>
      <w:r w:rsidR="00050D2D">
        <w:rPr>
          <w:rFonts w:cs="Calibri"/>
          <w:lang w:val="en-US"/>
        </w:rPr>
        <w:t>The b</w:t>
      </w:r>
      <w:r w:rsidRPr="00672381">
        <w:rPr>
          <w:rFonts w:cs="Calibri"/>
          <w:lang w:val="en-US"/>
        </w:rPr>
        <w:t>irth order</w:t>
      </w:r>
      <w:r w:rsidR="00050D2D">
        <w:rPr>
          <w:rFonts w:cs="Calibri"/>
          <w:lang w:val="en-US"/>
        </w:rPr>
        <w:t xml:space="preserve"> variable shows that</w:t>
      </w:r>
      <w:r w:rsidRPr="00672381">
        <w:rPr>
          <w:rFonts w:cs="Calibri"/>
          <w:lang w:val="en-US"/>
        </w:rPr>
        <w:t xml:space="preserve"> smaller the child</w:t>
      </w:r>
      <w:r w:rsidR="00050D2D">
        <w:rPr>
          <w:rFonts w:cs="Calibri"/>
          <w:lang w:val="en-US"/>
        </w:rPr>
        <w:t xml:space="preserve"> has</w:t>
      </w:r>
      <w:r w:rsidRPr="00672381">
        <w:rPr>
          <w:rFonts w:cs="Calibri"/>
          <w:lang w:val="en-US"/>
        </w:rPr>
        <w:t xml:space="preserve"> greater the opportunity to get a higher education, where</w:t>
      </w:r>
      <w:r w:rsidR="00050D2D">
        <w:rPr>
          <w:rFonts w:cs="Calibri"/>
          <w:lang w:val="en-US"/>
        </w:rPr>
        <w:t>as</w:t>
      </w:r>
      <w:r w:rsidRPr="00672381">
        <w:rPr>
          <w:rFonts w:cs="Calibri"/>
          <w:lang w:val="en-US"/>
        </w:rPr>
        <w:t xml:space="preserve"> the child's birth order has a negative effect and a significant result with a coefficient of -0.104 in unrestricted3, this indicates that there is an imbalance between siblings. This can be due to differences in school achievement that are relatively lower than the national standard as the age increases.</w:t>
      </w:r>
      <w:r w:rsidRPr="00973E91">
        <w:rPr>
          <w:rFonts w:cs="Calibri"/>
          <w:lang w:val="en-US"/>
        </w:rPr>
        <w:t xml:space="preserve"> </w:t>
      </w:r>
      <w:r w:rsidRPr="00672381">
        <w:rPr>
          <w:rFonts w:cs="Calibri"/>
          <w:lang w:val="en-US"/>
        </w:rPr>
        <w:t>And the status of biological children has a significant positive effect with a coefficient value of 0.</w:t>
      </w:r>
      <w:r w:rsidR="005B300D">
        <w:rPr>
          <w:rFonts w:cs="Calibri"/>
          <w:lang w:val="en-US"/>
        </w:rPr>
        <w:t>3</w:t>
      </w:r>
      <w:r w:rsidRPr="00672381">
        <w:rPr>
          <w:rFonts w:cs="Calibri"/>
          <w:lang w:val="en-US"/>
        </w:rPr>
        <w:t>71 for unrestricted1. This shows that the status of biological children has the opportunity to receive higher education than the status of other children.</w:t>
      </w:r>
    </w:p>
    <w:p w:rsidR="00973E91" w:rsidRDefault="00973E91" w:rsidP="00973E91">
      <w:pPr>
        <w:spacing w:after="0" w:line="240" w:lineRule="auto"/>
        <w:jc w:val="both"/>
        <w:rPr>
          <w:rFonts w:cs="Calibri"/>
          <w:lang w:val="en-US"/>
        </w:rPr>
      </w:pPr>
    </w:p>
    <w:p w:rsidR="00973E91" w:rsidRDefault="002D3D70" w:rsidP="00973E91">
      <w:pPr>
        <w:spacing w:after="0" w:line="240" w:lineRule="auto"/>
        <w:jc w:val="both"/>
        <w:rPr>
          <w:rFonts w:cs="Calibri"/>
          <w:lang w:val="en-US"/>
        </w:rPr>
      </w:pPr>
      <w:r w:rsidRPr="00672381">
        <w:rPr>
          <w:rFonts w:cs="Calibri"/>
          <w:lang w:val="en-US"/>
        </w:rPr>
        <w:t>Based on the regression results obtained, it ca</w:t>
      </w:r>
      <w:r w:rsidR="005B300D">
        <w:rPr>
          <w:rFonts w:cs="Calibri"/>
          <w:lang w:val="en-US"/>
        </w:rPr>
        <w:t>n be seen R-square (R2) of 0.903 or 90.3</w:t>
      </w:r>
      <w:r w:rsidRPr="00672381">
        <w:rPr>
          <w:rFonts w:cs="Calibri"/>
          <w:lang w:val="en-US"/>
        </w:rPr>
        <w:t xml:space="preserve"> percent. This shows that the human capital of children in Indonesia is influenced by the impact of women's power to work by 90.6 percent, while 9.4 percent is influenced by other variables not found in the equation or research model used.</w:t>
      </w:r>
      <w:r w:rsidRPr="00973E91">
        <w:rPr>
          <w:rFonts w:cs="Calibri"/>
          <w:lang w:val="en-US"/>
        </w:rPr>
        <w:t xml:space="preserve"> </w:t>
      </w:r>
    </w:p>
    <w:p w:rsidR="00973E91" w:rsidRDefault="00973E91" w:rsidP="00973E91">
      <w:pPr>
        <w:spacing w:after="0" w:line="240" w:lineRule="auto"/>
        <w:jc w:val="both"/>
        <w:rPr>
          <w:rFonts w:cs="Calibri"/>
          <w:lang w:val="en-US"/>
        </w:rPr>
      </w:pPr>
    </w:p>
    <w:p w:rsidR="00973E91" w:rsidRPr="00973E91" w:rsidRDefault="002D3D70" w:rsidP="00973E91">
      <w:pPr>
        <w:spacing w:after="0" w:line="240" w:lineRule="auto"/>
        <w:jc w:val="both"/>
        <w:rPr>
          <w:rFonts w:cs="Calibri"/>
          <w:lang w:val="en-US"/>
        </w:rPr>
      </w:pPr>
      <w:r w:rsidRPr="00672381">
        <w:rPr>
          <w:rFonts w:cs="Calibri"/>
          <w:lang w:val="en-US"/>
        </w:rPr>
        <w:t xml:space="preserve">To test whether there is a significant difference between the relative education of </w:t>
      </w:r>
      <w:r w:rsidR="002206A3">
        <w:rPr>
          <w:rFonts w:cs="Calibri"/>
          <w:lang w:val="en-US"/>
        </w:rPr>
        <w:t>working mother</w:t>
      </w:r>
      <w:r w:rsidRPr="00672381">
        <w:rPr>
          <w:rFonts w:cs="Calibri"/>
          <w:lang w:val="en-US"/>
        </w:rPr>
        <w:t xml:space="preserve"> and the relative income of </w:t>
      </w:r>
      <w:r w:rsidR="002206A3">
        <w:rPr>
          <w:rFonts w:cs="Calibri"/>
          <w:lang w:val="en-US"/>
        </w:rPr>
        <w:t>working mother</w:t>
      </w:r>
      <w:r w:rsidRPr="00672381">
        <w:rPr>
          <w:rFonts w:cs="Calibri"/>
          <w:lang w:val="en-US"/>
        </w:rPr>
        <w:t xml:space="preserve"> on the human capital of children in Indonesia, the Chow-test is used.</w:t>
      </w:r>
    </w:p>
    <w:p w:rsidR="002C4C1C" w:rsidRPr="00973E91" w:rsidRDefault="002C4C1C" w:rsidP="00973E91">
      <w:pPr>
        <w:spacing w:after="0" w:line="240" w:lineRule="auto"/>
        <w:jc w:val="both"/>
        <w:rPr>
          <w:rFonts w:cs="Calibri"/>
          <w:sz w:val="24"/>
        </w:rPr>
      </w:pPr>
    </w:p>
    <w:p w:rsidR="00973E91" w:rsidRPr="00973E91" w:rsidRDefault="002D3D70" w:rsidP="00973E91">
      <w:pPr>
        <w:spacing w:after="0" w:line="240" w:lineRule="auto"/>
        <w:rPr>
          <w:rFonts w:cs="Calibri"/>
          <w:bCs/>
          <w:lang w:val="en-US"/>
        </w:rPr>
      </w:pPr>
      <w:r>
        <w:rPr>
          <w:rFonts w:cs="Calibri"/>
          <w:b/>
          <w:bCs/>
        </w:rPr>
        <w:t>Table 3</w:t>
      </w:r>
      <w:r w:rsidR="002C4C1C" w:rsidRPr="002C4C1C">
        <w:rPr>
          <w:rFonts w:cs="Calibri"/>
          <w:b/>
          <w:bCs/>
          <w:lang w:val="en-US"/>
        </w:rPr>
        <w:t>.</w:t>
      </w:r>
      <w:r w:rsidR="002C4C1C" w:rsidRPr="002C4C1C">
        <w:rPr>
          <w:rFonts w:cs="Calibri"/>
          <w:b/>
          <w:bCs/>
        </w:rPr>
        <w:t xml:space="preserve"> </w:t>
      </w:r>
      <w:r w:rsidR="00672381" w:rsidRPr="00672381">
        <w:rPr>
          <w:rFonts w:cs="Calibri"/>
          <w:bCs/>
          <w:lang w:val="en-US"/>
        </w:rPr>
        <w:t xml:space="preserve">Results of Testing the Effect of Relative Education and </w:t>
      </w:r>
      <w:r w:rsidR="002206A3">
        <w:rPr>
          <w:rFonts w:cs="Calibri"/>
          <w:bCs/>
          <w:lang w:val="en-US"/>
        </w:rPr>
        <w:t>Working mother</w:t>
      </w:r>
      <w:r w:rsidR="00672381" w:rsidRPr="00672381">
        <w:rPr>
          <w:rFonts w:cs="Calibri"/>
          <w:bCs/>
          <w:lang w:val="en-US"/>
        </w:rPr>
        <w:t>'s Relative Income on Children's Human Capital in Indonesia</w:t>
      </w:r>
    </w:p>
    <w:p w:rsidR="002C4C1C" w:rsidRDefault="002C4C1C" w:rsidP="002C4C1C">
      <w:pPr>
        <w:spacing w:after="0" w:line="240" w:lineRule="auto"/>
        <w:rPr>
          <w:rFonts w:cs="Calibri"/>
          <w:bCs/>
        </w:rPr>
      </w:pPr>
    </w:p>
    <w:tbl>
      <w:tblPr>
        <w:tblW w:w="7915" w:type="dxa"/>
        <w:jc w:val="center"/>
        <w:tblLook w:val="04A0" w:firstRow="1" w:lastRow="0" w:firstColumn="1" w:lastColumn="0" w:noHBand="0" w:noVBand="1"/>
      </w:tblPr>
      <w:tblGrid>
        <w:gridCol w:w="212"/>
        <w:gridCol w:w="2594"/>
        <w:gridCol w:w="2563"/>
        <w:gridCol w:w="2546"/>
      </w:tblGrid>
      <w:tr w:rsidR="00D93CE5" w:rsidTr="00973E91">
        <w:trPr>
          <w:gridBefore w:val="1"/>
          <w:wBefore w:w="212" w:type="dxa"/>
          <w:trHeight w:val="167"/>
          <w:jc w:val="center"/>
        </w:trPr>
        <w:tc>
          <w:tcPr>
            <w:tcW w:w="2594" w:type="dxa"/>
            <w:tcBorders>
              <w:top w:val="single" w:sz="8" w:space="0" w:color="auto"/>
              <w:left w:val="nil"/>
              <w:bottom w:val="nil"/>
              <w:right w:val="nil"/>
            </w:tcBorders>
            <w:shd w:val="clear" w:color="auto" w:fill="auto"/>
            <w:vAlign w:val="center"/>
            <w:hideMark/>
          </w:tcPr>
          <w:p w:rsidR="00973E91" w:rsidRPr="00973E91" w:rsidRDefault="002D3D70" w:rsidP="00973E91">
            <w:pPr>
              <w:widowControl w:val="0"/>
              <w:autoSpaceDE w:val="0"/>
              <w:autoSpaceDN w:val="0"/>
              <w:spacing w:after="0" w:line="240" w:lineRule="auto"/>
              <w:jc w:val="center"/>
              <w:rPr>
                <w:rFonts w:eastAsia="Times New Roman" w:cs="Calibri"/>
                <w:color w:val="000000"/>
                <w:lang w:val="en-US"/>
              </w:rPr>
            </w:pPr>
            <w:r w:rsidRPr="00973E91">
              <w:rPr>
                <w:rFonts w:eastAsia="Times New Roman" w:cs="Calibri"/>
                <w:color w:val="000000"/>
                <w:lang w:val="en-US"/>
              </w:rPr>
              <w:lastRenderedPageBreak/>
              <w:t> </w:t>
            </w:r>
          </w:p>
        </w:tc>
        <w:tc>
          <w:tcPr>
            <w:tcW w:w="2563" w:type="dxa"/>
            <w:tcBorders>
              <w:top w:val="single" w:sz="8" w:space="0" w:color="auto"/>
              <w:left w:val="nil"/>
              <w:bottom w:val="nil"/>
              <w:right w:val="nil"/>
            </w:tcBorders>
            <w:shd w:val="clear" w:color="auto" w:fill="auto"/>
            <w:vAlign w:val="center"/>
            <w:hideMark/>
          </w:tcPr>
          <w:p w:rsidR="00973E91" w:rsidRPr="00973E91" w:rsidRDefault="002D3D70" w:rsidP="00973E91">
            <w:pPr>
              <w:widowControl w:val="0"/>
              <w:autoSpaceDE w:val="0"/>
              <w:autoSpaceDN w:val="0"/>
              <w:spacing w:after="0" w:line="240" w:lineRule="auto"/>
              <w:jc w:val="center"/>
              <w:rPr>
                <w:rFonts w:eastAsia="Times New Roman" w:cs="Calibri"/>
                <w:color w:val="000000"/>
                <w:lang w:val="en-US"/>
              </w:rPr>
            </w:pPr>
            <w:r w:rsidRPr="00973E91">
              <w:rPr>
                <w:rFonts w:eastAsia="Times New Roman" w:cs="Calibri"/>
                <w:color w:val="000000"/>
                <w:lang w:val="en-US"/>
              </w:rPr>
              <w:t>-1</w:t>
            </w:r>
          </w:p>
        </w:tc>
        <w:tc>
          <w:tcPr>
            <w:tcW w:w="2546" w:type="dxa"/>
            <w:tcBorders>
              <w:top w:val="single" w:sz="8" w:space="0" w:color="auto"/>
              <w:left w:val="nil"/>
              <w:bottom w:val="nil"/>
              <w:right w:val="nil"/>
            </w:tcBorders>
            <w:shd w:val="clear" w:color="auto" w:fill="auto"/>
            <w:noWrap/>
            <w:vAlign w:val="center"/>
            <w:hideMark/>
          </w:tcPr>
          <w:p w:rsidR="00973E91" w:rsidRPr="00973E91" w:rsidRDefault="002D3D70" w:rsidP="00973E91">
            <w:pPr>
              <w:widowControl w:val="0"/>
              <w:autoSpaceDE w:val="0"/>
              <w:autoSpaceDN w:val="0"/>
              <w:spacing w:after="0" w:line="240" w:lineRule="auto"/>
              <w:jc w:val="center"/>
              <w:rPr>
                <w:rFonts w:eastAsia="Times New Roman" w:cs="Calibri"/>
                <w:color w:val="000000"/>
                <w:lang w:val="en-US"/>
              </w:rPr>
            </w:pPr>
            <w:r w:rsidRPr="00973E91">
              <w:rPr>
                <w:rFonts w:eastAsia="Times New Roman" w:cs="Calibri"/>
                <w:color w:val="000000"/>
                <w:lang w:val="en-US"/>
              </w:rPr>
              <w:t>2</w:t>
            </w:r>
          </w:p>
        </w:tc>
      </w:tr>
      <w:tr w:rsidR="00D93CE5" w:rsidTr="00973E91">
        <w:trPr>
          <w:gridBefore w:val="1"/>
          <w:wBefore w:w="212" w:type="dxa"/>
          <w:trHeight w:val="174"/>
          <w:jc w:val="center"/>
        </w:trPr>
        <w:tc>
          <w:tcPr>
            <w:tcW w:w="2594" w:type="dxa"/>
            <w:tcBorders>
              <w:top w:val="nil"/>
              <w:left w:val="nil"/>
              <w:bottom w:val="single" w:sz="8" w:space="0" w:color="auto"/>
              <w:right w:val="nil"/>
            </w:tcBorders>
            <w:shd w:val="clear" w:color="auto" w:fill="auto"/>
            <w:vAlign w:val="center"/>
            <w:hideMark/>
          </w:tcPr>
          <w:p w:rsidR="00973E91" w:rsidRPr="00973E91" w:rsidRDefault="002D3D70" w:rsidP="00973E91">
            <w:pPr>
              <w:widowControl w:val="0"/>
              <w:autoSpaceDE w:val="0"/>
              <w:autoSpaceDN w:val="0"/>
              <w:spacing w:after="0" w:line="240" w:lineRule="auto"/>
              <w:jc w:val="center"/>
              <w:rPr>
                <w:rFonts w:eastAsia="Times New Roman" w:cs="Calibri"/>
                <w:color w:val="000000"/>
                <w:lang w:val="en-US"/>
              </w:rPr>
            </w:pPr>
            <w:r w:rsidRPr="00973E91">
              <w:rPr>
                <w:rFonts w:eastAsia="Times New Roman" w:cs="Calibri"/>
                <w:color w:val="000000"/>
                <w:lang w:val="en-US"/>
              </w:rPr>
              <w:t>VARIABLES</w:t>
            </w:r>
          </w:p>
        </w:tc>
        <w:tc>
          <w:tcPr>
            <w:tcW w:w="2563" w:type="dxa"/>
            <w:tcBorders>
              <w:top w:val="nil"/>
              <w:left w:val="nil"/>
              <w:bottom w:val="single" w:sz="8" w:space="0" w:color="auto"/>
              <w:right w:val="nil"/>
            </w:tcBorders>
            <w:shd w:val="clear" w:color="auto" w:fill="auto"/>
            <w:vAlign w:val="center"/>
            <w:hideMark/>
          </w:tcPr>
          <w:p w:rsidR="00973E91" w:rsidRPr="00973E91" w:rsidRDefault="002D3D70" w:rsidP="00973E91">
            <w:pPr>
              <w:widowControl w:val="0"/>
              <w:autoSpaceDE w:val="0"/>
              <w:autoSpaceDN w:val="0"/>
              <w:spacing w:after="0" w:line="240" w:lineRule="auto"/>
              <w:jc w:val="center"/>
              <w:rPr>
                <w:rFonts w:eastAsia="Times New Roman" w:cs="Calibri"/>
                <w:color w:val="000000"/>
                <w:lang w:val="en-US"/>
              </w:rPr>
            </w:pPr>
            <w:r w:rsidRPr="00973E91">
              <w:rPr>
                <w:rFonts w:eastAsia="Times New Roman" w:cs="Calibri"/>
                <w:color w:val="000000"/>
                <w:lang w:val="en-US"/>
              </w:rPr>
              <w:t>bols2</w:t>
            </w:r>
          </w:p>
        </w:tc>
        <w:tc>
          <w:tcPr>
            <w:tcW w:w="2546" w:type="dxa"/>
            <w:tcBorders>
              <w:top w:val="nil"/>
              <w:left w:val="nil"/>
              <w:bottom w:val="single" w:sz="8" w:space="0" w:color="auto"/>
              <w:right w:val="nil"/>
            </w:tcBorders>
            <w:shd w:val="clear" w:color="auto" w:fill="auto"/>
            <w:noWrap/>
            <w:vAlign w:val="center"/>
            <w:hideMark/>
          </w:tcPr>
          <w:p w:rsidR="00973E91" w:rsidRPr="00973E91" w:rsidRDefault="002D3D70" w:rsidP="00973E91">
            <w:pPr>
              <w:widowControl w:val="0"/>
              <w:autoSpaceDE w:val="0"/>
              <w:autoSpaceDN w:val="0"/>
              <w:spacing w:after="0" w:line="240" w:lineRule="auto"/>
              <w:jc w:val="center"/>
              <w:rPr>
                <w:rFonts w:eastAsia="Times New Roman" w:cs="Calibri"/>
                <w:color w:val="000000"/>
                <w:lang w:val="en-US"/>
              </w:rPr>
            </w:pPr>
            <w:r w:rsidRPr="00973E91">
              <w:rPr>
                <w:rFonts w:eastAsia="Times New Roman" w:cs="Calibri"/>
                <w:color w:val="000000"/>
                <w:lang w:val="en-US"/>
              </w:rPr>
              <w:t>bols2</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Relative_educ</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-0.00575</w:t>
            </w:r>
          </w:p>
        </w:tc>
        <w:tc>
          <w:tcPr>
            <w:tcW w:w="2546" w:type="dxa"/>
            <w:tcBorders>
              <w:top w:val="nil"/>
              <w:left w:val="nil"/>
              <w:bottom w:val="nil"/>
              <w:right w:val="nil"/>
            </w:tcBorders>
            <w:shd w:val="clear" w:color="auto" w:fill="auto"/>
            <w:noWrap/>
            <w:vAlign w:val="center"/>
            <w:hideMark/>
          </w:tcPr>
          <w:p w:rsidR="00562DCB" w:rsidRPr="00562DCB" w:rsidRDefault="00562DCB" w:rsidP="00973E91">
            <w:pPr>
              <w:widowControl w:val="0"/>
              <w:autoSpaceDE w:val="0"/>
              <w:autoSpaceDN w:val="0"/>
              <w:spacing w:after="0" w:line="240" w:lineRule="auto"/>
              <w:jc w:val="right"/>
              <w:rPr>
                <w:rFonts w:asciiTheme="minorHAnsi" w:eastAsia="Times New Roman" w:hAnsiTheme="minorHAnsi" w:cs="Calibri"/>
                <w:color w:val="000000"/>
                <w:lang w:val="en-US"/>
              </w:rPr>
            </w:pP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(0.0156)</w:t>
            </w:r>
          </w:p>
        </w:tc>
        <w:tc>
          <w:tcPr>
            <w:tcW w:w="2546" w:type="dxa"/>
            <w:tcBorders>
              <w:top w:val="nil"/>
              <w:left w:val="nil"/>
              <w:bottom w:val="nil"/>
              <w:right w:val="nil"/>
            </w:tcBorders>
            <w:shd w:val="clear" w:color="auto" w:fill="auto"/>
            <w:noWrap/>
            <w:vAlign w:val="center"/>
            <w:hideMark/>
          </w:tcPr>
          <w:p w:rsidR="00562DCB" w:rsidRPr="00562DCB" w:rsidRDefault="00562DCB" w:rsidP="00973E91">
            <w:pPr>
              <w:widowControl w:val="0"/>
              <w:autoSpaceDE w:val="0"/>
              <w:autoSpaceDN w:val="0"/>
              <w:spacing w:after="0" w:line="240" w:lineRule="auto"/>
              <w:jc w:val="right"/>
              <w:rPr>
                <w:rFonts w:asciiTheme="minorHAnsi" w:eastAsia="Times New Roman" w:hAnsiTheme="minorHAnsi" w:cs="Calibri"/>
                <w:color w:val="000000"/>
                <w:lang w:val="en-US"/>
              </w:rPr>
            </w:pP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Relative_income</w:t>
            </w:r>
          </w:p>
        </w:tc>
        <w:tc>
          <w:tcPr>
            <w:tcW w:w="2563" w:type="dxa"/>
            <w:tcBorders>
              <w:top w:val="nil"/>
              <w:left w:val="nil"/>
              <w:bottom w:val="nil"/>
              <w:right w:val="nil"/>
            </w:tcBorders>
            <w:shd w:val="clear" w:color="auto" w:fill="auto"/>
            <w:vAlign w:val="center"/>
            <w:hideMark/>
          </w:tcPr>
          <w:p w:rsidR="00562DCB" w:rsidRPr="00562DCB" w:rsidRDefault="00562DCB" w:rsidP="00973E91">
            <w:pPr>
              <w:widowControl w:val="0"/>
              <w:autoSpaceDE w:val="0"/>
              <w:autoSpaceDN w:val="0"/>
              <w:spacing w:after="0" w:line="240" w:lineRule="auto"/>
              <w:jc w:val="center"/>
              <w:rPr>
                <w:rFonts w:asciiTheme="minorHAnsi" w:eastAsia="Times New Roman" w:hAnsiTheme="minorHAnsi" w:cs="Calibri"/>
                <w:color w:val="000000"/>
                <w:lang w:val="en-US"/>
              </w:rPr>
            </w:pP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-0.00111</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vAlign w:val="center"/>
            <w:hideMark/>
          </w:tcPr>
          <w:p w:rsidR="00562DCB" w:rsidRPr="00562DCB" w:rsidRDefault="00562DCB" w:rsidP="00973E91">
            <w:pPr>
              <w:widowControl w:val="0"/>
              <w:autoSpaceDE w:val="0"/>
              <w:autoSpaceDN w:val="0"/>
              <w:spacing w:after="0" w:line="240" w:lineRule="auto"/>
              <w:jc w:val="center"/>
              <w:rPr>
                <w:rFonts w:asciiTheme="minorHAnsi" w:eastAsia="Times New Roman" w:hAnsiTheme="minorHAnsi" w:cs="Calibri"/>
                <w:color w:val="000000"/>
                <w:lang w:val="en-US"/>
              </w:rPr>
            </w:pP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(0.000794)</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 xml:space="preserve">Location </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0.0815**</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0.0679</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(0.0349)</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(0.0419)</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Acess</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0.000323</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0.000853</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(0.000881)</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(0.00159)</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sidRPr="00973E91">
              <w:rPr>
                <w:rFonts w:eastAsia="Times New Roman" w:cs="Calibri"/>
                <w:color w:val="000000"/>
                <w:lang w:val="en-US"/>
              </w:rPr>
              <w:t>Blsm</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0.0432</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0.0156</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(0.0538)</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(0.0639)</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562DCB">
            <w:pPr>
              <w:widowControl w:val="0"/>
              <w:autoSpaceDE w:val="0"/>
              <w:autoSpaceDN w:val="0"/>
              <w:spacing w:after="0" w:line="240" w:lineRule="auto"/>
              <w:rPr>
                <w:rFonts w:eastAsia="Times New Roman" w:cs="Calibri"/>
                <w:color w:val="000000"/>
                <w:lang w:val="en-US"/>
              </w:rPr>
            </w:pPr>
            <w:r w:rsidRPr="00973E91">
              <w:rPr>
                <w:rFonts w:eastAsia="Times New Roman" w:cs="Calibri"/>
                <w:color w:val="000000"/>
                <w:lang w:val="en-US"/>
              </w:rPr>
              <w:t>P</w:t>
            </w:r>
            <w:r>
              <w:rPr>
                <w:rFonts w:eastAsia="Times New Roman" w:cs="Calibri"/>
                <w:color w:val="000000"/>
                <w:lang w:val="en-US"/>
              </w:rPr>
              <w:t>KH</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0.0201</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0.101</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(0.0861)</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(0.104)</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sidRPr="00973E91">
              <w:rPr>
                <w:rFonts w:eastAsia="Times New Roman" w:cs="Calibri"/>
                <w:color w:val="000000"/>
                <w:lang w:val="en-US"/>
              </w:rPr>
              <w:t>B</w:t>
            </w:r>
            <w:r>
              <w:rPr>
                <w:rFonts w:eastAsia="Times New Roman" w:cs="Calibri"/>
                <w:color w:val="000000"/>
                <w:lang w:val="en-US"/>
              </w:rPr>
              <w:t>LT</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-0.184***</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-0.131**</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(0.0534)</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(0.0641)</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 xml:space="preserve">Asset </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0.0791**</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0.0739*</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(0.0367)</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(0.0379)</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Women’s Age</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0.000863</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0.00465</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(0.00444)</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(0.00534)</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Partner’s Age</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-0.00269</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-0.00204</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(0.00385)</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(0.00458)</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 xml:space="preserve">Children’s </w:t>
            </w:r>
            <w:r w:rsidRPr="00973E91">
              <w:rPr>
                <w:rFonts w:eastAsia="Times New Roman" w:cs="Calibri"/>
                <w:color w:val="000000"/>
                <w:lang w:val="en-US"/>
              </w:rPr>
              <w:t>Age</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0.943***</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0.944***</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(0.00798)</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(0.00959)</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HHsize</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-0.00463</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0.000211</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(0.0155)</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(0.0195)</w:t>
            </w:r>
          </w:p>
        </w:tc>
      </w:tr>
      <w:tr w:rsidR="00562DCB" w:rsidTr="002D0E05">
        <w:trPr>
          <w:gridBefore w:val="1"/>
          <w:wBefore w:w="212" w:type="dxa"/>
          <w:trHeight w:val="167"/>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Birth Order</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-0.0932***</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-0.104***</w:t>
            </w:r>
          </w:p>
        </w:tc>
      </w:tr>
      <w:tr w:rsidR="00562DCB" w:rsidTr="002D0E05">
        <w:trPr>
          <w:gridBefore w:val="1"/>
          <w:wBefore w:w="212" w:type="dxa"/>
          <w:trHeight w:val="174"/>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(0.0295)</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(0.0361)</w:t>
            </w:r>
          </w:p>
        </w:tc>
      </w:tr>
      <w:tr w:rsidR="00562DCB" w:rsidTr="002D0E05">
        <w:trPr>
          <w:gridBefore w:val="1"/>
          <w:wBefore w:w="212" w:type="dxa"/>
          <w:trHeight w:val="167"/>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Pr>
                <w:rFonts w:eastAsia="Times New Roman" w:cs="Calibri"/>
                <w:color w:val="000000"/>
                <w:lang w:val="en-US"/>
              </w:rPr>
              <w:t>Biological</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0.0672</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0.222*</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(0.119)</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(0.134)</w:t>
            </w:r>
          </w:p>
        </w:tc>
      </w:tr>
      <w:tr w:rsidR="00562DCB" w:rsidTr="002D0E05">
        <w:trPr>
          <w:gridBefore w:val="1"/>
          <w:wBefore w:w="212" w:type="dxa"/>
          <w:trHeight w:val="158"/>
          <w:jc w:val="center"/>
        </w:trPr>
        <w:tc>
          <w:tcPr>
            <w:tcW w:w="2594" w:type="dxa"/>
            <w:tcBorders>
              <w:top w:val="nil"/>
              <w:left w:val="nil"/>
              <w:bottom w:val="nil"/>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sidRPr="00973E91">
              <w:rPr>
                <w:rFonts w:eastAsia="Times New Roman" w:cs="Calibri"/>
                <w:color w:val="000000"/>
                <w:lang w:val="en-US"/>
              </w:rPr>
              <w:t>Constant</w:t>
            </w:r>
          </w:p>
        </w:tc>
        <w:tc>
          <w:tcPr>
            <w:tcW w:w="2563"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-5.681***</w:t>
            </w:r>
          </w:p>
        </w:tc>
        <w:tc>
          <w:tcPr>
            <w:tcW w:w="2546" w:type="dxa"/>
            <w:tcBorders>
              <w:top w:val="nil"/>
              <w:left w:val="nil"/>
              <w:bottom w:val="nil"/>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-5.989***</w:t>
            </w:r>
          </w:p>
        </w:tc>
      </w:tr>
      <w:tr w:rsidR="00562DCB" w:rsidTr="002D0E05">
        <w:trPr>
          <w:gridBefore w:val="1"/>
          <w:wBefore w:w="212" w:type="dxa"/>
          <w:trHeight w:val="167"/>
          <w:jc w:val="center"/>
        </w:trPr>
        <w:tc>
          <w:tcPr>
            <w:tcW w:w="2594" w:type="dxa"/>
            <w:tcBorders>
              <w:top w:val="nil"/>
              <w:left w:val="nil"/>
              <w:bottom w:val="single" w:sz="8" w:space="0" w:color="auto"/>
              <w:right w:val="nil"/>
            </w:tcBorders>
            <w:shd w:val="clear" w:color="auto" w:fill="auto"/>
            <w:vAlign w:val="center"/>
            <w:hideMark/>
          </w:tcPr>
          <w:p w:rsidR="00562DCB" w:rsidRPr="00973E91" w:rsidRDefault="00562DCB" w:rsidP="00973E91">
            <w:pPr>
              <w:widowControl w:val="0"/>
              <w:autoSpaceDE w:val="0"/>
              <w:autoSpaceDN w:val="0"/>
              <w:spacing w:after="0" w:line="240" w:lineRule="auto"/>
              <w:rPr>
                <w:rFonts w:eastAsia="Times New Roman" w:cs="Calibri"/>
                <w:color w:val="000000"/>
                <w:lang w:val="en-US"/>
              </w:rPr>
            </w:pPr>
            <w:r w:rsidRPr="00973E91">
              <w:rPr>
                <w:rFonts w:eastAsia="Times New Roman" w:cs="Calibri"/>
                <w:color w:val="000000"/>
                <w:lang w:val="en-US"/>
              </w:rPr>
              <w:t> </w:t>
            </w:r>
          </w:p>
        </w:tc>
        <w:tc>
          <w:tcPr>
            <w:tcW w:w="2563" w:type="dxa"/>
            <w:tcBorders>
              <w:top w:val="nil"/>
              <w:left w:val="nil"/>
              <w:bottom w:val="single" w:sz="8" w:space="0" w:color="auto"/>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(0.169)</w:t>
            </w:r>
          </w:p>
        </w:tc>
        <w:tc>
          <w:tcPr>
            <w:tcW w:w="2546" w:type="dxa"/>
            <w:tcBorders>
              <w:top w:val="nil"/>
              <w:left w:val="nil"/>
              <w:bottom w:val="single" w:sz="8" w:space="0" w:color="auto"/>
              <w:right w:val="nil"/>
            </w:tcBorders>
            <w:shd w:val="clear" w:color="auto" w:fill="auto"/>
            <w:hideMark/>
          </w:tcPr>
          <w:p w:rsidR="00562DCB" w:rsidRPr="00562DCB" w:rsidRDefault="00562DCB" w:rsidP="002D0E05">
            <w:pPr>
              <w:widowControl w:val="0"/>
              <w:autoSpaceDE w:val="0"/>
              <w:autoSpaceDN w:val="0"/>
              <w:adjustRightInd w:val="0"/>
              <w:spacing w:after="0" w:line="240" w:lineRule="auto"/>
              <w:jc w:val="center"/>
              <w:rPr>
                <w:rFonts w:asciiTheme="minorHAnsi" w:hAnsiTheme="minorHAnsi" w:cs="Times New Roman"/>
              </w:rPr>
            </w:pPr>
            <w:r w:rsidRPr="00562DCB">
              <w:rPr>
                <w:rFonts w:asciiTheme="minorHAnsi" w:hAnsiTheme="minorHAnsi" w:cs="Times New Roman"/>
              </w:rPr>
              <w:t>(0.193)</w:t>
            </w:r>
          </w:p>
        </w:tc>
      </w:tr>
      <w:tr w:rsidR="00D93CE5" w:rsidTr="00973E91">
        <w:trPr>
          <w:trHeight w:val="99"/>
          <w:jc w:val="center"/>
        </w:trPr>
        <w:tc>
          <w:tcPr>
            <w:tcW w:w="2806" w:type="dxa"/>
            <w:gridSpan w:val="2"/>
            <w:tcBorders>
              <w:top w:val="nil"/>
              <w:left w:val="nil"/>
              <w:bottom w:val="single" w:sz="8" w:space="0" w:color="auto"/>
              <w:right w:val="nil"/>
            </w:tcBorders>
            <w:shd w:val="clear" w:color="auto" w:fill="auto"/>
            <w:vAlign w:val="center"/>
            <w:hideMark/>
          </w:tcPr>
          <w:p w:rsidR="00973E91" w:rsidRPr="00973E91" w:rsidRDefault="002D3D70" w:rsidP="00973E91">
            <w:pPr>
              <w:widowControl w:val="0"/>
              <w:autoSpaceDE w:val="0"/>
              <w:autoSpaceDN w:val="0"/>
              <w:spacing w:after="0" w:line="240" w:lineRule="auto"/>
              <w:rPr>
                <w:rFonts w:eastAsia="Times New Roman" w:cs="Calibri"/>
                <w:color w:val="000000"/>
                <w:lang w:val="en-US"/>
              </w:rPr>
            </w:pPr>
            <w:r w:rsidRPr="00973E91">
              <w:rPr>
                <w:rFonts w:eastAsia="Times New Roman" w:cs="Calibri"/>
                <w:color w:val="000000"/>
                <w:lang w:val="en-US"/>
              </w:rPr>
              <w:t>R-squared</w:t>
            </w:r>
          </w:p>
        </w:tc>
        <w:tc>
          <w:tcPr>
            <w:tcW w:w="2563" w:type="dxa"/>
            <w:tcBorders>
              <w:top w:val="nil"/>
              <w:left w:val="nil"/>
              <w:bottom w:val="single" w:sz="8" w:space="0" w:color="auto"/>
              <w:right w:val="nil"/>
            </w:tcBorders>
            <w:shd w:val="clear" w:color="auto" w:fill="auto"/>
            <w:vAlign w:val="center"/>
            <w:hideMark/>
          </w:tcPr>
          <w:p w:rsidR="00973E91" w:rsidRPr="00562DCB" w:rsidRDefault="00562DCB" w:rsidP="00973E91">
            <w:pPr>
              <w:widowControl w:val="0"/>
              <w:autoSpaceDE w:val="0"/>
              <w:autoSpaceDN w:val="0"/>
              <w:spacing w:after="0" w:line="240" w:lineRule="auto"/>
              <w:jc w:val="center"/>
              <w:rPr>
                <w:rFonts w:asciiTheme="minorHAnsi" w:eastAsia="Times New Roman" w:hAnsiTheme="minorHAnsi" w:cs="Calibri"/>
                <w:color w:val="000000"/>
                <w:lang w:val="en-US"/>
              </w:rPr>
            </w:pPr>
            <w:r w:rsidRPr="00562DCB">
              <w:rPr>
                <w:rFonts w:asciiTheme="minorHAnsi" w:hAnsiTheme="minorHAnsi" w:cs="Times New Roman"/>
              </w:rPr>
              <w:t>0.900</w:t>
            </w:r>
          </w:p>
        </w:tc>
        <w:tc>
          <w:tcPr>
            <w:tcW w:w="2546" w:type="dxa"/>
            <w:tcBorders>
              <w:top w:val="nil"/>
              <w:left w:val="nil"/>
              <w:bottom w:val="single" w:sz="8" w:space="0" w:color="auto"/>
              <w:right w:val="nil"/>
            </w:tcBorders>
            <w:shd w:val="clear" w:color="auto" w:fill="auto"/>
            <w:vAlign w:val="center"/>
            <w:hideMark/>
          </w:tcPr>
          <w:p w:rsidR="00973E91" w:rsidRPr="00973E91" w:rsidRDefault="002D3D70" w:rsidP="00973E91">
            <w:pPr>
              <w:widowControl w:val="0"/>
              <w:autoSpaceDE w:val="0"/>
              <w:autoSpaceDN w:val="0"/>
              <w:spacing w:after="0" w:line="240" w:lineRule="auto"/>
              <w:jc w:val="center"/>
              <w:rPr>
                <w:rFonts w:eastAsia="Times New Roman" w:cs="Calibri"/>
                <w:color w:val="000000"/>
                <w:lang w:val="en-US"/>
              </w:rPr>
            </w:pPr>
            <w:r w:rsidRPr="00973E91">
              <w:rPr>
                <w:rFonts w:eastAsia="Times New Roman" w:cs="Calibri"/>
                <w:color w:val="000000"/>
                <w:lang w:val="en-US"/>
              </w:rPr>
              <w:t>0.90</w:t>
            </w:r>
            <w:r w:rsidR="00562DCB">
              <w:rPr>
                <w:rFonts w:eastAsia="Times New Roman" w:cs="Calibri"/>
                <w:color w:val="000000"/>
                <w:lang w:val="en-US"/>
              </w:rPr>
              <w:t>2</w:t>
            </w:r>
          </w:p>
        </w:tc>
      </w:tr>
    </w:tbl>
    <w:p w:rsidR="00973E91" w:rsidRDefault="002D3D70" w:rsidP="00973E91">
      <w:pPr>
        <w:spacing w:after="0" w:line="240" w:lineRule="auto"/>
        <w:jc w:val="both"/>
        <w:rPr>
          <w:rFonts w:cs="Calibri"/>
          <w:lang w:val="en-US"/>
        </w:rPr>
      </w:pPr>
      <w:r w:rsidRPr="00D2287E">
        <w:rPr>
          <w:rFonts w:cs="Calibri"/>
          <w:lang w:val="en-US"/>
        </w:rPr>
        <w:t xml:space="preserve">Source: IFLS5 processed with </w:t>
      </w:r>
      <w:r w:rsidR="00615D54">
        <w:rPr>
          <w:rFonts w:cs="Calibri"/>
          <w:lang w:val="en-US"/>
        </w:rPr>
        <w:t>STATA</w:t>
      </w:r>
      <w:r w:rsidRPr="00D2287E">
        <w:rPr>
          <w:rFonts w:cs="Calibri"/>
          <w:lang w:val="en-US"/>
        </w:rPr>
        <w:t>.</w:t>
      </w:r>
    </w:p>
    <w:p w:rsidR="00973E91" w:rsidRDefault="002D3D70" w:rsidP="00973E91">
      <w:pPr>
        <w:spacing w:after="0" w:line="240" w:lineRule="auto"/>
        <w:jc w:val="both"/>
        <w:rPr>
          <w:rFonts w:cs="Calibri"/>
          <w:lang w:val="en-US"/>
        </w:rPr>
      </w:pPr>
      <w:r w:rsidRPr="00973E91">
        <w:rPr>
          <w:rFonts w:cs="Calibri"/>
          <w:lang w:val="en-US"/>
        </w:rPr>
        <w:t>Standard errors in parentheses</w:t>
      </w:r>
    </w:p>
    <w:p w:rsidR="00973E91" w:rsidRPr="00973E91" w:rsidRDefault="002D3D70" w:rsidP="00973E91">
      <w:pPr>
        <w:spacing w:after="0" w:line="240" w:lineRule="auto"/>
        <w:jc w:val="both"/>
        <w:rPr>
          <w:rFonts w:cs="Calibri"/>
          <w:lang w:val="en-US"/>
        </w:rPr>
      </w:pPr>
      <w:r w:rsidRPr="00973E91">
        <w:rPr>
          <w:rFonts w:cs="Calibri"/>
          <w:lang w:val="en-US"/>
        </w:rPr>
        <w:t xml:space="preserve">  *** p&lt;0.01, ** p&lt;0.05, * p&lt;0.1</w:t>
      </w:r>
    </w:p>
    <w:p w:rsidR="00B37F82" w:rsidRDefault="00B37F82" w:rsidP="00931778">
      <w:pPr>
        <w:pStyle w:val="DaftarParagraf"/>
        <w:spacing w:after="0" w:line="240" w:lineRule="auto"/>
        <w:ind w:left="0"/>
        <w:jc w:val="both"/>
        <w:rPr>
          <w:rFonts w:cs="Calibri"/>
          <w:b/>
          <w:sz w:val="24"/>
        </w:rPr>
      </w:pPr>
    </w:p>
    <w:p w:rsidR="00973E91" w:rsidRDefault="002D3D70" w:rsidP="00973E91">
      <w:pPr>
        <w:pStyle w:val="DaftarParagraf"/>
        <w:spacing w:after="0" w:line="240" w:lineRule="auto"/>
        <w:ind w:left="0"/>
        <w:jc w:val="both"/>
        <w:rPr>
          <w:rFonts w:cs="Calibri"/>
          <w:lang w:val="en-US"/>
        </w:rPr>
      </w:pPr>
      <w:r w:rsidRPr="00B71FA9">
        <w:rPr>
          <w:rFonts w:cs="Calibri"/>
          <w:lang w:val="en-US"/>
        </w:rPr>
        <w:t>From Table 3, by conducting a test of each variable of interest on children's human capital, it shows that the variable of interest, namely the relative education and relative income of women working partially does not affect children's human capital in Indonesia, this means that power cannot be reflected by only a few indicators or by, In other words, each variable cannot stand alone and decisions in the household are also influenced by the partner's power.</w:t>
      </w:r>
    </w:p>
    <w:p w:rsidR="002D0E05" w:rsidRPr="0007715E" w:rsidRDefault="002D0E05" w:rsidP="002D0E05">
      <w:pPr>
        <w:widowControl w:val="0"/>
        <w:autoSpaceDE w:val="0"/>
        <w:autoSpaceDN w:val="0"/>
        <w:adjustRightInd w:val="0"/>
        <w:spacing w:after="0" w:line="240" w:lineRule="auto"/>
        <w:rPr>
          <w:rFonts w:ascii="Times New Roman" w:hAnsi="Times New Roman" w:cs="Times New Roman"/>
          <w:sz w:val="24"/>
          <w:szCs w:val="24"/>
        </w:rPr>
      </w:pPr>
    </w:p>
    <w:p w:rsidR="00E36B7F" w:rsidRPr="00D56930" w:rsidRDefault="00E36B7F" w:rsidP="00E36B7F">
      <w:pPr>
        <w:widowControl w:val="0"/>
        <w:tabs>
          <w:tab w:val="left" w:pos="1276"/>
        </w:tabs>
        <w:autoSpaceDE w:val="0"/>
        <w:autoSpaceDN w:val="0"/>
        <w:adjustRightInd w:val="0"/>
        <w:spacing w:after="0" w:line="240" w:lineRule="auto"/>
        <w:rPr>
          <w:rFonts w:asciiTheme="minorHAnsi" w:hAnsiTheme="minorHAnsi" w:cs="Times New Roman"/>
        </w:rPr>
      </w:pPr>
      <w:r w:rsidRPr="00D56930">
        <w:rPr>
          <w:rFonts w:asciiTheme="minorHAnsi" w:hAnsiTheme="minorHAnsi" w:cs="Times New Roman"/>
          <w:b/>
          <w:lang w:val="en-US"/>
        </w:rPr>
        <w:t xml:space="preserve">Table </w:t>
      </w:r>
      <w:r w:rsidR="00D56930" w:rsidRPr="00D56930">
        <w:rPr>
          <w:rFonts w:asciiTheme="minorHAnsi" w:hAnsiTheme="minorHAnsi" w:cs="Times New Roman"/>
          <w:b/>
          <w:lang w:val="en-US"/>
        </w:rPr>
        <w:t>4</w:t>
      </w:r>
      <w:r w:rsidR="00D56930" w:rsidRPr="00D56930">
        <w:rPr>
          <w:rFonts w:asciiTheme="minorHAnsi" w:hAnsiTheme="minorHAnsi" w:cs="Times New Roman"/>
          <w:lang w:val="en-US"/>
        </w:rPr>
        <w:t xml:space="preserve"> </w:t>
      </w:r>
      <w:r w:rsidR="00D56930" w:rsidRPr="00D56930">
        <w:rPr>
          <w:rFonts w:asciiTheme="minorHAnsi" w:hAnsiTheme="minorHAnsi" w:cs="Times New Roman"/>
        </w:rPr>
        <w:t xml:space="preserve"> </w:t>
      </w:r>
      <w:r w:rsidR="00D56930" w:rsidRPr="00D56930">
        <w:rPr>
          <w:rFonts w:asciiTheme="minorHAnsi" w:hAnsiTheme="minorHAnsi" w:cs="Calibri"/>
          <w:lang w:val="en-US"/>
        </w:rPr>
        <w:t>Results Of Chow</w:t>
      </w:r>
      <w:r w:rsidR="00D56930">
        <w:rPr>
          <w:rFonts w:asciiTheme="minorHAnsi" w:hAnsiTheme="minorHAnsi" w:cs="Calibri"/>
          <w:lang w:val="en-US"/>
        </w:rPr>
        <w:t>-</w:t>
      </w:r>
      <w:r w:rsidR="00D56930" w:rsidRPr="00D56930">
        <w:rPr>
          <w:rFonts w:asciiTheme="minorHAnsi" w:hAnsiTheme="minorHAnsi" w:cs="Calibri"/>
          <w:lang w:val="en-US"/>
        </w:rPr>
        <w:t>Test</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6"/>
      </w:tblGrid>
      <w:tr w:rsidR="00E36B7F" w:rsidRPr="00E36B7F" w:rsidTr="006C24C0">
        <w:tc>
          <w:tcPr>
            <w:tcW w:w="8153" w:type="dxa"/>
          </w:tcPr>
          <w:tbl>
            <w:tblPr>
              <w:tblStyle w:val="KisiTabel"/>
              <w:tblW w:w="0" w:type="auto"/>
              <w:tblInd w:w="5" w:type="dxa"/>
              <w:tblLook w:val="04A0" w:firstRow="1" w:lastRow="0" w:firstColumn="1" w:lastColumn="0" w:noHBand="0" w:noVBand="1"/>
            </w:tblPr>
            <w:tblGrid>
              <w:gridCol w:w="4248"/>
            </w:tblGrid>
            <w:tr w:rsidR="00E36B7F" w:rsidRPr="00E36B7F" w:rsidTr="006C24C0">
              <w:trPr>
                <w:trHeight w:val="1122"/>
              </w:trPr>
              <w:tc>
                <w:tcPr>
                  <w:tcW w:w="4248" w:type="dxa"/>
                  <w:tcBorders>
                    <w:left w:val="nil"/>
                    <w:bottom w:val="single" w:sz="4" w:space="0" w:color="auto"/>
                    <w:right w:val="nil"/>
                  </w:tcBorders>
                  <w:vAlign w:val="center"/>
                </w:tcPr>
                <w:p w:rsidR="00E36B7F" w:rsidRPr="00E36B7F" w:rsidRDefault="00E36B7F" w:rsidP="006C24C0">
                  <w:pPr>
                    <w:widowControl w:val="0"/>
                    <w:autoSpaceDE w:val="0"/>
                    <w:autoSpaceDN w:val="0"/>
                    <w:adjustRightInd w:val="0"/>
                    <w:jc w:val="center"/>
                    <w:rPr>
                      <w:rFonts w:asciiTheme="minorHAnsi" w:hAnsiTheme="minorHAnsi" w:cs="Times New Roman"/>
                    </w:rPr>
                  </w:pPr>
                  <w:r w:rsidRPr="00E36B7F">
                    <w:rPr>
                      <w:rFonts w:asciiTheme="minorHAnsi" w:hAnsiTheme="minorHAnsi" w:cs="Times New Roman"/>
                    </w:rPr>
                    <w:lastRenderedPageBreak/>
                    <w:t>F(  1,  1656) =  456.93</w:t>
                  </w:r>
                </w:p>
                <w:p w:rsidR="00E36B7F" w:rsidRPr="00E36B7F" w:rsidRDefault="00E36B7F" w:rsidP="006C24C0">
                  <w:pPr>
                    <w:widowControl w:val="0"/>
                    <w:autoSpaceDE w:val="0"/>
                    <w:autoSpaceDN w:val="0"/>
                    <w:adjustRightInd w:val="0"/>
                    <w:spacing w:after="0" w:line="240" w:lineRule="auto"/>
                    <w:jc w:val="center"/>
                    <w:rPr>
                      <w:rFonts w:asciiTheme="minorHAnsi" w:hAnsiTheme="minorHAnsi" w:cs="Times New Roman"/>
                    </w:rPr>
                  </w:pPr>
                  <w:r w:rsidRPr="00E36B7F">
                    <w:rPr>
                      <w:rFonts w:asciiTheme="minorHAnsi" w:hAnsiTheme="minorHAnsi" w:cs="Times New Roman"/>
                    </w:rPr>
                    <w:t>Prob &gt; F =    0.0000</w:t>
                  </w:r>
                </w:p>
              </w:tc>
            </w:tr>
          </w:tbl>
          <w:p w:rsidR="00E36B7F" w:rsidRPr="00E36B7F" w:rsidRDefault="00E36B7F" w:rsidP="006C24C0">
            <w:pPr>
              <w:rPr>
                <w:rFonts w:asciiTheme="minorHAnsi" w:hAnsiTheme="minorHAnsi"/>
              </w:rPr>
            </w:pPr>
          </w:p>
        </w:tc>
      </w:tr>
    </w:tbl>
    <w:p w:rsidR="00E36B7F" w:rsidRPr="00E36B7F" w:rsidRDefault="00E36B7F" w:rsidP="00E36B7F">
      <w:pPr>
        <w:widowControl w:val="0"/>
        <w:tabs>
          <w:tab w:val="left" w:pos="1134"/>
        </w:tabs>
        <w:autoSpaceDE w:val="0"/>
        <w:autoSpaceDN w:val="0"/>
        <w:adjustRightInd w:val="0"/>
        <w:spacing w:after="0" w:line="480" w:lineRule="auto"/>
        <w:jc w:val="both"/>
        <w:rPr>
          <w:rFonts w:asciiTheme="minorHAnsi" w:hAnsiTheme="minorHAnsi" w:cs="Times New Roman"/>
        </w:rPr>
      </w:pPr>
      <w:r w:rsidRPr="00E36B7F">
        <w:rPr>
          <w:rFonts w:asciiTheme="minorHAnsi" w:hAnsiTheme="minorHAnsi" w:cs="Times New Roman"/>
        </w:rPr>
        <w:t xml:space="preserve">Sumber:IFLS </w:t>
      </w:r>
      <w:r w:rsidRPr="00E36B7F">
        <w:rPr>
          <w:rFonts w:asciiTheme="minorHAnsi" w:hAnsiTheme="minorHAnsi" w:cs="Calibri"/>
          <w:lang w:val="en-US"/>
        </w:rPr>
        <w:t>processed with STATA</w:t>
      </w:r>
      <w:r w:rsidRPr="00E36B7F">
        <w:rPr>
          <w:rFonts w:asciiTheme="minorHAnsi" w:hAnsiTheme="minorHAnsi" w:cs="Times New Roman"/>
        </w:rPr>
        <w:t>.</w:t>
      </w:r>
    </w:p>
    <w:p w:rsidR="00973E91" w:rsidRPr="00973E91" w:rsidRDefault="002D3D70" w:rsidP="00973E91">
      <w:pPr>
        <w:pStyle w:val="DaftarParagraf"/>
        <w:spacing w:line="240" w:lineRule="auto"/>
        <w:ind w:left="0"/>
        <w:jc w:val="both"/>
        <w:rPr>
          <w:rFonts w:cs="Calibri"/>
          <w:lang w:val="en-US"/>
        </w:rPr>
      </w:pPr>
      <w:r w:rsidRPr="00D56930">
        <w:rPr>
          <w:rFonts w:cs="Calibri"/>
          <w:lang w:val="en-US"/>
        </w:rPr>
        <w:t xml:space="preserve">The Chow-test results </w:t>
      </w:r>
      <w:r w:rsidR="00D56930" w:rsidRPr="00D56930">
        <w:rPr>
          <w:rFonts w:cs="Calibri"/>
          <w:lang w:val="en-US"/>
        </w:rPr>
        <w:t xml:space="preserve">in Table 4 </w:t>
      </w:r>
      <w:r w:rsidRPr="00D56930">
        <w:rPr>
          <w:rFonts w:cs="Calibri"/>
          <w:lang w:val="en-US"/>
        </w:rPr>
        <w:t>obtained a F</w:t>
      </w:r>
      <w:r w:rsidRPr="00D56930">
        <w:rPr>
          <w:rFonts w:cs="Calibri"/>
          <w:vertAlign w:val="subscript"/>
          <w:lang w:val="en-US"/>
        </w:rPr>
        <w:t>test</w:t>
      </w:r>
      <w:r w:rsidRPr="00D56930">
        <w:rPr>
          <w:rFonts w:cs="Calibri"/>
          <w:lang w:val="en-US"/>
        </w:rPr>
        <w:t xml:space="preserve"> value</w:t>
      </w:r>
      <w:r w:rsidRPr="00190696">
        <w:rPr>
          <w:rFonts w:cs="Calibri"/>
          <w:lang w:val="en-US"/>
        </w:rPr>
        <w:t xml:space="preserve"> of </w:t>
      </w:r>
      <w:r w:rsidR="00E36B7F">
        <w:rPr>
          <w:rFonts w:cs="Calibri"/>
          <w:lang w:val="en-US"/>
        </w:rPr>
        <w:t>456,93</w:t>
      </w:r>
      <w:r w:rsidRPr="00190696">
        <w:rPr>
          <w:rFonts w:cs="Calibri"/>
          <w:lang w:val="en-US"/>
        </w:rPr>
        <w:t xml:space="preserve"> and a significance value of 0.0000 which is smaller than 0.1 or 10 percent alpha then H0 is rejected.</w:t>
      </w:r>
      <w:r w:rsidR="0036667D">
        <w:rPr>
          <w:rFonts w:cs="Calibri"/>
          <w:lang w:val="en-US"/>
        </w:rPr>
        <w:t xml:space="preserve"> </w:t>
      </w:r>
      <w:r w:rsidR="0036667D" w:rsidRPr="0036667D">
        <w:rPr>
          <w:rFonts w:cs="Calibri"/>
          <w:lang w:val="en-US"/>
        </w:rPr>
        <w:t xml:space="preserve">This means that there is a significant difference between the effect of </w:t>
      </w:r>
      <w:r w:rsidR="0036667D">
        <w:rPr>
          <w:rFonts w:cs="Calibri"/>
          <w:lang w:val="en-US"/>
        </w:rPr>
        <w:t>working mother</w:t>
      </w:r>
      <w:r w:rsidR="0036667D" w:rsidRPr="0036667D">
        <w:rPr>
          <w:rFonts w:cs="Calibri"/>
          <w:lang w:val="en-US"/>
        </w:rPr>
        <w:t xml:space="preserve">'s relative education and the relative income of working </w:t>
      </w:r>
      <w:r w:rsidR="0036667D">
        <w:rPr>
          <w:rFonts w:cs="Calibri"/>
          <w:lang w:val="en-US"/>
        </w:rPr>
        <w:t>mother</w:t>
      </w:r>
      <w:r w:rsidR="0036667D" w:rsidRPr="0036667D">
        <w:rPr>
          <w:rFonts w:cs="Calibri"/>
          <w:lang w:val="en-US"/>
        </w:rPr>
        <w:t xml:space="preserve"> on the human capital of children in Indonesia</w:t>
      </w:r>
      <w:r w:rsidR="0036667D">
        <w:rPr>
          <w:rFonts w:cs="Calibri"/>
          <w:lang w:val="en-US"/>
        </w:rPr>
        <w:t>.</w:t>
      </w:r>
      <w:r w:rsidR="00921709">
        <w:rPr>
          <w:rFonts w:cs="Calibri"/>
          <w:lang w:val="en-US"/>
        </w:rPr>
        <w:t xml:space="preserve"> </w:t>
      </w:r>
      <w:r w:rsidRPr="00190696">
        <w:rPr>
          <w:rFonts w:cs="Calibri"/>
          <w:lang w:val="en-US"/>
        </w:rPr>
        <w:t xml:space="preserve">The magnitude of this difference in influence, namely the relative income of </w:t>
      </w:r>
      <w:r w:rsidR="002206A3">
        <w:rPr>
          <w:rFonts w:cs="Calibri"/>
          <w:lang w:val="en-US"/>
        </w:rPr>
        <w:t>working mother</w:t>
      </w:r>
      <w:r w:rsidR="00E36B7F">
        <w:rPr>
          <w:rFonts w:cs="Calibri"/>
          <w:lang w:val="en-US"/>
        </w:rPr>
        <w:t xml:space="preserve"> has an effect of -0.001</w:t>
      </w:r>
      <w:r w:rsidRPr="00190696">
        <w:rPr>
          <w:rFonts w:cs="Calibri"/>
          <w:lang w:val="en-US"/>
        </w:rPr>
        <w:t xml:space="preserve">, which is greater than the relative education of </w:t>
      </w:r>
      <w:r w:rsidR="002206A3">
        <w:rPr>
          <w:rFonts w:cs="Calibri"/>
          <w:lang w:val="en-US"/>
        </w:rPr>
        <w:t>working mother</w:t>
      </w:r>
      <w:r w:rsidRPr="00190696">
        <w:rPr>
          <w:rFonts w:cs="Calibri"/>
          <w:lang w:val="en-US"/>
        </w:rPr>
        <w:t xml:space="preserve"> and has an effect</w:t>
      </w:r>
      <w:r w:rsidR="00E36B7F">
        <w:rPr>
          <w:rFonts w:cs="Calibri"/>
          <w:lang w:val="en-US"/>
        </w:rPr>
        <w:t xml:space="preserve"> of -0.005</w:t>
      </w:r>
      <w:r w:rsidRPr="00190696">
        <w:rPr>
          <w:rFonts w:cs="Calibri"/>
          <w:lang w:val="en-US"/>
        </w:rPr>
        <w:t xml:space="preserve"> on the human capital of children in Indonesia. </w:t>
      </w:r>
    </w:p>
    <w:p w:rsidR="00B37F82" w:rsidRDefault="00B37F82" w:rsidP="00931778">
      <w:pPr>
        <w:pStyle w:val="DaftarParagraf"/>
        <w:spacing w:after="0" w:line="240" w:lineRule="auto"/>
        <w:ind w:left="0"/>
        <w:jc w:val="both"/>
        <w:rPr>
          <w:rFonts w:cs="Calibri"/>
          <w:b/>
          <w:sz w:val="24"/>
        </w:rPr>
      </w:pPr>
    </w:p>
    <w:p w:rsidR="00973E91" w:rsidRPr="00973E91" w:rsidRDefault="002D3D70" w:rsidP="00973E91">
      <w:pPr>
        <w:spacing w:after="0" w:line="240" w:lineRule="auto"/>
        <w:jc w:val="both"/>
        <w:rPr>
          <w:rFonts w:cs="Calibri"/>
          <w:b/>
          <w:bCs/>
          <w:lang w:val="en-US"/>
        </w:rPr>
      </w:pPr>
      <w:r w:rsidRPr="00D55F27">
        <w:rPr>
          <w:rFonts w:cs="Calibri"/>
          <w:b/>
          <w:bCs/>
          <w:lang w:val="en-US"/>
        </w:rPr>
        <w:t xml:space="preserve">The Effect of Working </w:t>
      </w:r>
      <w:r w:rsidR="00615D54">
        <w:rPr>
          <w:rFonts w:cs="Calibri"/>
          <w:b/>
          <w:bCs/>
          <w:lang w:val="en-US"/>
        </w:rPr>
        <w:t>Mothers'</w:t>
      </w:r>
      <w:r w:rsidRPr="00D55F27">
        <w:rPr>
          <w:rFonts w:cs="Calibri"/>
          <w:b/>
          <w:bCs/>
          <w:lang w:val="en-US"/>
        </w:rPr>
        <w:t xml:space="preserve"> Relative Education on Children's Human Capital in Indonesia</w:t>
      </w:r>
    </w:p>
    <w:p w:rsidR="002C4C1C" w:rsidRPr="002C4C1C" w:rsidRDefault="002C4C1C" w:rsidP="002C4C1C">
      <w:pPr>
        <w:spacing w:after="0" w:line="240" w:lineRule="auto"/>
        <w:jc w:val="both"/>
        <w:rPr>
          <w:rFonts w:cs="Calibri"/>
          <w:b/>
          <w:bCs/>
        </w:rPr>
      </w:pPr>
    </w:p>
    <w:p w:rsidR="00973E91" w:rsidRPr="00973E91" w:rsidRDefault="002D3D70" w:rsidP="00973E91">
      <w:pPr>
        <w:spacing w:after="0" w:line="240" w:lineRule="auto"/>
        <w:jc w:val="both"/>
        <w:rPr>
          <w:rFonts w:cs="Calibri"/>
          <w:lang w:val="en-US"/>
        </w:rPr>
      </w:pPr>
      <w:r w:rsidRPr="004613A2">
        <w:rPr>
          <w:rFonts w:cs="Calibri"/>
          <w:lang w:val="en-US"/>
        </w:rPr>
        <w:t xml:space="preserve">The projected impact of women's power at work with the relative education of </w:t>
      </w:r>
      <w:r w:rsidR="002206A3">
        <w:rPr>
          <w:rFonts w:cs="Calibri"/>
          <w:lang w:val="en-US"/>
        </w:rPr>
        <w:t>working mother</w:t>
      </w:r>
      <w:r w:rsidRPr="004613A2">
        <w:rPr>
          <w:rFonts w:cs="Calibri"/>
          <w:lang w:val="en-US"/>
        </w:rPr>
        <w:t xml:space="preserve"> has a positive and significant impact on children's human capital in Indonesia. Children's human capital is strongly influenced by the example of a mother in the household. The entry of women into the public </w:t>
      </w:r>
      <w:r w:rsidR="00615D54">
        <w:rPr>
          <w:rFonts w:cs="Calibri"/>
          <w:lang w:val="en-US"/>
        </w:rPr>
        <w:t>employment</w:t>
      </w:r>
      <w:r w:rsidRPr="004613A2">
        <w:rPr>
          <w:rFonts w:cs="Calibri"/>
          <w:lang w:val="en-US"/>
        </w:rPr>
        <w:t xml:space="preserve"> causes a dual role for women, where domestic work, which was originally a woman's nature, has now developed with emancipation.</w:t>
      </w:r>
      <w:r w:rsidRPr="00973E91">
        <w:rPr>
          <w:rFonts w:cs="Calibri"/>
          <w:lang w:val="en-US"/>
        </w:rPr>
        <w:t xml:space="preserve"> </w:t>
      </w:r>
      <w:r w:rsidRPr="004613A2">
        <w:rPr>
          <w:rFonts w:cs="Calibri"/>
          <w:lang w:val="en-US"/>
        </w:rPr>
        <w:t>Education of women in emancipation is now important, so women should get an education to the highest level. The level of women's education will certainly affect women's power in decision making in the household, such as the education of their children. The tendency is that the higher the level of education of women is, the more likely it is that decisions taken can be used as a reference in the household.</w:t>
      </w:r>
    </w:p>
    <w:p w:rsidR="00973E91" w:rsidRPr="00973E91" w:rsidRDefault="00973E91" w:rsidP="00973E91">
      <w:pPr>
        <w:spacing w:after="0" w:line="240" w:lineRule="auto"/>
        <w:jc w:val="both"/>
        <w:rPr>
          <w:rFonts w:cs="Calibri"/>
          <w:lang w:val="en-US"/>
        </w:rPr>
      </w:pPr>
    </w:p>
    <w:p w:rsidR="00973E91" w:rsidRPr="00973E91" w:rsidRDefault="002D3D70" w:rsidP="00973E91">
      <w:pPr>
        <w:spacing w:after="0" w:line="240" w:lineRule="auto"/>
        <w:jc w:val="both"/>
        <w:rPr>
          <w:rFonts w:cs="Calibri"/>
          <w:lang w:val="en-US"/>
        </w:rPr>
      </w:pPr>
      <w:r w:rsidRPr="00637C93">
        <w:rPr>
          <w:rFonts w:cs="Calibri"/>
          <w:lang w:val="en-US"/>
        </w:rPr>
        <w:t xml:space="preserve">The higher the relative education of </w:t>
      </w:r>
      <w:r w:rsidR="002206A3">
        <w:rPr>
          <w:rFonts w:cs="Calibri"/>
          <w:lang w:val="en-US"/>
        </w:rPr>
        <w:t>working mother</w:t>
      </w:r>
      <w:r w:rsidRPr="00637C93">
        <w:rPr>
          <w:rFonts w:cs="Calibri"/>
          <w:lang w:val="en-US"/>
        </w:rPr>
        <w:t xml:space="preserve"> compared to their partners, the children's human capital will increase, this means that more educated </w:t>
      </w:r>
      <w:r w:rsidR="002206A3">
        <w:rPr>
          <w:rFonts w:cs="Calibri"/>
          <w:lang w:val="en-US"/>
        </w:rPr>
        <w:t>working mother</w:t>
      </w:r>
      <w:r w:rsidRPr="00637C93">
        <w:rPr>
          <w:rFonts w:cs="Calibri"/>
          <w:lang w:val="en-US"/>
        </w:rPr>
        <w:t xml:space="preserve"> will provide higher achievement compared to their educated partners. Qian (2008) uses educational attainment as an outcome for an analysis of power in China.</w:t>
      </w:r>
      <w:r>
        <w:rPr>
          <w:rFonts w:cs="Calibri"/>
          <w:lang w:val="en-US"/>
        </w:rPr>
        <w:t xml:space="preserve"> </w:t>
      </w:r>
      <w:r w:rsidRPr="00637C93">
        <w:rPr>
          <w:rFonts w:cs="Calibri"/>
          <w:lang w:val="en-US"/>
        </w:rPr>
        <w:t>Brown (2006) found that more educated parents tended to invest more education in their children. Furthermore, the marginal effect of the education of female decision-makers on education investment is greater than that of male decision-makers.</w:t>
      </w:r>
      <w:r w:rsidRPr="00973E91">
        <w:rPr>
          <w:rFonts w:cs="Calibri"/>
          <w:lang w:val="en-US"/>
        </w:rPr>
        <w:t xml:space="preserve"> </w:t>
      </w:r>
    </w:p>
    <w:p w:rsidR="002C4C1C" w:rsidRPr="002C4C1C" w:rsidRDefault="002C4C1C" w:rsidP="002C4C1C">
      <w:pPr>
        <w:spacing w:after="0" w:line="240" w:lineRule="auto"/>
        <w:jc w:val="both"/>
        <w:rPr>
          <w:rFonts w:cs="Calibri"/>
        </w:rPr>
      </w:pPr>
    </w:p>
    <w:p w:rsidR="00973E91" w:rsidRPr="00973E91" w:rsidRDefault="002D3D70" w:rsidP="00973E91">
      <w:pPr>
        <w:spacing w:after="0" w:line="240" w:lineRule="auto"/>
        <w:jc w:val="both"/>
        <w:rPr>
          <w:rFonts w:cs="Calibri"/>
          <w:b/>
          <w:bCs/>
          <w:lang w:val="en-US"/>
        </w:rPr>
      </w:pPr>
      <w:r w:rsidRPr="007367C0">
        <w:rPr>
          <w:rFonts w:cs="Calibri"/>
          <w:b/>
          <w:bCs/>
          <w:lang w:val="en-US"/>
        </w:rPr>
        <w:t xml:space="preserve">The Effect of </w:t>
      </w:r>
      <w:r w:rsidR="002206A3">
        <w:rPr>
          <w:rFonts w:cs="Calibri"/>
          <w:b/>
          <w:bCs/>
          <w:lang w:val="en-US"/>
        </w:rPr>
        <w:t>Working mother</w:t>
      </w:r>
      <w:r w:rsidRPr="007367C0">
        <w:rPr>
          <w:rFonts w:cs="Calibri"/>
          <w:b/>
          <w:bCs/>
          <w:lang w:val="en-US"/>
        </w:rPr>
        <w:t>'s Relative Income on Children's Human Capital in Indonesia</w:t>
      </w:r>
    </w:p>
    <w:p w:rsidR="002C4C1C" w:rsidRPr="002C4C1C" w:rsidRDefault="002C4C1C" w:rsidP="002C4C1C">
      <w:pPr>
        <w:spacing w:after="0" w:line="240" w:lineRule="auto"/>
        <w:jc w:val="both"/>
        <w:rPr>
          <w:rFonts w:cs="Calibri"/>
          <w:b/>
        </w:rPr>
      </w:pPr>
    </w:p>
    <w:p w:rsidR="00973E91" w:rsidRPr="00973E91" w:rsidRDefault="002D3D70" w:rsidP="00973E91">
      <w:pPr>
        <w:spacing w:after="0" w:line="240" w:lineRule="auto"/>
        <w:jc w:val="both"/>
        <w:rPr>
          <w:rFonts w:cs="Calibri"/>
          <w:lang w:val="en-US"/>
        </w:rPr>
      </w:pPr>
      <w:r w:rsidRPr="00030245">
        <w:rPr>
          <w:rFonts w:cs="Calibri"/>
          <w:lang w:val="en-US"/>
        </w:rPr>
        <w:t xml:space="preserve">The relative income of </w:t>
      </w:r>
      <w:r w:rsidR="002206A3">
        <w:rPr>
          <w:rFonts w:cs="Calibri"/>
          <w:lang w:val="en-US"/>
        </w:rPr>
        <w:t>working mother</w:t>
      </w:r>
      <w:r w:rsidRPr="00030245">
        <w:rPr>
          <w:rFonts w:cs="Calibri"/>
          <w:lang w:val="en-US"/>
        </w:rPr>
        <w:t xml:space="preserve"> has a positive and significant effect on children's human capital in Indonesia. The income earned by </w:t>
      </w:r>
      <w:r w:rsidR="002206A3">
        <w:rPr>
          <w:rFonts w:cs="Calibri"/>
          <w:lang w:val="en-US"/>
        </w:rPr>
        <w:t>working mother</w:t>
      </w:r>
      <w:r w:rsidRPr="00030245">
        <w:rPr>
          <w:rFonts w:cs="Calibri"/>
          <w:lang w:val="en-US"/>
        </w:rPr>
        <w:t xml:space="preserve"> can give women a direct bargaining position. If women work to control the money they make, then they may have the ability to directly influence outcomes that require spending.</w:t>
      </w:r>
      <w:r w:rsidRPr="00973E91">
        <w:rPr>
          <w:rFonts w:cs="Calibri"/>
          <w:lang w:val="en-US"/>
        </w:rPr>
        <w:t xml:space="preserve"> </w:t>
      </w:r>
      <w:r w:rsidRPr="00030245">
        <w:rPr>
          <w:rFonts w:cs="Calibri"/>
          <w:lang w:val="en-US"/>
        </w:rPr>
        <w:t xml:space="preserve">Working outside the home and earning an income can provide bargaining power in other forms. </w:t>
      </w:r>
      <w:r w:rsidR="002206A3">
        <w:rPr>
          <w:rFonts w:cs="Calibri"/>
          <w:lang w:val="en-US"/>
        </w:rPr>
        <w:lastRenderedPageBreak/>
        <w:t>Working mother</w:t>
      </w:r>
      <w:r w:rsidRPr="00030245">
        <w:rPr>
          <w:rFonts w:cs="Calibri"/>
          <w:lang w:val="en-US"/>
        </w:rPr>
        <w:t xml:space="preserve"> who have relatively more income than their partners will have more power in the household in making household decisions.</w:t>
      </w:r>
      <w:r w:rsidRPr="00973E91">
        <w:rPr>
          <w:rFonts w:cs="Calibri"/>
          <w:lang w:val="en-US"/>
        </w:rPr>
        <w:t xml:space="preserve"> </w:t>
      </w:r>
    </w:p>
    <w:p w:rsidR="00973E91" w:rsidRPr="00973E91" w:rsidRDefault="00973E91" w:rsidP="00973E91">
      <w:pPr>
        <w:spacing w:after="0" w:line="240" w:lineRule="auto"/>
        <w:jc w:val="both"/>
        <w:rPr>
          <w:rFonts w:cs="Calibri"/>
          <w:lang w:val="en-US"/>
        </w:rPr>
      </w:pPr>
    </w:p>
    <w:p w:rsidR="00973E91" w:rsidRPr="00973E91" w:rsidRDefault="002D3D70" w:rsidP="00973E91">
      <w:pPr>
        <w:spacing w:after="0" w:line="240" w:lineRule="auto"/>
        <w:jc w:val="both"/>
        <w:rPr>
          <w:rFonts w:cs="Calibri"/>
          <w:lang w:val="en-US"/>
        </w:rPr>
      </w:pPr>
      <w:r w:rsidRPr="00030245">
        <w:rPr>
          <w:rFonts w:cs="Calibri"/>
          <w:lang w:val="en-US"/>
        </w:rPr>
        <w:t>Women's employment and income have been positively associated with children's outcomes and their well-being. The results of this study are in line with the results of Qian's (2008) study, which shows that an increase in women's income relative to their partner increases the survival rate of girls in China.</w:t>
      </w:r>
      <w:r w:rsidRPr="00030245">
        <w:t xml:space="preserve"> </w:t>
      </w:r>
      <w:r w:rsidRPr="00030245">
        <w:rPr>
          <w:rFonts w:cs="Calibri"/>
          <w:lang w:val="en-US"/>
        </w:rPr>
        <w:t xml:space="preserve">The income of </w:t>
      </w:r>
      <w:r w:rsidR="002206A3">
        <w:rPr>
          <w:rFonts w:cs="Calibri"/>
          <w:lang w:val="en-US"/>
        </w:rPr>
        <w:t>working mother</w:t>
      </w:r>
      <w:r w:rsidRPr="00030245">
        <w:rPr>
          <w:rFonts w:cs="Calibri"/>
          <w:lang w:val="en-US"/>
        </w:rPr>
        <w:t xml:space="preserve"> gives them direct bargaining power and their control over income as a financial resource to fund decisions such as school expenses (Doss, 2013). Higher incomes also increase women's bargaining power in negotiations.</w:t>
      </w:r>
    </w:p>
    <w:p w:rsidR="002C4C1C" w:rsidRPr="002C4C1C" w:rsidRDefault="002C4C1C" w:rsidP="002C4C1C">
      <w:pPr>
        <w:spacing w:after="0" w:line="240" w:lineRule="auto"/>
        <w:jc w:val="both"/>
        <w:rPr>
          <w:rFonts w:cs="Calibri"/>
        </w:rPr>
      </w:pPr>
    </w:p>
    <w:p w:rsidR="00973E91" w:rsidRPr="00973E91" w:rsidRDefault="002D3D70" w:rsidP="00973E91">
      <w:pPr>
        <w:spacing w:after="0" w:line="240" w:lineRule="auto"/>
        <w:jc w:val="both"/>
        <w:rPr>
          <w:rFonts w:cs="Calibri"/>
          <w:b/>
          <w:bCs/>
          <w:lang w:val="en-US"/>
        </w:rPr>
      </w:pPr>
      <w:r w:rsidRPr="00030245">
        <w:rPr>
          <w:rFonts w:cs="Calibri"/>
          <w:b/>
          <w:bCs/>
          <w:lang w:val="en-US"/>
        </w:rPr>
        <w:t xml:space="preserve">Differences in the Effect of the Impact of the </w:t>
      </w:r>
      <w:r w:rsidR="002452D1">
        <w:rPr>
          <w:rFonts w:cs="Calibri"/>
          <w:b/>
          <w:bCs/>
          <w:lang w:val="en-US"/>
        </w:rPr>
        <w:t>working mothers’</w:t>
      </w:r>
      <w:r w:rsidRPr="00030245">
        <w:rPr>
          <w:rFonts w:cs="Calibri"/>
          <w:b/>
          <w:bCs/>
          <w:lang w:val="en-US"/>
        </w:rPr>
        <w:t xml:space="preserve"> on Children's Human Capital in Indonesia</w:t>
      </w:r>
    </w:p>
    <w:p w:rsidR="002C4C1C" w:rsidRPr="002C4C1C" w:rsidRDefault="002C4C1C" w:rsidP="002C4C1C">
      <w:pPr>
        <w:spacing w:after="0" w:line="240" w:lineRule="auto"/>
        <w:jc w:val="both"/>
        <w:rPr>
          <w:rFonts w:cs="Calibri"/>
          <w:b/>
          <w:bCs/>
        </w:rPr>
      </w:pPr>
    </w:p>
    <w:p w:rsidR="00BB6C42" w:rsidRDefault="00BB6C42" w:rsidP="00973E91">
      <w:pPr>
        <w:spacing w:after="0" w:line="240" w:lineRule="auto"/>
        <w:jc w:val="both"/>
        <w:rPr>
          <w:rFonts w:asciiTheme="minorHAnsi" w:hAnsiTheme="minorHAnsi" w:cstheme="minorHAnsi"/>
          <w:lang w:val="en-US"/>
        </w:rPr>
      </w:pPr>
    </w:p>
    <w:p w:rsidR="00D23BA8" w:rsidRDefault="0036667D" w:rsidP="00973E91">
      <w:pPr>
        <w:spacing w:after="0" w:line="240" w:lineRule="auto"/>
        <w:jc w:val="both"/>
        <w:rPr>
          <w:rFonts w:cs="Calibri"/>
          <w:lang w:val="en-US"/>
        </w:rPr>
      </w:pPr>
      <w:r w:rsidRPr="0036667D">
        <w:rPr>
          <w:rFonts w:cs="Calibri"/>
          <w:lang w:val="en-US"/>
        </w:rPr>
        <w:t xml:space="preserve">The relative education of </w:t>
      </w:r>
      <w:r w:rsidR="002206A3">
        <w:rPr>
          <w:rFonts w:cs="Calibri"/>
          <w:lang w:val="en-US"/>
        </w:rPr>
        <w:t>working mother</w:t>
      </w:r>
      <w:r w:rsidRPr="0036667D">
        <w:rPr>
          <w:rFonts w:cs="Calibri"/>
          <w:lang w:val="en-US"/>
        </w:rPr>
        <w:t xml:space="preserve"> and the relative income of </w:t>
      </w:r>
      <w:r w:rsidR="002206A3">
        <w:rPr>
          <w:rFonts w:cs="Calibri"/>
          <w:lang w:val="en-US"/>
        </w:rPr>
        <w:t>working mother</w:t>
      </w:r>
      <w:r w:rsidRPr="0036667D">
        <w:rPr>
          <w:rFonts w:cs="Calibri"/>
          <w:lang w:val="en-US"/>
        </w:rPr>
        <w:t xml:space="preserve"> has a different effect, where the income of </w:t>
      </w:r>
      <w:r w:rsidR="002206A3">
        <w:rPr>
          <w:rFonts w:cs="Calibri"/>
          <w:lang w:val="en-US"/>
        </w:rPr>
        <w:t>working mother</w:t>
      </w:r>
      <w:r w:rsidRPr="0036667D">
        <w:rPr>
          <w:rFonts w:cs="Calibri"/>
          <w:lang w:val="en-US"/>
        </w:rPr>
        <w:t xml:space="preserve"> has a greater influence on the human capital of children in Indonesia than the relative education of </w:t>
      </w:r>
      <w:r w:rsidR="002206A3">
        <w:rPr>
          <w:rFonts w:cs="Calibri"/>
          <w:lang w:val="en-US"/>
        </w:rPr>
        <w:t>working mother</w:t>
      </w:r>
      <w:r w:rsidRPr="0036667D">
        <w:rPr>
          <w:rFonts w:cs="Calibri"/>
          <w:lang w:val="en-US"/>
        </w:rPr>
        <w:t xml:space="preserve">. This is related to the ability of </w:t>
      </w:r>
      <w:r w:rsidR="002206A3">
        <w:rPr>
          <w:rFonts w:cs="Calibri"/>
          <w:lang w:val="en-US"/>
        </w:rPr>
        <w:t>working mother</w:t>
      </w:r>
      <w:r w:rsidRPr="0036667D">
        <w:rPr>
          <w:rFonts w:cs="Calibri"/>
          <w:lang w:val="en-US"/>
        </w:rPr>
        <w:t xml:space="preserve"> to decide directly the allocation of income that they receive themselves, compared to household income that is obtained from their partners. Basically, children's human capital is not only influenced by the decisions of one party, mother or father. That means the decision</w:t>
      </w:r>
      <w:r w:rsidR="0026310F">
        <w:rPr>
          <w:rFonts w:cs="Calibri"/>
          <w:lang w:val="en-US"/>
        </w:rPr>
        <w:t xml:space="preserve"> </w:t>
      </w:r>
      <w:r w:rsidR="0026310F" w:rsidRPr="0026310F">
        <w:rPr>
          <w:rFonts w:cs="Calibri"/>
          <w:lang w:val="en-US"/>
        </w:rPr>
        <w:t>the decision are often</w:t>
      </w:r>
      <w:r w:rsidR="0026310F">
        <w:rPr>
          <w:rFonts w:cs="Calibri"/>
          <w:lang w:val="en-US"/>
        </w:rPr>
        <w:t xml:space="preserve"> collective or decided together</w:t>
      </w:r>
      <w:r w:rsidRPr="0036667D">
        <w:rPr>
          <w:rFonts w:cs="Calibri"/>
          <w:lang w:val="en-US"/>
        </w:rPr>
        <w:t xml:space="preserve">. However, the results show that if a </w:t>
      </w:r>
      <w:r>
        <w:rPr>
          <w:rFonts w:cs="Calibri"/>
          <w:lang w:val="en-US"/>
        </w:rPr>
        <w:t>mother</w:t>
      </w:r>
      <w:r w:rsidRPr="0036667D">
        <w:rPr>
          <w:rFonts w:cs="Calibri"/>
          <w:lang w:val="en-US"/>
        </w:rPr>
        <w:t xml:space="preserve"> works and earns her own money, she will be able to allocate money directly to increase her child's human capital compared to the money she gets from her partner.</w:t>
      </w:r>
      <w:r>
        <w:rPr>
          <w:rFonts w:cs="Calibri"/>
          <w:lang w:val="en-US"/>
        </w:rPr>
        <w:t xml:space="preserve"> </w:t>
      </w:r>
    </w:p>
    <w:p w:rsidR="0036667D" w:rsidRDefault="0036667D" w:rsidP="00973E91">
      <w:pPr>
        <w:spacing w:after="0" w:line="240" w:lineRule="auto"/>
        <w:jc w:val="both"/>
        <w:rPr>
          <w:rFonts w:cs="Calibri"/>
          <w:lang w:val="en-US"/>
        </w:rPr>
      </w:pPr>
    </w:p>
    <w:p w:rsidR="00973E91" w:rsidRPr="00973E91" w:rsidRDefault="002D3D70" w:rsidP="00973E91">
      <w:pPr>
        <w:spacing w:after="0" w:line="240" w:lineRule="auto"/>
        <w:jc w:val="both"/>
        <w:rPr>
          <w:rFonts w:cs="Calibri"/>
          <w:lang w:val="en-US"/>
        </w:rPr>
      </w:pPr>
      <w:r w:rsidRPr="00FE43FE">
        <w:rPr>
          <w:rFonts w:cs="Calibri"/>
          <w:lang w:val="en-US"/>
        </w:rPr>
        <w:t xml:space="preserve">The results of this study are in line with several studies, where the power of women who have dual roles as mothers and work is not followed by an increase in women's power in the household. Nurhamida (2013) in her research which aims to find out power in marriage among working mothers and housewives, states that from the data, over all the power of men who have wives as </w:t>
      </w:r>
      <w:r w:rsidR="002206A3">
        <w:rPr>
          <w:rFonts w:cs="Calibri"/>
          <w:lang w:val="en-US"/>
        </w:rPr>
        <w:t>working mother</w:t>
      </w:r>
      <w:r w:rsidRPr="00FE43FE">
        <w:rPr>
          <w:rFonts w:cs="Calibri"/>
          <w:lang w:val="en-US"/>
        </w:rPr>
        <w:t xml:space="preserve"> remains higher so that they have the decision to be involved limitedly in the division of household duties. The power of men in the household remains even though women work. Women who have incomes experience only a slight increase in power and continue to work on the unprofessional division of domestic labor.</w:t>
      </w:r>
      <w:r w:rsidRPr="00973E91">
        <w:rPr>
          <w:rFonts w:cs="Calibri"/>
          <w:lang w:val="en-US"/>
        </w:rPr>
        <w:t xml:space="preserve"> </w:t>
      </w:r>
    </w:p>
    <w:p w:rsidR="00973E91" w:rsidRPr="00973E91" w:rsidRDefault="00973E91" w:rsidP="00973E91">
      <w:pPr>
        <w:spacing w:after="0" w:line="240" w:lineRule="auto"/>
        <w:jc w:val="both"/>
        <w:rPr>
          <w:rFonts w:cs="Calibri"/>
          <w:lang w:val="en-US"/>
        </w:rPr>
      </w:pPr>
    </w:p>
    <w:p w:rsidR="00973E91" w:rsidRPr="00C960CE" w:rsidRDefault="002D3D70" w:rsidP="00973E91">
      <w:pPr>
        <w:spacing w:after="0" w:line="240" w:lineRule="auto"/>
        <w:jc w:val="both"/>
        <w:rPr>
          <w:rFonts w:cs="Calibri"/>
          <w:lang w:val="en-US"/>
        </w:rPr>
      </w:pPr>
      <w:r w:rsidRPr="00EC2348">
        <w:rPr>
          <w:rFonts w:cs="Calibri"/>
          <w:lang w:val="en-US"/>
        </w:rPr>
        <w:t>Some studies measure women's power without considering the power of husbands, such as Handa's (1996) study using mother's education as a proxy for women's power and the result is that there is no significant impact on the highest level of education of children in female-headed households in Jamaica.</w:t>
      </w:r>
      <w:r w:rsidRPr="00973E91">
        <w:rPr>
          <w:rFonts w:cs="Calibri"/>
          <w:lang w:val="en-US"/>
        </w:rPr>
        <w:t xml:space="preserve"> </w:t>
      </w:r>
      <w:r w:rsidRPr="00EC2348">
        <w:rPr>
          <w:rFonts w:cs="Calibri"/>
          <w:lang w:val="en-US"/>
        </w:rPr>
        <w:t>However, taking into account the significant effects of maternal education in male-headed households suggests that the relative strength of women can play a role in children's outcomes. Maternal education can show a direct effect of their schooling on children's educational outcomes (Leibowitz, 1974), but does not reflect the indirect effect of their relative ability to negotiate with fathers on resource allocation in household households (Doss, 2013).</w:t>
      </w:r>
    </w:p>
    <w:p w:rsidR="002C4C1C" w:rsidRDefault="002C4C1C" w:rsidP="00F200DC">
      <w:pPr>
        <w:pStyle w:val="DaftarParagraf"/>
        <w:spacing w:after="0" w:line="240" w:lineRule="auto"/>
        <w:ind w:left="0"/>
        <w:contextualSpacing w:val="0"/>
        <w:rPr>
          <w:rFonts w:cs="Calibri"/>
          <w:lang w:val="en-US"/>
        </w:rPr>
      </w:pPr>
    </w:p>
    <w:p w:rsidR="002C4C1C" w:rsidRDefault="002C4C1C" w:rsidP="00931778">
      <w:pPr>
        <w:pStyle w:val="DaftarParagraf"/>
        <w:spacing w:after="0" w:line="240" w:lineRule="auto"/>
        <w:ind w:left="0"/>
        <w:contextualSpacing w:val="0"/>
        <w:jc w:val="center"/>
        <w:rPr>
          <w:rFonts w:cs="Calibri"/>
          <w:lang w:val="en-US"/>
        </w:rPr>
      </w:pPr>
    </w:p>
    <w:p w:rsidR="00931778" w:rsidRPr="00603CFF" w:rsidRDefault="002D3D70" w:rsidP="00931778">
      <w:pPr>
        <w:pStyle w:val="DaftarParagraf"/>
        <w:spacing w:after="0" w:line="240" w:lineRule="auto"/>
        <w:ind w:left="0"/>
        <w:contextualSpacing w:val="0"/>
        <w:jc w:val="center"/>
        <w:rPr>
          <w:rFonts w:ascii="Garamond" w:hAnsi="Garamond" w:cs="Calibri"/>
          <w:b/>
          <w:sz w:val="28"/>
          <w:lang w:val="en-US"/>
        </w:rPr>
      </w:pPr>
      <w:r w:rsidRPr="00985D9E">
        <w:rPr>
          <w:rFonts w:ascii="Garamond" w:hAnsi="Garamond" w:cs="Calibri"/>
          <w:b/>
          <w:sz w:val="28"/>
        </w:rPr>
        <w:t>Conclusion</w:t>
      </w:r>
    </w:p>
    <w:p w:rsidR="00931778" w:rsidRPr="004E5C73" w:rsidRDefault="00931778" w:rsidP="00931778">
      <w:pPr>
        <w:pStyle w:val="DaftarParagraf"/>
        <w:spacing w:after="0" w:line="240" w:lineRule="auto"/>
        <w:ind w:left="0"/>
        <w:contextualSpacing w:val="0"/>
        <w:jc w:val="center"/>
        <w:rPr>
          <w:rFonts w:cs="Calibri"/>
        </w:rPr>
      </w:pPr>
    </w:p>
    <w:p w:rsidR="00F200DC" w:rsidRPr="00F200DC" w:rsidRDefault="002D3D70" w:rsidP="00F200DC">
      <w:pPr>
        <w:spacing w:after="0" w:line="240" w:lineRule="auto"/>
        <w:contextualSpacing/>
        <w:jc w:val="both"/>
        <w:rPr>
          <w:rFonts w:asciiTheme="minorHAnsi" w:hAnsiTheme="minorHAnsi" w:cstheme="minorHAnsi"/>
          <w:lang w:val="en-US"/>
        </w:rPr>
      </w:pPr>
      <w:r w:rsidRPr="00C960CE">
        <w:rPr>
          <w:rFonts w:asciiTheme="minorHAnsi" w:hAnsiTheme="minorHAnsi" w:cstheme="minorHAnsi"/>
          <w:iCs/>
          <w:lang w:val="en-US"/>
        </w:rPr>
        <w:t xml:space="preserve">The human capital of children in Indonesia is influenced by the power possessed by </w:t>
      </w:r>
      <w:r w:rsidR="002206A3">
        <w:rPr>
          <w:rFonts w:asciiTheme="minorHAnsi" w:hAnsiTheme="minorHAnsi" w:cstheme="minorHAnsi"/>
          <w:iCs/>
          <w:lang w:val="en-US"/>
        </w:rPr>
        <w:t>working mother</w:t>
      </w:r>
      <w:r w:rsidRPr="00C960CE">
        <w:rPr>
          <w:rFonts w:asciiTheme="minorHAnsi" w:hAnsiTheme="minorHAnsi" w:cstheme="minorHAnsi"/>
          <w:iCs/>
          <w:lang w:val="en-US"/>
        </w:rPr>
        <w:t xml:space="preserve">, where the power of </w:t>
      </w:r>
      <w:r w:rsidR="002206A3">
        <w:rPr>
          <w:rFonts w:asciiTheme="minorHAnsi" w:hAnsiTheme="minorHAnsi" w:cstheme="minorHAnsi"/>
          <w:iCs/>
          <w:lang w:val="en-US"/>
        </w:rPr>
        <w:t>working mother</w:t>
      </w:r>
      <w:r w:rsidRPr="00C960CE">
        <w:rPr>
          <w:rFonts w:asciiTheme="minorHAnsi" w:hAnsiTheme="minorHAnsi" w:cstheme="minorHAnsi"/>
          <w:iCs/>
          <w:lang w:val="en-US"/>
        </w:rPr>
        <w:t xml:space="preserve"> as proxied by the relative education and relative income of </w:t>
      </w:r>
      <w:r w:rsidR="002206A3">
        <w:rPr>
          <w:rFonts w:asciiTheme="minorHAnsi" w:hAnsiTheme="minorHAnsi" w:cstheme="minorHAnsi"/>
          <w:iCs/>
          <w:lang w:val="en-US"/>
        </w:rPr>
        <w:t>working mother</w:t>
      </w:r>
      <w:r w:rsidRPr="00C960CE">
        <w:rPr>
          <w:rFonts w:asciiTheme="minorHAnsi" w:hAnsiTheme="minorHAnsi" w:cstheme="minorHAnsi"/>
          <w:iCs/>
          <w:lang w:val="en-US"/>
        </w:rPr>
        <w:t xml:space="preserve"> has a significant effect. The higher the relative education of </w:t>
      </w:r>
      <w:r w:rsidR="002206A3">
        <w:rPr>
          <w:rFonts w:asciiTheme="minorHAnsi" w:hAnsiTheme="minorHAnsi" w:cstheme="minorHAnsi"/>
          <w:iCs/>
          <w:lang w:val="en-US"/>
        </w:rPr>
        <w:t>working mother</w:t>
      </w:r>
      <w:r w:rsidRPr="00C960CE">
        <w:rPr>
          <w:rFonts w:asciiTheme="minorHAnsi" w:hAnsiTheme="minorHAnsi" w:cstheme="minorHAnsi"/>
          <w:iCs/>
          <w:lang w:val="en-US"/>
        </w:rPr>
        <w:t xml:space="preserve"> compared to their partners, the children's human capital will increase, this means that more educated </w:t>
      </w:r>
      <w:r w:rsidR="002206A3">
        <w:rPr>
          <w:rFonts w:asciiTheme="minorHAnsi" w:hAnsiTheme="minorHAnsi" w:cstheme="minorHAnsi"/>
          <w:iCs/>
          <w:lang w:val="en-US"/>
        </w:rPr>
        <w:t>working mother</w:t>
      </w:r>
      <w:r w:rsidRPr="00C960CE">
        <w:rPr>
          <w:rFonts w:asciiTheme="minorHAnsi" w:hAnsiTheme="minorHAnsi" w:cstheme="minorHAnsi"/>
          <w:iCs/>
          <w:lang w:val="en-US"/>
        </w:rPr>
        <w:t xml:space="preserve"> will provide higher achievement compared to their educated partners.</w:t>
      </w:r>
      <w:r>
        <w:rPr>
          <w:rFonts w:asciiTheme="minorHAnsi" w:hAnsiTheme="minorHAnsi" w:cstheme="minorHAnsi"/>
          <w:iCs/>
          <w:lang w:val="en-US"/>
        </w:rPr>
        <w:t xml:space="preserve"> </w:t>
      </w:r>
      <w:r w:rsidRPr="00C960CE">
        <w:rPr>
          <w:rFonts w:asciiTheme="minorHAnsi" w:hAnsiTheme="minorHAnsi" w:cstheme="minorHAnsi"/>
          <w:lang w:val="en-US"/>
        </w:rPr>
        <w:t xml:space="preserve">Meanwhile, the relative income of </w:t>
      </w:r>
      <w:r w:rsidR="002206A3">
        <w:rPr>
          <w:rFonts w:asciiTheme="minorHAnsi" w:hAnsiTheme="minorHAnsi" w:cstheme="minorHAnsi"/>
          <w:lang w:val="en-US"/>
        </w:rPr>
        <w:t>working mother</w:t>
      </w:r>
      <w:r w:rsidRPr="00C960CE">
        <w:rPr>
          <w:rFonts w:asciiTheme="minorHAnsi" w:hAnsiTheme="minorHAnsi" w:cstheme="minorHAnsi"/>
          <w:lang w:val="en-US"/>
        </w:rPr>
        <w:t xml:space="preserve"> provides direct bargaining power and control over income as a financial resource to fund decisions such as children's school expenses. So that the higher the relative income of </w:t>
      </w:r>
      <w:r w:rsidR="002206A3">
        <w:rPr>
          <w:rFonts w:asciiTheme="minorHAnsi" w:hAnsiTheme="minorHAnsi" w:cstheme="minorHAnsi"/>
          <w:lang w:val="en-US"/>
        </w:rPr>
        <w:t>working mother</w:t>
      </w:r>
      <w:r w:rsidRPr="00C960CE">
        <w:rPr>
          <w:rFonts w:asciiTheme="minorHAnsi" w:hAnsiTheme="minorHAnsi" w:cstheme="minorHAnsi"/>
          <w:lang w:val="en-US"/>
        </w:rPr>
        <w:t>, the children's human capital will increase with higher educational attainment.</w:t>
      </w:r>
    </w:p>
    <w:p w:rsidR="00F200DC" w:rsidRPr="00F200DC" w:rsidRDefault="00F200DC" w:rsidP="00F200DC">
      <w:pPr>
        <w:spacing w:after="0" w:line="240" w:lineRule="auto"/>
        <w:contextualSpacing/>
        <w:jc w:val="both"/>
        <w:rPr>
          <w:rFonts w:asciiTheme="minorHAnsi" w:hAnsiTheme="minorHAnsi" w:cstheme="minorHAnsi"/>
          <w:lang w:val="en-US"/>
        </w:rPr>
      </w:pPr>
    </w:p>
    <w:p w:rsidR="007C5D99" w:rsidRDefault="002D3D70" w:rsidP="00F200DC">
      <w:pPr>
        <w:spacing w:after="0" w:line="240" w:lineRule="auto"/>
        <w:contextualSpacing/>
        <w:jc w:val="both"/>
        <w:rPr>
          <w:rFonts w:asciiTheme="minorHAnsi" w:hAnsiTheme="minorHAnsi" w:cstheme="minorHAnsi"/>
          <w:lang w:val="en-US"/>
        </w:rPr>
      </w:pPr>
      <w:r w:rsidRPr="0065247F">
        <w:rPr>
          <w:rFonts w:asciiTheme="minorHAnsi" w:hAnsiTheme="minorHAnsi" w:cstheme="minorHAnsi"/>
          <w:lang w:val="en-US"/>
        </w:rPr>
        <w:t xml:space="preserve">There is a significant difference between the projected relative power of </w:t>
      </w:r>
      <w:r w:rsidR="002206A3">
        <w:rPr>
          <w:rFonts w:asciiTheme="minorHAnsi" w:hAnsiTheme="minorHAnsi" w:cstheme="minorHAnsi"/>
          <w:lang w:val="en-US"/>
        </w:rPr>
        <w:t>working mother</w:t>
      </w:r>
      <w:r w:rsidRPr="0065247F">
        <w:rPr>
          <w:rFonts w:asciiTheme="minorHAnsi" w:hAnsiTheme="minorHAnsi" w:cstheme="minorHAnsi"/>
          <w:lang w:val="en-US"/>
        </w:rPr>
        <w:t xml:space="preserve"> and the relative education and income of </w:t>
      </w:r>
      <w:r w:rsidR="002206A3">
        <w:rPr>
          <w:rFonts w:asciiTheme="minorHAnsi" w:hAnsiTheme="minorHAnsi" w:cstheme="minorHAnsi"/>
          <w:lang w:val="en-US"/>
        </w:rPr>
        <w:t>working mother</w:t>
      </w:r>
      <w:r w:rsidRPr="0065247F">
        <w:rPr>
          <w:rFonts w:asciiTheme="minorHAnsi" w:hAnsiTheme="minorHAnsi" w:cstheme="minorHAnsi"/>
          <w:lang w:val="en-US"/>
        </w:rPr>
        <w:t xml:space="preserve"> to the human capital of children in Indonesia. Where the relative income of </w:t>
      </w:r>
      <w:r w:rsidR="002206A3">
        <w:rPr>
          <w:rFonts w:asciiTheme="minorHAnsi" w:hAnsiTheme="minorHAnsi" w:cstheme="minorHAnsi"/>
          <w:lang w:val="en-US"/>
        </w:rPr>
        <w:t>working mother</w:t>
      </w:r>
      <w:r w:rsidRPr="0065247F">
        <w:rPr>
          <w:rFonts w:asciiTheme="minorHAnsi" w:hAnsiTheme="minorHAnsi" w:cstheme="minorHAnsi"/>
          <w:lang w:val="en-US"/>
        </w:rPr>
        <w:t xml:space="preserve"> has a greater influence on children's human capital in Indonesia.</w:t>
      </w:r>
      <w:r>
        <w:rPr>
          <w:rFonts w:asciiTheme="minorHAnsi" w:hAnsiTheme="minorHAnsi" w:cstheme="minorHAnsi"/>
          <w:lang w:val="en-US"/>
        </w:rPr>
        <w:t xml:space="preserve"> </w:t>
      </w:r>
      <w:r w:rsidR="002206A3" w:rsidRPr="002206A3">
        <w:rPr>
          <w:rFonts w:asciiTheme="minorHAnsi" w:hAnsiTheme="minorHAnsi" w:cstheme="minorHAnsi"/>
          <w:lang w:val="en-US"/>
        </w:rPr>
        <w:t xml:space="preserve">This is related to the ability of working women to decide directly the allocation of income that they receive themselves, compared to household income that is obtained from their partners. Human capital of children in Indonesia is not only influenced by the power of working </w:t>
      </w:r>
      <w:r w:rsidR="00DC7BB8">
        <w:rPr>
          <w:rFonts w:asciiTheme="minorHAnsi" w:hAnsiTheme="minorHAnsi" w:cstheme="minorHAnsi"/>
          <w:lang w:val="en-US"/>
        </w:rPr>
        <w:t>mother</w:t>
      </w:r>
      <w:r w:rsidR="002206A3" w:rsidRPr="002206A3">
        <w:rPr>
          <w:rFonts w:asciiTheme="minorHAnsi" w:hAnsiTheme="minorHAnsi" w:cstheme="minorHAnsi"/>
          <w:lang w:val="en-US"/>
        </w:rPr>
        <w:t>, but is also influenced by the power of their partners.</w:t>
      </w:r>
      <w:r w:rsidR="00BB6C42" w:rsidRPr="00BB6C42">
        <w:rPr>
          <w:rFonts w:asciiTheme="minorHAnsi" w:hAnsiTheme="minorHAnsi" w:cstheme="minorHAnsi"/>
          <w:highlight w:val="yellow"/>
          <w:lang w:val="en-US"/>
        </w:rPr>
        <w:t xml:space="preserve"> </w:t>
      </w:r>
    </w:p>
    <w:p w:rsidR="007C5D99" w:rsidRDefault="007C5D99" w:rsidP="00F200DC">
      <w:pPr>
        <w:spacing w:after="0" w:line="240" w:lineRule="auto"/>
        <w:contextualSpacing/>
        <w:jc w:val="both"/>
        <w:rPr>
          <w:rFonts w:asciiTheme="minorHAnsi" w:hAnsiTheme="minorHAnsi" w:cstheme="minorHAnsi"/>
          <w:lang w:val="en-US"/>
        </w:rPr>
      </w:pPr>
    </w:p>
    <w:p w:rsidR="00F200DC" w:rsidRPr="00F200DC" w:rsidRDefault="002D3D70" w:rsidP="00F200DC">
      <w:pPr>
        <w:spacing w:after="0" w:line="240" w:lineRule="auto"/>
        <w:contextualSpacing/>
        <w:jc w:val="both"/>
        <w:rPr>
          <w:rFonts w:asciiTheme="minorHAnsi" w:hAnsiTheme="minorHAnsi" w:cstheme="minorHAnsi"/>
          <w:lang w:val="en-US"/>
        </w:rPr>
      </w:pPr>
      <w:r w:rsidRPr="00E21B18">
        <w:rPr>
          <w:rFonts w:asciiTheme="minorHAnsi" w:hAnsiTheme="minorHAnsi" w:cstheme="minorHAnsi"/>
          <w:lang w:val="en-US"/>
        </w:rPr>
        <w:t>The implication of the test results can be used as a basis for future actions, both in making a policy related to children's human capital, namely in children's education and intra-household.</w:t>
      </w:r>
      <w:r w:rsidR="008B64BD">
        <w:rPr>
          <w:rFonts w:asciiTheme="minorHAnsi" w:hAnsiTheme="minorHAnsi" w:cstheme="minorHAnsi"/>
          <w:lang w:val="en-US"/>
        </w:rPr>
        <w:t xml:space="preserve"> </w:t>
      </w:r>
      <w:r w:rsidR="008B64BD" w:rsidRPr="008B64BD">
        <w:rPr>
          <w:rFonts w:asciiTheme="minorHAnsi" w:hAnsiTheme="minorHAnsi" w:cstheme="minorHAnsi"/>
          <w:lang w:val="en-US"/>
        </w:rPr>
        <w:t xml:space="preserve">This research does not escape from various shortcomings and limitations. The limitation of this study is the lack of variables used, where the impact of women's power at work can be measured or proxied by various indicators, but in this study the power of women to work is proxied by using only two indicators, namely relative education and relative income of working women. Human capital, in this case children's human capital, only uses the children's education indicators. </w:t>
      </w:r>
      <w:r w:rsidR="002452D1">
        <w:rPr>
          <w:rFonts w:asciiTheme="minorHAnsi" w:hAnsiTheme="minorHAnsi" w:cstheme="minorHAnsi"/>
          <w:lang w:val="en-US"/>
        </w:rPr>
        <w:t>We suggest for future research</w:t>
      </w:r>
      <w:r w:rsidRPr="00E21B18">
        <w:rPr>
          <w:rFonts w:asciiTheme="minorHAnsi" w:hAnsiTheme="minorHAnsi" w:cstheme="minorHAnsi"/>
          <w:lang w:val="en-US"/>
        </w:rPr>
        <w:t xml:space="preserve"> to add</w:t>
      </w:r>
      <w:r w:rsidR="002452D1">
        <w:rPr>
          <w:rFonts w:asciiTheme="minorHAnsi" w:hAnsiTheme="minorHAnsi" w:cstheme="minorHAnsi"/>
          <w:lang w:val="en-US"/>
        </w:rPr>
        <w:t xml:space="preserve"> more relevant</w:t>
      </w:r>
      <w:r w:rsidRPr="00E21B18">
        <w:rPr>
          <w:rFonts w:asciiTheme="minorHAnsi" w:hAnsiTheme="minorHAnsi" w:cstheme="minorHAnsi"/>
          <w:lang w:val="en-US"/>
        </w:rPr>
        <w:t xml:space="preserve"> indicators in measuring the impact of </w:t>
      </w:r>
      <w:r w:rsidR="002452D1">
        <w:rPr>
          <w:rFonts w:asciiTheme="minorHAnsi" w:hAnsiTheme="minorHAnsi" w:cstheme="minorHAnsi"/>
          <w:lang w:val="en-US"/>
        </w:rPr>
        <w:t>working mother’s bargaining power</w:t>
      </w:r>
      <w:r w:rsidRPr="00E21B18">
        <w:rPr>
          <w:rFonts w:asciiTheme="minorHAnsi" w:hAnsiTheme="minorHAnsi" w:cstheme="minorHAnsi"/>
          <w:lang w:val="en-US"/>
        </w:rPr>
        <w:t xml:space="preserve"> and indicators related to human capital.</w:t>
      </w:r>
    </w:p>
    <w:p w:rsidR="00F31B06" w:rsidRDefault="00F31B06" w:rsidP="00F200DC">
      <w:pPr>
        <w:spacing w:after="0" w:line="240" w:lineRule="auto"/>
        <w:contextualSpacing/>
        <w:jc w:val="both"/>
        <w:rPr>
          <w:rFonts w:cs="Calibri"/>
          <w:bCs/>
          <w:szCs w:val="24"/>
          <w:lang w:val="en-US"/>
        </w:rPr>
      </w:pPr>
    </w:p>
    <w:p w:rsidR="00F31B06" w:rsidRPr="0052326E" w:rsidRDefault="00F31B06" w:rsidP="00931778">
      <w:pPr>
        <w:pStyle w:val="Default"/>
        <w:jc w:val="both"/>
        <w:rPr>
          <w:rFonts w:ascii="Calibri" w:hAnsi="Calibri" w:cs="Calibri"/>
          <w:sz w:val="22"/>
          <w:lang w:val="en-US"/>
        </w:rPr>
      </w:pPr>
    </w:p>
    <w:p w:rsidR="00DC0362" w:rsidRDefault="002D3D70">
      <w:pPr>
        <w:spacing w:after="0" w:line="240" w:lineRule="auto"/>
        <w:rPr>
          <w:rFonts w:ascii="Garamond" w:hAnsi="Garamond" w:cs="Calibri"/>
          <w:b/>
          <w:sz w:val="28"/>
          <w:lang w:val="en-US"/>
        </w:rPr>
      </w:pPr>
      <w:r>
        <w:rPr>
          <w:rFonts w:ascii="Garamond" w:hAnsi="Garamond" w:cs="Calibri"/>
          <w:b/>
          <w:sz w:val="28"/>
          <w:lang w:val="en-US"/>
        </w:rPr>
        <w:br w:type="page"/>
      </w:r>
    </w:p>
    <w:p w:rsidR="00931778" w:rsidRDefault="002D3D70" w:rsidP="00931778">
      <w:pPr>
        <w:pStyle w:val="DaftarParagraf"/>
        <w:spacing w:after="0" w:line="240" w:lineRule="auto"/>
        <w:ind w:left="0"/>
        <w:contextualSpacing w:val="0"/>
        <w:jc w:val="center"/>
        <w:rPr>
          <w:rFonts w:ascii="Garamond" w:hAnsi="Garamond" w:cs="Calibri"/>
          <w:b/>
          <w:sz w:val="28"/>
          <w:lang w:val="en-US"/>
        </w:rPr>
      </w:pPr>
      <w:r w:rsidRPr="00985D9E">
        <w:rPr>
          <w:rFonts w:ascii="Garamond" w:hAnsi="Garamond" w:cs="Calibri"/>
          <w:b/>
          <w:sz w:val="28"/>
          <w:lang w:val="en-US"/>
        </w:rPr>
        <w:lastRenderedPageBreak/>
        <w:t>References</w:t>
      </w:r>
    </w:p>
    <w:p w:rsidR="00F200DC" w:rsidRDefault="00F200DC" w:rsidP="00931778">
      <w:pPr>
        <w:pStyle w:val="DaftarParagraf"/>
        <w:spacing w:after="0" w:line="240" w:lineRule="auto"/>
        <w:ind w:left="0"/>
        <w:contextualSpacing w:val="0"/>
        <w:jc w:val="center"/>
        <w:rPr>
          <w:rFonts w:ascii="Garamond" w:hAnsi="Garamond" w:cs="Calibri"/>
          <w:b/>
          <w:bCs/>
          <w:sz w:val="28"/>
          <w:szCs w:val="24"/>
          <w:lang w:val="en-US"/>
        </w:rPr>
      </w:pP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Agarwal, Bina. 1997. “Bargaining” and Gender Relations: Within and Beyond the Household”. </w:t>
      </w:r>
      <w:r w:rsidRPr="00F200DC">
        <w:rPr>
          <w:rFonts w:ascii="Garamond" w:eastAsia="Times New Roman" w:hAnsi="Garamond" w:cs="Times New Roman"/>
          <w:i/>
          <w:lang w:val="en-US"/>
        </w:rPr>
        <w:t>Feminist Economics, 3(1):1-51</w:t>
      </w:r>
      <w:r w:rsidRPr="00F200DC">
        <w:rPr>
          <w:rFonts w:ascii="Garamond" w:eastAsia="Times New Roman" w:hAnsi="Garamond" w:cs="Times New Roman"/>
          <w:lang w:val="en-US"/>
        </w:rPr>
        <w:t xml:space="preserve">. </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Aji, S., Syarifudin, D., dan Ishak, R. F. (2014). Identifikasi Tipologi Wilayah Perbatasan Antar Kabupaten/ Kota dan Indeks Pembangunan Manusia di Provinsi Jawa Barat. </w:t>
      </w:r>
      <w:r w:rsidRPr="00F200DC">
        <w:rPr>
          <w:rFonts w:ascii="Garamond" w:eastAsia="Times New Roman" w:hAnsi="Garamond" w:cs="Times New Roman"/>
          <w:i/>
          <w:lang w:val="en-US"/>
        </w:rPr>
        <w:t>Proceeding Presentasi Hasil Penelitian Hibah Program Desentralisasi, Sentralisasi dan Hibah Internal Unpas</w:t>
      </w:r>
      <w:r w:rsidRPr="00F200DC">
        <w:rPr>
          <w:rFonts w:ascii="Garamond" w:eastAsia="Times New Roman" w:hAnsi="Garamond" w:cs="Times New Roman"/>
          <w:lang w:val="en-US"/>
        </w:rPr>
        <w:t xml:space="preserve"> </w:t>
      </w:r>
      <w:r w:rsidRPr="00F200DC">
        <w:rPr>
          <w:rFonts w:ascii="Garamond" w:eastAsia="Times New Roman" w:hAnsi="Garamond" w:cs="Times New Roman"/>
          <w:i/>
          <w:lang w:val="en-US"/>
        </w:rPr>
        <w:t>2014</w:t>
      </w:r>
      <w:r w:rsidRPr="00F200DC">
        <w:rPr>
          <w:rFonts w:ascii="Garamond" w:eastAsia="Times New Roman" w:hAnsi="Garamond" w:cs="Times New Roman"/>
          <w:lang w:val="en-US"/>
        </w:rPr>
        <w:t>, 145-149. Bandung: Lembaga Penelitian Universitas Pasundan.</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shd w:val="clear" w:color="auto" w:fill="FFFFFF"/>
          <w:lang w:val="en-US"/>
        </w:rPr>
      </w:pPr>
      <w:r w:rsidRPr="00F200DC">
        <w:rPr>
          <w:rFonts w:ascii="Garamond" w:eastAsia="Times New Roman" w:hAnsi="Garamond" w:cs="Times New Roman"/>
          <w:shd w:val="clear" w:color="auto" w:fill="FFFFFF"/>
          <w:lang w:val="en-US"/>
        </w:rPr>
        <w:t xml:space="preserve">Atmanti Dwi Hastarini. 2005. Investasi Sumber Daya Manusia melalui Pendidikan.  </w:t>
      </w:r>
      <w:r w:rsidRPr="00F200DC">
        <w:rPr>
          <w:rFonts w:ascii="Garamond" w:eastAsia="Times New Roman" w:hAnsi="Garamond" w:cs="Times New Roman"/>
          <w:i/>
          <w:shd w:val="clear" w:color="auto" w:fill="FFFFFF"/>
          <w:lang w:val="en-US"/>
        </w:rPr>
        <w:t>Dinamika Pembangunan</w:t>
      </w:r>
      <w:r w:rsidRPr="00F200DC">
        <w:rPr>
          <w:rFonts w:ascii="Garamond" w:eastAsia="Times New Roman" w:hAnsi="Garamond" w:cs="Times New Roman"/>
          <w:shd w:val="clear" w:color="auto" w:fill="FFFFFF"/>
          <w:lang w:val="en-US"/>
        </w:rPr>
        <w:t>. Volume 2. No: 1. 30-39.</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Arikunto, Suharsimi. 2002. </w:t>
      </w:r>
      <w:r w:rsidRPr="00F200DC">
        <w:rPr>
          <w:rFonts w:ascii="Garamond" w:eastAsia="Calibri" w:hAnsi="Garamond" w:cs="Times New Roman"/>
          <w:i/>
          <w:lang w:val="en-US"/>
        </w:rPr>
        <w:t xml:space="preserve">Prosedur Penelitian Suatu Pendekatan Praktek </w:t>
      </w:r>
      <w:r w:rsidRPr="00F200DC">
        <w:rPr>
          <w:rFonts w:ascii="Garamond" w:eastAsia="Calibri" w:hAnsi="Garamond" w:cs="Times New Roman"/>
          <w:lang w:val="en-US"/>
        </w:rPr>
        <w:t>Cetakan Ketigabelas. Jakarta: PT.Rineka Cipta</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i/>
          <w:lang w:val="en-US"/>
        </w:rPr>
      </w:pPr>
      <w:r w:rsidRPr="00F200DC">
        <w:rPr>
          <w:rFonts w:ascii="Garamond" w:eastAsia="Calibri" w:hAnsi="Garamond" w:cs="Times New Roman"/>
          <w:lang w:val="en-US"/>
        </w:rPr>
        <w:t xml:space="preserve">Balbuzanov, Ivan and Colby Colleg. 2009. Searching for Evidence of Boy-Girl Discrimination in Household Expenditure Data: Evidence from Gansu Province China. </w:t>
      </w:r>
      <w:r w:rsidRPr="00F200DC">
        <w:rPr>
          <w:rFonts w:ascii="Garamond" w:eastAsia="Calibri" w:hAnsi="Garamond" w:cs="Times New Roman"/>
          <w:i/>
          <w:lang w:val="en-US"/>
        </w:rPr>
        <w:t>Issues in Political Economy, Vol. 19, 2009, 90-107.</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i/>
          <w:lang w:val="en-US"/>
        </w:rPr>
      </w:pPr>
      <w:r w:rsidRPr="00F200DC">
        <w:rPr>
          <w:rFonts w:ascii="Garamond" w:eastAsia="Times New Roman" w:hAnsi="Garamond" w:cs="Times New Roman"/>
          <w:lang w:val="en-US"/>
        </w:rPr>
        <w:t>Basu, Kaushik. 2006. “Gender and Say</w:t>
      </w:r>
      <w:r w:rsidRPr="00F200DC">
        <w:rPr>
          <w:rFonts w:ascii="Times New Roman" w:eastAsia="Times New Roman" w:hAnsi="Times New Roman" w:cs="Times New Roman"/>
          <w:lang w:val="en-US"/>
        </w:rPr>
        <w:t> </w:t>
      </w:r>
      <w:r w:rsidRPr="00F200DC">
        <w:rPr>
          <w:rFonts w:ascii="Garamond" w:eastAsia="Times New Roman" w:hAnsi="Garamond" w:cs="Times New Roman"/>
          <w:lang w:val="en-US"/>
        </w:rPr>
        <w:t xml:space="preserve">: A Model of Household Behaviour with Endogenously Determined Balance of Power.” </w:t>
      </w:r>
      <w:r w:rsidRPr="00F200DC">
        <w:rPr>
          <w:rFonts w:ascii="Garamond" w:eastAsia="Times New Roman" w:hAnsi="Garamond" w:cs="Times New Roman"/>
          <w:i/>
          <w:lang w:val="en-US"/>
        </w:rPr>
        <w:t>The Economic Journal</w:t>
      </w:r>
      <w:r w:rsidRPr="00F200DC">
        <w:rPr>
          <w:rFonts w:ascii="Garamond" w:eastAsia="Times New Roman" w:hAnsi="Garamond" w:cs="Times New Roman"/>
          <w:lang w:val="en-US"/>
        </w:rPr>
        <w:t>, 116 (511): 558–80.</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Becker, G. 1964. </w:t>
      </w:r>
      <w:r w:rsidRPr="00F200DC">
        <w:rPr>
          <w:rFonts w:ascii="Garamond" w:eastAsia="Times New Roman" w:hAnsi="Garamond" w:cs="Times New Roman"/>
          <w:i/>
          <w:lang w:val="en-US"/>
        </w:rPr>
        <w:t>Human Capital</w:t>
      </w:r>
      <w:r w:rsidRPr="00F200DC">
        <w:rPr>
          <w:rFonts w:ascii="Garamond" w:eastAsia="Times New Roman" w:hAnsi="Garamond" w:cs="Times New Roman"/>
          <w:lang w:val="en-US"/>
        </w:rPr>
        <w:t>. New York: Columbia University Press.</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Becker, G.S. 1973. A Theory of Marriage: Part I. </w:t>
      </w:r>
      <w:r w:rsidRPr="00F200DC">
        <w:rPr>
          <w:rFonts w:ascii="Garamond" w:eastAsia="Times New Roman" w:hAnsi="Garamond" w:cs="Times New Roman"/>
          <w:i/>
          <w:lang w:val="en-US"/>
        </w:rPr>
        <w:t>Journal of Political Economy</w:t>
      </w:r>
      <w:r w:rsidRPr="00F200DC">
        <w:rPr>
          <w:rFonts w:ascii="Garamond" w:eastAsia="Times New Roman" w:hAnsi="Garamond" w:cs="Times New Roman"/>
          <w:lang w:val="en-US"/>
        </w:rPr>
        <w:t>, 81, 813-846.</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--------------1975. Investment in Human Capital :A Theoretical Analysis</w:t>
      </w:r>
      <w:r w:rsidRPr="00F200DC">
        <w:rPr>
          <w:rFonts w:ascii="Garamond" w:eastAsia="Times New Roman" w:hAnsi="Garamond" w:cs="Times New Roman"/>
          <w:i/>
          <w:lang w:val="en-US"/>
        </w:rPr>
        <w:t xml:space="preserve">. Journal of Political Economy. </w:t>
      </w:r>
      <w:r w:rsidRPr="00F200DC">
        <w:rPr>
          <w:rFonts w:ascii="Garamond" w:eastAsia="Times New Roman" w:hAnsi="Garamond" w:cs="Times New Roman"/>
          <w:lang w:val="en-US"/>
        </w:rPr>
        <w:t xml:space="preserve">9-49. Tersedia di: </w:t>
      </w:r>
      <w:hyperlink r:id="rId11" w:history="1">
        <w:r w:rsidRPr="00F200DC">
          <w:rPr>
            <w:rFonts w:ascii="Garamond" w:eastAsia="Times New Roman" w:hAnsi="Garamond" w:cs="Times New Roman"/>
            <w:color w:val="0000FF"/>
            <w:u w:val="single"/>
            <w:lang w:val="en-US"/>
          </w:rPr>
          <w:t>http://www.nber.org/books/beck75-1.hen</w:t>
        </w:r>
      </w:hyperlink>
      <w:r w:rsidRPr="00F200DC">
        <w:rPr>
          <w:rFonts w:ascii="Garamond" w:eastAsia="Times New Roman" w:hAnsi="Garamond" w:cs="Times New Roman"/>
          <w:lang w:val="en-US"/>
        </w:rPr>
        <w:t xml:space="preserve"> [diunduh:20 Desember 2019].</w:t>
      </w:r>
    </w:p>
    <w:p w:rsidR="00F200DC" w:rsidRPr="00F200DC" w:rsidRDefault="002D3D70" w:rsidP="00F200DC">
      <w:pPr>
        <w:widowControl w:val="0"/>
        <w:autoSpaceDE w:val="0"/>
        <w:autoSpaceDN w:val="0"/>
        <w:spacing w:after="0" w:line="240" w:lineRule="auto"/>
        <w:ind w:left="709" w:hanging="709"/>
        <w:jc w:val="both"/>
        <w:outlineLvl w:val="0"/>
        <w:rPr>
          <w:rFonts w:ascii="Garamond" w:eastAsia="Times New Roman" w:hAnsi="Garamond" w:cs="Times New Roman"/>
          <w:bCs/>
          <w:i/>
          <w:u w:val="single"/>
          <w:lang w:val="en-US"/>
        </w:rPr>
      </w:pPr>
      <w:r w:rsidRPr="00F200DC">
        <w:rPr>
          <w:rFonts w:ascii="Garamond" w:eastAsia="Calibri" w:hAnsi="Garamond" w:cs="Times New Roman"/>
          <w:bCs/>
          <w:lang w:val="en-US"/>
        </w:rPr>
        <w:t xml:space="preserve">Beegle, Kathleen., Ducan Thomas, and Elizabeth Frankenberg. 2001. </w:t>
      </w:r>
      <w:r w:rsidRPr="00F200DC">
        <w:rPr>
          <w:rFonts w:ascii="Garamond" w:eastAsia="Times New Roman" w:hAnsi="Garamond" w:cs="Times New Roman"/>
          <w:color w:val="111111"/>
          <w:lang w:val="en-US"/>
        </w:rPr>
        <w:t>Bargaining Power Within Couples and Use of Prenatal and Delivery Care in Indonesia.</w:t>
      </w:r>
      <w:r w:rsidRPr="00F200DC">
        <w:rPr>
          <w:rFonts w:ascii="Garamond" w:eastAsia="Times New Roman" w:hAnsi="Garamond"/>
          <w:b/>
          <w:bCs/>
          <w:color w:val="555555"/>
          <w:lang w:val="en-US"/>
        </w:rPr>
        <w:t xml:space="preserve"> </w:t>
      </w:r>
      <w:r w:rsidRPr="00F200DC">
        <w:rPr>
          <w:rFonts w:ascii="Garamond" w:eastAsia="Times New Roman" w:hAnsi="Garamond"/>
          <w:b/>
          <w:bCs/>
          <w:color w:val="555555"/>
          <w:lang w:val="en-US"/>
        </w:rPr>
        <w:t> </w:t>
      </w:r>
      <w:hyperlink r:id="rId12" w:tgtFrame="_blank" w:history="1">
        <w:r w:rsidRPr="00F200DC">
          <w:rPr>
            <w:rFonts w:ascii="Garamond" w:eastAsia="Times New Roman" w:hAnsi="Garamond" w:cs="Times New Roman"/>
            <w:bCs/>
            <w:i/>
            <w:color w:val="0000FF"/>
            <w:u w:val="single"/>
            <w:bdr w:val="none" w:sz="0" w:space="0" w:color="auto" w:frame="1"/>
            <w:lang w:val="en-US"/>
          </w:rPr>
          <w:t>Studies in Family Planning</w:t>
        </w:r>
      </w:hyperlink>
      <w:r w:rsidRPr="00F200DC">
        <w:rPr>
          <w:rFonts w:ascii="Garamond" w:eastAsia="Times New Roman" w:hAnsi="Garamond" w:cs="Times New Roman"/>
          <w:bCs/>
          <w:lang w:val="en-US"/>
        </w:rPr>
        <w:t>, 32(2):130 – 146, May 2001. Doi:</w:t>
      </w:r>
      <w:r w:rsidRPr="00F200DC">
        <w:rPr>
          <w:rFonts w:ascii="Garamond" w:eastAsia="Times New Roman" w:hAnsi="Garamond" w:cs="Times New Roman"/>
          <w:bCs/>
          <w:i/>
          <w:color w:val="31849B"/>
          <w:u w:val="single"/>
          <w:lang w:val="en-US"/>
        </w:rPr>
        <w:t>10.1111/j.1728-4465.2001.00130.x</w:t>
      </w:r>
      <w:r w:rsidRPr="00F200DC">
        <w:rPr>
          <w:rFonts w:ascii="Garamond" w:eastAsia="Times New Roman" w:hAnsi="Garamond" w:cs="Times New Roman"/>
          <w:bCs/>
          <w:i/>
          <w:u w:val="single"/>
          <w:lang w:val="en-US"/>
        </w:rPr>
        <w:t>.</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Boediono. 2012. </w:t>
      </w:r>
      <w:r w:rsidRPr="00F200DC">
        <w:rPr>
          <w:rFonts w:ascii="Garamond" w:eastAsia="Calibri" w:hAnsi="Garamond" w:cs="Times New Roman"/>
          <w:i/>
          <w:iCs/>
          <w:lang w:val="en-US"/>
        </w:rPr>
        <w:t>Ekonomi Mikro</w:t>
      </w:r>
      <w:r w:rsidRPr="00F200DC">
        <w:rPr>
          <w:rFonts w:ascii="Garamond" w:eastAsia="Calibri" w:hAnsi="Garamond" w:cs="Times New Roman"/>
          <w:lang w:val="en-US"/>
        </w:rPr>
        <w:t>. Yogyakarta : BPFE.</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Brooks-Gunn, J., Guo, G., &amp; Furstenberg, F. F. 1993. Who drops out and who continues beyond high school? A 20-year follow-up of Black urban youth. </w:t>
      </w:r>
      <w:r w:rsidRPr="00F200DC">
        <w:rPr>
          <w:rFonts w:ascii="Garamond" w:eastAsia="Times New Roman" w:hAnsi="Garamond" w:cs="Times New Roman"/>
          <w:i/>
          <w:lang w:val="en-US"/>
        </w:rPr>
        <w:t>Journal of Research on Adolescence</w:t>
      </w:r>
      <w:r w:rsidRPr="00F200DC">
        <w:rPr>
          <w:rFonts w:ascii="Garamond" w:eastAsia="Times New Roman" w:hAnsi="Garamond" w:cs="Times New Roman"/>
          <w:lang w:val="en-US"/>
        </w:rPr>
        <w:t>, 3, 271–294.</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Budiman, Arief. 1986. </w:t>
      </w:r>
      <w:r w:rsidRPr="00F200DC">
        <w:rPr>
          <w:rFonts w:ascii="Garamond" w:eastAsia="Calibri" w:hAnsi="Garamond" w:cs="Times New Roman"/>
          <w:i/>
          <w:lang w:val="en-US"/>
        </w:rPr>
        <w:t>Pembagian Kerja Secara Seksual, Sebuah Pembahasan Sosiologis Tentang Peran Wanita Di Dalam Masyarakat</w:t>
      </w:r>
      <w:r w:rsidRPr="00F200DC">
        <w:rPr>
          <w:rFonts w:ascii="Garamond" w:eastAsia="Calibri" w:hAnsi="Garamond" w:cs="Times New Roman"/>
          <w:lang w:val="en-US"/>
        </w:rPr>
        <w:t>. Jakarta : Gramedia</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Bustami. 2013. Peran Ibu Rumah Tangga Dalam Keluarga (Kasus Ibu-Ibu Yang Bekerja Sebagai Guru Sekolah Dasar) di Kecamatan Tanjungpinang Barat. Universitas Maritime Raja Ali Haji. Tanjung Pinang.</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Davis-Kean, Pamela. 2005. The Influence of Parent Education and Family Income on Child Achievement: The Indirect Role of Parental Expectations and Home Environment. </w:t>
      </w:r>
      <w:r w:rsidRPr="00F200DC">
        <w:rPr>
          <w:rFonts w:ascii="Garamond" w:eastAsia="Times New Roman" w:hAnsi="Garamond" w:cs="Times New Roman"/>
          <w:i/>
          <w:lang w:val="en-US"/>
        </w:rPr>
        <w:t>Journal of Family Psychology, 19(2), 294-304</w:t>
      </w:r>
      <w:r w:rsidRPr="00F200DC">
        <w:rPr>
          <w:rFonts w:ascii="Garamond" w:eastAsia="Times New Roman" w:hAnsi="Garamond" w:cs="Times New Roman"/>
          <w:lang w:val="en-US"/>
        </w:rPr>
        <w:t>.</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i/>
          <w:lang w:val="en-US"/>
        </w:rPr>
      </w:pPr>
      <w:r w:rsidRPr="00F200DC">
        <w:rPr>
          <w:rFonts w:ascii="Garamond" w:eastAsia="Times New Roman" w:hAnsi="Garamond" w:cs="Times New Roman"/>
          <w:lang w:val="en-US"/>
        </w:rPr>
        <w:t xml:space="preserve">Doss, C.R. 1996. Testing among Models of Intrahousehold Resources Allocation. </w:t>
      </w:r>
      <w:r w:rsidRPr="00F200DC">
        <w:rPr>
          <w:rFonts w:ascii="Garamond" w:eastAsia="Times New Roman" w:hAnsi="Garamond" w:cs="Times New Roman"/>
          <w:i/>
          <w:lang w:val="en-US"/>
        </w:rPr>
        <w:t xml:space="preserve"> World Development, </w:t>
      </w:r>
      <w:r w:rsidRPr="00F200DC">
        <w:rPr>
          <w:rFonts w:ascii="Garamond" w:eastAsia="Times New Roman" w:hAnsi="Garamond" w:cs="Times New Roman"/>
          <w:lang w:val="en-US"/>
        </w:rPr>
        <w:t>24(10), pp. 1597-609</w:t>
      </w:r>
      <w:r w:rsidRPr="00F200DC">
        <w:rPr>
          <w:rFonts w:ascii="Garamond" w:eastAsia="Times New Roman" w:hAnsi="Garamond" w:cs="Times New Roman"/>
          <w:i/>
          <w:lang w:val="en-US"/>
        </w:rPr>
        <w:t>.</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------------2006. “The Effects of Intrahousehold Property Ownership on Expenditure Patterns in Ghana.” </w:t>
      </w:r>
      <w:r w:rsidRPr="00F200DC">
        <w:rPr>
          <w:rFonts w:ascii="Garamond" w:eastAsia="Times New Roman" w:hAnsi="Garamond" w:cs="Times New Roman"/>
          <w:i/>
          <w:lang w:val="en-US"/>
        </w:rPr>
        <w:t>Journal of African Economies</w:t>
      </w:r>
      <w:r w:rsidRPr="00F200DC">
        <w:rPr>
          <w:rFonts w:ascii="Garamond" w:eastAsia="Times New Roman" w:hAnsi="Garamond" w:cs="Times New Roman"/>
          <w:lang w:val="en-US"/>
        </w:rPr>
        <w:t xml:space="preserve"> 15 (1): 149–80.</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------------2013. Intrahousehold Bargaining and Resource Allocation in Developing Countries. </w:t>
      </w:r>
      <w:r w:rsidRPr="00F200DC">
        <w:rPr>
          <w:rFonts w:ascii="Garamond" w:eastAsia="Times New Roman" w:hAnsi="Garamond" w:cs="Times New Roman"/>
          <w:i/>
          <w:lang w:val="en-US"/>
        </w:rPr>
        <w:t>The World Bank Research Observer, vol. 28, no. 1 (February 2013)</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i/>
          <w:lang w:val="en-US"/>
        </w:rPr>
      </w:pPr>
      <w:r w:rsidRPr="00F200DC">
        <w:rPr>
          <w:rFonts w:ascii="Garamond" w:eastAsia="Times New Roman" w:hAnsi="Garamond" w:cs="Times New Roman"/>
          <w:lang w:val="en-US"/>
        </w:rPr>
        <w:t xml:space="preserve">Duflo, E. (2012). Women Empowerment and Economic Development. </w:t>
      </w:r>
      <w:r w:rsidRPr="00F200DC">
        <w:rPr>
          <w:rFonts w:ascii="Garamond" w:eastAsia="Times New Roman" w:hAnsi="Garamond" w:cs="Times New Roman"/>
          <w:i/>
          <w:lang w:val="en-US"/>
        </w:rPr>
        <w:t>J Econ Lit 50(4):1051–1079</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i/>
          <w:color w:val="31849B"/>
          <w:lang w:val="en-US"/>
        </w:rPr>
      </w:pPr>
      <w:r w:rsidRPr="00F200DC">
        <w:rPr>
          <w:rFonts w:ascii="Garamond" w:eastAsia="Times New Roman" w:hAnsi="Garamond" w:cs="Times New Roman"/>
          <w:lang w:val="en-US"/>
        </w:rPr>
        <w:t xml:space="preserve">Ebert, Udo., Moyes, Patrick. 2009. Household Decisions and Equivalence Scales. </w:t>
      </w:r>
      <w:r w:rsidRPr="00F200DC">
        <w:rPr>
          <w:rFonts w:ascii="Garamond" w:eastAsia="Times New Roman" w:hAnsi="Garamond" w:cs="Times New Roman"/>
          <w:i/>
          <w:lang w:val="en-US"/>
        </w:rPr>
        <w:t>Journal of Population Economics</w:t>
      </w:r>
      <w:r w:rsidRPr="00F200DC">
        <w:rPr>
          <w:rFonts w:ascii="Garamond" w:eastAsia="Times New Roman" w:hAnsi="Garamond" w:cs="Times New Roman"/>
          <w:lang w:val="en-US"/>
        </w:rPr>
        <w:t>, 22(4): 1039-1062. Doi</w:t>
      </w:r>
      <w:r w:rsidRPr="00F200DC">
        <w:rPr>
          <w:rFonts w:ascii="Garamond" w:eastAsia="Times New Roman" w:hAnsi="Garamond" w:cs="Times New Roman"/>
          <w:shd w:val="clear" w:color="auto" w:fill="EAF3FF"/>
          <w:lang w:val="en-US"/>
        </w:rPr>
        <w:t>:</w:t>
      </w:r>
      <w:hyperlink r:id="rId13" w:history="1">
        <w:r w:rsidRPr="00F200DC">
          <w:rPr>
            <w:rFonts w:ascii="Garamond" w:eastAsia="Times New Roman" w:hAnsi="Garamond" w:cs="Times New Roman"/>
            <w:i/>
            <w:color w:val="31849B"/>
            <w:u w:val="single"/>
            <w:lang w:val="en-US"/>
          </w:rPr>
          <w:t>10.1007/s00148-008-0186-7</w:t>
        </w:r>
      </w:hyperlink>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Fattah N. 2004. </w:t>
      </w:r>
      <w:r w:rsidRPr="00F200DC">
        <w:rPr>
          <w:rFonts w:ascii="Garamond" w:eastAsia="Times New Roman" w:hAnsi="Garamond" w:cs="Times New Roman"/>
          <w:i/>
          <w:lang w:val="en-US"/>
        </w:rPr>
        <w:t xml:space="preserve">Ekonomi dan Pembiayaan Pendidikan. </w:t>
      </w:r>
      <w:r w:rsidRPr="00F200DC">
        <w:rPr>
          <w:rFonts w:ascii="Garamond" w:eastAsia="Times New Roman" w:hAnsi="Garamond" w:cs="Times New Roman"/>
          <w:lang w:val="en-US"/>
        </w:rPr>
        <w:t>Bandung: PT. Remaja Rosdakarya.</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Felmlee, D. H. (1988). Returning to School and Women’s Occupational Attainment. </w:t>
      </w:r>
      <w:r w:rsidRPr="00F200DC">
        <w:rPr>
          <w:rFonts w:ascii="Garamond" w:eastAsia="Times New Roman" w:hAnsi="Garamond" w:cs="Times New Roman"/>
          <w:i/>
          <w:lang w:val="en-US"/>
        </w:rPr>
        <w:t xml:space="preserve">Sociology </w:t>
      </w:r>
      <w:r w:rsidRPr="00F200DC">
        <w:rPr>
          <w:rFonts w:ascii="Garamond" w:eastAsia="Times New Roman" w:hAnsi="Garamond" w:cs="Times New Roman"/>
          <w:i/>
          <w:lang w:val="en-US"/>
        </w:rPr>
        <w:lastRenderedPageBreak/>
        <w:t>of Education</w:t>
      </w:r>
      <w:r w:rsidRPr="00F200DC">
        <w:rPr>
          <w:rFonts w:ascii="Garamond" w:eastAsia="Times New Roman" w:hAnsi="Garamond" w:cs="Times New Roman"/>
          <w:lang w:val="en-US"/>
        </w:rPr>
        <w:t>, 61, 29 – 41.</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Flouri, Eirini., Denise Hawkes. (2008). Ambitious Mothers-Successful Daughters: Mothers’ Early Expectations for Children’s Education and Children’s Earnings and Sense of Control in Adult Life. </w:t>
      </w:r>
      <w:r w:rsidRPr="00F200DC">
        <w:rPr>
          <w:rFonts w:ascii="Garamond" w:eastAsia="Times New Roman" w:hAnsi="Garamond" w:cs="Times New Roman"/>
          <w:i/>
          <w:lang w:val="en-US"/>
        </w:rPr>
        <w:t>British Journal of Educational Psychology</w:t>
      </w:r>
      <w:r w:rsidRPr="00F200DC">
        <w:rPr>
          <w:rFonts w:ascii="Garamond" w:eastAsia="Times New Roman" w:hAnsi="Garamond" w:cs="Times New Roman"/>
          <w:lang w:val="en-US"/>
        </w:rPr>
        <w:t>, 78, 411-433.</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Folbre, Nancy. 1986. Hearts and Spadess: Paradigms of Household Economics. </w:t>
      </w:r>
      <w:r w:rsidRPr="00F200DC">
        <w:rPr>
          <w:rFonts w:ascii="Garamond" w:eastAsia="Times New Roman" w:hAnsi="Garamond" w:cs="Times New Roman"/>
          <w:i/>
          <w:lang w:val="en-US"/>
        </w:rPr>
        <w:t>World Development</w:t>
      </w:r>
      <w:r w:rsidRPr="00F200DC">
        <w:rPr>
          <w:rFonts w:ascii="Garamond" w:eastAsia="Times New Roman" w:hAnsi="Garamond" w:cs="Times New Roman"/>
          <w:lang w:val="en-US"/>
        </w:rPr>
        <w:t>, 14(2): 245-255. Doi:</w:t>
      </w:r>
      <w:hyperlink r:id="rId14" w:history="1">
        <w:r w:rsidRPr="00F200DC">
          <w:rPr>
            <w:rFonts w:ascii="Garamond" w:eastAsia="Times New Roman" w:hAnsi="Garamond" w:cs="Times New Roman"/>
            <w:i/>
            <w:iCs/>
            <w:color w:val="4F81BD"/>
            <w:u w:val="single"/>
            <w:shd w:val="clear" w:color="auto" w:fill="FFFFFF"/>
            <w:lang w:val="en-US"/>
          </w:rPr>
          <w:t>10.1016/0305-750X(86)90056-2</w:t>
        </w:r>
      </w:hyperlink>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Friedemann-Sa´nchez, G. 2006. “Assets in Intrahousehold Bargaining Among Cut-Flower Workers in Colombia.” </w:t>
      </w:r>
      <w:r w:rsidRPr="00F200DC">
        <w:rPr>
          <w:rFonts w:ascii="Garamond" w:eastAsia="Times New Roman" w:hAnsi="Garamond" w:cs="Times New Roman"/>
          <w:i/>
          <w:lang w:val="en-US"/>
        </w:rPr>
        <w:t>Feminist Economics</w:t>
      </w:r>
      <w:r w:rsidRPr="00F200DC">
        <w:rPr>
          <w:rFonts w:ascii="Garamond" w:eastAsia="Times New Roman" w:hAnsi="Garamond" w:cs="Times New Roman"/>
          <w:lang w:val="en-US"/>
        </w:rPr>
        <w:t xml:space="preserve"> 12 (1-2): 247– 69.</w:t>
      </w:r>
    </w:p>
    <w:p w:rsidR="00F200DC" w:rsidRPr="00F200DC" w:rsidRDefault="002D3D70" w:rsidP="00F200DC">
      <w:pPr>
        <w:widowControl w:val="0"/>
        <w:shd w:val="clear" w:color="auto" w:fill="FFFFFF"/>
        <w:autoSpaceDE w:val="0"/>
        <w:autoSpaceDN w:val="0"/>
        <w:spacing w:after="0" w:line="240" w:lineRule="auto"/>
        <w:ind w:left="709" w:hanging="709"/>
        <w:jc w:val="both"/>
        <w:textAlignment w:val="baseline"/>
        <w:outlineLvl w:val="0"/>
        <w:rPr>
          <w:rFonts w:ascii="Garamond" w:eastAsia="Times New Roman" w:hAnsi="Garamond" w:cs="Times New Roman"/>
          <w:bCs/>
          <w:color w:val="2A2A2A"/>
          <w:shd w:val="clear" w:color="auto" w:fill="FFFFFF"/>
          <w:lang w:val="en-US"/>
        </w:rPr>
      </w:pPr>
      <w:r w:rsidRPr="00F200DC">
        <w:rPr>
          <w:rFonts w:ascii="Garamond" w:eastAsia="Times New Roman" w:hAnsi="Garamond" w:cs="Times New Roman"/>
          <w:bCs/>
          <w:iCs/>
          <w:shd w:val="clear" w:color="auto" w:fill="FFFFFF"/>
          <w:lang w:val="en-US"/>
        </w:rPr>
        <w:t>Gitter, Seth R. dan Barham, Bradford L. 2008.</w:t>
      </w:r>
      <w:r w:rsidRPr="00F200DC">
        <w:rPr>
          <w:rFonts w:ascii="Garamond" w:eastAsia="Times New Roman" w:hAnsi="Garamond" w:cs="Times New Roman"/>
          <w:b/>
          <w:bCs/>
          <w:iCs/>
          <w:shd w:val="clear" w:color="auto" w:fill="FFFFFF"/>
          <w:lang w:val="en-US"/>
        </w:rPr>
        <w:t xml:space="preserve"> </w:t>
      </w:r>
      <w:r w:rsidRPr="00F200DC">
        <w:rPr>
          <w:rFonts w:ascii="Garamond" w:eastAsia="Times New Roman" w:hAnsi="Garamond" w:cs="Times New Roman"/>
          <w:bCs/>
          <w:color w:val="2A2A2A"/>
          <w:lang w:val="en-US"/>
        </w:rPr>
        <w:t xml:space="preserve">Women's Power, Conditional Cash Transfers, and Schooling in Nicaragua. </w:t>
      </w:r>
      <w:r w:rsidRPr="00F200DC">
        <w:rPr>
          <w:rFonts w:ascii="Garamond" w:eastAsia="Times New Roman" w:hAnsi="Garamond" w:cs="Times New Roman"/>
          <w:bCs/>
          <w:i/>
          <w:iCs/>
          <w:color w:val="2A2A2A"/>
          <w:bdr w:val="none" w:sz="0" w:space="0" w:color="auto" w:frame="1"/>
          <w:shd w:val="clear" w:color="auto" w:fill="FFFFFF"/>
          <w:lang w:val="en-US"/>
        </w:rPr>
        <w:t>The World Bank Economic Review</w:t>
      </w:r>
      <w:r w:rsidRPr="00F200DC">
        <w:rPr>
          <w:rFonts w:ascii="Garamond" w:eastAsia="Times New Roman" w:hAnsi="Garamond" w:cs="Times New Roman"/>
          <w:bCs/>
          <w:color w:val="2A2A2A"/>
          <w:shd w:val="clear" w:color="auto" w:fill="FFFFFF"/>
          <w:lang w:val="en-US"/>
        </w:rPr>
        <w:t>, Volume 22, Issue 2, 2008, Pages 271-290.</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Ghozali, Imam. 2006. </w:t>
      </w:r>
      <w:r w:rsidRPr="00F200DC">
        <w:rPr>
          <w:rFonts w:ascii="Garamond" w:eastAsia="Calibri" w:hAnsi="Garamond" w:cs="Times New Roman"/>
          <w:i/>
          <w:iCs/>
          <w:lang w:val="en-US"/>
        </w:rPr>
        <w:t>Aplikasi Analisis Multivariate dengan Program SPSS. Edisi Kedua</w:t>
      </w:r>
      <w:r w:rsidRPr="00F200DC">
        <w:rPr>
          <w:rFonts w:ascii="Garamond" w:eastAsia="Calibri" w:hAnsi="Garamond" w:cs="Times New Roman"/>
          <w:lang w:val="en-US"/>
        </w:rPr>
        <w:t>. Yogyakarta. Penerbit Universitas Diponegoro.</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Ginanjar, Kartasasmita. 1996. </w:t>
      </w:r>
      <w:r w:rsidRPr="00F200DC">
        <w:rPr>
          <w:rFonts w:ascii="Garamond" w:eastAsia="Calibri" w:hAnsi="Garamond" w:cs="Times New Roman"/>
          <w:i/>
          <w:iCs/>
          <w:lang w:val="en-US"/>
        </w:rPr>
        <w:t xml:space="preserve">Pembangunan untuk Rakyat, Memadukan Pertumbuhan dan Pemerataan. </w:t>
      </w:r>
      <w:r w:rsidRPr="00F200DC">
        <w:rPr>
          <w:rFonts w:ascii="Garamond" w:eastAsia="Calibri" w:hAnsi="Garamond" w:cs="Times New Roman"/>
          <w:lang w:val="en-US"/>
        </w:rPr>
        <w:t>Jakarta: CDES.</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Gujarati, Damodar N. 1998. Basic Econometric, Fourth edition. The Mc Graw Hill Companies Inc, New York.</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Gujarati, D. 2012. </w:t>
      </w:r>
      <w:r w:rsidRPr="00F200DC">
        <w:rPr>
          <w:rFonts w:ascii="Garamond" w:eastAsia="Times New Roman" w:hAnsi="Garamond" w:cs="Times New Roman"/>
          <w:i/>
          <w:lang w:val="en-US"/>
        </w:rPr>
        <w:t>Dasar-Dasar Ekonometrika Edisi Lima</w:t>
      </w:r>
      <w:r w:rsidRPr="00F200DC">
        <w:rPr>
          <w:rFonts w:ascii="Garamond" w:eastAsia="Times New Roman" w:hAnsi="Garamond" w:cs="Times New Roman"/>
          <w:lang w:val="en-US"/>
        </w:rPr>
        <w:t>. (diterjemahkan oleh: Mangunsong, R.C.). Jakarta: Salemba Empat.</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Haddad, L., J. Hoddinott, and H. Alderman (eds.). 1997. </w:t>
      </w:r>
      <w:r w:rsidRPr="00F200DC">
        <w:rPr>
          <w:rFonts w:ascii="Garamond" w:eastAsia="Times New Roman" w:hAnsi="Garamond" w:cs="Times New Roman"/>
          <w:i/>
          <w:lang w:val="en-US"/>
        </w:rPr>
        <w:t>Intra-Household Resource Allocation in Developing Countries: Methods, Models, and Policy. Baltimore.</w:t>
      </w:r>
      <w:r w:rsidRPr="00F200DC">
        <w:rPr>
          <w:rFonts w:ascii="Garamond" w:eastAsia="Times New Roman" w:hAnsi="Garamond" w:cs="Times New Roman"/>
          <w:lang w:val="en-US"/>
        </w:rPr>
        <w:t xml:space="preserve"> MD: Johns Hopkins University Press.</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Handa, Sudhanshu. 1996. Maternal Education and Child Attainment In Jamaica: Testing The Bargaining Power Hypothesis. </w:t>
      </w:r>
      <w:r w:rsidRPr="00F200DC">
        <w:rPr>
          <w:rFonts w:ascii="Garamond" w:eastAsia="Times New Roman" w:hAnsi="Garamond" w:cs="Times New Roman"/>
          <w:i/>
          <w:lang w:val="en-US"/>
        </w:rPr>
        <w:t>Oxford Bulletinof Economics and Statistics</w:t>
      </w:r>
      <w:r w:rsidRPr="00F200DC">
        <w:rPr>
          <w:rFonts w:ascii="Garamond" w:eastAsia="Times New Roman" w:hAnsi="Garamond" w:cs="Times New Roman"/>
          <w:lang w:val="en-US"/>
        </w:rPr>
        <w:t>, 58(1), 119-137. Doi:</w:t>
      </w:r>
      <w:r w:rsidRPr="00F200DC">
        <w:rPr>
          <w:rFonts w:ascii="Garamond" w:eastAsia="Times New Roman" w:hAnsi="Garamond" w:cs="Times New Roman"/>
          <w:i/>
          <w:color w:val="4F81BD"/>
          <w:u w:val="single"/>
          <w:lang w:val="en-US"/>
        </w:rPr>
        <w:t>10.1111/j.1468-0084.1996.mp58001006.x</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Hasan Shadly, </w:t>
      </w:r>
      <w:r w:rsidRPr="00F200DC">
        <w:rPr>
          <w:rFonts w:ascii="Garamond" w:eastAsia="Calibri" w:hAnsi="Garamond" w:cs="Times New Roman"/>
          <w:i/>
          <w:iCs/>
          <w:lang w:val="en-US"/>
        </w:rPr>
        <w:t xml:space="preserve">Sosiologi untuk Masyarakat Indonesia </w:t>
      </w:r>
      <w:r w:rsidRPr="00F200DC">
        <w:rPr>
          <w:rFonts w:ascii="Garamond" w:eastAsia="Calibri" w:hAnsi="Garamond" w:cs="Times New Roman"/>
          <w:lang w:val="en-US"/>
        </w:rPr>
        <w:t>(Jakarta:Rineka Cipta,1993)</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i/>
          <w:iCs/>
          <w:lang w:val="en-US"/>
        </w:rPr>
      </w:pPr>
      <w:r w:rsidRPr="00F200DC">
        <w:rPr>
          <w:rFonts w:ascii="Garamond" w:eastAsia="Calibri" w:hAnsi="Garamond" w:cs="Times New Roman"/>
          <w:lang w:val="en-US"/>
        </w:rPr>
        <w:t xml:space="preserve">Hair et al. (2010). </w:t>
      </w:r>
      <w:r w:rsidRPr="00F200DC">
        <w:rPr>
          <w:rFonts w:ascii="Garamond" w:eastAsia="Calibri" w:hAnsi="Garamond" w:cs="Times New Roman"/>
          <w:i/>
          <w:iCs/>
          <w:lang w:val="en-US"/>
        </w:rPr>
        <w:t>Multivariate Data Analysis, Seventh Edition. Pearson Pretice Hall</w:t>
      </w:r>
    </w:p>
    <w:p w:rsidR="00F200DC" w:rsidRPr="00F200DC" w:rsidRDefault="00F200DC" w:rsidP="00F200DC">
      <w:pPr>
        <w:widowControl w:val="0"/>
        <w:autoSpaceDE w:val="0"/>
        <w:autoSpaceDN w:val="0"/>
        <w:adjustRightInd w:val="0"/>
        <w:spacing w:after="0" w:line="240" w:lineRule="auto"/>
        <w:ind w:left="709" w:hanging="709"/>
        <w:jc w:val="both"/>
        <w:rPr>
          <w:rFonts w:ascii="Garamond" w:eastAsia="Calibri" w:hAnsi="Garamond" w:cs="Times New Roman"/>
          <w:i/>
          <w:iCs/>
          <w:lang w:val="en-US"/>
        </w:rPr>
      </w:pP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Hendrawan S. 2012. </w:t>
      </w:r>
      <w:r w:rsidRPr="00F200DC">
        <w:rPr>
          <w:rFonts w:ascii="Garamond" w:eastAsia="Times New Roman" w:hAnsi="Garamond" w:cs="Times New Roman"/>
          <w:i/>
          <w:lang w:val="en-US"/>
        </w:rPr>
        <w:t>Pengembangan Human Capital</w:t>
      </w:r>
      <w:r w:rsidRPr="00F200DC">
        <w:rPr>
          <w:rFonts w:ascii="Garamond" w:eastAsia="Times New Roman" w:hAnsi="Garamond" w:cs="Times New Roman"/>
          <w:lang w:val="en-US"/>
        </w:rPr>
        <w:t xml:space="preserve">. Yogyakarta: Graha Ilmu. </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Hikmat, R Harry. 2010. </w:t>
      </w:r>
      <w:r w:rsidRPr="00F200DC">
        <w:rPr>
          <w:rFonts w:ascii="Garamond" w:eastAsia="Calibri" w:hAnsi="Garamond" w:cs="Times New Roman"/>
          <w:i/>
          <w:iCs/>
          <w:lang w:val="en-US"/>
        </w:rPr>
        <w:t xml:space="preserve">Strategi Pemberdayaan Masyarakat Edisi Revisi. </w:t>
      </w:r>
      <w:r w:rsidRPr="00F200DC">
        <w:rPr>
          <w:rFonts w:ascii="Garamond" w:eastAsia="Calibri" w:hAnsi="Garamond" w:cs="Times New Roman"/>
          <w:lang w:val="en-US"/>
        </w:rPr>
        <w:t>Bandung: Humaniora Utama Press.</w:t>
      </w:r>
    </w:p>
    <w:p w:rsidR="00A12D04" w:rsidRDefault="002D3D70" w:rsidP="00A12D04">
      <w:pPr>
        <w:widowControl w:val="0"/>
        <w:autoSpaceDE w:val="0"/>
        <w:autoSpaceDN w:val="0"/>
        <w:adjustRightInd w:val="0"/>
        <w:spacing w:after="0" w:line="240" w:lineRule="auto"/>
        <w:ind w:left="709" w:hanging="709"/>
        <w:jc w:val="both"/>
        <w:rPr>
          <w:rFonts w:ascii="Garamond" w:eastAsia="Calibri" w:hAnsi="Garamond" w:cs="Times New Roman"/>
          <w:iCs/>
          <w:lang w:val="en-US"/>
        </w:rPr>
      </w:pPr>
      <w:r w:rsidRPr="00F200DC">
        <w:rPr>
          <w:rFonts w:ascii="Garamond" w:eastAsia="Calibri" w:hAnsi="Garamond" w:cs="Times New Roman"/>
          <w:iCs/>
          <w:lang w:val="en-US"/>
        </w:rPr>
        <w:t xml:space="preserve">Kementerian Pemberdayaan Perempuan dan Perlindungan Anak. 2018. </w:t>
      </w:r>
      <w:r w:rsidRPr="00F200DC">
        <w:rPr>
          <w:rFonts w:ascii="Garamond" w:eastAsia="Calibri" w:hAnsi="Garamond" w:cs="Times New Roman"/>
          <w:i/>
          <w:iCs/>
          <w:lang w:val="en-US"/>
        </w:rPr>
        <w:t>Pembangunan Manusia Berbasis Gender 2018</w:t>
      </w:r>
      <w:r w:rsidRPr="00F200DC">
        <w:rPr>
          <w:rFonts w:ascii="Garamond" w:eastAsia="Calibri" w:hAnsi="Garamond" w:cs="Times New Roman"/>
          <w:iCs/>
          <w:lang w:val="en-US"/>
        </w:rPr>
        <w:t>. Kemeterian Pemberdayaan Perempuan dan Perli</w:t>
      </w:r>
      <w:r w:rsidR="00A12D04">
        <w:rPr>
          <w:rFonts w:ascii="Garamond" w:eastAsia="Calibri" w:hAnsi="Garamond" w:cs="Times New Roman"/>
          <w:iCs/>
          <w:lang w:val="en-US"/>
        </w:rPr>
        <w:t>ndungan Anak Republik Indonesia.</w:t>
      </w:r>
    </w:p>
    <w:p w:rsidR="00A12D04" w:rsidRPr="00056ACD" w:rsidRDefault="00A12D04" w:rsidP="00F200DC">
      <w:pPr>
        <w:widowControl w:val="0"/>
        <w:autoSpaceDE w:val="0"/>
        <w:autoSpaceDN w:val="0"/>
        <w:adjustRightInd w:val="0"/>
        <w:spacing w:after="0" w:line="240" w:lineRule="auto"/>
        <w:ind w:left="709" w:hanging="709"/>
        <w:jc w:val="both"/>
        <w:rPr>
          <w:rFonts w:ascii="Garamond" w:eastAsia="Calibri" w:hAnsi="Garamond" w:cs="Times New Roman"/>
          <w:iCs/>
          <w:lang w:val="en-US"/>
        </w:rPr>
      </w:pPr>
      <w:r w:rsidRPr="00056ACD">
        <w:rPr>
          <w:rFonts w:ascii="Garamond" w:hAnsi="Garamond"/>
        </w:rPr>
        <w:t xml:space="preserve">Klugman, J., Hanmer, L., Twigg, S., Hasan, T., McCleary-Sills, J., and Santamaria, J. 2014. Voice and Agency: Empowering Women and Girls For Shared Prosperity. </w:t>
      </w:r>
      <w:r w:rsidRPr="00056ACD">
        <w:rPr>
          <w:rFonts w:ascii="Garamond" w:hAnsi="Garamond"/>
          <w:i/>
        </w:rPr>
        <w:t>World Bank Publications</w:t>
      </w:r>
      <w:r w:rsidRPr="00056ACD">
        <w:rPr>
          <w:rFonts w:ascii="Garamond" w:hAnsi="Garamond"/>
        </w:rPr>
        <w:t>.</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Leadbeater, B. J. (1996). School Outcomes for Minority-Group Adolescent Mothers at 28 and 36 Months Post-Partum: A Longitudinal Follow-Up. </w:t>
      </w:r>
      <w:r w:rsidRPr="00F200DC">
        <w:rPr>
          <w:rFonts w:ascii="Garamond" w:eastAsia="Times New Roman" w:hAnsi="Garamond" w:cs="Times New Roman"/>
          <w:i/>
          <w:lang w:val="en-US"/>
        </w:rPr>
        <w:t>Journal of Research on Adolescence</w:t>
      </w:r>
      <w:r w:rsidRPr="00F200DC">
        <w:rPr>
          <w:rFonts w:ascii="Garamond" w:eastAsia="Times New Roman" w:hAnsi="Garamond" w:cs="Times New Roman"/>
          <w:lang w:val="en-US"/>
        </w:rPr>
        <w:t>, 6, 629 – 648.</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color w:val="000000"/>
          <w:spacing w:val="1"/>
          <w:lang w:val="en-US"/>
        </w:rPr>
      </w:pPr>
      <w:r w:rsidRPr="00F200DC">
        <w:rPr>
          <w:rFonts w:ascii="Garamond" w:eastAsia="Times New Roman" w:hAnsi="Garamond" w:cs="Times New Roman"/>
          <w:color w:val="000000"/>
          <w:spacing w:val="1"/>
          <w:lang w:val="en-US"/>
        </w:rPr>
        <w:t>Leibowitz, A. 1974. “Home Investments in Children”</w:t>
      </w:r>
      <w:r w:rsidRPr="00F200DC">
        <w:rPr>
          <w:rFonts w:ascii="Garamond" w:eastAsia="Times New Roman" w:hAnsi="Garamond" w:cs="Times New Roman"/>
          <w:lang w:val="en-US"/>
        </w:rPr>
        <w:t xml:space="preserve"> Marriage, Family, Human Capital, and Fertility</w:t>
      </w:r>
      <w:r w:rsidRPr="00F200DC">
        <w:rPr>
          <w:rFonts w:ascii="Garamond" w:eastAsia="Times New Roman" w:hAnsi="Garamond" w:cs="Times New Roman"/>
          <w:color w:val="000000"/>
          <w:spacing w:val="1"/>
          <w:lang w:val="en-US"/>
        </w:rPr>
        <w:t xml:space="preserve">. </w:t>
      </w:r>
      <w:r w:rsidRPr="00F200DC">
        <w:rPr>
          <w:rFonts w:ascii="Garamond" w:eastAsia="Times New Roman" w:hAnsi="Garamond" w:cs="Times New Roman"/>
          <w:i/>
          <w:color w:val="000000"/>
          <w:spacing w:val="1"/>
          <w:lang w:val="en-US"/>
        </w:rPr>
        <w:t>The Journal of Political Economy</w:t>
      </w:r>
      <w:r w:rsidRPr="00F200DC">
        <w:rPr>
          <w:rFonts w:ascii="Garamond" w:eastAsia="Times New Roman" w:hAnsi="Garamond" w:cs="Times New Roman"/>
          <w:color w:val="000000"/>
          <w:spacing w:val="1"/>
          <w:lang w:val="en-US"/>
        </w:rPr>
        <w:t>, Vol. 82(2), Pp. 111-135.</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Lim, S.S., L. Dandona, J.A. Hoisington, S.L. James, M.C. Hogan, and E. Gakidou. 2010. India’s Janani Suraksha Yojana, a Conditional Cash Transfer Programme to Increase Births in Health Facilities: An Impact Evaluation.</w:t>
      </w:r>
      <w:r w:rsidRPr="00F200DC">
        <w:rPr>
          <w:rFonts w:ascii="Garamond" w:eastAsia="Times New Roman" w:hAnsi="Garamond" w:cs="Times New Roman"/>
          <w:i/>
          <w:lang w:val="en-US"/>
        </w:rPr>
        <w:t>The Lancet 375 (9730): 2009–23</w:t>
      </w:r>
      <w:r w:rsidRPr="00F200DC">
        <w:rPr>
          <w:rFonts w:ascii="Garamond" w:eastAsia="Times New Roman" w:hAnsi="Garamond" w:cs="Times New Roman"/>
          <w:lang w:val="en-US"/>
        </w:rPr>
        <w:t>.</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Malapit, Hazel Jean L., Esha Sraboni, Agnes R. Quisumbing, and Akhter U. Ahmed. 2019. Intrahousehold Empowerment Gaps in Agriculture And Children’s Well- Being in Bangladesh. </w:t>
      </w:r>
      <w:r w:rsidRPr="00F200DC">
        <w:rPr>
          <w:rFonts w:ascii="Garamond" w:eastAsia="Times New Roman" w:hAnsi="Garamond" w:cs="Times New Roman"/>
          <w:i/>
          <w:lang w:val="en-US"/>
        </w:rPr>
        <w:t>Development Policy Rev.</w:t>
      </w:r>
      <w:r w:rsidRPr="00F200DC">
        <w:rPr>
          <w:rFonts w:ascii="Garamond" w:eastAsia="Times New Roman" w:hAnsi="Garamond" w:cs="Times New Roman"/>
          <w:lang w:val="en-US"/>
        </w:rPr>
        <w:t xml:space="preserve"> Volume 37, Issue 2, Pages:176–203, 2019.</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Maulana, R. &amp; Bowo, P. A. (2013). Pengaruh Pertumbuhan Ekonomi, Pendidikan dan Teknologi terhadap IPM Provinsi di Indonesia 2007-2011. </w:t>
      </w:r>
      <w:r w:rsidRPr="00F200DC">
        <w:rPr>
          <w:rFonts w:ascii="Garamond" w:eastAsia="Times New Roman" w:hAnsi="Garamond" w:cs="Times New Roman"/>
          <w:i/>
          <w:lang w:val="en-US"/>
        </w:rPr>
        <w:t>Journal of Economics and Policy</w:t>
      </w:r>
      <w:r w:rsidRPr="00F200DC">
        <w:rPr>
          <w:rFonts w:ascii="Garamond" w:eastAsia="Times New Roman" w:hAnsi="Garamond" w:cs="Times New Roman"/>
          <w:lang w:val="en-US"/>
        </w:rPr>
        <w:t xml:space="preserve">,  6 (2), 163-169. </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lastRenderedPageBreak/>
        <w:t xml:space="preserve">Melliana, A. &amp; Zain, I. (2013). Analisis Statistika Faktor yang Mempengaruhi Indeks Pembangunan Manusia di Kabupaten/Kota Provinsi Jawa Timur dengan Menggunakan Regresi Panel. </w:t>
      </w:r>
      <w:r w:rsidRPr="00F200DC">
        <w:rPr>
          <w:rFonts w:ascii="Garamond" w:eastAsia="Times New Roman" w:hAnsi="Garamond" w:cs="Times New Roman"/>
          <w:i/>
          <w:lang w:val="en-US"/>
        </w:rPr>
        <w:t>Jurnal Sains dan Seni Pomits</w:t>
      </w:r>
      <w:r w:rsidRPr="00F200DC">
        <w:rPr>
          <w:rFonts w:ascii="Garamond" w:eastAsia="Times New Roman" w:hAnsi="Garamond" w:cs="Times New Roman"/>
          <w:lang w:val="en-US"/>
        </w:rPr>
        <w:t>, 2 (2), D237–D242.</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Calibri" w:hAnsi="Garamond" w:cs="Times New Roman"/>
          <w:lang w:val="en-US"/>
        </w:rPr>
        <w:t>Nazara, Suahasil dan</w:t>
      </w:r>
      <w:r w:rsidRPr="00F200DC">
        <w:rPr>
          <w:rFonts w:ascii="Garamond" w:eastAsia="Times New Roman" w:hAnsi="Garamond" w:cs="Times New Roman"/>
          <w:lang w:val="en-US"/>
        </w:rPr>
        <w:t xml:space="preserve"> Sri Kusumastuti Rahayu. 2013. Program Keluarga Harapan (PKH): Indonesian Conditional Cash Transfer Programme. </w:t>
      </w:r>
      <w:r w:rsidRPr="00F200DC">
        <w:rPr>
          <w:rFonts w:ascii="Garamond" w:eastAsia="Times New Roman" w:hAnsi="Garamond" w:cs="Times New Roman"/>
          <w:i/>
          <w:lang w:val="en-US"/>
        </w:rPr>
        <w:t xml:space="preserve">Policy Research Brief, </w:t>
      </w:r>
      <w:r w:rsidRPr="00F200DC">
        <w:rPr>
          <w:rFonts w:ascii="Garamond" w:eastAsia="Times New Roman" w:hAnsi="Garamond" w:cs="Times New Roman"/>
          <w:lang w:val="en-US"/>
        </w:rPr>
        <w:t>No.42 October 2013.</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Neuenschwander, Markus P., Mina Vida, Jesicca L. Garrett, Jacquelynne S. Eccles, (2007). Parents’ Expectations and Students’ Achievement in Two Western Nations. </w:t>
      </w:r>
      <w:r w:rsidRPr="00F200DC">
        <w:rPr>
          <w:rFonts w:ascii="Garamond" w:eastAsia="Times New Roman" w:hAnsi="Garamond" w:cs="Times New Roman"/>
          <w:i/>
          <w:lang w:val="en-US"/>
        </w:rPr>
        <w:t>International Journal of Behavioral Development</w:t>
      </w:r>
      <w:r w:rsidRPr="00F200DC">
        <w:rPr>
          <w:rFonts w:ascii="Garamond" w:eastAsia="Times New Roman" w:hAnsi="Garamond" w:cs="Times New Roman"/>
          <w:lang w:val="en-US"/>
        </w:rPr>
        <w:t>, 31(6), 594-602.</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Nurhamida, Yuni. 2013. </w:t>
      </w:r>
      <w:r w:rsidRPr="00F200DC">
        <w:rPr>
          <w:rFonts w:ascii="Garamond" w:eastAsia="Times New Roman" w:hAnsi="Garamond" w:cs="Times New Roman"/>
          <w:i/>
          <w:lang w:val="en-US"/>
        </w:rPr>
        <w:t>Power in Marriage</w:t>
      </w:r>
      <w:r w:rsidRPr="00F200DC">
        <w:rPr>
          <w:rFonts w:ascii="Garamond" w:eastAsia="Times New Roman" w:hAnsi="Garamond" w:cs="Times New Roman"/>
          <w:lang w:val="en-US"/>
        </w:rPr>
        <w:t xml:space="preserve"> Pada Ibu Bekerja dan Rumah Tangga. </w:t>
      </w:r>
      <w:r w:rsidRPr="00F200DC">
        <w:rPr>
          <w:rFonts w:ascii="Garamond" w:eastAsia="Times New Roman" w:hAnsi="Garamond" w:cs="Times New Roman"/>
          <w:i/>
          <w:lang w:val="en-US"/>
        </w:rPr>
        <w:t>Jurnal Psikogenesis. Vol. 1, No. 2/ Juni 2013</w:t>
      </w:r>
      <w:r w:rsidRPr="00F200DC">
        <w:rPr>
          <w:rFonts w:ascii="Garamond" w:eastAsia="Times New Roman" w:hAnsi="Garamond" w:cs="Times New Roman"/>
          <w:lang w:val="en-US"/>
        </w:rPr>
        <w:t>.</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i/>
          <w:lang w:val="en-US"/>
        </w:rPr>
      </w:pPr>
      <w:r w:rsidRPr="00F200DC">
        <w:rPr>
          <w:rFonts w:ascii="Garamond" w:eastAsia="Times New Roman" w:hAnsi="Garamond" w:cs="Times New Roman"/>
          <w:lang w:val="en-US"/>
        </w:rPr>
        <w:t xml:space="preserve">Pangaribowo, E.H., Tsegai, D., and Sukamdi. 2018. Women’s Bargaining Power and Household Expenditure in Indonesia; The Role Of Gender-Differentiated Assets and Social Capital. </w:t>
      </w:r>
      <w:r w:rsidRPr="00F200DC">
        <w:rPr>
          <w:rFonts w:ascii="Garamond" w:eastAsia="Times New Roman" w:hAnsi="Garamond" w:cs="Times New Roman"/>
          <w:i/>
          <w:lang w:val="en-US"/>
        </w:rPr>
        <w:t xml:space="preserve">Geojournal. Doi: </w:t>
      </w:r>
      <w:r w:rsidRPr="00F200DC">
        <w:rPr>
          <w:rFonts w:ascii="Garamond" w:eastAsia="Times New Roman" w:hAnsi="Garamond" w:cs="Times New Roman"/>
          <w:i/>
          <w:color w:val="4F81BD"/>
          <w:u w:val="single"/>
          <w:lang w:val="en-US"/>
        </w:rPr>
        <w:t xml:space="preserve">10.1007/S10708-018-9901-4. </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Psacharopoulos, G. 1981. Returns to Education: An Updated International Comparison. Comparative Education.</w:t>
      </w:r>
      <w:r w:rsidRPr="00F200DC">
        <w:rPr>
          <w:rFonts w:ascii="Garamond" w:eastAsia="Times New Roman" w:hAnsi="Garamond" w:cs="Times New Roman"/>
          <w:i/>
          <w:lang w:val="en-US"/>
        </w:rPr>
        <w:t xml:space="preserve"> Journal of Education Finance. </w:t>
      </w:r>
      <w:r w:rsidRPr="00F200DC">
        <w:rPr>
          <w:rFonts w:ascii="Garamond" w:eastAsia="Times New Roman" w:hAnsi="Garamond" w:cs="Times New Roman"/>
          <w:lang w:val="en-US"/>
        </w:rPr>
        <w:t>Volume</w:t>
      </w:r>
      <w:r w:rsidRPr="00F200DC">
        <w:rPr>
          <w:rFonts w:ascii="Garamond" w:eastAsia="Times New Roman" w:hAnsi="Garamond" w:cs="Times New Roman"/>
          <w:i/>
          <w:lang w:val="en-US"/>
        </w:rPr>
        <w:t xml:space="preserve"> </w:t>
      </w:r>
      <w:r w:rsidRPr="00F200DC">
        <w:rPr>
          <w:rFonts w:ascii="Garamond" w:eastAsia="Times New Roman" w:hAnsi="Garamond" w:cs="Times New Roman"/>
          <w:lang w:val="en-US"/>
        </w:rPr>
        <w:t xml:space="preserve">17. No: 3. 321-341. </w:t>
      </w:r>
      <w:hyperlink r:id="rId15" w:history="1">
        <w:r w:rsidRPr="00F200DC">
          <w:rPr>
            <w:rFonts w:ascii="Garamond" w:eastAsia="Times New Roman" w:hAnsi="Garamond" w:cs="Times New Roman"/>
            <w:color w:val="0000FF"/>
            <w:u w:val="single"/>
            <w:lang w:val="en-US"/>
          </w:rPr>
          <w:t>http://www.jstor.org/stable/3098688</w:t>
        </w:r>
      </w:hyperlink>
      <w:r w:rsidRPr="00F200DC">
        <w:rPr>
          <w:rFonts w:ascii="Garamond" w:eastAsia="Times New Roman" w:hAnsi="Garamond" w:cs="Times New Roman"/>
          <w:lang w:val="en-US"/>
        </w:rPr>
        <w:t>.</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i/>
          <w:lang w:val="en-US"/>
        </w:rPr>
      </w:pPr>
      <w:r w:rsidRPr="00F200DC">
        <w:rPr>
          <w:rFonts w:ascii="Garamond" w:eastAsia="Times New Roman" w:hAnsi="Garamond" w:cs="Times New Roman"/>
          <w:lang w:val="en-US"/>
        </w:rPr>
        <w:t xml:space="preserve">Qian, N. (2008). Missing Women and the Price of Tea in China: The Effect of Sex-Specific Earnings on Sex Imbalance. </w:t>
      </w:r>
      <w:r w:rsidRPr="00F200DC">
        <w:rPr>
          <w:rFonts w:ascii="Garamond" w:eastAsia="Times New Roman" w:hAnsi="Garamond" w:cs="Times New Roman"/>
          <w:i/>
          <w:lang w:val="en-US"/>
        </w:rPr>
        <w:t>The Quarterly Journal of Economics, 123(3), 1251–85.</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Quisumbing, A. R. and Maluccio, J. A. 2003. Resources at Marriage and Intrahousehold Allocation: Evidence from Bangladesh, Ethiopia, Indonesia, and South Africa. </w:t>
      </w:r>
      <w:r w:rsidRPr="00F200DC">
        <w:rPr>
          <w:rFonts w:ascii="Garamond" w:eastAsia="Times New Roman" w:hAnsi="Garamond" w:cs="Times New Roman"/>
          <w:i/>
          <w:lang w:val="en-US"/>
        </w:rPr>
        <w:t>Oxford Bulletin of Economics and Statistics, 65(3).</w:t>
      </w:r>
    </w:p>
    <w:p w:rsidR="00F200DC" w:rsidRPr="00F200DC" w:rsidRDefault="00F200DC"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Redja Mudyahardjo. 2001. </w:t>
      </w:r>
      <w:r w:rsidRPr="00F200DC">
        <w:rPr>
          <w:rFonts w:ascii="Garamond" w:eastAsia="Calibri" w:hAnsi="Garamond" w:cs="Times New Roman"/>
          <w:i/>
          <w:iCs/>
          <w:lang w:val="en-US"/>
        </w:rPr>
        <w:t xml:space="preserve">Pengantar Pendidikan. </w:t>
      </w:r>
      <w:r w:rsidRPr="00F200DC">
        <w:rPr>
          <w:rFonts w:ascii="Garamond" w:eastAsia="Calibri" w:hAnsi="Garamond" w:cs="Times New Roman"/>
          <w:lang w:val="en-US"/>
        </w:rPr>
        <w:t>Jakarta : Kharisma Putra Utama Offset.</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Rustiadi, E., Saefulhakim, S., dan Panuju, D. R. 2011. </w:t>
      </w:r>
      <w:r w:rsidRPr="00F200DC">
        <w:rPr>
          <w:rFonts w:ascii="Garamond" w:eastAsia="Times New Roman" w:hAnsi="Garamond" w:cs="Times New Roman"/>
          <w:i/>
          <w:lang w:val="en-US"/>
        </w:rPr>
        <w:t>Perencanaan dan Pengembangan Wilayah</w:t>
      </w:r>
      <w:r w:rsidRPr="00F200DC">
        <w:rPr>
          <w:rFonts w:ascii="Garamond" w:eastAsia="Times New Roman" w:hAnsi="Garamond" w:cs="Times New Roman"/>
          <w:lang w:val="en-US"/>
        </w:rPr>
        <w:t>. Bogor: Crestpent Press &amp; Yayasan Pustaka Obor Indonesia.</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i/>
          <w:lang w:val="en-US"/>
        </w:rPr>
      </w:pPr>
      <w:r w:rsidRPr="00F200DC">
        <w:rPr>
          <w:rFonts w:ascii="Garamond" w:eastAsia="Calibri" w:hAnsi="Garamond" w:cs="Times New Roman"/>
          <w:lang w:val="en-US"/>
        </w:rPr>
        <w:t xml:space="preserve">Salaa, Jeiske. 2015. Peran Ganda Ibu Rumah Tangga Dalam Meningkatkan Ekonomi Rumah tangga Di Desa Tarohan Kecamatan Beo Kabupaten Kepulauan Talaud. </w:t>
      </w:r>
      <w:r w:rsidRPr="00F200DC">
        <w:rPr>
          <w:rFonts w:ascii="Garamond" w:eastAsia="Calibri" w:hAnsi="Garamond" w:cs="Times New Roman"/>
          <w:i/>
          <w:lang w:val="en-US"/>
        </w:rPr>
        <w:t>Jurnal Holistik VIII No. 5</w:t>
      </w:r>
    </w:p>
    <w:p w:rsidR="00F200DC" w:rsidRPr="00F200DC" w:rsidRDefault="002D3D70" w:rsidP="00F200DC">
      <w:pPr>
        <w:widowControl w:val="0"/>
        <w:autoSpaceDE w:val="0"/>
        <w:autoSpaceDN w:val="0"/>
        <w:spacing w:after="0" w:line="276"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Samarakoon, Shanika and Rasyad A. Parinduri. 2015. Does Education Empower Women? Evidence from Indonesia. </w:t>
      </w:r>
      <w:r w:rsidRPr="00F200DC">
        <w:rPr>
          <w:rFonts w:ascii="Garamond" w:eastAsia="Times New Roman" w:hAnsi="Garamond" w:cs="Times New Roman"/>
          <w:i/>
          <w:lang w:val="en-US"/>
        </w:rPr>
        <w:t>World Development</w:t>
      </w:r>
      <w:r w:rsidRPr="00F200DC">
        <w:rPr>
          <w:rFonts w:ascii="Garamond" w:eastAsia="Times New Roman" w:hAnsi="Garamond" w:cs="Times New Roman"/>
          <w:lang w:val="en-US"/>
        </w:rPr>
        <w:t>, Vol. 66, pp. 428–442, 2015.</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i/>
          <w:lang w:val="en-US"/>
        </w:rPr>
      </w:pPr>
      <w:r w:rsidRPr="00F200DC">
        <w:rPr>
          <w:rFonts w:ascii="Garamond" w:eastAsia="Times New Roman" w:hAnsi="Garamond" w:cs="Times New Roman"/>
          <w:lang w:val="en-US"/>
        </w:rPr>
        <w:t xml:space="preserve">Samuelson, P. 1956. “Social Indiffence Curves”. </w:t>
      </w:r>
      <w:r w:rsidRPr="00F200DC">
        <w:rPr>
          <w:rFonts w:ascii="Garamond" w:eastAsia="Times New Roman" w:hAnsi="Garamond" w:cs="Times New Roman"/>
          <w:i/>
          <w:lang w:val="en-US"/>
        </w:rPr>
        <w:t>The Quarterly Journal of Economics</w:t>
      </w:r>
      <w:r w:rsidRPr="00F200DC">
        <w:rPr>
          <w:rFonts w:ascii="Garamond" w:eastAsia="Times New Roman" w:hAnsi="Garamond" w:cs="Times New Roman"/>
          <w:lang w:val="en-US"/>
        </w:rPr>
        <w:t>, 70(1), 1-22.</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Sanderson, Stephen K. 2003. Makro Sosiologi Sebuah Pendekatan Terhadap Realitas Sosial, Ed. 2 Cet. 4. </w:t>
      </w:r>
      <w:r w:rsidRPr="00F200DC">
        <w:rPr>
          <w:rFonts w:ascii="Garamond" w:eastAsia="Calibri" w:hAnsi="Garamond" w:cs="Times New Roman"/>
          <w:i/>
          <w:lang w:val="en-US"/>
        </w:rPr>
        <w:t>Rajawali Pers</w:t>
      </w:r>
      <w:r w:rsidRPr="00F200DC">
        <w:rPr>
          <w:rFonts w:ascii="Garamond" w:eastAsia="Calibri" w:hAnsi="Garamond" w:cs="Times New Roman"/>
          <w:lang w:val="en-US"/>
        </w:rPr>
        <w:t>. Jakarta.</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Sofiani, Triana. 2009. Membuka Ruang Partisipasi Perempuan Dalam Pembangunan. </w:t>
      </w:r>
      <w:r w:rsidRPr="00F200DC">
        <w:rPr>
          <w:rFonts w:ascii="Garamond" w:eastAsia="Calibri" w:hAnsi="Garamond" w:cs="Times New Roman"/>
          <w:i/>
          <w:lang w:val="en-US"/>
        </w:rPr>
        <w:t xml:space="preserve">MUWAZAH: Jurnal Kajian Gender </w:t>
      </w:r>
      <w:r w:rsidRPr="00F200DC">
        <w:rPr>
          <w:rFonts w:ascii="Garamond" w:eastAsia="Calibri" w:hAnsi="Garamond" w:cs="Times New Roman"/>
          <w:lang w:val="en-US"/>
        </w:rPr>
        <w:t xml:space="preserve">Vol. 1(1) Januari-Juni 2009. </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Calibri" w:hAnsi="Garamond" w:cs="Times New Roman"/>
          <w:lang w:val="en-US"/>
        </w:rPr>
        <w:t xml:space="preserve">Setyari, Ni Putu Wiwin. 2013. </w:t>
      </w:r>
      <w:r w:rsidRPr="00F200DC">
        <w:rPr>
          <w:rFonts w:ascii="Garamond" w:eastAsia="Times New Roman" w:hAnsi="Garamond" w:cs="Times New Roman"/>
          <w:lang w:val="en-US"/>
        </w:rPr>
        <w:t xml:space="preserve">Distribusi Alokasi Sumber Daya Dalam Rumah Tangga di Indonesia: Anak Sekolah atau Bekerja?. </w:t>
      </w:r>
      <w:r w:rsidRPr="00F200DC">
        <w:rPr>
          <w:rFonts w:ascii="Garamond" w:eastAsia="Times New Roman" w:hAnsi="Garamond" w:cs="Times New Roman"/>
          <w:i/>
          <w:lang w:val="en-US"/>
        </w:rPr>
        <w:t>PIRAMIDA</w:t>
      </w:r>
      <w:r w:rsidRPr="00F200DC">
        <w:rPr>
          <w:rFonts w:ascii="Garamond" w:eastAsia="Times New Roman" w:hAnsi="Garamond" w:cs="Times New Roman"/>
          <w:lang w:val="en-US"/>
        </w:rPr>
        <w:t>, Volume IX No. 2 Desember 2013.</w:t>
      </w:r>
    </w:p>
    <w:p w:rsidR="00F200DC" w:rsidRPr="00F200DC" w:rsidRDefault="002D3D70" w:rsidP="00F200DC">
      <w:pPr>
        <w:widowControl w:val="0"/>
        <w:autoSpaceDE w:val="0"/>
        <w:autoSpaceDN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Setyari, Ni Putu Wiwin.</w:t>
      </w:r>
      <w:r w:rsidRPr="00F200DC">
        <w:rPr>
          <w:rFonts w:ascii="Garamond" w:eastAsia="Times New Roman" w:hAnsi="Garamond" w:cs="Times New Roman"/>
          <w:lang w:val="en-US"/>
        </w:rPr>
        <w:t xml:space="preserve"> Widanta, A.A Bagus Putu dan Ida Bagus Putu Purbadharmaja. 2018. Women’s Control Over Economic Resources Effect to Family Welfare. </w:t>
      </w:r>
      <w:r w:rsidRPr="00F200DC">
        <w:rPr>
          <w:rFonts w:ascii="Garamond" w:eastAsia="Times New Roman" w:hAnsi="Garamond" w:cs="Times New Roman"/>
          <w:i/>
          <w:lang w:val="en-US"/>
        </w:rPr>
        <w:t>Jejak</w:t>
      </w:r>
      <w:r w:rsidRPr="00F200DC">
        <w:rPr>
          <w:rFonts w:ascii="Garamond" w:eastAsia="Times New Roman" w:hAnsi="Garamond" w:cs="Times New Roman"/>
          <w:lang w:val="en-US"/>
        </w:rPr>
        <w:t xml:space="preserve"> Vol. 11 (2) (2018): 280-293, DOI: </w:t>
      </w:r>
      <w:r w:rsidRPr="00F200DC">
        <w:rPr>
          <w:rFonts w:ascii="Garamond" w:eastAsia="Times New Roman" w:hAnsi="Garamond" w:cs="Times New Roman"/>
          <w:i/>
          <w:color w:val="4F81BD"/>
          <w:u w:val="single"/>
          <w:lang w:val="en-US"/>
        </w:rPr>
        <w:t>https://doi.org/10.15294/jejak.v11i2.16051</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Soetomo, 2014, </w:t>
      </w:r>
      <w:r w:rsidRPr="00F200DC">
        <w:rPr>
          <w:rFonts w:ascii="Garamond" w:eastAsia="Calibri" w:hAnsi="Garamond" w:cs="Times New Roman"/>
          <w:i/>
          <w:iCs/>
          <w:lang w:val="en-US"/>
        </w:rPr>
        <w:t>Kesejahteraan dan Upaya Mewujudkannya dalam Perspektif Masyarakat Lokal</w:t>
      </w:r>
      <w:r w:rsidRPr="00F200DC">
        <w:rPr>
          <w:rFonts w:ascii="Garamond" w:eastAsia="Calibri" w:hAnsi="Garamond" w:cs="Times New Roman"/>
          <w:lang w:val="en-US"/>
        </w:rPr>
        <w:t>, Penerbit Pustaka Pelajar, Yogyakarta.</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Sholikah, Himayatus. 2014. Peran Perempuan Sebagai Pengambil Keputusan Dalam Keluarga Miskin. Universitas Sebelas Maret, Surakarta.</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Swerberg, Richard, Mark Granovetter. 1992. </w:t>
      </w:r>
      <w:r w:rsidRPr="00F200DC">
        <w:rPr>
          <w:rFonts w:ascii="Garamond" w:eastAsia="Calibri" w:hAnsi="Garamond" w:cs="Times New Roman"/>
          <w:i/>
          <w:lang w:val="en-US"/>
        </w:rPr>
        <w:t>The Sociologi of Economic</w:t>
      </w:r>
      <w:r w:rsidRPr="00F200DC">
        <w:rPr>
          <w:rFonts w:ascii="Garamond" w:eastAsia="Calibri" w:hAnsi="Garamond" w:cs="Times New Roman"/>
          <w:lang w:val="en-US"/>
        </w:rPr>
        <w:t xml:space="preserve">. Westview Press, inc. </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Sugit Agus Tricahyono. (2008). </w:t>
      </w:r>
      <w:r w:rsidRPr="00F200DC">
        <w:rPr>
          <w:rFonts w:ascii="Garamond" w:eastAsia="Calibri" w:hAnsi="Garamond" w:cs="Times New Roman"/>
          <w:i/>
          <w:iCs/>
          <w:lang w:val="en-US"/>
        </w:rPr>
        <w:t>Pemberdayaan Komunitas Terpencil Di Provinsi NTT</w:t>
      </w:r>
      <w:r w:rsidRPr="00F200DC">
        <w:rPr>
          <w:rFonts w:ascii="Garamond" w:eastAsia="Calibri" w:hAnsi="Garamond" w:cs="Times New Roman"/>
          <w:lang w:val="en-US"/>
        </w:rPr>
        <w:t>, Yogyakarta: B2P3KS.</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Todaro P Michael, Smith C Stphen, </w:t>
      </w:r>
      <w:r w:rsidRPr="00F200DC">
        <w:rPr>
          <w:rFonts w:ascii="Garamond" w:eastAsia="Calibri" w:hAnsi="Garamond" w:cs="Times New Roman"/>
          <w:i/>
          <w:iCs/>
          <w:lang w:val="en-US"/>
        </w:rPr>
        <w:t xml:space="preserve">Pembangunan Ekonomi Di Dunia Ketiga, </w:t>
      </w:r>
      <w:r w:rsidRPr="00F200DC">
        <w:rPr>
          <w:rFonts w:ascii="Garamond" w:eastAsia="Calibri" w:hAnsi="Garamond" w:cs="Times New Roman"/>
          <w:lang w:val="en-US"/>
        </w:rPr>
        <w:t xml:space="preserve">Edisi Indonesia, </w:t>
      </w:r>
      <w:r w:rsidRPr="00F200DC">
        <w:rPr>
          <w:rFonts w:ascii="Garamond" w:eastAsia="Calibri" w:hAnsi="Garamond" w:cs="Times New Roman"/>
          <w:lang w:val="en-US"/>
        </w:rPr>
        <w:lastRenderedPageBreak/>
        <w:t>Penerbit Erlangga, Jakarta, 2003.</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------------2006</w:t>
      </w:r>
      <w:r w:rsidRPr="00F200DC">
        <w:rPr>
          <w:rFonts w:ascii="Garamond" w:eastAsia="Calibri" w:hAnsi="Garamond" w:cs="Times New Roman"/>
          <w:i/>
          <w:iCs/>
          <w:lang w:val="en-US"/>
        </w:rPr>
        <w:t>. Pembangunan Ekonomi</w:t>
      </w:r>
      <w:r w:rsidRPr="00F200DC">
        <w:rPr>
          <w:rFonts w:ascii="Garamond" w:eastAsia="Calibri" w:hAnsi="Garamond" w:cs="Times New Roman"/>
          <w:lang w:val="en-US"/>
        </w:rPr>
        <w:t>, Jakarta: Erlangga.</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------------2011</w:t>
      </w:r>
      <w:r w:rsidRPr="00F200DC">
        <w:rPr>
          <w:rFonts w:ascii="Garamond" w:eastAsia="Calibri" w:hAnsi="Garamond" w:cs="Times New Roman"/>
          <w:i/>
          <w:iCs/>
          <w:lang w:val="en-US"/>
        </w:rPr>
        <w:t>. Pembangunan Ekonomi</w:t>
      </w:r>
      <w:r w:rsidRPr="00F200DC">
        <w:rPr>
          <w:rFonts w:ascii="Garamond" w:eastAsia="Calibri" w:hAnsi="Garamond" w:cs="Times New Roman"/>
          <w:lang w:val="en-US"/>
        </w:rPr>
        <w:t>, Jakarta: Erlangga.</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 xml:space="preserve">Thomas, Duncan Contreras, Dante; Frankenberg, Elizabeth. 2017. Distribution of Power Within the Household and Child Health. </w:t>
      </w:r>
      <w:r w:rsidRPr="00F200DC">
        <w:rPr>
          <w:rFonts w:ascii="Garamond" w:eastAsia="Calibri" w:hAnsi="Garamond" w:cs="Times New Roman"/>
          <w:i/>
          <w:lang w:val="en-US"/>
        </w:rPr>
        <w:t xml:space="preserve">MPRA Paper No.80075, </w:t>
      </w:r>
      <w:r w:rsidRPr="00F200DC">
        <w:rPr>
          <w:rFonts w:ascii="Garamond" w:eastAsia="Calibri" w:hAnsi="Garamond" w:cs="Times New Roman"/>
          <w:lang w:val="en-US"/>
        </w:rPr>
        <w:t>Posted 13 Juli 2017</w:t>
      </w:r>
    </w:p>
    <w:p w:rsidR="00F200DC" w:rsidRPr="00F200DC" w:rsidRDefault="002D3D70" w:rsidP="00F200DC">
      <w:pPr>
        <w:widowControl w:val="0"/>
        <w:autoSpaceDE w:val="0"/>
        <w:autoSpaceDN w:val="0"/>
        <w:adjustRightInd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Umar, H. 2005. Riset SDM Dalam Organisasi. Jakarta : Bumi Aksara.</w:t>
      </w:r>
    </w:p>
    <w:p w:rsidR="00F200DC" w:rsidRPr="00F200DC" w:rsidRDefault="002D3D70" w:rsidP="00F200DC">
      <w:pPr>
        <w:widowControl w:val="0"/>
        <w:autoSpaceDE w:val="0"/>
        <w:autoSpaceDN w:val="0"/>
        <w:spacing w:after="0" w:line="240" w:lineRule="auto"/>
        <w:ind w:left="709" w:hanging="709"/>
        <w:jc w:val="both"/>
        <w:rPr>
          <w:rFonts w:ascii="Garamond" w:eastAsia="Calibri" w:hAnsi="Garamond" w:cs="Times New Roman"/>
          <w:lang w:val="en-US"/>
        </w:rPr>
      </w:pPr>
      <w:r w:rsidRPr="00F200DC">
        <w:rPr>
          <w:rFonts w:ascii="Garamond" w:eastAsia="Calibri" w:hAnsi="Garamond" w:cs="Times New Roman"/>
          <w:lang w:val="en-US"/>
        </w:rPr>
        <w:t>Undang-Undang No. 1 Tahun 1974. Tentang Perkawinan Pasal 1.</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b/>
          <w:lang w:val="en-US"/>
        </w:rPr>
      </w:pPr>
      <w:r w:rsidRPr="00F200DC">
        <w:rPr>
          <w:rFonts w:ascii="Garamond" w:eastAsia="Times New Roman" w:hAnsi="Garamond" w:cs="Times New Roman"/>
          <w:lang w:val="en-US"/>
        </w:rPr>
        <w:t>UNESCO. 2010. Out-of-School Adolescents. Montreal: UNESCO Institute for Statistics.</w:t>
      </w:r>
    </w:p>
    <w:p w:rsidR="00F200DC" w:rsidRPr="00F200DC" w:rsidRDefault="002D3D70" w:rsidP="00F200DC">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Utama, Suyana. 2012. Aplikasi Analisis Kuantitatif. Denpasar: Sastra Utama</w:t>
      </w:r>
    </w:p>
    <w:p w:rsidR="00F200DC" w:rsidRDefault="002D3D70" w:rsidP="00F200DC">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Way, N., &amp; Leadbeater, B. J. (1999). Pathways Toward Educational Achievement Among African American and Puerto Rican Adolescent Mothers: Reexamining The Role of Social Support From Families. </w:t>
      </w:r>
      <w:r w:rsidRPr="00F200DC">
        <w:rPr>
          <w:rFonts w:ascii="Garamond" w:eastAsia="Times New Roman" w:hAnsi="Garamond" w:cs="Times New Roman"/>
          <w:i/>
          <w:lang w:val="en-US"/>
        </w:rPr>
        <w:t>Development and Psychopathology</w:t>
      </w:r>
      <w:r w:rsidRPr="00F200DC">
        <w:rPr>
          <w:rFonts w:ascii="Garamond" w:eastAsia="Times New Roman" w:hAnsi="Garamond" w:cs="Times New Roman"/>
          <w:lang w:val="en-US"/>
        </w:rPr>
        <w:t>, 349 –364.</w:t>
      </w:r>
    </w:p>
    <w:p w:rsidR="00A12D04" w:rsidRPr="00A12D04" w:rsidRDefault="00A12D04" w:rsidP="00A12D04">
      <w:pPr>
        <w:widowControl w:val="0"/>
        <w:autoSpaceDE w:val="0"/>
        <w:autoSpaceDN w:val="0"/>
        <w:spacing w:after="0" w:line="240" w:lineRule="auto"/>
        <w:ind w:left="709" w:hanging="709"/>
        <w:jc w:val="both"/>
        <w:rPr>
          <w:rFonts w:ascii="Garamond" w:eastAsia="Times New Roman" w:hAnsi="Garamond" w:cs="Times New Roman"/>
          <w:lang w:val="en-US"/>
        </w:rPr>
      </w:pPr>
      <w:r w:rsidRPr="00056ACD">
        <w:rPr>
          <w:rFonts w:ascii="Garamond" w:hAnsi="Garamond"/>
        </w:rPr>
        <w:t xml:space="preserve">Wong, Y. N. </w:t>
      </w:r>
      <w:r w:rsidRPr="00056ACD">
        <w:rPr>
          <w:rFonts w:ascii="Garamond" w:hAnsi="Garamond"/>
          <w:lang w:val="en-US"/>
        </w:rPr>
        <w:t>2012</w:t>
      </w:r>
      <w:r w:rsidRPr="00056ACD">
        <w:rPr>
          <w:rFonts w:ascii="Garamond" w:hAnsi="Garamond"/>
        </w:rPr>
        <w:t xml:space="preserve">. World Development Report 2012: Gender Equality And Development. </w:t>
      </w:r>
      <w:r w:rsidRPr="00056ACD">
        <w:rPr>
          <w:rFonts w:ascii="Garamond" w:hAnsi="Garamond"/>
          <w:i/>
        </w:rPr>
        <w:t>Forum for Development Studies,</w:t>
      </w:r>
      <w:r w:rsidRPr="00056ACD">
        <w:rPr>
          <w:rFonts w:ascii="Garamond" w:hAnsi="Garamond"/>
        </w:rPr>
        <w:t xml:space="preserve"> 39(3), 435-444.</w:t>
      </w:r>
    </w:p>
    <w:p w:rsidR="00A12D04" w:rsidRDefault="002D3D70" w:rsidP="00A12D04">
      <w:pPr>
        <w:widowControl w:val="0"/>
        <w:autoSpaceDE w:val="0"/>
        <w:autoSpaceDN w:val="0"/>
        <w:spacing w:after="0" w:line="240" w:lineRule="auto"/>
        <w:ind w:left="709" w:hanging="709"/>
        <w:jc w:val="both"/>
        <w:rPr>
          <w:rFonts w:ascii="Garamond" w:eastAsia="Times New Roman" w:hAnsi="Garamond" w:cs="Times New Roman"/>
          <w:lang w:val="en-US"/>
        </w:rPr>
      </w:pPr>
      <w:r w:rsidRPr="00F200DC">
        <w:rPr>
          <w:rFonts w:ascii="Garamond" w:eastAsia="Times New Roman" w:hAnsi="Garamond" w:cs="Times New Roman"/>
          <w:lang w:val="en-US"/>
        </w:rPr>
        <w:t xml:space="preserve">Wooldridge, Jeffrey M. 2016. </w:t>
      </w:r>
      <w:r w:rsidRPr="00F200DC">
        <w:rPr>
          <w:rFonts w:ascii="Garamond" w:eastAsia="Times New Roman" w:hAnsi="Garamond" w:cs="Times New Roman"/>
          <w:i/>
          <w:lang w:val="en-US"/>
        </w:rPr>
        <w:t>Introductory Econometrics: A Modern Approach, Sixth Ed</w:t>
      </w:r>
      <w:r w:rsidRPr="00F200DC">
        <w:rPr>
          <w:rFonts w:ascii="Garamond" w:eastAsia="Times New Roman" w:hAnsi="Garamond" w:cs="Times New Roman"/>
          <w:lang w:val="en-US"/>
        </w:rPr>
        <w:t>. Boston:Cengage Learning.</w:t>
      </w:r>
    </w:p>
    <w:p w:rsidR="00A12D04" w:rsidRPr="00F200DC" w:rsidRDefault="00A12D04" w:rsidP="00F200DC">
      <w:pPr>
        <w:widowControl w:val="0"/>
        <w:autoSpaceDE w:val="0"/>
        <w:autoSpaceDN w:val="0"/>
        <w:spacing w:after="0" w:line="240" w:lineRule="auto"/>
        <w:ind w:left="709" w:hanging="709"/>
        <w:jc w:val="both"/>
        <w:rPr>
          <w:rFonts w:ascii="Garamond" w:eastAsia="Times New Roman" w:hAnsi="Garamond" w:cs="Times New Roman"/>
          <w:lang w:val="en-US"/>
        </w:rPr>
      </w:pPr>
    </w:p>
    <w:p w:rsidR="00931778" w:rsidRPr="00F200DC" w:rsidRDefault="00931778" w:rsidP="00F200DC">
      <w:pPr>
        <w:pStyle w:val="DaftarParagraf"/>
        <w:spacing w:after="0" w:line="240" w:lineRule="auto"/>
        <w:ind w:left="0"/>
        <w:contextualSpacing w:val="0"/>
        <w:jc w:val="both"/>
        <w:rPr>
          <w:rFonts w:ascii="Garamond" w:hAnsi="Garamond" w:cs="Calibri"/>
          <w:lang w:val="en-US"/>
        </w:rPr>
      </w:pPr>
    </w:p>
    <w:sectPr w:rsidR="00931778" w:rsidRPr="00F200DC" w:rsidSect="00E828BD">
      <w:headerReference w:type="even" r:id="rId16"/>
      <w:headerReference w:type="default" r:id="rId17"/>
      <w:footerReference w:type="even" r:id="rId18"/>
      <w:footerReference w:type="default" r:id="rId19"/>
      <w:headerReference w:type="first" r:id="rId20"/>
      <w:pgSz w:w="11906" w:h="16838" w:code="9"/>
      <w:pgMar w:top="1418" w:right="1985" w:bottom="1843" w:left="1985" w:header="1418"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2F98" w:rsidRDefault="00B22F98">
      <w:pPr>
        <w:spacing w:after="0" w:line="240" w:lineRule="auto"/>
      </w:pPr>
      <w:r>
        <w:separator/>
      </w:r>
    </w:p>
  </w:endnote>
  <w:endnote w:type="continuationSeparator" w:id="0">
    <w:p w:rsidR="00B22F98" w:rsidRDefault="00B2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1AA1" w:rsidRPr="00536F14" w:rsidRDefault="00A31AA1" w:rsidP="00536F14">
    <w:pPr>
      <w:pStyle w:val="Header"/>
      <w:jc w:val="center"/>
      <w:rPr>
        <w:rFonts w:ascii="Calibri Light" w:hAnsi="Calibri Light"/>
        <w:color w:val="000000"/>
        <w:sz w:val="20"/>
        <w:szCs w:val="18"/>
      </w:rPr>
    </w:pPr>
    <w:r>
      <w:rPr>
        <w:rFonts w:ascii="Calibri Light" w:hAnsi="Calibri Light"/>
        <w:b/>
        <w:bCs/>
        <w:color w:val="000000"/>
        <w:sz w:val="20"/>
        <w:szCs w:val="18"/>
      </w:rPr>
      <w:t xml:space="preserve">Jurnal </w:t>
    </w:r>
    <w:r>
      <w:rPr>
        <w:rFonts w:ascii="Calibri Light" w:hAnsi="Calibri Light"/>
        <w:b/>
        <w:bCs/>
        <w:color w:val="000000"/>
        <w:sz w:val="20"/>
        <w:szCs w:val="18"/>
        <w:lang w:val="en-US"/>
      </w:rPr>
      <w:t>Ekonomi &amp; Studi Pembangunan</w:t>
    </w:r>
    <w:r w:rsidRPr="002D7766">
      <w:rPr>
        <w:rFonts w:ascii="Calibri Light" w:hAnsi="Calibri Light"/>
        <w:color w:val="000000"/>
        <w:sz w:val="20"/>
        <w:szCs w:val="18"/>
      </w:rPr>
      <w:t>, 20</w:t>
    </w:r>
    <w:r>
      <w:rPr>
        <w:rFonts w:ascii="Calibri Light" w:hAnsi="Calibri Light"/>
        <w:color w:val="000000"/>
        <w:sz w:val="20"/>
        <w:szCs w:val="18"/>
        <w:lang w:val="en-US"/>
      </w:rPr>
      <w:t>XX</w:t>
    </w:r>
    <w:r w:rsidRPr="002D7766">
      <w:rPr>
        <w:rFonts w:ascii="Calibri Light" w:hAnsi="Calibri Light"/>
        <w:color w:val="000000"/>
        <w:sz w:val="20"/>
        <w:szCs w:val="18"/>
      </w:rPr>
      <w:t xml:space="preserve"> | </w:t>
    </w:r>
    <w:r w:rsidRPr="002D7766">
      <w:rPr>
        <w:rFonts w:ascii="Calibri Light" w:hAnsi="Calibri Light"/>
        <w:color w:val="000000"/>
        <w:sz w:val="20"/>
        <w:szCs w:val="18"/>
      </w:rPr>
      <w:fldChar w:fldCharType="begin"/>
    </w:r>
    <w:r w:rsidRPr="002D7766">
      <w:rPr>
        <w:rFonts w:ascii="Calibri Light" w:hAnsi="Calibri Light"/>
        <w:color w:val="000000"/>
        <w:sz w:val="20"/>
        <w:szCs w:val="18"/>
      </w:rPr>
      <w:instrText xml:space="preserve"> PAGE   \* MERGEFORMAT </w:instrText>
    </w:r>
    <w:r w:rsidRPr="002D7766">
      <w:rPr>
        <w:rFonts w:ascii="Calibri Light" w:hAnsi="Calibri Light"/>
        <w:color w:val="000000"/>
        <w:sz w:val="20"/>
        <w:szCs w:val="18"/>
      </w:rPr>
      <w:fldChar w:fldCharType="separate"/>
    </w:r>
    <w:r w:rsidR="009F50E6">
      <w:rPr>
        <w:rFonts w:ascii="Calibri Light" w:hAnsi="Calibri Light"/>
        <w:noProof/>
        <w:color w:val="000000"/>
        <w:sz w:val="20"/>
        <w:szCs w:val="18"/>
      </w:rPr>
      <w:t>2</w:t>
    </w:r>
    <w:r w:rsidRPr="002D7766">
      <w:rPr>
        <w:rFonts w:ascii="Calibri Light" w:hAnsi="Calibri Light"/>
        <w:noProof/>
        <w:color w:val="000000"/>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1AA1" w:rsidRPr="002E009A" w:rsidRDefault="00A31AA1" w:rsidP="002E009A">
    <w:pPr>
      <w:pStyle w:val="Header"/>
      <w:jc w:val="center"/>
      <w:rPr>
        <w:rFonts w:ascii="Calibri Light" w:hAnsi="Calibri Light"/>
        <w:color w:val="000000"/>
        <w:sz w:val="20"/>
        <w:szCs w:val="18"/>
      </w:rPr>
    </w:pPr>
    <w:r>
      <w:rPr>
        <w:rFonts w:ascii="Calibri Light" w:hAnsi="Calibri Light"/>
        <w:b/>
        <w:bCs/>
        <w:color w:val="000000"/>
        <w:sz w:val="20"/>
        <w:szCs w:val="18"/>
      </w:rPr>
      <w:t xml:space="preserve">Jurnal </w:t>
    </w:r>
    <w:r>
      <w:rPr>
        <w:rFonts w:ascii="Calibri Light" w:hAnsi="Calibri Light"/>
        <w:b/>
        <w:bCs/>
        <w:color w:val="000000"/>
        <w:sz w:val="20"/>
        <w:szCs w:val="18"/>
        <w:lang w:val="en-US"/>
      </w:rPr>
      <w:t>Ekonomi &amp; Studi Pembangunan</w:t>
    </w:r>
    <w:r w:rsidRPr="002D7766">
      <w:rPr>
        <w:rFonts w:ascii="Calibri Light" w:hAnsi="Calibri Light"/>
        <w:color w:val="000000"/>
        <w:sz w:val="20"/>
        <w:szCs w:val="18"/>
      </w:rPr>
      <w:t>, 20</w:t>
    </w:r>
    <w:r>
      <w:rPr>
        <w:rFonts w:ascii="Calibri Light" w:hAnsi="Calibri Light"/>
        <w:color w:val="000000"/>
        <w:sz w:val="20"/>
        <w:szCs w:val="18"/>
        <w:lang w:val="en-US"/>
      </w:rPr>
      <w:t>XX</w:t>
    </w:r>
    <w:r w:rsidRPr="002D7766">
      <w:rPr>
        <w:rFonts w:ascii="Calibri Light" w:hAnsi="Calibri Light"/>
        <w:color w:val="000000"/>
        <w:sz w:val="20"/>
        <w:szCs w:val="18"/>
      </w:rPr>
      <w:t xml:space="preserve"> | </w:t>
    </w:r>
    <w:r w:rsidRPr="002D7766">
      <w:rPr>
        <w:rFonts w:ascii="Calibri Light" w:hAnsi="Calibri Light"/>
        <w:color w:val="000000"/>
        <w:sz w:val="20"/>
        <w:szCs w:val="18"/>
      </w:rPr>
      <w:fldChar w:fldCharType="begin"/>
    </w:r>
    <w:r w:rsidRPr="002D7766">
      <w:rPr>
        <w:rFonts w:ascii="Calibri Light" w:hAnsi="Calibri Light"/>
        <w:color w:val="000000"/>
        <w:sz w:val="20"/>
        <w:szCs w:val="18"/>
      </w:rPr>
      <w:instrText xml:space="preserve"> PAGE   \* MERGEFORMAT </w:instrText>
    </w:r>
    <w:r w:rsidRPr="002D7766">
      <w:rPr>
        <w:rFonts w:ascii="Calibri Light" w:hAnsi="Calibri Light"/>
        <w:color w:val="000000"/>
        <w:sz w:val="20"/>
        <w:szCs w:val="18"/>
      </w:rPr>
      <w:fldChar w:fldCharType="separate"/>
    </w:r>
    <w:r w:rsidR="009F50E6">
      <w:rPr>
        <w:rFonts w:ascii="Calibri Light" w:hAnsi="Calibri Light"/>
        <w:noProof/>
        <w:color w:val="000000"/>
        <w:sz w:val="20"/>
        <w:szCs w:val="18"/>
      </w:rPr>
      <w:t>3</w:t>
    </w:r>
    <w:r w:rsidRPr="002D7766">
      <w:rPr>
        <w:rFonts w:ascii="Calibri Light" w:hAnsi="Calibri Light"/>
        <w:noProof/>
        <w:color w:val="000000"/>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2F98" w:rsidRDefault="00B22F98">
      <w:pPr>
        <w:spacing w:after="0" w:line="240" w:lineRule="auto"/>
      </w:pPr>
      <w:r>
        <w:separator/>
      </w:r>
    </w:p>
  </w:footnote>
  <w:footnote w:type="continuationSeparator" w:id="0">
    <w:p w:rsidR="00B22F98" w:rsidRDefault="00B22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1AA1" w:rsidRPr="002E009A" w:rsidRDefault="00A31AA1" w:rsidP="00CC39C4">
    <w:pPr>
      <w:spacing w:after="0" w:line="240" w:lineRule="auto"/>
      <w:jc w:val="center"/>
      <w:rPr>
        <w:rFonts w:cs="Calibri"/>
        <w:b/>
        <w:sz w:val="20"/>
        <w:szCs w:val="20"/>
        <w:lang w:val="en-US"/>
      </w:rPr>
    </w:pPr>
    <w:r w:rsidRPr="00D777A5">
      <w:rPr>
        <w:rFonts w:cs="Calibri"/>
        <w:b/>
        <w:sz w:val="20"/>
        <w:szCs w:val="20"/>
        <w:lang w:val="en-US"/>
      </w:rPr>
      <w:t>Anggaraini</w:t>
    </w:r>
    <w:r>
      <w:rPr>
        <w:rFonts w:cs="Calibri"/>
        <w:b/>
        <w:sz w:val="20"/>
        <w:szCs w:val="20"/>
        <w:lang w:val="en-US"/>
      </w:rPr>
      <w:t xml:space="preserve">, </w:t>
    </w:r>
    <w:r w:rsidRPr="00D777A5">
      <w:rPr>
        <w:rFonts w:cs="Calibri"/>
        <w:b/>
        <w:sz w:val="20"/>
        <w:szCs w:val="20"/>
        <w:lang w:val="en-US"/>
      </w:rPr>
      <w:t>Setyari</w:t>
    </w:r>
  </w:p>
  <w:p w:rsidR="00A31AA1" w:rsidRPr="00597763" w:rsidRDefault="00A31AA1" w:rsidP="00CC39C4">
    <w:pPr>
      <w:spacing w:after="0" w:line="240" w:lineRule="auto"/>
      <w:jc w:val="center"/>
      <w:rPr>
        <w:rFonts w:cs="Calibri"/>
        <w:sz w:val="20"/>
        <w:szCs w:val="20"/>
        <w:lang w:val="en-US"/>
      </w:rPr>
    </w:pPr>
    <w:r w:rsidRPr="00D777A5">
      <w:rPr>
        <w:rFonts w:cs="Calibri"/>
        <w:sz w:val="20"/>
        <w:szCs w:val="20"/>
        <w:lang w:val="en-US"/>
      </w:rPr>
      <w:t>The Impact Of Women's Power To Work On Children's  Human Capital In Indonesia</w:t>
    </w:r>
  </w:p>
  <w:p w:rsidR="00A31AA1" w:rsidRPr="00CA3E3E" w:rsidRDefault="00A31AA1" w:rsidP="00536F14">
    <w:pPr>
      <w:spacing w:after="0" w:line="240" w:lineRule="auto"/>
      <w:jc w:val="center"/>
      <w:rPr>
        <w:rFonts w:cs="Calibri"/>
        <w:sz w:val="20"/>
        <w:szCs w:val="20"/>
      </w:rPr>
    </w:pPr>
  </w:p>
  <w:p w:rsidR="00A31AA1" w:rsidRDefault="00A31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1AA1" w:rsidRPr="00D777A5" w:rsidRDefault="00A31AA1" w:rsidP="00D777A5">
    <w:pPr>
      <w:spacing w:after="0" w:line="240" w:lineRule="auto"/>
      <w:jc w:val="center"/>
      <w:rPr>
        <w:rFonts w:cs="Calibri"/>
        <w:b/>
        <w:sz w:val="20"/>
        <w:szCs w:val="20"/>
        <w:lang w:val="en-US"/>
      </w:rPr>
    </w:pPr>
    <w:r w:rsidRPr="00D777A5">
      <w:rPr>
        <w:rFonts w:cs="Calibri"/>
        <w:b/>
        <w:sz w:val="20"/>
        <w:szCs w:val="20"/>
        <w:lang w:val="en-US"/>
      </w:rPr>
      <w:t>Anggaraini, Setyari</w:t>
    </w:r>
  </w:p>
  <w:p w:rsidR="00A31AA1" w:rsidRPr="00D777A5" w:rsidRDefault="00A31AA1" w:rsidP="00D777A5">
    <w:pPr>
      <w:spacing w:after="0" w:line="240" w:lineRule="auto"/>
      <w:jc w:val="center"/>
      <w:rPr>
        <w:rFonts w:cs="Calibri"/>
        <w:sz w:val="20"/>
        <w:szCs w:val="20"/>
      </w:rPr>
    </w:pPr>
    <w:r w:rsidRPr="00D777A5">
      <w:rPr>
        <w:rFonts w:cs="Calibri"/>
        <w:sz w:val="20"/>
        <w:szCs w:val="20"/>
        <w:lang w:val="en-US"/>
      </w:rPr>
      <w:t>The Impact Of Women's Power To Work On Children's  Human Capital In Indonesia</w:t>
    </w:r>
  </w:p>
  <w:p w:rsidR="00A31AA1" w:rsidRDefault="00A31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31AA1" w:rsidRPr="00103BB6" w:rsidRDefault="006108D6" w:rsidP="00B03731">
    <w:pPr>
      <w:ind w:left="-709" w:right="-711"/>
      <w:rPr>
        <w:rFonts w:ascii="Candara" w:hAnsi="Candara"/>
        <w:sz w:val="16"/>
        <w:szCs w:val="18"/>
        <w:lang w:val="en-US"/>
      </w:rPr>
    </w:pPr>
    <w:r>
      <w:rPr>
        <w:noProof/>
        <w:color w:val="808080"/>
        <w:sz w:val="18"/>
        <w:lang w:val="en-US"/>
      </w:rPr>
      <mc:AlternateContent>
        <mc:Choice Requires="wps">
          <w:drawing>
            <wp:anchor distT="0" distB="0" distL="114300" distR="114300" simplePos="0" relativeHeight="251659264" behindDoc="0" locked="0" layoutInCell="1" allowOverlap="1">
              <wp:simplePos x="0" y="0"/>
              <wp:positionH relativeFrom="column">
                <wp:posOffset>-1378585</wp:posOffset>
              </wp:positionH>
              <wp:positionV relativeFrom="paragraph">
                <wp:posOffset>276860</wp:posOffset>
              </wp:positionV>
              <wp:extent cx="8133715" cy="0"/>
              <wp:effectExtent l="0" t="19050" r="635" b="0"/>
              <wp:wrapNone/>
              <wp:docPr id="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33715" cy="0"/>
                      </a:xfrm>
                      <a:prstGeom prst="straightConnector1">
                        <a:avLst/>
                      </a:prstGeom>
                      <a:noFill/>
                      <a:ln w="381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47B7D" id="_x0000_t32" coordsize="21600,21600" o:spt="32" o:oned="t" path="m,l21600,21600e" filled="f">
              <v:path arrowok="t" fillok="f" o:connecttype="none"/>
              <o:lock v:ext="edit" shapetype="t"/>
            </v:shapetype>
            <v:shape id="Straight Arrow Connector 7" o:spid="_x0000_s1026" type="#_x0000_t32" style="position:absolute;margin-left:-108.55pt;margin-top:21.8pt;width:640.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" strokecolor="#7030a0" strokeweight="3pt">
              <o:lock v:ext="edit" shapetype="f"/>
            </v:shape>
          </w:pict>
        </mc:Fallback>
      </mc:AlternateContent>
    </w:r>
    <w:r w:rsidR="00A31AA1" w:rsidRPr="00980500">
      <w:rPr>
        <w:rFonts w:ascii="Candara" w:hAnsi="Candara"/>
        <w:bCs/>
        <w:color w:val="808080"/>
        <w:sz w:val="24"/>
        <w:szCs w:val="28"/>
        <w:lang w:val="en-US"/>
      </w:rPr>
      <w:t>J</w:t>
    </w:r>
    <w:r w:rsidR="00A31AA1" w:rsidRPr="00980500">
      <w:rPr>
        <w:rFonts w:ascii="Candara" w:hAnsi="Candara"/>
        <w:color w:val="808080"/>
        <w:sz w:val="24"/>
        <w:szCs w:val="18"/>
      </w:rPr>
      <w:t>urnal</w:t>
    </w:r>
    <w:r w:rsidR="00A31AA1" w:rsidRPr="00700747">
      <w:rPr>
        <w:rFonts w:ascii="Candara" w:hAnsi="Candara"/>
        <w:sz w:val="24"/>
        <w:szCs w:val="18"/>
      </w:rPr>
      <w:t xml:space="preserve"> </w:t>
    </w:r>
    <w:r w:rsidR="00A31AA1">
      <w:rPr>
        <w:rFonts w:ascii="Candara" w:hAnsi="Candara"/>
        <w:color w:val="FFC000"/>
        <w:sz w:val="24"/>
        <w:szCs w:val="18"/>
        <w:lang w:val="en-US"/>
      </w:rPr>
      <w:t xml:space="preserve">Ekonomi </w:t>
    </w:r>
    <w:r w:rsidR="00A31AA1" w:rsidRPr="002A453F">
      <w:rPr>
        <w:rFonts w:ascii="Candara" w:hAnsi="Candara"/>
        <w:color w:val="808080"/>
        <w:sz w:val="24"/>
        <w:szCs w:val="18"/>
        <w:lang w:val="en-US"/>
      </w:rPr>
      <w:t>&amp;</w:t>
    </w:r>
    <w:r w:rsidR="00A31AA1">
      <w:rPr>
        <w:rFonts w:ascii="Candara" w:hAnsi="Candara"/>
        <w:color w:val="FFC000"/>
        <w:sz w:val="24"/>
        <w:szCs w:val="18"/>
        <w:lang w:val="en-US"/>
      </w:rPr>
      <w:t xml:space="preserve"> </w:t>
    </w:r>
    <w:r w:rsidR="00A31AA1" w:rsidRPr="00085FDA">
      <w:rPr>
        <w:rFonts w:ascii="Candara" w:hAnsi="Candara"/>
        <w:color w:val="FFC000"/>
        <w:sz w:val="24"/>
        <w:szCs w:val="18"/>
        <w:lang w:val="en-US"/>
      </w:rPr>
      <w:t>Studi Pembangunan</w:t>
    </w:r>
    <w:r w:rsidR="00A31AA1">
      <w:rPr>
        <w:rFonts w:ascii="Candara" w:hAnsi="Candara"/>
        <w:color w:val="C00000"/>
        <w:sz w:val="24"/>
        <w:szCs w:val="18"/>
        <w:lang w:val="en-US"/>
      </w:rPr>
      <w:t xml:space="preserve"> </w:t>
    </w:r>
    <w:r w:rsidR="00A31AA1">
      <w:rPr>
        <w:rFonts w:ascii="Candara" w:hAnsi="Candara"/>
        <w:color w:val="C00000"/>
        <w:sz w:val="24"/>
        <w:szCs w:val="18"/>
        <w:lang w:val="en-US"/>
      </w:rPr>
      <w:tab/>
    </w:r>
    <w:r w:rsidR="00A31AA1">
      <w:rPr>
        <w:rFonts w:ascii="Candara" w:hAnsi="Candara"/>
        <w:color w:val="C00000"/>
        <w:sz w:val="24"/>
        <w:szCs w:val="18"/>
        <w:lang w:val="en-US"/>
      </w:rPr>
      <w:tab/>
    </w:r>
    <w:r w:rsidR="00A31AA1">
      <w:rPr>
        <w:rFonts w:ascii="Candara" w:hAnsi="Candara"/>
        <w:color w:val="C00000"/>
        <w:sz w:val="24"/>
        <w:szCs w:val="18"/>
        <w:lang w:val="en-US"/>
      </w:rPr>
      <w:tab/>
    </w:r>
    <w:r w:rsidR="00A31AA1" w:rsidRPr="00CB574E">
      <w:rPr>
        <w:rFonts w:ascii="Candara" w:hAnsi="Candara"/>
        <w:color w:val="808080"/>
        <w:sz w:val="24"/>
        <w:szCs w:val="18"/>
        <w:lang w:val="en-US"/>
      </w:rPr>
      <w:t xml:space="preserve">Volume </w:t>
    </w:r>
    <w:r w:rsidR="00A31AA1">
      <w:rPr>
        <w:rFonts w:ascii="Candara" w:hAnsi="Candara"/>
        <w:color w:val="808080"/>
        <w:sz w:val="24"/>
        <w:szCs w:val="18"/>
        <w:lang w:val="en-US"/>
      </w:rPr>
      <w:t>xx</w:t>
    </w:r>
    <w:r w:rsidR="00A31AA1" w:rsidRPr="00CB574E">
      <w:rPr>
        <w:rFonts w:ascii="Candara" w:hAnsi="Candara"/>
        <w:color w:val="808080"/>
        <w:sz w:val="24"/>
        <w:szCs w:val="18"/>
        <w:lang w:val="en-US"/>
      </w:rPr>
      <w:t xml:space="preserve"> Nomor </w:t>
    </w:r>
    <w:r w:rsidR="00A31AA1">
      <w:rPr>
        <w:rFonts w:ascii="Candara" w:hAnsi="Candara"/>
        <w:color w:val="808080"/>
        <w:sz w:val="24"/>
        <w:szCs w:val="18"/>
        <w:lang w:val="en-US"/>
      </w:rPr>
      <w:t>x</w:t>
    </w:r>
    <w:r w:rsidR="00A31AA1" w:rsidRPr="00CB574E">
      <w:rPr>
        <w:rFonts w:ascii="Candara" w:hAnsi="Candara"/>
        <w:color w:val="808080"/>
        <w:sz w:val="24"/>
        <w:szCs w:val="18"/>
        <w:lang w:val="en-US"/>
      </w:rPr>
      <w:t xml:space="preserve">, </w:t>
    </w:r>
    <w:r w:rsidR="00A31AA1">
      <w:rPr>
        <w:rFonts w:ascii="Candara" w:hAnsi="Candara"/>
        <w:color w:val="808080"/>
        <w:sz w:val="24"/>
        <w:szCs w:val="18"/>
        <w:lang w:val="en-US"/>
      </w:rPr>
      <w:t>April</w:t>
    </w:r>
    <w:r w:rsidR="00A31AA1" w:rsidRPr="00CB574E">
      <w:rPr>
        <w:rFonts w:ascii="Candara" w:hAnsi="Candara"/>
        <w:color w:val="808080"/>
        <w:sz w:val="24"/>
        <w:szCs w:val="18"/>
        <w:lang w:val="en-US"/>
      </w:rPr>
      <w:t xml:space="preserve"> 20</w:t>
    </w:r>
    <w:r w:rsidR="00A31AA1">
      <w:rPr>
        <w:rFonts w:ascii="Candara" w:hAnsi="Candara"/>
        <w:color w:val="808080"/>
        <w:sz w:val="24"/>
        <w:szCs w:val="18"/>
        <w:lang w:val="en-US"/>
      </w:rPr>
      <w:t>xx</w:t>
    </w:r>
    <w:r w:rsidR="00A31AA1">
      <w:rPr>
        <w:rFonts w:ascii="Candara" w:hAnsi="Candara"/>
        <w:color w:val="C00000"/>
        <w:sz w:val="24"/>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158C9"/>
    <w:multiLevelType w:val="hybridMultilevel"/>
    <w:tmpl w:val="F3EEA7FE"/>
    <w:lvl w:ilvl="0" w:tplc="615802CC">
      <w:start w:val="1"/>
      <w:numFmt w:val="decimal"/>
      <w:lvlText w:val="%1."/>
      <w:lvlJc w:val="left"/>
      <w:pPr>
        <w:ind w:left="720" w:hanging="360"/>
      </w:pPr>
      <w:rPr>
        <w:rFonts w:hint="default"/>
      </w:rPr>
    </w:lvl>
    <w:lvl w:ilvl="1" w:tplc="C35878AE" w:tentative="1">
      <w:start w:val="1"/>
      <w:numFmt w:val="lowerLetter"/>
      <w:lvlText w:val="%2."/>
      <w:lvlJc w:val="left"/>
      <w:pPr>
        <w:ind w:left="1440" w:hanging="360"/>
      </w:pPr>
    </w:lvl>
    <w:lvl w:ilvl="2" w:tplc="098215B8" w:tentative="1">
      <w:start w:val="1"/>
      <w:numFmt w:val="lowerRoman"/>
      <w:lvlText w:val="%3."/>
      <w:lvlJc w:val="right"/>
      <w:pPr>
        <w:ind w:left="2160" w:hanging="180"/>
      </w:pPr>
    </w:lvl>
    <w:lvl w:ilvl="3" w:tplc="7646FDCA" w:tentative="1">
      <w:start w:val="1"/>
      <w:numFmt w:val="decimal"/>
      <w:lvlText w:val="%4."/>
      <w:lvlJc w:val="left"/>
      <w:pPr>
        <w:ind w:left="2880" w:hanging="360"/>
      </w:pPr>
    </w:lvl>
    <w:lvl w:ilvl="4" w:tplc="EF1801EA" w:tentative="1">
      <w:start w:val="1"/>
      <w:numFmt w:val="lowerLetter"/>
      <w:lvlText w:val="%5."/>
      <w:lvlJc w:val="left"/>
      <w:pPr>
        <w:ind w:left="3600" w:hanging="360"/>
      </w:pPr>
    </w:lvl>
    <w:lvl w:ilvl="5" w:tplc="E4BEC974" w:tentative="1">
      <w:start w:val="1"/>
      <w:numFmt w:val="lowerRoman"/>
      <w:lvlText w:val="%6."/>
      <w:lvlJc w:val="right"/>
      <w:pPr>
        <w:ind w:left="4320" w:hanging="180"/>
      </w:pPr>
    </w:lvl>
    <w:lvl w:ilvl="6" w:tplc="E01897DA" w:tentative="1">
      <w:start w:val="1"/>
      <w:numFmt w:val="decimal"/>
      <w:lvlText w:val="%7."/>
      <w:lvlJc w:val="left"/>
      <w:pPr>
        <w:ind w:left="5040" w:hanging="360"/>
      </w:pPr>
    </w:lvl>
    <w:lvl w:ilvl="7" w:tplc="285256B4" w:tentative="1">
      <w:start w:val="1"/>
      <w:numFmt w:val="lowerLetter"/>
      <w:lvlText w:val="%8."/>
      <w:lvlJc w:val="left"/>
      <w:pPr>
        <w:ind w:left="5760" w:hanging="360"/>
      </w:pPr>
    </w:lvl>
    <w:lvl w:ilvl="8" w:tplc="940C3BD0" w:tentative="1">
      <w:start w:val="1"/>
      <w:numFmt w:val="lowerRoman"/>
      <w:lvlText w:val="%9."/>
      <w:lvlJc w:val="right"/>
      <w:pPr>
        <w:ind w:left="6480" w:hanging="180"/>
      </w:pPr>
    </w:lvl>
  </w:abstractNum>
  <w:abstractNum w:abstractNumId="1" w15:restartNumberingAfterBreak="0">
    <w:nsid w:val="27326A49"/>
    <w:multiLevelType w:val="hybridMultilevel"/>
    <w:tmpl w:val="781E8C14"/>
    <w:lvl w:ilvl="0" w:tplc="2F9CC71E">
      <w:start w:val="1"/>
      <w:numFmt w:val="decimal"/>
      <w:lvlText w:val="%1."/>
      <w:lvlJc w:val="left"/>
      <w:pPr>
        <w:ind w:left="360" w:hanging="360"/>
      </w:pPr>
      <w:rPr>
        <w:rFonts w:hint="default"/>
      </w:rPr>
    </w:lvl>
    <w:lvl w:ilvl="1" w:tplc="4B323CC0" w:tentative="1">
      <w:start w:val="1"/>
      <w:numFmt w:val="lowerLetter"/>
      <w:lvlText w:val="%2."/>
      <w:lvlJc w:val="left"/>
      <w:pPr>
        <w:ind w:left="1080" w:hanging="360"/>
      </w:pPr>
    </w:lvl>
    <w:lvl w:ilvl="2" w:tplc="DB66617A" w:tentative="1">
      <w:start w:val="1"/>
      <w:numFmt w:val="lowerRoman"/>
      <w:lvlText w:val="%3."/>
      <w:lvlJc w:val="right"/>
      <w:pPr>
        <w:ind w:left="1800" w:hanging="180"/>
      </w:pPr>
    </w:lvl>
    <w:lvl w:ilvl="3" w:tplc="0BD66882" w:tentative="1">
      <w:start w:val="1"/>
      <w:numFmt w:val="decimal"/>
      <w:lvlText w:val="%4."/>
      <w:lvlJc w:val="left"/>
      <w:pPr>
        <w:ind w:left="2520" w:hanging="360"/>
      </w:pPr>
    </w:lvl>
    <w:lvl w:ilvl="4" w:tplc="ADEE18BE" w:tentative="1">
      <w:start w:val="1"/>
      <w:numFmt w:val="lowerLetter"/>
      <w:lvlText w:val="%5."/>
      <w:lvlJc w:val="left"/>
      <w:pPr>
        <w:ind w:left="3240" w:hanging="360"/>
      </w:pPr>
    </w:lvl>
    <w:lvl w:ilvl="5" w:tplc="94CA7216" w:tentative="1">
      <w:start w:val="1"/>
      <w:numFmt w:val="lowerRoman"/>
      <w:lvlText w:val="%6."/>
      <w:lvlJc w:val="right"/>
      <w:pPr>
        <w:ind w:left="3960" w:hanging="180"/>
      </w:pPr>
    </w:lvl>
    <w:lvl w:ilvl="6" w:tplc="3B40974A" w:tentative="1">
      <w:start w:val="1"/>
      <w:numFmt w:val="decimal"/>
      <w:lvlText w:val="%7."/>
      <w:lvlJc w:val="left"/>
      <w:pPr>
        <w:ind w:left="4680" w:hanging="360"/>
      </w:pPr>
    </w:lvl>
    <w:lvl w:ilvl="7" w:tplc="9D8EC0CC" w:tentative="1">
      <w:start w:val="1"/>
      <w:numFmt w:val="lowerLetter"/>
      <w:lvlText w:val="%8."/>
      <w:lvlJc w:val="left"/>
      <w:pPr>
        <w:ind w:left="5400" w:hanging="360"/>
      </w:pPr>
    </w:lvl>
    <w:lvl w:ilvl="8" w:tplc="EC1800CA" w:tentative="1">
      <w:start w:val="1"/>
      <w:numFmt w:val="lowerRoman"/>
      <w:lvlText w:val="%9."/>
      <w:lvlJc w:val="right"/>
      <w:pPr>
        <w:ind w:left="6120" w:hanging="180"/>
      </w:pPr>
    </w:lvl>
  </w:abstractNum>
  <w:abstractNum w:abstractNumId="2" w15:restartNumberingAfterBreak="0">
    <w:nsid w:val="370A3FCA"/>
    <w:multiLevelType w:val="hybridMultilevel"/>
    <w:tmpl w:val="C9F08F6A"/>
    <w:lvl w:ilvl="0" w:tplc="BE96FC94">
      <w:start w:val="1"/>
      <w:numFmt w:val="lowerLetter"/>
      <w:lvlText w:val="%1."/>
      <w:lvlJc w:val="left"/>
      <w:pPr>
        <w:ind w:left="720" w:hanging="360"/>
      </w:pPr>
    </w:lvl>
    <w:lvl w:ilvl="1" w:tplc="7BC2610C" w:tentative="1">
      <w:start w:val="1"/>
      <w:numFmt w:val="lowerLetter"/>
      <w:lvlText w:val="%2."/>
      <w:lvlJc w:val="left"/>
      <w:pPr>
        <w:ind w:left="1440" w:hanging="360"/>
      </w:pPr>
    </w:lvl>
    <w:lvl w:ilvl="2" w:tplc="916C5230" w:tentative="1">
      <w:start w:val="1"/>
      <w:numFmt w:val="lowerRoman"/>
      <w:lvlText w:val="%3."/>
      <w:lvlJc w:val="right"/>
      <w:pPr>
        <w:ind w:left="2160" w:hanging="180"/>
      </w:pPr>
    </w:lvl>
    <w:lvl w:ilvl="3" w:tplc="4F0AC024" w:tentative="1">
      <w:start w:val="1"/>
      <w:numFmt w:val="decimal"/>
      <w:lvlText w:val="%4."/>
      <w:lvlJc w:val="left"/>
      <w:pPr>
        <w:ind w:left="2880" w:hanging="360"/>
      </w:pPr>
    </w:lvl>
    <w:lvl w:ilvl="4" w:tplc="DAC451F0" w:tentative="1">
      <w:start w:val="1"/>
      <w:numFmt w:val="lowerLetter"/>
      <w:lvlText w:val="%5."/>
      <w:lvlJc w:val="left"/>
      <w:pPr>
        <w:ind w:left="3600" w:hanging="360"/>
      </w:pPr>
    </w:lvl>
    <w:lvl w:ilvl="5" w:tplc="B82E5E80" w:tentative="1">
      <w:start w:val="1"/>
      <w:numFmt w:val="lowerRoman"/>
      <w:lvlText w:val="%6."/>
      <w:lvlJc w:val="right"/>
      <w:pPr>
        <w:ind w:left="4320" w:hanging="180"/>
      </w:pPr>
    </w:lvl>
    <w:lvl w:ilvl="6" w:tplc="ECF64E7C" w:tentative="1">
      <w:start w:val="1"/>
      <w:numFmt w:val="decimal"/>
      <w:lvlText w:val="%7."/>
      <w:lvlJc w:val="left"/>
      <w:pPr>
        <w:ind w:left="5040" w:hanging="360"/>
      </w:pPr>
    </w:lvl>
    <w:lvl w:ilvl="7" w:tplc="6BE818AA" w:tentative="1">
      <w:start w:val="1"/>
      <w:numFmt w:val="lowerLetter"/>
      <w:lvlText w:val="%8."/>
      <w:lvlJc w:val="left"/>
      <w:pPr>
        <w:ind w:left="5760" w:hanging="360"/>
      </w:pPr>
    </w:lvl>
    <w:lvl w:ilvl="8" w:tplc="729A2210" w:tentative="1">
      <w:start w:val="1"/>
      <w:numFmt w:val="lowerRoman"/>
      <w:lvlText w:val="%9."/>
      <w:lvlJc w:val="right"/>
      <w:pPr>
        <w:ind w:left="6480" w:hanging="180"/>
      </w:pPr>
    </w:lvl>
  </w:abstractNum>
  <w:abstractNum w:abstractNumId="3" w15:restartNumberingAfterBreak="0">
    <w:nsid w:val="39E07D8C"/>
    <w:multiLevelType w:val="hybridMultilevel"/>
    <w:tmpl w:val="28387516"/>
    <w:lvl w:ilvl="0" w:tplc="E7C05C16">
      <w:start w:val="1"/>
      <w:numFmt w:val="decimal"/>
      <w:lvlText w:val="(%1)"/>
      <w:lvlJc w:val="left"/>
      <w:pPr>
        <w:ind w:left="1080" w:hanging="720"/>
      </w:pPr>
      <w:rPr>
        <w:rFonts w:hint="default"/>
      </w:rPr>
    </w:lvl>
    <w:lvl w:ilvl="1" w:tplc="4800AF06" w:tentative="1">
      <w:start w:val="1"/>
      <w:numFmt w:val="lowerLetter"/>
      <w:lvlText w:val="%2."/>
      <w:lvlJc w:val="left"/>
      <w:pPr>
        <w:ind w:left="1440" w:hanging="360"/>
      </w:pPr>
    </w:lvl>
    <w:lvl w:ilvl="2" w:tplc="121E5E10" w:tentative="1">
      <w:start w:val="1"/>
      <w:numFmt w:val="lowerRoman"/>
      <w:lvlText w:val="%3."/>
      <w:lvlJc w:val="right"/>
      <w:pPr>
        <w:ind w:left="2160" w:hanging="180"/>
      </w:pPr>
    </w:lvl>
    <w:lvl w:ilvl="3" w:tplc="2946B3CA" w:tentative="1">
      <w:start w:val="1"/>
      <w:numFmt w:val="decimal"/>
      <w:lvlText w:val="%4."/>
      <w:lvlJc w:val="left"/>
      <w:pPr>
        <w:ind w:left="2880" w:hanging="360"/>
      </w:pPr>
    </w:lvl>
    <w:lvl w:ilvl="4" w:tplc="C246A4D6" w:tentative="1">
      <w:start w:val="1"/>
      <w:numFmt w:val="lowerLetter"/>
      <w:lvlText w:val="%5."/>
      <w:lvlJc w:val="left"/>
      <w:pPr>
        <w:ind w:left="3600" w:hanging="360"/>
      </w:pPr>
    </w:lvl>
    <w:lvl w:ilvl="5" w:tplc="0FCC7FD6" w:tentative="1">
      <w:start w:val="1"/>
      <w:numFmt w:val="lowerRoman"/>
      <w:lvlText w:val="%6."/>
      <w:lvlJc w:val="right"/>
      <w:pPr>
        <w:ind w:left="4320" w:hanging="180"/>
      </w:pPr>
    </w:lvl>
    <w:lvl w:ilvl="6" w:tplc="DA164170" w:tentative="1">
      <w:start w:val="1"/>
      <w:numFmt w:val="decimal"/>
      <w:lvlText w:val="%7."/>
      <w:lvlJc w:val="left"/>
      <w:pPr>
        <w:ind w:left="5040" w:hanging="360"/>
      </w:pPr>
    </w:lvl>
    <w:lvl w:ilvl="7" w:tplc="E76A8FFC" w:tentative="1">
      <w:start w:val="1"/>
      <w:numFmt w:val="lowerLetter"/>
      <w:lvlText w:val="%8."/>
      <w:lvlJc w:val="left"/>
      <w:pPr>
        <w:ind w:left="5760" w:hanging="360"/>
      </w:pPr>
    </w:lvl>
    <w:lvl w:ilvl="8" w:tplc="51F0D5D0" w:tentative="1">
      <w:start w:val="1"/>
      <w:numFmt w:val="lowerRoman"/>
      <w:lvlText w:val="%9."/>
      <w:lvlJc w:val="right"/>
      <w:pPr>
        <w:ind w:left="6480" w:hanging="180"/>
      </w:pPr>
    </w:lvl>
  </w:abstractNum>
  <w:abstractNum w:abstractNumId="4" w15:restartNumberingAfterBreak="0">
    <w:nsid w:val="3C973BE4"/>
    <w:multiLevelType w:val="multilevel"/>
    <w:tmpl w:val="3C973BE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53475C"/>
    <w:multiLevelType w:val="hybridMultilevel"/>
    <w:tmpl w:val="AE20A578"/>
    <w:lvl w:ilvl="0" w:tplc="601228B0">
      <w:start w:val="1"/>
      <w:numFmt w:val="decimal"/>
      <w:lvlText w:val="%1."/>
      <w:lvlJc w:val="left"/>
      <w:pPr>
        <w:ind w:left="720" w:hanging="360"/>
      </w:pPr>
    </w:lvl>
    <w:lvl w:ilvl="1" w:tplc="5A66609C" w:tentative="1">
      <w:start w:val="1"/>
      <w:numFmt w:val="lowerLetter"/>
      <w:lvlText w:val="%2."/>
      <w:lvlJc w:val="left"/>
      <w:pPr>
        <w:ind w:left="1440" w:hanging="360"/>
      </w:pPr>
    </w:lvl>
    <w:lvl w:ilvl="2" w:tplc="BA5256C2" w:tentative="1">
      <w:start w:val="1"/>
      <w:numFmt w:val="lowerRoman"/>
      <w:lvlText w:val="%3."/>
      <w:lvlJc w:val="right"/>
      <w:pPr>
        <w:ind w:left="2160" w:hanging="180"/>
      </w:pPr>
    </w:lvl>
    <w:lvl w:ilvl="3" w:tplc="E52C5268" w:tentative="1">
      <w:start w:val="1"/>
      <w:numFmt w:val="decimal"/>
      <w:lvlText w:val="%4."/>
      <w:lvlJc w:val="left"/>
      <w:pPr>
        <w:ind w:left="2880" w:hanging="360"/>
      </w:pPr>
    </w:lvl>
    <w:lvl w:ilvl="4" w:tplc="F6B40F86" w:tentative="1">
      <w:start w:val="1"/>
      <w:numFmt w:val="lowerLetter"/>
      <w:lvlText w:val="%5."/>
      <w:lvlJc w:val="left"/>
      <w:pPr>
        <w:ind w:left="3600" w:hanging="360"/>
      </w:pPr>
    </w:lvl>
    <w:lvl w:ilvl="5" w:tplc="04F46E3E" w:tentative="1">
      <w:start w:val="1"/>
      <w:numFmt w:val="lowerRoman"/>
      <w:lvlText w:val="%6."/>
      <w:lvlJc w:val="right"/>
      <w:pPr>
        <w:ind w:left="4320" w:hanging="180"/>
      </w:pPr>
    </w:lvl>
    <w:lvl w:ilvl="6" w:tplc="A77CDFD2" w:tentative="1">
      <w:start w:val="1"/>
      <w:numFmt w:val="decimal"/>
      <w:lvlText w:val="%7."/>
      <w:lvlJc w:val="left"/>
      <w:pPr>
        <w:ind w:left="5040" w:hanging="360"/>
      </w:pPr>
    </w:lvl>
    <w:lvl w:ilvl="7" w:tplc="33DE441C" w:tentative="1">
      <w:start w:val="1"/>
      <w:numFmt w:val="lowerLetter"/>
      <w:lvlText w:val="%8."/>
      <w:lvlJc w:val="left"/>
      <w:pPr>
        <w:ind w:left="5760" w:hanging="360"/>
      </w:pPr>
    </w:lvl>
    <w:lvl w:ilvl="8" w:tplc="61266E7E" w:tentative="1">
      <w:start w:val="1"/>
      <w:numFmt w:val="lowerRoman"/>
      <w:lvlText w:val="%9."/>
      <w:lvlJc w:val="right"/>
      <w:pPr>
        <w:ind w:left="6480" w:hanging="180"/>
      </w:pPr>
    </w:lvl>
  </w:abstractNum>
  <w:abstractNum w:abstractNumId="6" w15:restartNumberingAfterBreak="0">
    <w:nsid w:val="552E1FB1"/>
    <w:multiLevelType w:val="hybridMultilevel"/>
    <w:tmpl w:val="1A548A4E"/>
    <w:lvl w:ilvl="0" w:tplc="71100B3E">
      <w:start w:val="1"/>
      <w:numFmt w:val="decimal"/>
      <w:lvlText w:val="%1."/>
      <w:lvlJc w:val="left"/>
      <w:pPr>
        <w:ind w:left="720" w:hanging="360"/>
      </w:pPr>
      <w:rPr>
        <w:rFonts w:hint="default"/>
      </w:rPr>
    </w:lvl>
    <w:lvl w:ilvl="1" w:tplc="B360DF00" w:tentative="1">
      <w:start w:val="1"/>
      <w:numFmt w:val="lowerLetter"/>
      <w:lvlText w:val="%2."/>
      <w:lvlJc w:val="left"/>
      <w:pPr>
        <w:ind w:left="1440" w:hanging="360"/>
      </w:pPr>
    </w:lvl>
    <w:lvl w:ilvl="2" w:tplc="B2166878" w:tentative="1">
      <w:start w:val="1"/>
      <w:numFmt w:val="lowerRoman"/>
      <w:lvlText w:val="%3."/>
      <w:lvlJc w:val="right"/>
      <w:pPr>
        <w:ind w:left="2160" w:hanging="180"/>
      </w:pPr>
    </w:lvl>
    <w:lvl w:ilvl="3" w:tplc="2902B8E4" w:tentative="1">
      <w:start w:val="1"/>
      <w:numFmt w:val="decimal"/>
      <w:lvlText w:val="%4."/>
      <w:lvlJc w:val="left"/>
      <w:pPr>
        <w:ind w:left="2880" w:hanging="360"/>
      </w:pPr>
    </w:lvl>
    <w:lvl w:ilvl="4" w:tplc="7546873A" w:tentative="1">
      <w:start w:val="1"/>
      <w:numFmt w:val="lowerLetter"/>
      <w:lvlText w:val="%5."/>
      <w:lvlJc w:val="left"/>
      <w:pPr>
        <w:ind w:left="3600" w:hanging="360"/>
      </w:pPr>
    </w:lvl>
    <w:lvl w:ilvl="5" w:tplc="1B945AD4" w:tentative="1">
      <w:start w:val="1"/>
      <w:numFmt w:val="lowerRoman"/>
      <w:lvlText w:val="%6."/>
      <w:lvlJc w:val="right"/>
      <w:pPr>
        <w:ind w:left="4320" w:hanging="180"/>
      </w:pPr>
    </w:lvl>
    <w:lvl w:ilvl="6" w:tplc="FEB639FE" w:tentative="1">
      <w:start w:val="1"/>
      <w:numFmt w:val="decimal"/>
      <w:lvlText w:val="%7."/>
      <w:lvlJc w:val="left"/>
      <w:pPr>
        <w:ind w:left="5040" w:hanging="360"/>
      </w:pPr>
    </w:lvl>
    <w:lvl w:ilvl="7" w:tplc="219CBB92" w:tentative="1">
      <w:start w:val="1"/>
      <w:numFmt w:val="lowerLetter"/>
      <w:lvlText w:val="%8."/>
      <w:lvlJc w:val="left"/>
      <w:pPr>
        <w:ind w:left="5760" w:hanging="360"/>
      </w:pPr>
    </w:lvl>
    <w:lvl w:ilvl="8" w:tplc="61EE404E" w:tentative="1">
      <w:start w:val="1"/>
      <w:numFmt w:val="lowerRoman"/>
      <w:lvlText w:val="%9."/>
      <w:lvlJc w:val="right"/>
      <w:pPr>
        <w:ind w:left="6480" w:hanging="180"/>
      </w:pPr>
    </w:lvl>
  </w:abstractNum>
  <w:abstractNum w:abstractNumId="7" w15:restartNumberingAfterBreak="0">
    <w:nsid w:val="5A20523D"/>
    <w:multiLevelType w:val="hybridMultilevel"/>
    <w:tmpl w:val="09D8E22A"/>
    <w:lvl w:ilvl="0" w:tplc="AD620070">
      <w:start w:val="1"/>
      <w:numFmt w:val="lowerLetter"/>
      <w:lvlText w:val="%1)"/>
      <w:lvlJc w:val="left"/>
      <w:pPr>
        <w:ind w:left="720" w:hanging="360"/>
      </w:pPr>
    </w:lvl>
    <w:lvl w:ilvl="1" w:tplc="3AE27B76" w:tentative="1">
      <w:start w:val="1"/>
      <w:numFmt w:val="lowerLetter"/>
      <w:lvlText w:val="%2."/>
      <w:lvlJc w:val="left"/>
      <w:pPr>
        <w:ind w:left="1440" w:hanging="360"/>
      </w:pPr>
    </w:lvl>
    <w:lvl w:ilvl="2" w:tplc="D452FB86" w:tentative="1">
      <w:start w:val="1"/>
      <w:numFmt w:val="lowerRoman"/>
      <w:lvlText w:val="%3."/>
      <w:lvlJc w:val="right"/>
      <w:pPr>
        <w:ind w:left="2160" w:hanging="180"/>
      </w:pPr>
    </w:lvl>
    <w:lvl w:ilvl="3" w:tplc="D1DC81D4" w:tentative="1">
      <w:start w:val="1"/>
      <w:numFmt w:val="decimal"/>
      <w:lvlText w:val="%4."/>
      <w:lvlJc w:val="left"/>
      <w:pPr>
        <w:ind w:left="2880" w:hanging="360"/>
      </w:pPr>
    </w:lvl>
    <w:lvl w:ilvl="4" w:tplc="45C4BB50" w:tentative="1">
      <w:start w:val="1"/>
      <w:numFmt w:val="lowerLetter"/>
      <w:lvlText w:val="%5."/>
      <w:lvlJc w:val="left"/>
      <w:pPr>
        <w:ind w:left="3600" w:hanging="360"/>
      </w:pPr>
    </w:lvl>
    <w:lvl w:ilvl="5" w:tplc="68D07BE8" w:tentative="1">
      <w:start w:val="1"/>
      <w:numFmt w:val="lowerRoman"/>
      <w:lvlText w:val="%6."/>
      <w:lvlJc w:val="right"/>
      <w:pPr>
        <w:ind w:left="4320" w:hanging="180"/>
      </w:pPr>
    </w:lvl>
    <w:lvl w:ilvl="6" w:tplc="198C6F26" w:tentative="1">
      <w:start w:val="1"/>
      <w:numFmt w:val="decimal"/>
      <w:lvlText w:val="%7."/>
      <w:lvlJc w:val="left"/>
      <w:pPr>
        <w:ind w:left="5040" w:hanging="360"/>
      </w:pPr>
    </w:lvl>
    <w:lvl w:ilvl="7" w:tplc="96B2A206" w:tentative="1">
      <w:start w:val="1"/>
      <w:numFmt w:val="lowerLetter"/>
      <w:lvlText w:val="%8."/>
      <w:lvlJc w:val="left"/>
      <w:pPr>
        <w:ind w:left="5760" w:hanging="360"/>
      </w:pPr>
    </w:lvl>
    <w:lvl w:ilvl="8" w:tplc="33B875AE" w:tentative="1">
      <w:start w:val="1"/>
      <w:numFmt w:val="lowerRoman"/>
      <w:lvlText w:val="%9."/>
      <w:lvlJc w:val="right"/>
      <w:pPr>
        <w:ind w:left="6480" w:hanging="180"/>
      </w:pPr>
    </w:lvl>
  </w:abstractNum>
  <w:abstractNum w:abstractNumId="8" w15:restartNumberingAfterBreak="0">
    <w:nsid w:val="6F044825"/>
    <w:multiLevelType w:val="multilevel"/>
    <w:tmpl w:val="6F044825"/>
    <w:lvl w:ilvl="0">
      <w:start w:val="1"/>
      <w:numFmt w:val="lowerLetter"/>
      <w:lvlText w:val="%1."/>
      <w:lvlJc w:val="left"/>
      <w:pPr>
        <w:ind w:left="107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73B07B06"/>
    <w:multiLevelType w:val="hybridMultilevel"/>
    <w:tmpl w:val="6010B614"/>
    <w:lvl w:ilvl="0" w:tplc="E174BCAA">
      <w:start w:val="1"/>
      <w:numFmt w:val="decimal"/>
      <w:lvlText w:val="Table.%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116C6"/>
    <w:multiLevelType w:val="hybridMultilevel"/>
    <w:tmpl w:val="CBBC9980"/>
    <w:lvl w:ilvl="0" w:tplc="EA72D928">
      <w:start w:val="21"/>
      <w:numFmt w:val="decimal"/>
      <w:lvlText w:val="%1."/>
      <w:lvlJc w:val="left"/>
      <w:pPr>
        <w:ind w:left="117" w:hanging="368"/>
      </w:pPr>
      <w:rPr>
        <w:rFonts w:ascii="Times New Roman" w:eastAsia="Times New Roman" w:hAnsi="Times New Roman" w:cs="Times New Roman" w:hint="default"/>
        <w:spacing w:val="0"/>
        <w:w w:val="100"/>
        <w:sz w:val="24"/>
        <w:szCs w:val="24"/>
        <w:lang w:eastAsia="en-US" w:bidi="ar-SA"/>
      </w:rPr>
    </w:lvl>
    <w:lvl w:ilvl="1" w:tplc="590E04EA">
      <w:start w:val="1"/>
      <w:numFmt w:val="decimal"/>
      <w:lvlText w:val="%2)"/>
      <w:lvlJc w:val="left"/>
      <w:pPr>
        <w:ind w:left="678" w:hanging="417"/>
      </w:pPr>
      <w:rPr>
        <w:rFonts w:ascii="Times New Roman" w:eastAsia="Times New Roman" w:hAnsi="Times New Roman" w:cs="Times New Roman" w:hint="default"/>
        <w:spacing w:val="-20"/>
        <w:w w:val="99"/>
        <w:sz w:val="24"/>
        <w:szCs w:val="24"/>
        <w:lang w:eastAsia="en-US" w:bidi="ar-SA"/>
      </w:rPr>
    </w:lvl>
    <w:lvl w:ilvl="2" w:tplc="056EC790">
      <w:start w:val="1"/>
      <w:numFmt w:val="lowerLetter"/>
      <w:lvlText w:val="%3)"/>
      <w:lvlJc w:val="left"/>
      <w:pPr>
        <w:ind w:left="678" w:hanging="417"/>
      </w:pPr>
      <w:rPr>
        <w:rFonts w:ascii="Times New Roman" w:eastAsia="Times New Roman" w:hAnsi="Times New Roman" w:cs="Times New Roman" w:hint="default"/>
        <w:spacing w:val="-16"/>
        <w:w w:val="99"/>
        <w:sz w:val="24"/>
        <w:szCs w:val="24"/>
        <w:lang w:eastAsia="en-US" w:bidi="ar-SA"/>
      </w:rPr>
    </w:lvl>
    <w:lvl w:ilvl="3" w:tplc="530C7930">
      <w:start w:val="1"/>
      <w:numFmt w:val="lowerLetter"/>
      <w:lvlText w:val="%4)"/>
      <w:lvlJc w:val="left"/>
      <w:pPr>
        <w:ind w:left="1559" w:hanging="449"/>
      </w:pPr>
      <w:rPr>
        <w:rFonts w:ascii="Times New Roman" w:eastAsia="Times New Roman" w:hAnsi="Times New Roman" w:cs="Times New Roman" w:hint="default"/>
        <w:spacing w:val="-20"/>
        <w:w w:val="99"/>
        <w:sz w:val="24"/>
        <w:szCs w:val="24"/>
        <w:lang w:eastAsia="en-US" w:bidi="ar-SA"/>
      </w:rPr>
    </w:lvl>
    <w:lvl w:ilvl="4" w:tplc="9708AEA0">
      <w:numFmt w:val="bullet"/>
      <w:lvlText w:val="•"/>
      <w:lvlJc w:val="left"/>
      <w:pPr>
        <w:ind w:left="3645" w:hanging="449"/>
      </w:pPr>
      <w:rPr>
        <w:rFonts w:hint="default"/>
        <w:lang w:eastAsia="en-US" w:bidi="ar-SA"/>
      </w:rPr>
    </w:lvl>
    <w:lvl w:ilvl="5" w:tplc="9AF6705E">
      <w:numFmt w:val="bullet"/>
      <w:lvlText w:val="•"/>
      <w:lvlJc w:val="left"/>
      <w:pPr>
        <w:ind w:left="4687" w:hanging="449"/>
      </w:pPr>
      <w:rPr>
        <w:rFonts w:hint="default"/>
        <w:lang w:eastAsia="en-US" w:bidi="ar-SA"/>
      </w:rPr>
    </w:lvl>
    <w:lvl w:ilvl="6" w:tplc="21D2C624">
      <w:numFmt w:val="bullet"/>
      <w:lvlText w:val="•"/>
      <w:lvlJc w:val="left"/>
      <w:pPr>
        <w:ind w:left="5730" w:hanging="449"/>
      </w:pPr>
      <w:rPr>
        <w:rFonts w:hint="default"/>
        <w:lang w:eastAsia="en-US" w:bidi="ar-SA"/>
      </w:rPr>
    </w:lvl>
    <w:lvl w:ilvl="7" w:tplc="E53273F2">
      <w:numFmt w:val="bullet"/>
      <w:lvlText w:val="•"/>
      <w:lvlJc w:val="left"/>
      <w:pPr>
        <w:ind w:left="6772" w:hanging="449"/>
      </w:pPr>
      <w:rPr>
        <w:rFonts w:hint="default"/>
        <w:lang w:eastAsia="en-US" w:bidi="ar-SA"/>
      </w:rPr>
    </w:lvl>
    <w:lvl w:ilvl="8" w:tplc="848C7A96">
      <w:numFmt w:val="bullet"/>
      <w:lvlText w:val="•"/>
      <w:lvlJc w:val="left"/>
      <w:pPr>
        <w:ind w:left="7815" w:hanging="449"/>
      </w:pPr>
      <w:rPr>
        <w:rFonts w:hint="default"/>
        <w:lang w:eastAsia="en-US" w:bidi="ar-SA"/>
      </w:rPr>
    </w:lvl>
  </w:abstractNum>
  <w:num w:numId="1">
    <w:abstractNumId w:val="4"/>
  </w:num>
  <w:num w:numId="2">
    <w:abstractNumId w:val="8"/>
  </w:num>
  <w:num w:numId="3">
    <w:abstractNumId w:val="6"/>
  </w:num>
  <w:num w:numId="4">
    <w:abstractNumId w:val="2"/>
  </w:num>
  <w:num w:numId="5">
    <w:abstractNumId w:val="5"/>
  </w:num>
  <w:num w:numId="6">
    <w:abstractNumId w:val="3"/>
  </w:num>
  <w:num w:numId="7">
    <w:abstractNumId w:val="0"/>
  </w:num>
  <w:num w:numId="8">
    <w:abstractNumId w:val="1"/>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hideSpellingErrors/>
  <w:hideGrammaticalErrors/>
  <w:defaultTabStop w:val="720"/>
  <w:evenAndOddHeaders/>
  <w:characterSpacingControl w:val="doNotCompress"/>
  <w:hdrShapeDefaults>
    <o:shapedefaults v:ext="edit" spidmax="2050"/>
    <o:shapelayout v:ext="edit">
      <o:rules v:ext="edit">
        <o:r id="V:Rule2" type="connector" idref="#Straight Arrow Connector 7"/>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NTa1MDQ1NDMxMDBQ0lEKTi0uzszPAykwMq8FAIHfSmgtAAAA"/>
  </w:docVars>
  <w:rsids>
    <w:rsidRoot w:val="00CF0B36"/>
    <w:rsid w:val="00000DAD"/>
    <w:rsid w:val="00002DF8"/>
    <w:rsid w:val="00006D00"/>
    <w:rsid w:val="00011256"/>
    <w:rsid w:val="00011F7D"/>
    <w:rsid w:val="0001363F"/>
    <w:rsid w:val="000136F0"/>
    <w:rsid w:val="0001778C"/>
    <w:rsid w:val="00027EBC"/>
    <w:rsid w:val="00030245"/>
    <w:rsid w:val="00031B05"/>
    <w:rsid w:val="000342EA"/>
    <w:rsid w:val="0004329E"/>
    <w:rsid w:val="00050D2D"/>
    <w:rsid w:val="0005336D"/>
    <w:rsid w:val="000548DF"/>
    <w:rsid w:val="00056ACD"/>
    <w:rsid w:val="00062902"/>
    <w:rsid w:val="0006513D"/>
    <w:rsid w:val="00070F1C"/>
    <w:rsid w:val="00071D59"/>
    <w:rsid w:val="00075450"/>
    <w:rsid w:val="000803F8"/>
    <w:rsid w:val="00082815"/>
    <w:rsid w:val="00085FDA"/>
    <w:rsid w:val="0008700E"/>
    <w:rsid w:val="00087701"/>
    <w:rsid w:val="00092DB2"/>
    <w:rsid w:val="00093728"/>
    <w:rsid w:val="00093A19"/>
    <w:rsid w:val="00094EE2"/>
    <w:rsid w:val="00095424"/>
    <w:rsid w:val="0009592B"/>
    <w:rsid w:val="0009601A"/>
    <w:rsid w:val="000963BF"/>
    <w:rsid w:val="000A068C"/>
    <w:rsid w:val="000A53EB"/>
    <w:rsid w:val="000A594A"/>
    <w:rsid w:val="000A64E9"/>
    <w:rsid w:val="000B43A7"/>
    <w:rsid w:val="000B725C"/>
    <w:rsid w:val="000B7E75"/>
    <w:rsid w:val="000C04DD"/>
    <w:rsid w:val="000C5AA0"/>
    <w:rsid w:val="000C7457"/>
    <w:rsid w:val="000D3BFC"/>
    <w:rsid w:val="000D6A0B"/>
    <w:rsid w:val="000D7978"/>
    <w:rsid w:val="000E27C3"/>
    <w:rsid w:val="000E68EE"/>
    <w:rsid w:val="000E6B53"/>
    <w:rsid w:val="000E7F19"/>
    <w:rsid w:val="000F5CE9"/>
    <w:rsid w:val="000F5F57"/>
    <w:rsid w:val="00101F6B"/>
    <w:rsid w:val="00103BB6"/>
    <w:rsid w:val="001124FA"/>
    <w:rsid w:val="001132BF"/>
    <w:rsid w:val="00113337"/>
    <w:rsid w:val="00113506"/>
    <w:rsid w:val="00120795"/>
    <w:rsid w:val="001219C0"/>
    <w:rsid w:val="0013535D"/>
    <w:rsid w:val="00142A3D"/>
    <w:rsid w:val="00145178"/>
    <w:rsid w:val="00153A1C"/>
    <w:rsid w:val="00156630"/>
    <w:rsid w:val="00157A6C"/>
    <w:rsid w:val="001707C3"/>
    <w:rsid w:val="00175CE6"/>
    <w:rsid w:val="001779A8"/>
    <w:rsid w:val="00180E08"/>
    <w:rsid w:val="001870B8"/>
    <w:rsid w:val="0018760F"/>
    <w:rsid w:val="00190696"/>
    <w:rsid w:val="00192B86"/>
    <w:rsid w:val="00193A3F"/>
    <w:rsid w:val="001A0337"/>
    <w:rsid w:val="001A08B7"/>
    <w:rsid w:val="001A5B1B"/>
    <w:rsid w:val="001B3542"/>
    <w:rsid w:val="001B3D9C"/>
    <w:rsid w:val="001B5F8D"/>
    <w:rsid w:val="001C1FD5"/>
    <w:rsid w:val="001C2076"/>
    <w:rsid w:val="001C3A0E"/>
    <w:rsid w:val="001C4B8B"/>
    <w:rsid w:val="001C7D52"/>
    <w:rsid w:val="001D6450"/>
    <w:rsid w:val="001D74F9"/>
    <w:rsid w:val="00203ABF"/>
    <w:rsid w:val="00203DB1"/>
    <w:rsid w:val="00213059"/>
    <w:rsid w:val="00215DCD"/>
    <w:rsid w:val="002206A3"/>
    <w:rsid w:val="00226EE2"/>
    <w:rsid w:val="0023050D"/>
    <w:rsid w:val="00230F14"/>
    <w:rsid w:val="00231893"/>
    <w:rsid w:val="00236D15"/>
    <w:rsid w:val="0024164F"/>
    <w:rsid w:val="00243017"/>
    <w:rsid w:val="0024348A"/>
    <w:rsid w:val="002443B2"/>
    <w:rsid w:val="002452D1"/>
    <w:rsid w:val="00247679"/>
    <w:rsid w:val="0025688B"/>
    <w:rsid w:val="0026310F"/>
    <w:rsid w:val="00264D17"/>
    <w:rsid w:val="00265379"/>
    <w:rsid w:val="00267143"/>
    <w:rsid w:val="00271E5E"/>
    <w:rsid w:val="00275F52"/>
    <w:rsid w:val="00280B61"/>
    <w:rsid w:val="00282F27"/>
    <w:rsid w:val="00285FF1"/>
    <w:rsid w:val="00290FB4"/>
    <w:rsid w:val="002914CE"/>
    <w:rsid w:val="00291E3F"/>
    <w:rsid w:val="0029739D"/>
    <w:rsid w:val="002A453F"/>
    <w:rsid w:val="002A5729"/>
    <w:rsid w:val="002A59B8"/>
    <w:rsid w:val="002A66BC"/>
    <w:rsid w:val="002A73C6"/>
    <w:rsid w:val="002B2EC0"/>
    <w:rsid w:val="002B4538"/>
    <w:rsid w:val="002B7743"/>
    <w:rsid w:val="002C4C1C"/>
    <w:rsid w:val="002D0E05"/>
    <w:rsid w:val="002D3D70"/>
    <w:rsid w:val="002D7766"/>
    <w:rsid w:val="002E009A"/>
    <w:rsid w:val="002E14EF"/>
    <w:rsid w:val="002E4EC4"/>
    <w:rsid w:val="002F03FC"/>
    <w:rsid w:val="002F0FB4"/>
    <w:rsid w:val="00302A20"/>
    <w:rsid w:val="00303CA6"/>
    <w:rsid w:val="003043F5"/>
    <w:rsid w:val="003105B8"/>
    <w:rsid w:val="003131D8"/>
    <w:rsid w:val="00317948"/>
    <w:rsid w:val="003228CC"/>
    <w:rsid w:val="00335AB4"/>
    <w:rsid w:val="00336710"/>
    <w:rsid w:val="00340971"/>
    <w:rsid w:val="0034374E"/>
    <w:rsid w:val="00343968"/>
    <w:rsid w:val="00350B32"/>
    <w:rsid w:val="003521C8"/>
    <w:rsid w:val="00352BB5"/>
    <w:rsid w:val="00363477"/>
    <w:rsid w:val="0036667D"/>
    <w:rsid w:val="00366AB2"/>
    <w:rsid w:val="00366DC5"/>
    <w:rsid w:val="003809BC"/>
    <w:rsid w:val="003833B2"/>
    <w:rsid w:val="00386CBF"/>
    <w:rsid w:val="00387D40"/>
    <w:rsid w:val="00387EE5"/>
    <w:rsid w:val="003909F1"/>
    <w:rsid w:val="0039602F"/>
    <w:rsid w:val="003A05C2"/>
    <w:rsid w:val="003A1B68"/>
    <w:rsid w:val="003A5C60"/>
    <w:rsid w:val="003B08E8"/>
    <w:rsid w:val="003B2369"/>
    <w:rsid w:val="003B336C"/>
    <w:rsid w:val="003B59CF"/>
    <w:rsid w:val="003C0D33"/>
    <w:rsid w:val="003C576E"/>
    <w:rsid w:val="003C72B0"/>
    <w:rsid w:val="003C731F"/>
    <w:rsid w:val="003F2D8A"/>
    <w:rsid w:val="003F371E"/>
    <w:rsid w:val="00406FC7"/>
    <w:rsid w:val="00412C6C"/>
    <w:rsid w:val="00412E6E"/>
    <w:rsid w:val="00413B2E"/>
    <w:rsid w:val="00417ED3"/>
    <w:rsid w:val="00420DD9"/>
    <w:rsid w:val="00421383"/>
    <w:rsid w:val="004230C4"/>
    <w:rsid w:val="00424C7F"/>
    <w:rsid w:val="00424E43"/>
    <w:rsid w:val="00431B11"/>
    <w:rsid w:val="00434091"/>
    <w:rsid w:val="00440004"/>
    <w:rsid w:val="00446E9C"/>
    <w:rsid w:val="004528F7"/>
    <w:rsid w:val="004542F1"/>
    <w:rsid w:val="00454DB7"/>
    <w:rsid w:val="00455C69"/>
    <w:rsid w:val="004613A2"/>
    <w:rsid w:val="00480DEB"/>
    <w:rsid w:val="004821FD"/>
    <w:rsid w:val="00482A35"/>
    <w:rsid w:val="00483572"/>
    <w:rsid w:val="0048565E"/>
    <w:rsid w:val="0048588E"/>
    <w:rsid w:val="004A2FF2"/>
    <w:rsid w:val="004A3180"/>
    <w:rsid w:val="004A3C08"/>
    <w:rsid w:val="004A438A"/>
    <w:rsid w:val="004A7124"/>
    <w:rsid w:val="004B4239"/>
    <w:rsid w:val="004C6DE0"/>
    <w:rsid w:val="004D1227"/>
    <w:rsid w:val="004D78C8"/>
    <w:rsid w:val="004E2666"/>
    <w:rsid w:val="004E2E34"/>
    <w:rsid w:val="004E5C73"/>
    <w:rsid w:val="004E60B1"/>
    <w:rsid w:val="004F14FF"/>
    <w:rsid w:val="004F255F"/>
    <w:rsid w:val="004F4F97"/>
    <w:rsid w:val="005005BF"/>
    <w:rsid w:val="00500EE1"/>
    <w:rsid w:val="0050211F"/>
    <w:rsid w:val="00505ADD"/>
    <w:rsid w:val="0050632B"/>
    <w:rsid w:val="00511EEB"/>
    <w:rsid w:val="0052326E"/>
    <w:rsid w:val="00524646"/>
    <w:rsid w:val="00525CD3"/>
    <w:rsid w:val="005260F6"/>
    <w:rsid w:val="00526A99"/>
    <w:rsid w:val="005300EB"/>
    <w:rsid w:val="00530C07"/>
    <w:rsid w:val="00533259"/>
    <w:rsid w:val="00536F14"/>
    <w:rsid w:val="00537918"/>
    <w:rsid w:val="00541A7A"/>
    <w:rsid w:val="00543536"/>
    <w:rsid w:val="00544E2D"/>
    <w:rsid w:val="00553F62"/>
    <w:rsid w:val="0056141A"/>
    <w:rsid w:val="00562DCB"/>
    <w:rsid w:val="00563E18"/>
    <w:rsid w:val="00565B8F"/>
    <w:rsid w:val="00575204"/>
    <w:rsid w:val="00576F0F"/>
    <w:rsid w:val="005857BB"/>
    <w:rsid w:val="00591829"/>
    <w:rsid w:val="005920C7"/>
    <w:rsid w:val="005953C3"/>
    <w:rsid w:val="00597763"/>
    <w:rsid w:val="005A0FF3"/>
    <w:rsid w:val="005A4DCE"/>
    <w:rsid w:val="005A6416"/>
    <w:rsid w:val="005B300D"/>
    <w:rsid w:val="005C25CD"/>
    <w:rsid w:val="005C3AF3"/>
    <w:rsid w:val="005C5D52"/>
    <w:rsid w:val="005C7E33"/>
    <w:rsid w:val="005D402A"/>
    <w:rsid w:val="005D4873"/>
    <w:rsid w:val="005D723C"/>
    <w:rsid w:val="005E070C"/>
    <w:rsid w:val="005E4957"/>
    <w:rsid w:val="005F442A"/>
    <w:rsid w:val="005F55DA"/>
    <w:rsid w:val="005F776A"/>
    <w:rsid w:val="00603CFF"/>
    <w:rsid w:val="006054EE"/>
    <w:rsid w:val="006108D6"/>
    <w:rsid w:val="00615D54"/>
    <w:rsid w:val="0062153A"/>
    <w:rsid w:val="00621DD2"/>
    <w:rsid w:val="006222B2"/>
    <w:rsid w:val="00622F69"/>
    <w:rsid w:val="00624135"/>
    <w:rsid w:val="00624CC6"/>
    <w:rsid w:val="00626A8A"/>
    <w:rsid w:val="00630C32"/>
    <w:rsid w:val="00637C5D"/>
    <w:rsid w:val="00637C93"/>
    <w:rsid w:val="00647E2A"/>
    <w:rsid w:val="0065247F"/>
    <w:rsid w:val="006551C4"/>
    <w:rsid w:val="00655A08"/>
    <w:rsid w:val="00666FEE"/>
    <w:rsid w:val="0067000D"/>
    <w:rsid w:val="006709A2"/>
    <w:rsid w:val="00671808"/>
    <w:rsid w:val="00672381"/>
    <w:rsid w:val="00673662"/>
    <w:rsid w:val="00676339"/>
    <w:rsid w:val="00677F71"/>
    <w:rsid w:val="0068113C"/>
    <w:rsid w:val="0068322A"/>
    <w:rsid w:val="00687CF3"/>
    <w:rsid w:val="00691187"/>
    <w:rsid w:val="006926EB"/>
    <w:rsid w:val="006A34C7"/>
    <w:rsid w:val="006A6651"/>
    <w:rsid w:val="006B2D5F"/>
    <w:rsid w:val="006B5412"/>
    <w:rsid w:val="006B61DA"/>
    <w:rsid w:val="006C24C0"/>
    <w:rsid w:val="006C2CCC"/>
    <w:rsid w:val="006C3595"/>
    <w:rsid w:val="006D12CA"/>
    <w:rsid w:val="006D6C39"/>
    <w:rsid w:val="006E3991"/>
    <w:rsid w:val="006F5A08"/>
    <w:rsid w:val="00700747"/>
    <w:rsid w:val="00701CA3"/>
    <w:rsid w:val="00703E42"/>
    <w:rsid w:val="00704D81"/>
    <w:rsid w:val="007063AF"/>
    <w:rsid w:val="007117F4"/>
    <w:rsid w:val="00714FA6"/>
    <w:rsid w:val="00715DD6"/>
    <w:rsid w:val="00715E6E"/>
    <w:rsid w:val="00717CFB"/>
    <w:rsid w:val="007212C7"/>
    <w:rsid w:val="00722186"/>
    <w:rsid w:val="00724567"/>
    <w:rsid w:val="0073624A"/>
    <w:rsid w:val="007367C0"/>
    <w:rsid w:val="00743AFA"/>
    <w:rsid w:val="00744763"/>
    <w:rsid w:val="0075129E"/>
    <w:rsid w:val="00751677"/>
    <w:rsid w:val="0075320C"/>
    <w:rsid w:val="00753A41"/>
    <w:rsid w:val="007615DE"/>
    <w:rsid w:val="00770A73"/>
    <w:rsid w:val="007758E7"/>
    <w:rsid w:val="00777BE4"/>
    <w:rsid w:val="00780E42"/>
    <w:rsid w:val="00783B18"/>
    <w:rsid w:val="00793FB0"/>
    <w:rsid w:val="0079534C"/>
    <w:rsid w:val="007B32AE"/>
    <w:rsid w:val="007B3EA5"/>
    <w:rsid w:val="007B4D79"/>
    <w:rsid w:val="007C0D73"/>
    <w:rsid w:val="007C0E8A"/>
    <w:rsid w:val="007C5D99"/>
    <w:rsid w:val="007C5E9C"/>
    <w:rsid w:val="007D338E"/>
    <w:rsid w:val="007D4011"/>
    <w:rsid w:val="007D63B4"/>
    <w:rsid w:val="007D7012"/>
    <w:rsid w:val="007D7AEC"/>
    <w:rsid w:val="007E1BEC"/>
    <w:rsid w:val="007F116B"/>
    <w:rsid w:val="007F415D"/>
    <w:rsid w:val="007F55FD"/>
    <w:rsid w:val="007F7B5B"/>
    <w:rsid w:val="00805F17"/>
    <w:rsid w:val="00806BE6"/>
    <w:rsid w:val="008074E5"/>
    <w:rsid w:val="008126AA"/>
    <w:rsid w:val="00815805"/>
    <w:rsid w:val="00815F27"/>
    <w:rsid w:val="00816700"/>
    <w:rsid w:val="00833D8A"/>
    <w:rsid w:val="008414B4"/>
    <w:rsid w:val="00841E48"/>
    <w:rsid w:val="0084503C"/>
    <w:rsid w:val="00852543"/>
    <w:rsid w:val="00853187"/>
    <w:rsid w:val="00855679"/>
    <w:rsid w:val="00861617"/>
    <w:rsid w:val="0088008C"/>
    <w:rsid w:val="00882E42"/>
    <w:rsid w:val="0088346D"/>
    <w:rsid w:val="00884A5F"/>
    <w:rsid w:val="008866F3"/>
    <w:rsid w:val="00894730"/>
    <w:rsid w:val="00895F0B"/>
    <w:rsid w:val="008A1220"/>
    <w:rsid w:val="008A19B8"/>
    <w:rsid w:val="008B0E8E"/>
    <w:rsid w:val="008B4DD7"/>
    <w:rsid w:val="008B64BD"/>
    <w:rsid w:val="008C196B"/>
    <w:rsid w:val="008C3FDF"/>
    <w:rsid w:val="008C6D0D"/>
    <w:rsid w:val="008D52F0"/>
    <w:rsid w:val="008E1B6C"/>
    <w:rsid w:val="008E5B13"/>
    <w:rsid w:val="008E5FF6"/>
    <w:rsid w:val="008E7F48"/>
    <w:rsid w:val="008F73DE"/>
    <w:rsid w:val="008F7720"/>
    <w:rsid w:val="0090363A"/>
    <w:rsid w:val="00910399"/>
    <w:rsid w:val="00915BE0"/>
    <w:rsid w:val="00921028"/>
    <w:rsid w:val="00921709"/>
    <w:rsid w:val="0092267C"/>
    <w:rsid w:val="00923000"/>
    <w:rsid w:val="009300F2"/>
    <w:rsid w:val="00930B1A"/>
    <w:rsid w:val="00930DAE"/>
    <w:rsid w:val="00931778"/>
    <w:rsid w:val="00932790"/>
    <w:rsid w:val="00932854"/>
    <w:rsid w:val="0093365A"/>
    <w:rsid w:val="0093664F"/>
    <w:rsid w:val="00942B26"/>
    <w:rsid w:val="00946BAB"/>
    <w:rsid w:val="009539D1"/>
    <w:rsid w:val="00955F4E"/>
    <w:rsid w:val="00963D03"/>
    <w:rsid w:val="009650EB"/>
    <w:rsid w:val="00971F73"/>
    <w:rsid w:val="00973E45"/>
    <w:rsid w:val="00973E91"/>
    <w:rsid w:val="00976390"/>
    <w:rsid w:val="00980500"/>
    <w:rsid w:val="00982F36"/>
    <w:rsid w:val="009832A5"/>
    <w:rsid w:val="00985D9E"/>
    <w:rsid w:val="0098645F"/>
    <w:rsid w:val="009A295D"/>
    <w:rsid w:val="009A3082"/>
    <w:rsid w:val="009A44C9"/>
    <w:rsid w:val="009A7AED"/>
    <w:rsid w:val="009C3777"/>
    <w:rsid w:val="009C5C6F"/>
    <w:rsid w:val="009C644A"/>
    <w:rsid w:val="009D2259"/>
    <w:rsid w:val="009D2473"/>
    <w:rsid w:val="009D6236"/>
    <w:rsid w:val="009D6A07"/>
    <w:rsid w:val="009F2C60"/>
    <w:rsid w:val="009F4120"/>
    <w:rsid w:val="009F50E6"/>
    <w:rsid w:val="009F5464"/>
    <w:rsid w:val="00A02B25"/>
    <w:rsid w:val="00A1017D"/>
    <w:rsid w:val="00A1082F"/>
    <w:rsid w:val="00A12D04"/>
    <w:rsid w:val="00A136D1"/>
    <w:rsid w:val="00A14096"/>
    <w:rsid w:val="00A22A40"/>
    <w:rsid w:val="00A31AA1"/>
    <w:rsid w:val="00A33E76"/>
    <w:rsid w:val="00A35FF1"/>
    <w:rsid w:val="00A4117B"/>
    <w:rsid w:val="00A440DC"/>
    <w:rsid w:val="00A46EF2"/>
    <w:rsid w:val="00A57F10"/>
    <w:rsid w:val="00A60183"/>
    <w:rsid w:val="00A602B2"/>
    <w:rsid w:val="00A636C1"/>
    <w:rsid w:val="00A65D0C"/>
    <w:rsid w:val="00A6737B"/>
    <w:rsid w:val="00A74385"/>
    <w:rsid w:val="00A82BC9"/>
    <w:rsid w:val="00A91AE5"/>
    <w:rsid w:val="00A95ADB"/>
    <w:rsid w:val="00A978E3"/>
    <w:rsid w:val="00A97C23"/>
    <w:rsid w:val="00AA23A5"/>
    <w:rsid w:val="00AA5FC3"/>
    <w:rsid w:val="00AA7021"/>
    <w:rsid w:val="00AB2434"/>
    <w:rsid w:val="00AB38A0"/>
    <w:rsid w:val="00AB50E3"/>
    <w:rsid w:val="00AB6742"/>
    <w:rsid w:val="00AC0CEE"/>
    <w:rsid w:val="00AD0313"/>
    <w:rsid w:val="00AD27D4"/>
    <w:rsid w:val="00AD7556"/>
    <w:rsid w:val="00AE0A44"/>
    <w:rsid w:val="00AE13E4"/>
    <w:rsid w:val="00AE70C4"/>
    <w:rsid w:val="00AE7229"/>
    <w:rsid w:val="00AF4E37"/>
    <w:rsid w:val="00AF6FCF"/>
    <w:rsid w:val="00B03731"/>
    <w:rsid w:val="00B145E0"/>
    <w:rsid w:val="00B22F98"/>
    <w:rsid w:val="00B237E2"/>
    <w:rsid w:val="00B30956"/>
    <w:rsid w:val="00B325B8"/>
    <w:rsid w:val="00B327E9"/>
    <w:rsid w:val="00B344B5"/>
    <w:rsid w:val="00B37F82"/>
    <w:rsid w:val="00B41805"/>
    <w:rsid w:val="00B44BC6"/>
    <w:rsid w:val="00B5480B"/>
    <w:rsid w:val="00B55CCB"/>
    <w:rsid w:val="00B602FC"/>
    <w:rsid w:val="00B60957"/>
    <w:rsid w:val="00B62178"/>
    <w:rsid w:val="00B70A4B"/>
    <w:rsid w:val="00B71FA9"/>
    <w:rsid w:val="00B77396"/>
    <w:rsid w:val="00B8168B"/>
    <w:rsid w:val="00B85BD6"/>
    <w:rsid w:val="00B9242F"/>
    <w:rsid w:val="00B92676"/>
    <w:rsid w:val="00B928BF"/>
    <w:rsid w:val="00B93944"/>
    <w:rsid w:val="00B94634"/>
    <w:rsid w:val="00B96DDC"/>
    <w:rsid w:val="00B97677"/>
    <w:rsid w:val="00BA0589"/>
    <w:rsid w:val="00BA199F"/>
    <w:rsid w:val="00BA4CF7"/>
    <w:rsid w:val="00BA4F61"/>
    <w:rsid w:val="00BA606D"/>
    <w:rsid w:val="00BB6C42"/>
    <w:rsid w:val="00BC6BC5"/>
    <w:rsid w:val="00BD18CB"/>
    <w:rsid w:val="00BD5ED1"/>
    <w:rsid w:val="00BD67AD"/>
    <w:rsid w:val="00BE2582"/>
    <w:rsid w:val="00BE349D"/>
    <w:rsid w:val="00BF0212"/>
    <w:rsid w:val="00BF57B9"/>
    <w:rsid w:val="00C05116"/>
    <w:rsid w:val="00C21E16"/>
    <w:rsid w:val="00C2538B"/>
    <w:rsid w:val="00C35334"/>
    <w:rsid w:val="00C36A25"/>
    <w:rsid w:val="00C3707B"/>
    <w:rsid w:val="00C37D62"/>
    <w:rsid w:val="00C41AE9"/>
    <w:rsid w:val="00C428E8"/>
    <w:rsid w:val="00C505BC"/>
    <w:rsid w:val="00C51BC0"/>
    <w:rsid w:val="00C527C8"/>
    <w:rsid w:val="00C568CB"/>
    <w:rsid w:val="00C6190B"/>
    <w:rsid w:val="00C62A05"/>
    <w:rsid w:val="00C63872"/>
    <w:rsid w:val="00C70CFB"/>
    <w:rsid w:val="00C75E34"/>
    <w:rsid w:val="00C777D9"/>
    <w:rsid w:val="00C80163"/>
    <w:rsid w:val="00C825EA"/>
    <w:rsid w:val="00C9423A"/>
    <w:rsid w:val="00C94E74"/>
    <w:rsid w:val="00C95780"/>
    <w:rsid w:val="00C960CE"/>
    <w:rsid w:val="00CA3E3E"/>
    <w:rsid w:val="00CB30EE"/>
    <w:rsid w:val="00CB4BF9"/>
    <w:rsid w:val="00CB574E"/>
    <w:rsid w:val="00CB7117"/>
    <w:rsid w:val="00CC01ED"/>
    <w:rsid w:val="00CC39C4"/>
    <w:rsid w:val="00CC3DC2"/>
    <w:rsid w:val="00CC56F6"/>
    <w:rsid w:val="00CC6544"/>
    <w:rsid w:val="00CD3740"/>
    <w:rsid w:val="00CD413C"/>
    <w:rsid w:val="00CD60F4"/>
    <w:rsid w:val="00CD6868"/>
    <w:rsid w:val="00CE2F76"/>
    <w:rsid w:val="00CE41B1"/>
    <w:rsid w:val="00CE4201"/>
    <w:rsid w:val="00CE7F24"/>
    <w:rsid w:val="00CF0B36"/>
    <w:rsid w:val="00CF3A17"/>
    <w:rsid w:val="00CF69FA"/>
    <w:rsid w:val="00D00B4B"/>
    <w:rsid w:val="00D02B0D"/>
    <w:rsid w:val="00D126F0"/>
    <w:rsid w:val="00D12B47"/>
    <w:rsid w:val="00D1405E"/>
    <w:rsid w:val="00D2287E"/>
    <w:rsid w:val="00D23BA8"/>
    <w:rsid w:val="00D35A00"/>
    <w:rsid w:val="00D3640C"/>
    <w:rsid w:val="00D41CE5"/>
    <w:rsid w:val="00D44EE9"/>
    <w:rsid w:val="00D5206C"/>
    <w:rsid w:val="00D53DDD"/>
    <w:rsid w:val="00D540EF"/>
    <w:rsid w:val="00D55F27"/>
    <w:rsid w:val="00D56930"/>
    <w:rsid w:val="00D572C4"/>
    <w:rsid w:val="00D574C1"/>
    <w:rsid w:val="00D61341"/>
    <w:rsid w:val="00D65A8A"/>
    <w:rsid w:val="00D66F47"/>
    <w:rsid w:val="00D708EA"/>
    <w:rsid w:val="00D777A5"/>
    <w:rsid w:val="00D777D8"/>
    <w:rsid w:val="00D81852"/>
    <w:rsid w:val="00D82D60"/>
    <w:rsid w:val="00D9018E"/>
    <w:rsid w:val="00D93CE5"/>
    <w:rsid w:val="00DA0DF5"/>
    <w:rsid w:val="00DA431A"/>
    <w:rsid w:val="00DB2E1D"/>
    <w:rsid w:val="00DB56C5"/>
    <w:rsid w:val="00DB5B3B"/>
    <w:rsid w:val="00DC0362"/>
    <w:rsid w:val="00DC32B8"/>
    <w:rsid w:val="00DC659E"/>
    <w:rsid w:val="00DC7BB8"/>
    <w:rsid w:val="00DD55AD"/>
    <w:rsid w:val="00DF20C5"/>
    <w:rsid w:val="00DF71C9"/>
    <w:rsid w:val="00E00E3D"/>
    <w:rsid w:val="00E01369"/>
    <w:rsid w:val="00E02CFB"/>
    <w:rsid w:val="00E07DDF"/>
    <w:rsid w:val="00E12238"/>
    <w:rsid w:val="00E17EB1"/>
    <w:rsid w:val="00E2173F"/>
    <w:rsid w:val="00E21B18"/>
    <w:rsid w:val="00E26586"/>
    <w:rsid w:val="00E269A6"/>
    <w:rsid w:val="00E2720F"/>
    <w:rsid w:val="00E27CF3"/>
    <w:rsid w:val="00E36B7F"/>
    <w:rsid w:val="00E541F6"/>
    <w:rsid w:val="00E55B27"/>
    <w:rsid w:val="00E60B5A"/>
    <w:rsid w:val="00E70CD1"/>
    <w:rsid w:val="00E729C5"/>
    <w:rsid w:val="00E73F52"/>
    <w:rsid w:val="00E767F0"/>
    <w:rsid w:val="00E81EDE"/>
    <w:rsid w:val="00E828BD"/>
    <w:rsid w:val="00E91ADC"/>
    <w:rsid w:val="00E92412"/>
    <w:rsid w:val="00E9340D"/>
    <w:rsid w:val="00E95118"/>
    <w:rsid w:val="00EA151D"/>
    <w:rsid w:val="00EA4354"/>
    <w:rsid w:val="00EB172E"/>
    <w:rsid w:val="00EB5474"/>
    <w:rsid w:val="00EB5AED"/>
    <w:rsid w:val="00EB6F62"/>
    <w:rsid w:val="00EB7850"/>
    <w:rsid w:val="00EB7C96"/>
    <w:rsid w:val="00EC2348"/>
    <w:rsid w:val="00EC51CD"/>
    <w:rsid w:val="00ED0D19"/>
    <w:rsid w:val="00ED311E"/>
    <w:rsid w:val="00ED3F57"/>
    <w:rsid w:val="00EE07FE"/>
    <w:rsid w:val="00EE0D35"/>
    <w:rsid w:val="00EE13BD"/>
    <w:rsid w:val="00EE168D"/>
    <w:rsid w:val="00EE4BE8"/>
    <w:rsid w:val="00EE5809"/>
    <w:rsid w:val="00EE636C"/>
    <w:rsid w:val="00EF0B81"/>
    <w:rsid w:val="00EF2980"/>
    <w:rsid w:val="00F15F3F"/>
    <w:rsid w:val="00F200DC"/>
    <w:rsid w:val="00F20418"/>
    <w:rsid w:val="00F21156"/>
    <w:rsid w:val="00F31B06"/>
    <w:rsid w:val="00F31BFF"/>
    <w:rsid w:val="00F32215"/>
    <w:rsid w:val="00F32DA8"/>
    <w:rsid w:val="00F3587E"/>
    <w:rsid w:val="00F4212B"/>
    <w:rsid w:val="00F47973"/>
    <w:rsid w:val="00F649C6"/>
    <w:rsid w:val="00F72E7F"/>
    <w:rsid w:val="00F74778"/>
    <w:rsid w:val="00F779E9"/>
    <w:rsid w:val="00F814CD"/>
    <w:rsid w:val="00F842C4"/>
    <w:rsid w:val="00F90223"/>
    <w:rsid w:val="00F913FD"/>
    <w:rsid w:val="00F978E2"/>
    <w:rsid w:val="00FA2973"/>
    <w:rsid w:val="00FB47CF"/>
    <w:rsid w:val="00FB6FDB"/>
    <w:rsid w:val="00FD3D74"/>
    <w:rsid w:val="00FD6268"/>
    <w:rsid w:val="00FE1720"/>
    <w:rsid w:val="00FE3AD6"/>
    <w:rsid w:val="00FE43FE"/>
    <w:rsid w:val="00FE6747"/>
    <w:rsid w:val="00FF08A4"/>
    <w:rsid w:val="00FF2CCA"/>
    <w:rsid w:val="00FF32A4"/>
    <w:rsid w:val="00FF3AB8"/>
    <w:rsid w:val="00FF7899"/>
    <w:rsid w:val="015D19A9"/>
    <w:rsid w:val="048E642B"/>
    <w:rsid w:val="05D024E2"/>
    <w:rsid w:val="154377A3"/>
    <w:rsid w:val="17007337"/>
    <w:rsid w:val="173776EC"/>
    <w:rsid w:val="174E5BB1"/>
    <w:rsid w:val="175D48F0"/>
    <w:rsid w:val="179A5288"/>
    <w:rsid w:val="17A177FB"/>
    <w:rsid w:val="1A246A0F"/>
    <w:rsid w:val="1ADD2781"/>
    <w:rsid w:val="1D7564D8"/>
    <w:rsid w:val="1FA16C78"/>
    <w:rsid w:val="22500C54"/>
    <w:rsid w:val="330955CA"/>
    <w:rsid w:val="34F4641E"/>
    <w:rsid w:val="3FBA108D"/>
    <w:rsid w:val="44467EC2"/>
    <w:rsid w:val="44762088"/>
    <w:rsid w:val="449E5F41"/>
    <w:rsid w:val="44A20C76"/>
    <w:rsid w:val="54F5630C"/>
    <w:rsid w:val="55831C5B"/>
    <w:rsid w:val="56661A29"/>
    <w:rsid w:val="587033B6"/>
    <w:rsid w:val="5C2A3B99"/>
    <w:rsid w:val="60126684"/>
    <w:rsid w:val="629A68B0"/>
    <w:rsid w:val="63961541"/>
    <w:rsid w:val="652F1E09"/>
    <w:rsid w:val="65BE2B76"/>
    <w:rsid w:val="66697A36"/>
    <w:rsid w:val="6E922E5D"/>
    <w:rsid w:val="724237CA"/>
    <w:rsid w:val="7AB03801"/>
    <w:rsid w:val="7BED6B51"/>
    <w:rsid w:val="7C493EF5"/>
    <w:rsid w:val="7ECA6CAD"/>
    <w:rsid w:val="7ED473F5"/>
    <w:rsid w:val="7FD8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AutoShape 11"/>
      </o:rules>
    </o:shapelayout>
  </w:shapeDefaults>
  <w:decimalSymbol w:val=","/>
  <w:listSeparator w:val=";"/>
  <w15:docId w15:val="{27748FFB-8E5A-B64B-90BC-DA424393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A6"/>
    <w:pPr>
      <w:spacing w:after="160" w:line="259" w:lineRule="auto"/>
    </w:pPr>
    <w:rPr>
      <w:sz w:val="22"/>
      <w:szCs w:val="22"/>
      <w:lang w:val="id-ID"/>
    </w:rPr>
  </w:style>
  <w:style w:type="paragraph" w:styleId="Judul1">
    <w:name w:val="heading 1"/>
    <w:basedOn w:val="Normal"/>
    <w:next w:val="Normal"/>
    <w:link w:val="Judul1KAR"/>
    <w:uiPriority w:val="9"/>
    <w:qFormat/>
    <w:rsid w:val="002C4C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6054EE"/>
    <w:pPr>
      <w:keepNext/>
      <w:spacing w:before="240" w:after="60" w:line="276" w:lineRule="auto"/>
      <w:outlineLvl w:val="1"/>
    </w:pPr>
    <w:rPr>
      <w:rFonts w:ascii="Calibri Light" w:eastAsia="Times New Roman" w:hAnsi="Calibri Light" w:cs="Times New Roman"/>
      <w:b/>
      <w:bCs/>
      <w:i/>
      <w:iCs/>
      <w:sz w:val="28"/>
      <w:szCs w:val="28"/>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ReferensiCatatanKaki">
    <w:name w:val="footnote reference"/>
    <w:uiPriority w:val="99"/>
    <w:unhideWhenUsed/>
    <w:rsid w:val="00303CA6"/>
    <w:rPr>
      <w:vertAlign w:val="superscript"/>
    </w:rPr>
  </w:style>
  <w:style w:type="character" w:styleId="Hyperlink">
    <w:name w:val="Hyperlink"/>
    <w:uiPriority w:val="99"/>
    <w:unhideWhenUsed/>
    <w:rsid w:val="00303CA6"/>
    <w:rPr>
      <w:color w:val="0563C1"/>
      <w:u w:val="single"/>
    </w:rPr>
  </w:style>
  <w:style w:type="character" w:customStyle="1" w:styleId="TeksBalonKAR">
    <w:name w:val="Teks Balon KAR"/>
    <w:link w:val="TeksBalon"/>
    <w:uiPriority w:val="99"/>
    <w:semiHidden/>
    <w:rsid w:val="00303CA6"/>
    <w:rPr>
      <w:rFonts w:ascii="Tahoma" w:hAnsi="Tahoma" w:cs="Tahoma"/>
      <w:sz w:val="16"/>
      <w:szCs w:val="16"/>
    </w:rPr>
  </w:style>
  <w:style w:type="character" w:customStyle="1" w:styleId="FooterKAR">
    <w:name w:val="Footer KAR"/>
    <w:basedOn w:val="FontParagrafDefault"/>
    <w:link w:val="Footer"/>
    <w:uiPriority w:val="99"/>
    <w:rsid w:val="00303CA6"/>
  </w:style>
  <w:style w:type="character" w:customStyle="1" w:styleId="HeaderKAR">
    <w:name w:val="Header KAR"/>
    <w:basedOn w:val="FontParagrafDefault"/>
    <w:link w:val="Header"/>
    <w:uiPriority w:val="99"/>
    <w:rsid w:val="00303CA6"/>
  </w:style>
  <w:style w:type="character" w:customStyle="1" w:styleId="TeksCatatanKakiKAR">
    <w:name w:val="Teks Catatan Kaki KAR"/>
    <w:link w:val="TeksCatatanKaki"/>
    <w:qFormat/>
    <w:rsid w:val="00303CA6"/>
    <w:rPr>
      <w:lang w:val="id-ID"/>
    </w:rPr>
  </w:style>
  <w:style w:type="paragraph" w:styleId="Footer">
    <w:name w:val="footer"/>
    <w:basedOn w:val="Normal"/>
    <w:link w:val="FooterKAR"/>
    <w:uiPriority w:val="99"/>
    <w:unhideWhenUsed/>
    <w:rsid w:val="00303CA6"/>
    <w:pPr>
      <w:tabs>
        <w:tab w:val="center" w:pos="4513"/>
        <w:tab w:val="right" w:pos="9026"/>
      </w:tabs>
      <w:spacing w:after="0" w:line="240" w:lineRule="auto"/>
    </w:pPr>
  </w:style>
  <w:style w:type="paragraph" w:styleId="Keterangan">
    <w:name w:val="caption"/>
    <w:basedOn w:val="Normal"/>
    <w:next w:val="Normal"/>
    <w:uiPriority w:val="35"/>
    <w:qFormat/>
    <w:rsid w:val="00303CA6"/>
    <w:pPr>
      <w:spacing w:after="200" w:line="240" w:lineRule="auto"/>
    </w:pPr>
    <w:rPr>
      <w:i/>
      <w:iCs/>
      <w:color w:val="44546A"/>
      <w:sz w:val="18"/>
      <w:szCs w:val="18"/>
    </w:rPr>
  </w:style>
  <w:style w:type="paragraph" w:styleId="Header">
    <w:name w:val="header"/>
    <w:basedOn w:val="Normal"/>
    <w:link w:val="HeaderKAR"/>
    <w:uiPriority w:val="99"/>
    <w:unhideWhenUsed/>
    <w:rsid w:val="00303CA6"/>
    <w:pPr>
      <w:tabs>
        <w:tab w:val="center" w:pos="4513"/>
        <w:tab w:val="right" w:pos="9026"/>
      </w:tabs>
      <w:spacing w:after="0" w:line="240" w:lineRule="auto"/>
    </w:pPr>
  </w:style>
  <w:style w:type="paragraph" w:styleId="TeksBalon">
    <w:name w:val="Balloon Text"/>
    <w:basedOn w:val="Normal"/>
    <w:link w:val="TeksBalonKAR"/>
    <w:uiPriority w:val="99"/>
    <w:unhideWhenUsed/>
    <w:rsid w:val="00303CA6"/>
    <w:pPr>
      <w:spacing w:after="0" w:line="240" w:lineRule="auto"/>
    </w:pPr>
    <w:rPr>
      <w:rFonts w:ascii="Tahoma" w:hAnsi="Tahoma" w:cs="Tahoma"/>
      <w:sz w:val="16"/>
      <w:szCs w:val="16"/>
    </w:rPr>
  </w:style>
  <w:style w:type="paragraph" w:styleId="TeksCatatanKaki">
    <w:name w:val="footnote text"/>
    <w:basedOn w:val="Normal"/>
    <w:link w:val="TeksCatatanKakiKAR"/>
    <w:unhideWhenUsed/>
    <w:qFormat/>
    <w:rsid w:val="00303CA6"/>
    <w:rPr>
      <w:sz w:val="20"/>
      <w:szCs w:val="20"/>
    </w:rPr>
  </w:style>
  <w:style w:type="paragraph" w:styleId="TeksKomentar">
    <w:name w:val="annotation text"/>
    <w:basedOn w:val="Normal"/>
    <w:link w:val="TeksKomentarKAR"/>
    <w:uiPriority w:val="99"/>
    <w:unhideWhenUsed/>
    <w:rsid w:val="00303CA6"/>
  </w:style>
  <w:style w:type="paragraph" w:styleId="DaftarParagraf">
    <w:name w:val="List Paragraph"/>
    <w:aliases w:val="Atan"/>
    <w:basedOn w:val="Normal"/>
    <w:link w:val="DaftarParagrafKAR"/>
    <w:uiPriority w:val="34"/>
    <w:qFormat/>
    <w:rsid w:val="00303CA6"/>
    <w:pPr>
      <w:ind w:left="720"/>
      <w:contextualSpacing/>
    </w:pPr>
  </w:style>
  <w:style w:type="paragraph" w:customStyle="1" w:styleId="Default">
    <w:name w:val="Default"/>
    <w:qFormat/>
    <w:rsid w:val="00303CA6"/>
    <w:pPr>
      <w:autoSpaceDE w:val="0"/>
      <w:autoSpaceDN w:val="0"/>
      <w:adjustRightInd w:val="0"/>
    </w:pPr>
    <w:rPr>
      <w:rFonts w:ascii="Times New Roman" w:hAnsi="Times New Roman" w:cs="Times New Roman"/>
      <w:color w:val="000000"/>
      <w:sz w:val="24"/>
      <w:szCs w:val="24"/>
      <w:lang w:val="id-ID"/>
    </w:rPr>
  </w:style>
  <w:style w:type="table" w:styleId="KisiTabel">
    <w:name w:val="Table Grid"/>
    <w:basedOn w:val="TabelNormal"/>
    <w:uiPriority w:val="39"/>
    <w:rsid w:val="00303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unhideWhenUsed/>
    <w:rsid w:val="00543536"/>
    <w:rPr>
      <w:sz w:val="22"/>
      <w:szCs w:val="22"/>
      <w:lang w:val="id-ID"/>
    </w:rPr>
  </w:style>
  <w:style w:type="character" w:styleId="ReferensiKomentar">
    <w:name w:val="annotation reference"/>
    <w:uiPriority w:val="99"/>
    <w:semiHidden/>
    <w:unhideWhenUsed/>
    <w:rsid w:val="00C51BC0"/>
    <w:rPr>
      <w:sz w:val="16"/>
      <w:szCs w:val="16"/>
    </w:rPr>
  </w:style>
  <w:style w:type="paragraph" w:styleId="SubjekKomentar">
    <w:name w:val="annotation subject"/>
    <w:basedOn w:val="TeksKomentar"/>
    <w:next w:val="TeksKomentar"/>
    <w:link w:val="SubjekKomentarKAR"/>
    <w:uiPriority w:val="99"/>
    <w:semiHidden/>
    <w:unhideWhenUsed/>
    <w:rsid w:val="00C51BC0"/>
    <w:rPr>
      <w:b/>
      <w:bCs/>
      <w:sz w:val="20"/>
      <w:szCs w:val="20"/>
    </w:rPr>
  </w:style>
  <w:style w:type="character" w:customStyle="1" w:styleId="TeksKomentarKAR">
    <w:name w:val="Teks Komentar KAR"/>
    <w:link w:val="TeksKomentar"/>
    <w:uiPriority w:val="99"/>
    <w:rsid w:val="00C51BC0"/>
    <w:rPr>
      <w:sz w:val="22"/>
      <w:szCs w:val="22"/>
      <w:lang w:val="id-ID"/>
    </w:rPr>
  </w:style>
  <w:style w:type="character" w:customStyle="1" w:styleId="SubjekKomentarKAR">
    <w:name w:val="Subjek Komentar KAR"/>
    <w:link w:val="SubjekKomentar"/>
    <w:uiPriority w:val="99"/>
    <w:semiHidden/>
    <w:rsid w:val="00C51BC0"/>
    <w:rPr>
      <w:b/>
      <w:bCs/>
      <w:sz w:val="22"/>
      <w:szCs w:val="22"/>
      <w:lang w:val="id-ID"/>
    </w:rPr>
  </w:style>
  <w:style w:type="character" w:customStyle="1" w:styleId="Judul2KAR">
    <w:name w:val="Judul 2 KAR"/>
    <w:link w:val="Judul2"/>
    <w:uiPriority w:val="9"/>
    <w:rsid w:val="006054EE"/>
    <w:rPr>
      <w:rFonts w:ascii="Calibri Light" w:eastAsia="Times New Roman" w:hAnsi="Calibri Light" w:cs="Times New Roman"/>
      <w:b/>
      <w:bCs/>
      <w:i/>
      <w:iCs/>
      <w:sz w:val="28"/>
      <w:szCs w:val="28"/>
    </w:rPr>
  </w:style>
  <w:style w:type="character" w:customStyle="1" w:styleId="UnresolvedMention1">
    <w:name w:val="Unresolved Mention1"/>
    <w:uiPriority w:val="99"/>
    <w:semiHidden/>
    <w:unhideWhenUsed/>
    <w:rsid w:val="00431B11"/>
    <w:rPr>
      <w:color w:val="605E5C"/>
      <w:shd w:val="clear" w:color="auto" w:fill="E1DFDD"/>
    </w:rPr>
  </w:style>
  <w:style w:type="character" w:styleId="HiperlinkyangDiikuti">
    <w:name w:val="FollowedHyperlink"/>
    <w:uiPriority w:val="99"/>
    <w:semiHidden/>
    <w:unhideWhenUsed/>
    <w:rsid w:val="001870B8"/>
    <w:rPr>
      <w:color w:val="954F72"/>
      <w:u w:val="single"/>
    </w:rPr>
  </w:style>
  <w:style w:type="table" w:customStyle="1" w:styleId="PlainTable51">
    <w:name w:val="Plain Table 51"/>
    <w:basedOn w:val="TabelNormal"/>
    <w:uiPriority w:val="45"/>
    <w:rsid w:val="00DF20C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elNormal"/>
    <w:uiPriority w:val="41"/>
    <w:rsid w:val="00DF20C5"/>
    <w:rPr>
      <w:rFonts w:eastAsia="Calibri" w:cs="Times New Roman"/>
      <w:sz w:val="22"/>
      <w:szCs w:val="22"/>
      <w:lang w:val="id-I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31">
    <w:name w:val="Grid Table 5 Dark - Accent 31"/>
    <w:basedOn w:val="TabelNormal"/>
    <w:uiPriority w:val="50"/>
    <w:rsid w:val="005C5D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DaftarBerwarna-Aksen3">
    <w:name w:val="Colorful List Accent 3"/>
    <w:basedOn w:val="TabelNormal"/>
    <w:uiPriority w:val="72"/>
    <w:rsid w:val="005C5D52"/>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KisiSedang3-Aksen3">
    <w:name w:val="Medium Grid 3 Accent 3"/>
    <w:basedOn w:val="TabelNormal"/>
    <w:uiPriority w:val="69"/>
    <w:rsid w:val="005C5D5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dTable4-Accent31">
    <w:name w:val="Grid Table 4 - Accent 31"/>
    <w:basedOn w:val="TabelNormal"/>
    <w:uiPriority w:val="49"/>
    <w:rsid w:val="00B327E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ibliografi">
    <w:name w:val="Bibliography"/>
    <w:basedOn w:val="Normal"/>
    <w:next w:val="Normal"/>
    <w:uiPriority w:val="37"/>
    <w:unhideWhenUsed/>
    <w:rsid w:val="00A82BC9"/>
    <w:rPr>
      <w:rFonts w:cs="Times New Roman"/>
      <w:lang w:val="en-US"/>
    </w:rPr>
  </w:style>
  <w:style w:type="table" w:customStyle="1" w:styleId="LightShading1">
    <w:name w:val="Light Shading1"/>
    <w:basedOn w:val="TabelNormal"/>
    <w:next w:val="LightShading3"/>
    <w:uiPriority w:val="60"/>
    <w:rsid w:val="00DB5B3B"/>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elNormal"/>
    <w:uiPriority w:val="60"/>
    <w:rsid w:val="00DB5B3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elNormal"/>
    <w:next w:val="MediumShading22"/>
    <w:uiPriority w:val="64"/>
    <w:rsid w:val="00DB5B3B"/>
    <w:rPr>
      <w:rFonts w:eastAsia="Times New Roman" w:cs="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2">
    <w:name w:val="Medium Shading 22"/>
    <w:basedOn w:val="TabelNormal"/>
    <w:uiPriority w:val="64"/>
    <w:rsid w:val="00DB5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BayanganSedang1-Aksen3">
    <w:name w:val="Medium Shading 1 Accent 3"/>
    <w:basedOn w:val="TabelNormal"/>
    <w:uiPriority w:val="63"/>
    <w:rsid w:val="005920C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Shading2">
    <w:name w:val="Light Shading2"/>
    <w:basedOn w:val="TabelNormal"/>
    <w:next w:val="LightShading3"/>
    <w:uiPriority w:val="60"/>
    <w:rsid w:val="005920C7"/>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Light1">
    <w:name w:val="Table Grid Light1"/>
    <w:basedOn w:val="TabelNormal"/>
    <w:uiPriority w:val="40"/>
    <w:rsid w:val="0009592B"/>
    <w:rPr>
      <w:rFonts w:eastAsia="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horttext">
    <w:name w:val="short_text"/>
    <w:rsid w:val="00B93944"/>
  </w:style>
  <w:style w:type="paragraph" w:customStyle="1" w:styleId="Pa22">
    <w:name w:val="Pa22"/>
    <w:basedOn w:val="Normal"/>
    <w:next w:val="Normal"/>
    <w:uiPriority w:val="99"/>
    <w:rsid w:val="00420DD9"/>
    <w:pPr>
      <w:autoSpaceDE w:val="0"/>
      <w:autoSpaceDN w:val="0"/>
      <w:adjustRightInd w:val="0"/>
      <w:spacing w:after="0" w:line="181" w:lineRule="atLeast"/>
    </w:pPr>
    <w:rPr>
      <w:rFonts w:ascii="Times New Roman" w:eastAsia="Calibri" w:hAnsi="Times New Roman" w:cs="Times New Roman"/>
      <w:sz w:val="24"/>
      <w:szCs w:val="24"/>
      <w:lang w:val="en-US"/>
    </w:rPr>
  </w:style>
  <w:style w:type="table" w:customStyle="1" w:styleId="PlainTable21">
    <w:name w:val="Plain Table 21"/>
    <w:basedOn w:val="TabelNormal"/>
    <w:uiPriority w:val="42"/>
    <w:rsid w:val="00AB2434"/>
    <w:rPr>
      <w:rFonts w:eastAsia="Calibri" w:cs="SimSun"/>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2C4C1C"/>
    <w:rPr>
      <w:rFonts w:asciiTheme="majorHAnsi" w:eastAsiaTheme="majorEastAsia" w:hAnsiTheme="majorHAnsi" w:cstheme="majorBidi"/>
      <w:color w:val="2F5496" w:themeColor="accent1" w:themeShade="BF"/>
      <w:sz w:val="32"/>
      <w:szCs w:val="32"/>
      <w:lang w:val="id-ID"/>
    </w:rPr>
  </w:style>
  <w:style w:type="character" w:customStyle="1" w:styleId="DaftarParagrafKAR">
    <w:name w:val="Daftar Paragraf KAR"/>
    <w:aliases w:val="Atan KAR"/>
    <w:link w:val="DaftarParagraf"/>
    <w:uiPriority w:val="34"/>
    <w:locked/>
    <w:rsid w:val="00E36B7F"/>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10.1007%2Fs00148-008-0186-7" TargetMode="External"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www.researchgate.net/journal/1728-4465_Studies_in_Family_Planning" TargetMode="External"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nber.org/books/beck75-1.hen" TargetMode="External" /><Relationship Id="rId5" Type="http://schemas.openxmlformats.org/officeDocument/2006/relationships/webSettings" Target="webSettings.xml" /><Relationship Id="rId15" Type="http://schemas.openxmlformats.org/officeDocument/2006/relationships/hyperlink" Target="http://www.jstor.org/stable/3098688" TargetMode="External" /><Relationship Id="rId10" Type="http://schemas.openxmlformats.org/officeDocument/2006/relationships/hyperlink" Target="http://journal.umy.ac.id/index.php/esp" TargetMode="External"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yperlink" Target="https://doi.org/10.1016%2F0305-750X%2886%2990056-2"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1C328-3213-CE4C-A32F-4E773BB9E9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6718</Words>
  <Characters>38296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Arwa Izdihar</cp:lastModifiedBy>
  <cp:revision>2</cp:revision>
  <dcterms:created xsi:type="dcterms:W3CDTF">2020-11-04T06:16:00Z</dcterms:created>
  <dcterms:modified xsi:type="dcterms:W3CDTF">2020-11-04T06:16:00Z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