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FFF" w:rsidRPr="00B45C6F" w:rsidRDefault="000F3069" w:rsidP="00E06EB6">
      <w:pPr>
        <w:spacing w:before="120" w:after="120"/>
        <w:jc w:val="center"/>
        <w:rPr>
          <w:b/>
          <w:i/>
          <w:lang w:val="en-GB"/>
        </w:rPr>
      </w:pPr>
      <w:r w:rsidRPr="00B45C6F">
        <w:rPr>
          <w:b/>
          <w:i/>
          <w:lang w:val="en-GB"/>
        </w:rPr>
        <w:t xml:space="preserve">The </w:t>
      </w:r>
      <w:r w:rsidR="00273E5F" w:rsidRPr="00B45C6F">
        <w:rPr>
          <w:b/>
          <w:i/>
          <w:lang w:val="en-GB"/>
        </w:rPr>
        <w:t xml:space="preserve">salad days of </w:t>
      </w:r>
      <w:r w:rsidR="0014041B" w:rsidRPr="00B45C6F">
        <w:rPr>
          <w:b/>
          <w:i/>
          <w:lang w:val="en-GB"/>
        </w:rPr>
        <w:t>the EU Digital Services Tax</w:t>
      </w:r>
    </w:p>
    <w:p w:rsidR="00850BD1" w:rsidRPr="00B45C6F" w:rsidRDefault="00850BD1" w:rsidP="00850BD1">
      <w:pPr>
        <w:spacing w:after="120"/>
        <w:jc w:val="center"/>
        <w:rPr>
          <w:lang w:val="en-GB"/>
        </w:rPr>
      </w:pPr>
      <w:proofErr w:type="gramStart"/>
      <w:r w:rsidRPr="00B45C6F">
        <w:rPr>
          <w:lang w:val="en-GB"/>
        </w:rPr>
        <w:t>by</w:t>
      </w:r>
      <w:proofErr w:type="gramEnd"/>
      <w:r w:rsidRPr="00B45C6F">
        <w:rPr>
          <w:lang w:val="en-GB"/>
        </w:rPr>
        <w:t xml:space="preserve"> </w:t>
      </w:r>
      <w:proofErr w:type="spellStart"/>
      <w:r w:rsidRPr="00B45C6F">
        <w:rPr>
          <w:lang w:val="en-GB"/>
        </w:rPr>
        <w:t>Adrianto</w:t>
      </w:r>
      <w:proofErr w:type="spellEnd"/>
      <w:r w:rsidRPr="00B45C6F">
        <w:rPr>
          <w:lang w:val="en-GB"/>
        </w:rPr>
        <w:t xml:space="preserve"> </w:t>
      </w:r>
      <w:proofErr w:type="spellStart"/>
      <w:r w:rsidRPr="00B45C6F">
        <w:rPr>
          <w:lang w:val="en-GB"/>
        </w:rPr>
        <w:t>Dwi</w:t>
      </w:r>
      <w:proofErr w:type="spellEnd"/>
      <w:r w:rsidRPr="00B45C6F">
        <w:rPr>
          <w:lang w:val="en-GB"/>
        </w:rPr>
        <w:t xml:space="preserve"> </w:t>
      </w:r>
      <w:proofErr w:type="spellStart"/>
      <w:r w:rsidRPr="00B45C6F">
        <w:rPr>
          <w:lang w:val="en-GB"/>
        </w:rPr>
        <w:t>Nugroho</w:t>
      </w:r>
      <w:proofErr w:type="spellEnd"/>
      <w:r w:rsidRPr="00B45C6F">
        <w:rPr>
          <w:rStyle w:val="FootnoteReference"/>
          <w:lang w:val="en-GB"/>
        </w:rPr>
        <w:footnoteReference w:customMarkFollows="1" w:id="1"/>
        <w:sym w:font="Symbol" w:char="F02A"/>
      </w:r>
    </w:p>
    <w:p w:rsidR="00850BD1" w:rsidRPr="00B45C6F" w:rsidRDefault="00850BD1" w:rsidP="00850BD1">
      <w:pPr>
        <w:spacing w:after="120"/>
        <w:jc w:val="center"/>
        <w:rPr>
          <w:b/>
          <w:lang w:val="en-GB"/>
        </w:rPr>
      </w:pPr>
      <w:r w:rsidRPr="00B45C6F">
        <w:rPr>
          <w:b/>
          <w:lang w:val="en-GB"/>
        </w:rPr>
        <w:t>Abstract</w:t>
      </w:r>
      <w:bookmarkStart w:id="0" w:name="_GoBack"/>
      <w:bookmarkEnd w:id="0"/>
    </w:p>
    <w:p w:rsidR="00E36651" w:rsidRPr="00B45C6F" w:rsidRDefault="004E49AA" w:rsidP="00A81F7C">
      <w:pPr>
        <w:spacing w:after="120"/>
        <w:ind w:firstLine="567"/>
        <w:rPr>
          <w:i/>
          <w:lang w:val="en-GB"/>
        </w:rPr>
      </w:pPr>
      <w:r w:rsidRPr="00B45C6F">
        <w:rPr>
          <w:i/>
          <w:lang w:val="en-GB"/>
        </w:rPr>
        <w:t>Responding</w:t>
      </w:r>
      <w:r w:rsidR="003F0575" w:rsidRPr="00B45C6F">
        <w:rPr>
          <w:i/>
          <w:lang w:val="en-GB"/>
        </w:rPr>
        <w:t xml:space="preserve"> to</w:t>
      </w:r>
      <w:r w:rsidR="00713A89" w:rsidRPr="00B45C6F">
        <w:rPr>
          <w:i/>
          <w:lang w:val="en-GB"/>
        </w:rPr>
        <w:t xml:space="preserve"> a series of </w:t>
      </w:r>
      <w:r w:rsidR="00E116A8" w:rsidRPr="00B45C6F">
        <w:rPr>
          <w:i/>
          <w:lang w:val="en-GB"/>
        </w:rPr>
        <w:t>aggressive tax planning</w:t>
      </w:r>
      <w:r w:rsidR="00713A89" w:rsidRPr="00B45C6F">
        <w:rPr>
          <w:i/>
          <w:lang w:val="en-GB"/>
        </w:rPr>
        <w:t xml:space="preserve"> allegedly committed by multinational corporations running their businesses on digital platforms, </w:t>
      </w:r>
      <w:r w:rsidRPr="00B45C6F">
        <w:rPr>
          <w:i/>
          <w:lang w:val="en-GB"/>
        </w:rPr>
        <w:t>states have drafted laws</w:t>
      </w:r>
      <w:r w:rsidR="00713A89" w:rsidRPr="00B45C6F">
        <w:rPr>
          <w:i/>
          <w:lang w:val="en-GB"/>
        </w:rPr>
        <w:t xml:space="preserve"> </w:t>
      </w:r>
      <w:r w:rsidR="00F24B56" w:rsidRPr="00B45C6F">
        <w:rPr>
          <w:i/>
          <w:lang w:val="en-GB"/>
        </w:rPr>
        <w:t xml:space="preserve">that would enable them to impose </w:t>
      </w:r>
      <w:r w:rsidR="00106512" w:rsidRPr="00B45C6F">
        <w:rPr>
          <w:i/>
          <w:lang w:val="en-GB"/>
        </w:rPr>
        <w:t>additional taxes</w:t>
      </w:r>
      <w:r w:rsidR="00713A89" w:rsidRPr="00B45C6F">
        <w:rPr>
          <w:i/>
          <w:lang w:val="en-GB"/>
        </w:rPr>
        <w:t xml:space="preserve"> on such corporations. </w:t>
      </w:r>
      <w:r w:rsidR="00F24B56" w:rsidRPr="00B45C6F">
        <w:rPr>
          <w:i/>
          <w:lang w:val="en-GB"/>
        </w:rPr>
        <w:t>In the EU, the</w:t>
      </w:r>
      <w:r w:rsidR="00E36651" w:rsidRPr="00B45C6F">
        <w:rPr>
          <w:i/>
          <w:lang w:val="en-GB"/>
        </w:rPr>
        <w:t xml:space="preserve"> proposal for</w:t>
      </w:r>
      <w:r w:rsidR="00850BD1" w:rsidRPr="00B45C6F">
        <w:rPr>
          <w:i/>
          <w:lang w:val="en-GB"/>
        </w:rPr>
        <w:t xml:space="preserve"> a</w:t>
      </w:r>
      <w:r w:rsidR="00E36651" w:rsidRPr="00B45C6F">
        <w:rPr>
          <w:i/>
          <w:lang w:val="en-GB"/>
        </w:rPr>
        <w:t xml:space="preserve"> </w:t>
      </w:r>
      <w:r w:rsidR="00850BD1" w:rsidRPr="00B45C6F">
        <w:rPr>
          <w:i/>
          <w:lang w:val="en-GB"/>
        </w:rPr>
        <w:t xml:space="preserve">Council Directive on </w:t>
      </w:r>
      <w:r w:rsidR="00BE62AB" w:rsidRPr="00B45C6F">
        <w:rPr>
          <w:i/>
          <w:lang w:val="en-GB"/>
        </w:rPr>
        <w:t xml:space="preserve">the </w:t>
      </w:r>
      <w:r w:rsidR="00F24B56" w:rsidRPr="00B45C6F">
        <w:rPr>
          <w:i/>
          <w:lang w:val="en-GB"/>
        </w:rPr>
        <w:t xml:space="preserve">Digital Services Tax (DST) </w:t>
      </w:r>
      <w:r w:rsidR="00106512" w:rsidRPr="00B45C6F">
        <w:rPr>
          <w:i/>
          <w:lang w:val="en-GB"/>
        </w:rPr>
        <w:t>projects</w:t>
      </w:r>
      <w:r w:rsidR="00BE62AB" w:rsidRPr="00B45C6F">
        <w:rPr>
          <w:i/>
          <w:lang w:val="en-GB"/>
        </w:rPr>
        <w:t xml:space="preserve"> for</w:t>
      </w:r>
      <w:r w:rsidR="00F048C0" w:rsidRPr="00B45C6F">
        <w:rPr>
          <w:i/>
          <w:lang w:val="en-GB"/>
        </w:rPr>
        <w:t xml:space="preserve"> a 3% </w:t>
      </w:r>
      <w:r w:rsidR="00F24B56" w:rsidRPr="00B45C6F">
        <w:rPr>
          <w:i/>
          <w:lang w:val="en-GB"/>
        </w:rPr>
        <w:t xml:space="preserve">tax </w:t>
      </w:r>
      <w:r w:rsidR="003A795B" w:rsidRPr="00B45C6F">
        <w:rPr>
          <w:i/>
          <w:lang w:val="en-GB"/>
        </w:rPr>
        <w:t xml:space="preserve">chargeable </w:t>
      </w:r>
      <w:r w:rsidR="00F24B56" w:rsidRPr="00B45C6F">
        <w:rPr>
          <w:i/>
          <w:lang w:val="en-GB"/>
        </w:rPr>
        <w:t xml:space="preserve">on the revenues generated by </w:t>
      </w:r>
      <w:r w:rsidR="001A733B" w:rsidRPr="00B45C6F">
        <w:rPr>
          <w:i/>
          <w:lang w:val="en-GB"/>
        </w:rPr>
        <w:t xml:space="preserve">corporations </w:t>
      </w:r>
      <w:r w:rsidR="00106512" w:rsidRPr="00B45C6F">
        <w:rPr>
          <w:i/>
          <w:lang w:val="en-GB"/>
        </w:rPr>
        <w:t xml:space="preserve">surpassing a certain </w:t>
      </w:r>
      <w:r w:rsidR="0008449B" w:rsidRPr="00B45C6F">
        <w:rPr>
          <w:i/>
          <w:lang w:val="en-GB"/>
        </w:rPr>
        <w:t>threshold</w:t>
      </w:r>
      <w:r w:rsidR="00106512" w:rsidRPr="00B45C6F">
        <w:rPr>
          <w:i/>
          <w:lang w:val="en-GB"/>
        </w:rPr>
        <w:t xml:space="preserve"> of</w:t>
      </w:r>
      <w:r w:rsidR="00F048C0" w:rsidRPr="00B45C6F">
        <w:rPr>
          <w:i/>
          <w:lang w:val="en-GB"/>
        </w:rPr>
        <w:t xml:space="preserve"> </w:t>
      </w:r>
      <w:r w:rsidR="00B06E3B" w:rsidRPr="00B45C6F">
        <w:rPr>
          <w:i/>
          <w:lang w:val="en-GB"/>
        </w:rPr>
        <w:t xml:space="preserve">global and EU </w:t>
      </w:r>
      <w:r w:rsidR="00E46C4C" w:rsidRPr="00B45C6F">
        <w:rPr>
          <w:i/>
          <w:lang w:val="en-GB"/>
        </w:rPr>
        <w:t xml:space="preserve">yearly </w:t>
      </w:r>
      <w:r w:rsidR="00F048C0" w:rsidRPr="00B45C6F">
        <w:rPr>
          <w:i/>
          <w:lang w:val="en-GB"/>
        </w:rPr>
        <w:t>revenue</w:t>
      </w:r>
      <w:r w:rsidR="003F0575" w:rsidRPr="00B45C6F">
        <w:rPr>
          <w:i/>
          <w:lang w:val="en-GB"/>
        </w:rPr>
        <w:t>s</w:t>
      </w:r>
      <w:r w:rsidR="00106512" w:rsidRPr="00B45C6F">
        <w:rPr>
          <w:i/>
          <w:lang w:val="en-GB"/>
        </w:rPr>
        <w:t xml:space="preserve">. The </w:t>
      </w:r>
      <w:r w:rsidR="00E46C4C" w:rsidRPr="00B45C6F">
        <w:rPr>
          <w:i/>
          <w:lang w:val="en-GB"/>
        </w:rPr>
        <w:t>initial</w:t>
      </w:r>
      <w:r w:rsidR="0034748A" w:rsidRPr="00B45C6F">
        <w:rPr>
          <w:i/>
          <w:lang w:val="en-GB"/>
        </w:rPr>
        <w:t xml:space="preserve"> </w:t>
      </w:r>
      <w:r w:rsidR="00106512" w:rsidRPr="00B45C6F">
        <w:rPr>
          <w:i/>
          <w:lang w:val="en-GB"/>
        </w:rPr>
        <w:t>plan is to tax the</w:t>
      </w:r>
      <w:r w:rsidR="00E46C4C" w:rsidRPr="00B45C6F">
        <w:rPr>
          <w:i/>
          <w:lang w:val="en-GB"/>
        </w:rPr>
        <w:t>se</w:t>
      </w:r>
      <w:r w:rsidR="00BE62AB" w:rsidRPr="00B45C6F">
        <w:rPr>
          <w:i/>
          <w:lang w:val="en-GB"/>
        </w:rPr>
        <w:t xml:space="preserve"> corporations</w:t>
      </w:r>
      <w:r w:rsidR="00F048C0" w:rsidRPr="00B45C6F">
        <w:rPr>
          <w:i/>
          <w:lang w:val="en-GB"/>
        </w:rPr>
        <w:t xml:space="preserve"> </w:t>
      </w:r>
      <w:r w:rsidR="00106512" w:rsidRPr="00B45C6F">
        <w:rPr>
          <w:i/>
          <w:lang w:val="en-GB"/>
        </w:rPr>
        <w:t>with respect to their</w:t>
      </w:r>
      <w:r w:rsidR="00F048C0" w:rsidRPr="00B45C6F">
        <w:rPr>
          <w:i/>
          <w:lang w:val="en-GB"/>
        </w:rPr>
        <w:t xml:space="preserve"> online placement of advertising, </w:t>
      </w:r>
      <w:r w:rsidR="00013F2C" w:rsidRPr="00B45C6F">
        <w:rPr>
          <w:i/>
          <w:lang w:val="en-GB"/>
        </w:rPr>
        <w:t>enabling of online marketplaces</w:t>
      </w:r>
      <w:r w:rsidR="00B97164" w:rsidRPr="00B45C6F">
        <w:rPr>
          <w:i/>
          <w:lang w:val="en-GB"/>
        </w:rPr>
        <w:t xml:space="preserve">, and </w:t>
      </w:r>
      <w:r w:rsidR="00013F2C" w:rsidRPr="00B45C6F">
        <w:rPr>
          <w:i/>
          <w:lang w:val="en-GB"/>
        </w:rPr>
        <w:t>sales of collected user data</w:t>
      </w:r>
      <w:r w:rsidR="00F230EB" w:rsidRPr="00B45C6F">
        <w:rPr>
          <w:i/>
          <w:lang w:val="en-GB"/>
        </w:rPr>
        <w:t xml:space="preserve">. While the EU organs are still undergoing the </w:t>
      </w:r>
      <w:r w:rsidR="00B06E3B" w:rsidRPr="00B45C6F">
        <w:rPr>
          <w:i/>
          <w:lang w:val="en-GB"/>
        </w:rPr>
        <w:t xml:space="preserve">due </w:t>
      </w:r>
      <w:r w:rsidR="00F230EB" w:rsidRPr="00B45C6F">
        <w:rPr>
          <w:i/>
          <w:lang w:val="en-GB"/>
        </w:rPr>
        <w:t>legislative process</w:t>
      </w:r>
      <w:r w:rsidR="00B06E3B" w:rsidRPr="00B45C6F">
        <w:rPr>
          <w:i/>
          <w:lang w:val="en-GB"/>
        </w:rPr>
        <w:t>es on the proposal</w:t>
      </w:r>
      <w:r w:rsidR="00F230EB" w:rsidRPr="00B45C6F">
        <w:rPr>
          <w:i/>
          <w:lang w:val="en-GB"/>
        </w:rPr>
        <w:t>, two flaws o</w:t>
      </w:r>
      <w:r w:rsidR="00BE3999" w:rsidRPr="00B45C6F">
        <w:rPr>
          <w:i/>
          <w:lang w:val="en-GB"/>
        </w:rPr>
        <w:t>f</w:t>
      </w:r>
      <w:r w:rsidR="00F230EB" w:rsidRPr="00B45C6F">
        <w:rPr>
          <w:i/>
          <w:lang w:val="en-GB"/>
        </w:rPr>
        <w:t xml:space="preserve"> the DST </w:t>
      </w:r>
      <w:r w:rsidR="00080BC4" w:rsidRPr="00B45C6F">
        <w:rPr>
          <w:i/>
          <w:lang w:val="en-GB"/>
        </w:rPr>
        <w:t>may be</w:t>
      </w:r>
      <w:r w:rsidR="00F230EB" w:rsidRPr="00B45C6F">
        <w:rPr>
          <w:i/>
          <w:lang w:val="en-GB"/>
        </w:rPr>
        <w:t xml:space="preserve"> </w:t>
      </w:r>
      <w:r w:rsidR="00080BC4" w:rsidRPr="00B45C6F">
        <w:rPr>
          <w:i/>
          <w:lang w:val="en-GB"/>
        </w:rPr>
        <w:t>argued</w:t>
      </w:r>
      <w:r w:rsidR="00F230EB" w:rsidRPr="00B45C6F">
        <w:rPr>
          <w:i/>
          <w:lang w:val="en-GB"/>
        </w:rPr>
        <w:t xml:space="preserve">, namely that it </w:t>
      </w:r>
      <w:r w:rsidR="007F6177" w:rsidRPr="00B45C6F">
        <w:rPr>
          <w:i/>
          <w:lang w:val="en-GB"/>
        </w:rPr>
        <w:t>conflates</w:t>
      </w:r>
      <w:r w:rsidR="00D75A4B" w:rsidRPr="00B45C6F">
        <w:rPr>
          <w:i/>
          <w:lang w:val="en-GB"/>
        </w:rPr>
        <w:t xml:space="preserve"> features of direct taxes (i.e. income tax) with that of indirect taxes (i.e. value added tax)</w:t>
      </w:r>
      <w:r w:rsidR="00080BC4" w:rsidRPr="00B45C6F">
        <w:rPr>
          <w:i/>
          <w:lang w:val="en-GB"/>
        </w:rPr>
        <w:t xml:space="preserve">; </w:t>
      </w:r>
      <w:r w:rsidR="00F230EB" w:rsidRPr="00B45C6F">
        <w:rPr>
          <w:i/>
          <w:lang w:val="en-GB"/>
        </w:rPr>
        <w:t>and that it embeds</w:t>
      </w:r>
      <w:r w:rsidR="00E40A3B" w:rsidRPr="00B45C6F">
        <w:rPr>
          <w:i/>
          <w:lang w:val="en-GB"/>
        </w:rPr>
        <w:t xml:space="preserve"> covert</w:t>
      </w:r>
      <w:r w:rsidR="00F230EB" w:rsidRPr="00B45C6F">
        <w:rPr>
          <w:i/>
          <w:lang w:val="en-GB"/>
        </w:rPr>
        <w:t xml:space="preserve"> discriminatory measures against </w:t>
      </w:r>
      <w:r w:rsidR="00B06E3B" w:rsidRPr="00B45C6F">
        <w:rPr>
          <w:i/>
          <w:lang w:val="en-GB"/>
        </w:rPr>
        <w:t xml:space="preserve">certain </w:t>
      </w:r>
      <w:r w:rsidR="00F230EB" w:rsidRPr="00B45C6F">
        <w:rPr>
          <w:i/>
          <w:lang w:val="en-GB"/>
        </w:rPr>
        <w:t xml:space="preserve">multinational corporations. The maturation of the </w:t>
      </w:r>
      <w:r w:rsidR="00D23BF7" w:rsidRPr="00B45C6F">
        <w:rPr>
          <w:i/>
          <w:lang w:val="en-GB"/>
        </w:rPr>
        <w:t>DST</w:t>
      </w:r>
      <w:r w:rsidR="00F230EB" w:rsidRPr="00B45C6F">
        <w:rPr>
          <w:i/>
          <w:lang w:val="en-GB"/>
        </w:rPr>
        <w:t xml:space="preserve"> depends on the formulation of sound legal principles</w:t>
      </w:r>
      <w:r w:rsidR="00D23BF7" w:rsidRPr="00B45C6F">
        <w:rPr>
          <w:i/>
          <w:lang w:val="en-GB"/>
        </w:rPr>
        <w:t xml:space="preserve"> and ingenious concept which would </w:t>
      </w:r>
      <w:r w:rsidR="00A81F7C" w:rsidRPr="00B45C6F">
        <w:rPr>
          <w:i/>
          <w:lang w:val="en-GB"/>
        </w:rPr>
        <w:t>hallmark</w:t>
      </w:r>
      <w:r w:rsidR="00D23BF7" w:rsidRPr="00B45C6F">
        <w:rPr>
          <w:i/>
          <w:lang w:val="en-GB"/>
        </w:rPr>
        <w:t xml:space="preserve"> a DST regime from the corporate </w:t>
      </w:r>
      <w:r w:rsidR="00E40A3B" w:rsidRPr="00B45C6F">
        <w:rPr>
          <w:i/>
          <w:lang w:val="en-GB"/>
        </w:rPr>
        <w:t>income tax one</w:t>
      </w:r>
      <w:r w:rsidR="00D23BF7" w:rsidRPr="00B45C6F">
        <w:rPr>
          <w:i/>
          <w:lang w:val="en-GB"/>
        </w:rPr>
        <w:t>.</w:t>
      </w:r>
    </w:p>
    <w:p w:rsidR="00850BD1" w:rsidRPr="00B45C6F" w:rsidRDefault="00850BD1" w:rsidP="00AF4E11">
      <w:pPr>
        <w:pStyle w:val="Heading1"/>
        <w:numPr>
          <w:ilvl w:val="0"/>
          <w:numId w:val="7"/>
        </w:numPr>
        <w:spacing w:before="120" w:after="120"/>
        <w:ind w:left="284" w:hanging="284"/>
        <w:rPr>
          <w:rFonts w:ascii="Times New Roman" w:hAnsi="Times New Roman" w:cs="Times New Roman"/>
          <w:b/>
          <w:color w:val="auto"/>
          <w:sz w:val="24"/>
          <w:szCs w:val="24"/>
          <w:lang w:val="en-GB"/>
        </w:rPr>
      </w:pPr>
      <w:r w:rsidRPr="00B45C6F">
        <w:rPr>
          <w:rFonts w:ascii="Times New Roman" w:hAnsi="Times New Roman" w:cs="Times New Roman"/>
          <w:b/>
          <w:color w:val="auto"/>
          <w:sz w:val="24"/>
          <w:szCs w:val="24"/>
          <w:lang w:val="en-GB"/>
        </w:rPr>
        <w:t>Introduction</w:t>
      </w:r>
    </w:p>
    <w:p w:rsidR="00262B4D" w:rsidRPr="00B45C6F" w:rsidRDefault="007A6DB7" w:rsidP="005A78CC">
      <w:pPr>
        <w:spacing w:after="120"/>
        <w:ind w:firstLine="567"/>
        <w:rPr>
          <w:lang w:val="en-GB"/>
        </w:rPr>
      </w:pPr>
      <w:r w:rsidRPr="00B45C6F">
        <w:rPr>
          <w:lang w:val="en-GB"/>
        </w:rPr>
        <w:t>T</w:t>
      </w:r>
      <w:r w:rsidR="00617573" w:rsidRPr="00B45C6F">
        <w:rPr>
          <w:lang w:val="en-GB"/>
        </w:rPr>
        <w:t xml:space="preserve">he </w:t>
      </w:r>
      <w:r w:rsidR="00AC508A" w:rsidRPr="00B45C6F">
        <w:rPr>
          <w:lang w:val="en-GB"/>
        </w:rPr>
        <w:t>Digital Services Tax (hereinafter, DST)</w:t>
      </w:r>
      <w:r w:rsidR="00617573" w:rsidRPr="00B45C6F">
        <w:rPr>
          <w:lang w:val="en-GB"/>
        </w:rPr>
        <w:t xml:space="preserve"> is currently </w:t>
      </w:r>
      <w:r w:rsidRPr="00B45C6F">
        <w:rPr>
          <w:lang w:val="en-GB"/>
        </w:rPr>
        <w:t>living</w:t>
      </w:r>
      <w:r w:rsidR="00617573" w:rsidRPr="00B45C6F">
        <w:rPr>
          <w:lang w:val="en-GB"/>
        </w:rPr>
        <w:t xml:space="preserve"> </w:t>
      </w:r>
      <w:r w:rsidR="00AF4C73" w:rsidRPr="00B45C6F">
        <w:rPr>
          <w:lang w:val="en-GB"/>
        </w:rPr>
        <w:t xml:space="preserve">its salad days. </w:t>
      </w:r>
      <w:r w:rsidR="00DE55F8" w:rsidRPr="00B45C6F">
        <w:rPr>
          <w:lang w:val="en-GB"/>
        </w:rPr>
        <w:t>A</w:t>
      </w:r>
      <w:r w:rsidR="00531423" w:rsidRPr="00B45C6F">
        <w:rPr>
          <w:lang w:val="en-GB"/>
        </w:rPr>
        <w:t xml:space="preserve"> </w:t>
      </w:r>
      <w:r w:rsidR="00FC74A9" w:rsidRPr="00B45C6F">
        <w:rPr>
          <w:lang w:val="en-GB"/>
        </w:rPr>
        <w:t>draft DST law submitted</w:t>
      </w:r>
      <w:r w:rsidR="00DE55F8" w:rsidRPr="00B45C6F">
        <w:rPr>
          <w:lang w:val="en-GB"/>
        </w:rPr>
        <w:t xml:space="preserve"> by the European Commission </w:t>
      </w:r>
      <w:r w:rsidR="00531423" w:rsidRPr="00B45C6F">
        <w:rPr>
          <w:lang w:val="en-GB"/>
        </w:rPr>
        <w:t>has</w:t>
      </w:r>
      <w:r w:rsidR="00AC508A" w:rsidRPr="00B45C6F">
        <w:rPr>
          <w:lang w:val="en-GB"/>
        </w:rPr>
        <w:t xml:space="preserve"> demonstrate</w:t>
      </w:r>
      <w:r w:rsidR="00531423" w:rsidRPr="00B45C6F">
        <w:rPr>
          <w:lang w:val="en-GB"/>
        </w:rPr>
        <w:t>d</w:t>
      </w:r>
      <w:r w:rsidR="00AC508A" w:rsidRPr="00B45C6F">
        <w:rPr>
          <w:lang w:val="en-GB"/>
        </w:rPr>
        <w:t xml:space="preserve"> the lack</w:t>
      </w:r>
      <w:r w:rsidRPr="00B45C6F">
        <w:rPr>
          <w:lang w:val="en-GB"/>
        </w:rPr>
        <w:t xml:space="preserve"> of experiences and </w:t>
      </w:r>
      <w:r w:rsidR="00D07F5E" w:rsidRPr="00B45C6F">
        <w:rPr>
          <w:lang w:val="en-GB"/>
        </w:rPr>
        <w:t xml:space="preserve">underlying </w:t>
      </w:r>
      <w:r w:rsidRPr="00B45C6F">
        <w:rPr>
          <w:lang w:val="en-GB"/>
        </w:rPr>
        <w:t>principles</w:t>
      </w:r>
      <w:r w:rsidR="00125B6F" w:rsidRPr="00B45C6F">
        <w:rPr>
          <w:lang w:val="en-GB"/>
        </w:rPr>
        <w:t xml:space="preserve"> of the DST</w:t>
      </w:r>
      <w:r w:rsidRPr="00B45C6F">
        <w:rPr>
          <w:lang w:val="en-GB"/>
        </w:rPr>
        <w:t xml:space="preserve">. </w:t>
      </w:r>
      <w:r w:rsidR="00891D17" w:rsidRPr="00B45C6F">
        <w:rPr>
          <w:lang w:val="en-GB"/>
        </w:rPr>
        <w:t xml:space="preserve">This is </w:t>
      </w:r>
      <w:r w:rsidR="00FC74A9" w:rsidRPr="00B45C6F">
        <w:rPr>
          <w:lang w:val="en-GB"/>
        </w:rPr>
        <w:t>due to the fact that</w:t>
      </w:r>
      <w:r w:rsidR="00891D17" w:rsidRPr="00B45C6F">
        <w:rPr>
          <w:lang w:val="en-GB"/>
        </w:rPr>
        <w:t xml:space="preserve"> the DST</w:t>
      </w:r>
      <w:r w:rsidR="00D672ED" w:rsidRPr="00B45C6F">
        <w:rPr>
          <w:lang w:val="en-GB"/>
        </w:rPr>
        <w:t xml:space="preserve"> </w:t>
      </w:r>
      <w:r w:rsidR="00E40A3B" w:rsidRPr="00B45C6F">
        <w:rPr>
          <w:lang w:val="en-GB"/>
        </w:rPr>
        <w:t xml:space="preserve">will </w:t>
      </w:r>
      <w:r w:rsidR="000A7A90" w:rsidRPr="00B45C6F">
        <w:rPr>
          <w:lang w:val="en-GB"/>
        </w:rPr>
        <w:t xml:space="preserve">only </w:t>
      </w:r>
      <w:r w:rsidR="00E40A3B" w:rsidRPr="00B45C6F">
        <w:rPr>
          <w:lang w:val="en-GB"/>
        </w:rPr>
        <w:t>be</w:t>
      </w:r>
      <w:r w:rsidR="00D672ED" w:rsidRPr="00B45C6F">
        <w:rPr>
          <w:lang w:val="en-GB"/>
        </w:rPr>
        <w:t xml:space="preserve"> an interim </w:t>
      </w:r>
      <w:r w:rsidR="00891D17" w:rsidRPr="00B45C6F">
        <w:rPr>
          <w:lang w:val="en-GB"/>
        </w:rPr>
        <w:t>regime before</w:t>
      </w:r>
      <w:r w:rsidR="00D672ED" w:rsidRPr="00B45C6F">
        <w:rPr>
          <w:lang w:val="en-GB"/>
        </w:rPr>
        <w:t xml:space="preserve"> a Council Directive on rules relating to the corporate taxation of a significant digital presence</w:t>
      </w:r>
      <w:r w:rsidR="00D672ED" w:rsidRPr="00B45C6F">
        <w:rPr>
          <w:rStyle w:val="FootnoteReference"/>
          <w:lang w:val="en-GB"/>
        </w:rPr>
        <w:footnoteReference w:id="2"/>
      </w:r>
      <w:r w:rsidR="00B06E3B" w:rsidRPr="00B45C6F">
        <w:rPr>
          <w:lang w:val="en-GB"/>
        </w:rPr>
        <w:t xml:space="preserve"> </w:t>
      </w:r>
      <w:r w:rsidR="00D73EE2" w:rsidRPr="00B45C6F">
        <w:rPr>
          <w:lang w:val="en-GB"/>
        </w:rPr>
        <w:t xml:space="preserve">is </w:t>
      </w:r>
      <w:proofErr w:type="gramStart"/>
      <w:r w:rsidR="00DC0BB0" w:rsidRPr="00B45C6F">
        <w:rPr>
          <w:lang w:val="en-GB"/>
        </w:rPr>
        <w:t>enacted</w:t>
      </w:r>
      <w:proofErr w:type="gramEnd"/>
      <w:r w:rsidR="00DC0BB0" w:rsidRPr="00B45C6F">
        <w:rPr>
          <w:lang w:val="en-GB"/>
        </w:rPr>
        <w:t xml:space="preserve"> and became</w:t>
      </w:r>
      <w:r w:rsidR="00EA3DFD" w:rsidRPr="00B45C6F">
        <w:rPr>
          <w:lang w:val="en-GB"/>
        </w:rPr>
        <w:t xml:space="preserve"> effective</w:t>
      </w:r>
      <w:r w:rsidR="00891D17" w:rsidRPr="00B45C6F">
        <w:rPr>
          <w:lang w:val="en-GB"/>
        </w:rPr>
        <w:t>.</w:t>
      </w:r>
      <w:r w:rsidR="00266693" w:rsidRPr="00B45C6F">
        <w:rPr>
          <w:lang w:val="en-GB"/>
        </w:rPr>
        <w:t xml:space="preserve"> </w:t>
      </w:r>
      <w:r w:rsidR="000A7A90" w:rsidRPr="00B45C6F">
        <w:rPr>
          <w:lang w:val="en-GB"/>
        </w:rPr>
        <w:t xml:space="preserve">Legislators are, therefore, not incentivised to put as much efforts as a rather permanent legislation would demand. </w:t>
      </w:r>
      <w:r w:rsidR="00E40A3B" w:rsidRPr="00B45C6F">
        <w:rPr>
          <w:lang w:val="en-GB"/>
        </w:rPr>
        <w:t>Also, t</w:t>
      </w:r>
      <w:r w:rsidR="00891D17" w:rsidRPr="00B45C6F">
        <w:rPr>
          <w:lang w:val="en-GB"/>
        </w:rPr>
        <w:t xml:space="preserve">his is </w:t>
      </w:r>
      <w:r w:rsidR="00F201C3" w:rsidRPr="00B45C6F">
        <w:rPr>
          <w:lang w:val="en-GB"/>
        </w:rPr>
        <w:t>because</w:t>
      </w:r>
      <w:r w:rsidR="00AC508A" w:rsidRPr="00B45C6F">
        <w:rPr>
          <w:lang w:val="en-GB"/>
        </w:rPr>
        <w:t xml:space="preserve"> </w:t>
      </w:r>
      <w:r w:rsidR="00125B6F" w:rsidRPr="00B45C6F">
        <w:rPr>
          <w:lang w:val="en-GB"/>
        </w:rPr>
        <w:t xml:space="preserve">the </w:t>
      </w:r>
      <w:r w:rsidR="00266693" w:rsidRPr="00B45C6F">
        <w:rPr>
          <w:lang w:val="en-GB"/>
        </w:rPr>
        <w:t>draft</w:t>
      </w:r>
      <w:r w:rsidR="00FC74A9" w:rsidRPr="00B45C6F">
        <w:rPr>
          <w:lang w:val="en-GB"/>
        </w:rPr>
        <w:t xml:space="preserve"> DST</w:t>
      </w:r>
      <w:r w:rsidR="00266693" w:rsidRPr="00B45C6F">
        <w:rPr>
          <w:lang w:val="en-GB"/>
        </w:rPr>
        <w:t xml:space="preserve"> law</w:t>
      </w:r>
      <w:r w:rsidR="00125B6F" w:rsidRPr="00B45C6F">
        <w:rPr>
          <w:lang w:val="en-GB"/>
        </w:rPr>
        <w:t xml:space="preserve"> </w:t>
      </w:r>
      <w:r w:rsidR="00AC508A" w:rsidRPr="00B45C6F">
        <w:rPr>
          <w:lang w:val="en-GB"/>
        </w:rPr>
        <w:t xml:space="preserve">is </w:t>
      </w:r>
      <w:r w:rsidR="00125B6F" w:rsidRPr="00B45C6F">
        <w:rPr>
          <w:lang w:val="en-GB"/>
        </w:rPr>
        <w:t xml:space="preserve">based on </w:t>
      </w:r>
      <w:r w:rsidR="00AC508A" w:rsidRPr="00B45C6F">
        <w:rPr>
          <w:lang w:val="en-GB"/>
        </w:rPr>
        <w:t xml:space="preserve">a responsive tax policy. </w:t>
      </w:r>
      <w:r w:rsidR="00531423" w:rsidRPr="00B45C6F">
        <w:rPr>
          <w:lang w:val="en-GB"/>
        </w:rPr>
        <w:t xml:space="preserve">The policy underlying the proposal aims at </w:t>
      </w:r>
      <w:r w:rsidR="003F54F7" w:rsidRPr="00B45C6F">
        <w:rPr>
          <w:lang w:val="en-GB"/>
        </w:rPr>
        <w:t>surmounting</w:t>
      </w:r>
      <w:r w:rsidR="00531423" w:rsidRPr="00B45C6F">
        <w:rPr>
          <w:lang w:val="en-GB"/>
        </w:rPr>
        <w:t xml:space="preserve"> the ‘misalignment between the place where the profits are taxed and the place where value is created.’</w:t>
      </w:r>
      <w:bookmarkStart w:id="1" w:name="_Ref533681647"/>
      <w:r w:rsidR="00531423" w:rsidRPr="00B45C6F">
        <w:rPr>
          <w:rStyle w:val="FootnoteReference"/>
          <w:lang w:val="en-GB"/>
        </w:rPr>
        <w:footnoteReference w:id="3"/>
      </w:r>
      <w:bookmarkEnd w:id="1"/>
      <w:r w:rsidR="00531423" w:rsidRPr="00B45C6F">
        <w:rPr>
          <w:lang w:val="en-GB"/>
        </w:rPr>
        <w:t xml:space="preserve"> </w:t>
      </w:r>
      <w:r w:rsidR="00D672ED" w:rsidRPr="00B45C6F">
        <w:rPr>
          <w:lang w:val="en-GB"/>
        </w:rPr>
        <w:t xml:space="preserve">Thus, </w:t>
      </w:r>
      <w:r w:rsidR="00266693" w:rsidRPr="00B45C6F">
        <w:rPr>
          <w:lang w:val="en-GB"/>
        </w:rPr>
        <w:t>w</w:t>
      </w:r>
      <w:r w:rsidR="00D672ED" w:rsidRPr="00B45C6F">
        <w:rPr>
          <w:lang w:val="en-GB"/>
        </w:rPr>
        <w:t xml:space="preserve">ithin the DST, </w:t>
      </w:r>
      <w:r w:rsidR="00266693" w:rsidRPr="00B45C6F">
        <w:rPr>
          <w:lang w:val="en-GB"/>
        </w:rPr>
        <w:t xml:space="preserve">it is </w:t>
      </w:r>
      <w:r w:rsidR="00D672ED" w:rsidRPr="00B45C6F">
        <w:rPr>
          <w:lang w:val="en-GB"/>
        </w:rPr>
        <w:t xml:space="preserve">the rules on value creation </w:t>
      </w:r>
      <w:r w:rsidR="00266693" w:rsidRPr="00B45C6F">
        <w:rPr>
          <w:lang w:val="en-GB"/>
        </w:rPr>
        <w:t>that</w:t>
      </w:r>
      <w:r w:rsidR="00D672ED" w:rsidRPr="00B45C6F">
        <w:rPr>
          <w:lang w:val="en-GB"/>
        </w:rPr>
        <w:t xml:space="preserve"> dictate the allocation of profits among states. The current international tax rules are considered as failing to ‘(…) acknowledge the role of [digital platform] users in generating value for digital companies by providing data and content or as the building blocks of the networks that are central to many digital business models.’</w:t>
      </w:r>
      <w:bookmarkStart w:id="2" w:name="_Ref533692801"/>
      <w:r w:rsidR="00D672ED" w:rsidRPr="00B45C6F">
        <w:rPr>
          <w:rStyle w:val="FootnoteReference"/>
          <w:lang w:val="en-GB"/>
        </w:rPr>
        <w:footnoteReference w:id="4"/>
      </w:r>
      <w:bookmarkEnd w:id="2"/>
      <w:r w:rsidR="00D672ED" w:rsidRPr="00B45C6F">
        <w:rPr>
          <w:lang w:val="en-GB"/>
        </w:rPr>
        <w:t xml:space="preserve"> </w:t>
      </w:r>
      <w:r w:rsidR="00266693" w:rsidRPr="00B45C6F">
        <w:rPr>
          <w:lang w:val="en-GB"/>
        </w:rPr>
        <w:t>In other words,</w:t>
      </w:r>
      <w:r w:rsidR="00D672ED" w:rsidRPr="00B45C6F">
        <w:rPr>
          <w:lang w:val="en-GB"/>
        </w:rPr>
        <w:t xml:space="preserve"> </w:t>
      </w:r>
      <w:r w:rsidR="00266693" w:rsidRPr="00B45C6F">
        <w:rPr>
          <w:lang w:val="en-GB"/>
        </w:rPr>
        <w:t>with</w:t>
      </w:r>
      <w:r w:rsidR="00D672ED" w:rsidRPr="00B45C6F">
        <w:rPr>
          <w:lang w:val="en-GB"/>
        </w:rPr>
        <w:t xml:space="preserve">in the digital economy, value is created in the state in which the users of digital services reside. </w:t>
      </w:r>
    </w:p>
    <w:p w:rsidR="00156F5D" w:rsidRPr="00B45C6F" w:rsidRDefault="00D672ED" w:rsidP="005A78CC">
      <w:pPr>
        <w:spacing w:after="120"/>
        <w:ind w:firstLine="567"/>
        <w:rPr>
          <w:lang w:val="en-GB"/>
        </w:rPr>
      </w:pPr>
      <w:r w:rsidRPr="00B45C6F">
        <w:rPr>
          <w:lang w:val="en-GB"/>
        </w:rPr>
        <w:t>C</w:t>
      </w:r>
      <w:r w:rsidR="000D481C" w:rsidRPr="00B45C6F">
        <w:rPr>
          <w:lang w:val="en-GB"/>
        </w:rPr>
        <w:t>ommenting on the UK DST proposal,</w:t>
      </w:r>
      <w:r w:rsidR="004C350C" w:rsidRPr="00B45C6F">
        <w:rPr>
          <w:lang w:val="en-GB"/>
        </w:rPr>
        <w:t xml:space="preserve"> </w:t>
      </w:r>
      <w:r w:rsidRPr="00B45C6F">
        <w:rPr>
          <w:lang w:val="en-GB"/>
        </w:rPr>
        <w:t xml:space="preserve">Professor </w:t>
      </w:r>
      <w:proofErr w:type="spellStart"/>
      <w:r w:rsidRPr="00B45C6F">
        <w:rPr>
          <w:lang w:val="en-GB"/>
        </w:rPr>
        <w:t>Deveraux</w:t>
      </w:r>
      <w:proofErr w:type="spellEnd"/>
      <w:r w:rsidRPr="00B45C6F">
        <w:rPr>
          <w:rStyle w:val="FootnoteReference"/>
          <w:lang w:val="en-GB"/>
        </w:rPr>
        <w:footnoteReference w:id="5"/>
      </w:r>
      <w:r w:rsidRPr="00B45C6F">
        <w:rPr>
          <w:lang w:val="en-GB"/>
        </w:rPr>
        <w:t xml:space="preserve"> </w:t>
      </w:r>
      <w:r w:rsidR="00427FB4" w:rsidRPr="00B45C6F">
        <w:rPr>
          <w:lang w:val="en-GB"/>
        </w:rPr>
        <w:t>criticised</w:t>
      </w:r>
      <w:r w:rsidR="004C350C" w:rsidRPr="00B45C6F">
        <w:rPr>
          <w:lang w:val="en-GB"/>
        </w:rPr>
        <w:t xml:space="preserve"> that </w:t>
      </w:r>
      <w:r w:rsidR="002C671E" w:rsidRPr="00B45C6F">
        <w:rPr>
          <w:lang w:val="en-GB"/>
        </w:rPr>
        <w:t>user-based value creation</w:t>
      </w:r>
      <w:r w:rsidR="006365C2" w:rsidRPr="00B45C6F">
        <w:rPr>
          <w:lang w:val="en-GB"/>
        </w:rPr>
        <w:t xml:space="preserve"> lack</w:t>
      </w:r>
      <w:r w:rsidR="002C671E" w:rsidRPr="00B45C6F">
        <w:rPr>
          <w:lang w:val="en-GB"/>
        </w:rPr>
        <w:t>s</w:t>
      </w:r>
      <w:r w:rsidR="006365C2" w:rsidRPr="00B45C6F">
        <w:rPr>
          <w:lang w:val="en-GB"/>
        </w:rPr>
        <w:t xml:space="preserve"> of clear rationale</w:t>
      </w:r>
      <w:r w:rsidR="003402F4" w:rsidRPr="00B45C6F">
        <w:rPr>
          <w:lang w:val="en-GB"/>
        </w:rPr>
        <w:t>s</w:t>
      </w:r>
      <w:r w:rsidR="006365C2" w:rsidRPr="00B45C6F">
        <w:rPr>
          <w:lang w:val="en-GB"/>
        </w:rPr>
        <w:t xml:space="preserve"> under the existing principles.</w:t>
      </w:r>
      <w:r w:rsidR="00437689" w:rsidRPr="00B45C6F">
        <w:rPr>
          <w:lang w:val="en-GB"/>
        </w:rPr>
        <w:t xml:space="preserve"> </w:t>
      </w:r>
      <w:r w:rsidR="00FB17A3" w:rsidRPr="00B45C6F">
        <w:rPr>
          <w:lang w:val="en-GB"/>
        </w:rPr>
        <w:t>He</w:t>
      </w:r>
      <w:r w:rsidR="00437689" w:rsidRPr="00B45C6F">
        <w:rPr>
          <w:lang w:val="en-GB"/>
        </w:rPr>
        <w:t xml:space="preserve"> </w:t>
      </w:r>
      <w:r w:rsidR="00675223" w:rsidRPr="00B45C6F">
        <w:rPr>
          <w:lang w:val="en-GB"/>
        </w:rPr>
        <w:t>asser</w:t>
      </w:r>
      <w:r w:rsidR="005C4A2C" w:rsidRPr="00B45C6F">
        <w:rPr>
          <w:lang w:val="en-GB"/>
        </w:rPr>
        <w:t>ted</w:t>
      </w:r>
      <w:r w:rsidR="00437689" w:rsidRPr="00B45C6F">
        <w:rPr>
          <w:lang w:val="en-GB"/>
        </w:rPr>
        <w:t xml:space="preserve"> that </w:t>
      </w:r>
      <w:r w:rsidR="008B2785" w:rsidRPr="00B45C6F">
        <w:rPr>
          <w:lang w:val="en-GB"/>
        </w:rPr>
        <w:t xml:space="preserve">‘value creation’ includes a vast array of </w:t>
      </w:r>
      <w:r w:rsidR="00D508EB" w:rsidRPr="00B45C6F">
        <w:rPr>
          <w:lang w:val="en-GB"/>
        </w:rPr>
        <w:t xml:space="preserve">variables, as such that </w:t>
      </w:r>
      <w:r w:rsidR="00FB17A3" w:rsidRPr="00B45C6F">
        <w:rPr>
          <w:lang w:val="en-GB"/>
        </w:rPr>
        <w:t>a</w:t>
      </w:r>
      <w:r w:rsidR="00971ABD" w:rsidRPr="00B45C6F">
        <w:rPr>
          <w:lang w:val="en-GB"/>
        </w:rPr>
        <w:t xml:space="preserve"> </w:t>
      </w:r>
      <w:r w:rsidR="00FB17A3" w:rsidRPr="00B45C6F">
        <w:rPr>
          <w:lang w:val="en-GB"/>
        </w:rPr>
        <w:t>DST</w:t>
      </w:r>
      <w:r w:rsidR="00971ABD" w:rsidRPr="00B45C6F">
        <w:rPr>
          <w:lang w:val="en-GB"/>
        </w:rPr>
        <w:t>—or similar—</w:t>
      </w:r>
      <w:r w:rsidR="00FB17A3" w:rsidRPr="00B45C6F">
        <w:rPr>
          <w:lang w:val="en-GB"/>
        </w:rPr>
        <w:t>regime</w:t>
      </w:r>
      <w:r w:rsidR="00D508EB" w:rsidRPr="00B45C6F">
        <w:rPr>
          <w:lang w:val="en-GB"/>
        </w:rPr>
        <w:t xml:space="preserve"> cannot be justified by the principles of fairness and economic efficiency.</w:t>
      </w:r>
      <w:r w:rsidR="00E348E3" w:rsidRPr="00B45C6F">
        <w:rPr>
          <w:lang w:val="en-GB"/>
        </w:rPr>
        <w:t xml:space="preserve"> Arguably, </w:t>
      </w:r>
      <w:r w:rsidR="00BF3DDB" w:rsidRPr="00B45C6F">
        <w:rPr>
          <w:lang w:val="en-GB"/>
        </w:rPr>
        <w:t xml:space="preserve">the </w:t>
      </w:r>
      <w:r w:rsidR="00427FB4" w:rsidRPr="00B45C6F">
        <w:rPr>
          <w:lang w:val="en-GB"/>
        </w:rPr>
        <w:t xml:space="preserve">EU </w:t>
      </w:r>
      <w:r w:rsidR="00446011" w:rsidRPr="00B45C6F">
        <w:rPr>
          <w:lang w:val="en-GB"/>
        </w:rPr>
        <w:t xml:space="preserve">DST </w:t>
      </w:r>
      <w:r w:rsidR="00F27914" w:rsidRPr="00B45C6F">
        <w:rPr>
          <w:lang w:val="en-GB"/>
        </w:rPr>
        <w:t>concept</w:t>
      </w:r>
      <w:r w:rsidR="00E348E3" w:rsidRPr="00B45C6F">
        <w:rPr>
          <w:lang w:val="en-GB"/>
        </w:rPr>
        <w:t xml:space="preserve"> </w:t>
      </w:r>
      <w:r w:rsidR="00446011" w:rsidRPr="00B45C6F">
        <w:rPr>
          <w:lang w:val="en-GB"/>
        </w:rPr>
        <w:t xml:space="preserve">is </w:t>
      </w:r>
      <w:r w:rsidR="00E348E3" w:rsidRPr="00B45C6F">
        <w:rPr>
          <w:lang w:val="en-GB"/>
        </w:rPr>
        <w:t xml:space="preserve">also </w:t>
      </w:r>
      <w:r w:rsidR="00A830A6" w:rsidRPr="00B45C6F">
        <w:rPr>
          <w:lang w:val="en-GB"/>
        </w:rPr>
        <w:t>un</w:t>
      </w:r>
      <w:r w:rsidR="00446011" w:rsidRPr="00B45C6F">
        <w:rPr>
          <w:lang w:val="en-GB"/>
        </w:rPr>
        <w:t xml:space="preserve">justifiable </w:t>
      </w:r>
      <w:r w:rsidR="00E348E3" w:rsidRPr="00B45C6F">
        <w:rPr>
          <w:lang w:val="en-GB"/>
        </w:rPr>
        <w:t xml:space="preserve">by </w:t>
      </w:r>
      <w:r w:rsidR="0016034C" w:rsidRPr="00B45C6F">
        <w:rPr>
          <w:lang w:val="en-GB"/>
        </w:rPr>
        <w:t xml:space="preserve">the </w:t>
      </w:r>
      <w:r w:rsidR="00427FB4" w:rsidRPr="00B45C6F">
        <w:rPr>
          <w:lang w:val="en-GB"/>
        </w:rPr>
        <w:t>aims</w:t>
      </w:r>
      <w:r w:rsidR="0016034C" w:rsidRPr="00B45C6F">
        <w:rPr>
          <w:lang w:val="en-GB"/>
        </w:rPr>
        <w:t xml:space="preserve"> </w:t>
      </w:r>
      <w:r w:rsidR="00E348E3" w:rsidRPr="00B45C6F">
        <w:rPr>
          <w:lang w:val="en-GB"/>
        </w:rPr>
        <w:t>to protect the integrity and ensure the proper functioning</w:t>
      </w:r>
      <w:r w:rsidR="0016034C" w:rsidRPr="00B45C6F">
        <w:rPr>
          <w:lang w:val="en-GB"/>
        </w:rPr>
        <w:t xml:space="preserve"> of the single market, as well as the need to </w:t>
      </w:r>
      <w:r w:rsidR="00971ABD" w:rsidRPr="00B45C6F">
        <w:rPr>
          <w:lang w:val="en-GB"/>
        </w:rPr>
        <w:t>ensure sustainability of the</w:t>
      </w:r>
      <w:r w:rsidR="0016034C" w:rsidRPr="00B45C6F">
        <w:rPr>
          <w:lang w:val="en-GB"/>
        </w:rPr>
        <w:t xml:space="preserve"> EU public finances, </w:t>
      </w:r>
      <w:r w:rsidR="00724DA3" w:rsidRPr="00B45C6F">
        <w:rPr>
          <w:lang w:val="en-GB"/>
        </w:rPr>
        <w:t>as set out</w:t>
      </w:r>
      <w:r w:rsidR="00427FB4" w:rsidRPr="00B45C6F">
        <w:rPr>
          <w:lang w:val="en-GB"/>
        </w:rPr>
        <w:t xml:space="preserve"> in</w:t>
      </w:r>
      <w:r w:rsidR="00CC4277" w:rsidRPr="00B45C6F">
        <w:rPr>
          <w:lang w:val="en-GB"/>
        </w:rPr>
        <w:t xml:space="preserve"> the </w:t>
      </w:r>
      <w:r w:rsidR="00427FB4" w:rsidRPr="00B45C6F">
        <w:rPr>
          <w:lang w:val="en-GB"/>
        </w:rPr>
        <w:t>Commission’s</w:t>
      </w:r>
      <w:r w:rsidR="00CC4277" w:rsidRPr="00B45C6F">
        <w:rPr>
          <w:lang w:val="en-GB"/>
        </w:rPr>
        <w:t xml:space="preserve"> proposal</w:t>
      </w:r>
      <w:r w:rsidR="0016034C" w:rsidRPr="00B45C6F">
        <w:rPr>
          <w:lang w:val="en-GB"/>
        </w:rPr>
        <w:t>.</w:t>
      </w:r>
      <w:r w:rsidR="002D0B35" w:rsidRPr="00B45C6F">
        <w:rPr>
          <w:lang w:val="en-GB"/>
        </w:rPr>
        <w:t xml:space="preserve"> Thus, </w:t>
      </w:r>
      <w:r w:rsidR="009A3360" w:rsidRPr="00B45C6F">
        <w:rPr>
          <w:lang w:val="en-GB"/>
        </w:rPr>
        <w:t>is the current EU</w:t>
      </w:r>
      <w:r w:rsidR="00A830A6" w:rsidRPr="00B45C6F">
        <w:rPr>
          <w:lang w:val="en-GB"/>
        </w:rPr>
        <w:t xml:space="preserve"> </w:t>
      </w:r>
      <w:r w:rsidR="009A3360" w:rsidRPr="00B45C6F">
        <w:rPr>
          <w:lang w:val="en-GB"/>
        </w:rPr>
        <w:t xml:space="preserve">proposal for a </w:t>
      </w:r>
      <w:r w:rsidR="00D07F5E" w:rsidRPr="00B45C6F">
        <w:rPr>
          <w:lang w:val="en-GB"/>
        </w:rPr>
        <w:t xml:space="preserve">DST </w:t>
      </w:r>
      <w:r w:rsidR="009A3360" w:rsidRPr="00B45C6F">
        <w:rPr>
          <w:lang w:val="en-GB"/>
        </w:rPr>
        <w:t>feasible</w:t>
      </w:r>
      <w:r w:rsidR="00D07F5E" w:rsidRPr="00B45C6F">
        <w:rPr>
          <w:lang w:val="en-GB"/>
        </w:rPr>
        <w:t>?</w:t>
      </w:r>
      <w:r w:rsidR="009A3360" w:rsidRPr="00B45C6F">
        <w:rPr>
          <w:lang w:val="en-GB"/>
        </w:rPr>
        <w:t xml:space="preserve"> If not, what might improve its feasibility?</w:t>
      </w:r>
    </w:p>
    <w:p w:rsidR="00A25AB9" w:rsidRPr="00B45C6F" w:rsidRDefault="00B45C6F" w:rsidP="00AF4E11">
      <w:pPr>
        <w:pStyle w:val="Heading1"/>
        <w:numPr>
          <w:ilvl w:val="0"/>
          <w:numId w:val="7"/>
        </w:numPr>
        <w:spacing w:before="120" w:after="120"/>
        <w:ind w:left="284" w:hanging="284"/>
        <w:rPr>
          <w:rFonts w:ascii="Times New Roman" w:hAnsi="Times New Roman" w:cs="Times New Roman"/>
          <w:b/>
          <w:color w:val="auto"/>
          <w:sz w:val="24"/>
          <w:szCs w:val="24"/>
          <w:lang w:val="en-GB"/>
        </w:rPr>
      </w:pPr>
      <w:r w:rsidRPr="00B45C6F">
        <w:rPr>
          <w:rFonts w:ascii="Times New Roman" w:hAnsi="Times New Roman" w:cs="Times New Roman"/>
          <w:b/>
          <w:color w:val="auto"/>
          <w:sz w:val="24"/>
          <w:szCs w:val="24"/>
          <w:lang w:val="en-GB"/>
        </w:rPr>
        <w:lastRenderedPageBreak/>
        <w:t>Disproportionate measures</w:t>
      </w:r>
      <w:r w:rsidR="000A592C" w:rsidRPr="00B45C6F">
        <w:rPr>
          <w:rFonts w:ascii="Times New Roman" w:hAnsi="Times New Roman" w:cs="Times New Roman"/>
          <w:b/>
          <w:color w:val="auto"/>
          <w:sz w:val="24"/>
          <w:szCs w:val="24"/>
          <w:lang w:val="en-GB"/>
        </w:rPr>
        <w:t xml:space="preserve"> within</w:t>
      </w:r>
      <w:r w:rsidR="00A25AB9" w:rsidRPr="00B45C6F">
        <w:rPr>
          <w:rFonts w:ascii="Times New Roman" w:hAnsi="Times New Roman" w:cs="Times New Roman"/>
          <w:b/>
          <w:color w:val="auto"/>
          <w:sz w:val="24"/>
          <w:szCs w:val="24"/>
          <w:lang w:val="en-GB"/>
        </w:rPr>
        <w:t xml:space="preserve"> the EU DST proposal</w:t>
      </w:r>
    </w:p>
    <w:p w:rsidR="007E44B7" w:rsidRPr="00B45C6F" w:rsidRDefault="00095326" w:rsidP="005A78CC">
      <w:pPr>
        <w:spacing w:after="120"/>
        <w:ind w:firstLine="567"/>
        <w:rPr>
          <w:lang w:val="en-GB"/>
        </w:rPr>
      </w:pPr>
      <w:r w:rsidRPr="00B45C6F">
        <w:rPr>
          <w:lang w:val="en-GB"/>
        </w:rPr>
        <w:t>It is not contested that the transformation carried out by the digital economy on the method by which people interact, consume and do businesses require for tax measures</w:t>
      </w:r>
      <w:r w:rsidR="000C4629" w:rsidRPr="00B45C6F">
        <w:rPr>
          <w:lang w:val="en-GB"/>
        </w:rPr>
        <w:t xml:space="preserve"> that would bring about fair taxation and economic efficiency</w:t>
      </w:r>
      <w:r w:rsidRPr="00B45C6F">
        <w:rPr>
          <w:lang w:val="en-GB"/>
        </w:rPr>
        <w:t xml:space="preserve">. </w:t>
      </w:r>
      <w:r w:rsidR="007E44B7" w:rsidRPr="00B45C6F">
        <w:rPr>
          <w:lang w:val="en-GB"/>
        </w:rPr>
        <w:t>Paradoxically, t</w:t>
      </w:r>
      <w:r w:rsidRPr="00B45C6F">
        <w:rPr>
          <w:lang w:val="en-GB"/>
        </w:rPr>
        <w:t xml:space="preserve">he measures </w:t>
      </w:r>
      <w:r w:rsidR="007E44B7" w:rsidRPr="00B45C6F">
        <w:rPr>
          <w:lang w:val="en-GB"/>
        </w:rPr>
        <w:t xml:space="preserve">by which a DST will be imposed are </w:t>
      </w:r>
      <w:r w:rsidRPr="00B45C6F">
        <w:rPr>
          <w:lang w:val="en-GB"/>
        </w:rPr>
        <w:t xml:space="preserve">resulted from a simple </w:t>
      </w:r>
      <w:r w:rsidR="00062631" w:rsidRPr="00B45C6F">
        <w:rPr>
          <w:lang w:val="en-GB"/>
        </w:rPr>
        <w:t>‘</w:t>
      </w:r>
      <w:r w:rsidR="00841A13" w:rsidRPr="00B45C6F">
        <w:rPr>
          <w:lang w:val="en-GB"/>
        </w:rPr>
        <w:t>face lifting</w:t>
      </w:r>
      <w:r w:rsidR="00062631" w:rsidRPr="00B45C6F">
        <w:rPr>
          <w:lang w:val="en-GB"/>
        </w:rPr>
        <w:t>’</w:t>
      </w:r>
      <w:r w:rsidRPr="00B45C6F">
        <w:rPr>
          <w:lang w:val="en-GB"/>
        </w:rPr>
        <w:t xml:space="preserve"> of </w:t>
      </w:r>
      <w:r w:rsidR="007E44B7" w:rsidRPr="00B45C6F">
        <w:rPr>
          <w:lang w:val="en-GB"/>
        </w:rPr>
        <w:t xml:space="preserve">the </w:t>
      </w:r>
      <w:r w:rsidRPr="00B45C6F">
        <w:rPr>
          <w:lang w:val="en-GB"/>
        </w:rPr>
        <w:t xml:space="preserve">established </w:t>
      </w:r>
      <w:r w:rsidR="007E44B7" w:rsidRPr="00B45C6F">
        <w:rPr>
          <w:lang w:val="en-GB"/>
        </w:rPr>
        <w:t>corporate income tax (CIT)</w:t>
      </w:r>
      <w:r w:rsidR="003B6EB7" w:rsidRPr="00B45C6F">
        <w:rPr>
          <w:lang w:val="en-GB"/>
        </w:rPr>
        <w:t xml:space="preserve"> system</w:t>
      </w:r>
      <w:r w:rsidR="007E44B7" w:rsidRPr="00B45C6F">
        <w:rPr>
          <w:lang w:val="en-GB"/>
        </w:rPr>
        <w:t xml:space="preserve">, </w:t>
      </w:r>
      <w:r w:rsidR="003B6EB7" w:rsidRPr="00B45C6F">
        <w:rPr>
          <w:lang w:val="en-GB"/>
        </w:rPr>
        <w:t>with additional</w:t>
      </w:r>
      <w:r w:rsidR="007E44B7" w:rsidRPr="00B45C6F">
        <w:rPr>
          <w:lang w:val="en-GB"/>
        </w:rPr>
        <w:t xml:space="preserve"> influence</w:t>
      </w:r>
      <w:r w:rsidR="003B6EB7" w:rsidRPr="00B45C6F">
        <w:rPr>
          <w:lang w:val="en-GB"/>
        </w:rPr>
        <w:t>s</w:t>
      </w:r>
      <w:r w:rsidR="007E44B7" w:rsidRPr="00B45C6F">
        <w:rPr>
          <w:lang w:val="en-GB"/>
        </w:rPr>
        <w:t xml:space="preserve"> from the Value Added Tax (VAT) system</w:t>
      </w:r>
      <w:r w:rsidRPr="00B45C6F">
        <w:rPr>
          <w:lang w:val="en-GB"/>
        </w:rPr>
        <w:t xml:space="preserve">. </w:t>
      </w:r>
      <w:r w:rsidR="004D4637" w:rsidRPr="00B45C6F">
        <w:rPr>
          <w:lang w:val="en-GB"/>
        </w:rPr>
        <w:t>It is insufficient to cherry-</w:t>
      </w:r>
      <w:r w:rsidRPr="00B45C6F">
        <w:rPr>
          <w:lang w:val="en-GB"/>
        </w:rPr>
        <w:t>pick</w:t>
      </w:r>
      <w:r w:rsidR="000C4629" w:rsidRPr="00B45C6F">
        <w:rPr>
          <w:lang w:val="en-GB"/>
        </w:rPr>
        <w:t xml:space="preserve"> </w:t>
      </w:r>
      <w:r w:rsidR="007E44B7" w:rsidRPr="00B45C6F">
        <w:rPr>
          <w:lang w:val="en-GB"/>
        </w:rPr>
        <w:t xml:space="preserve">CIT and VAT </w:t>
      </w:r>
      <w:r w:rsidRPr="00B45C6F">
        <w:rPr>
          <w:lang w:val="en-GB"/>
        </w:rPr>
        <w:t>features that benefit the state</w:t>
      </w:r>
      <w:r w:rsidR="005D2E4E" w:rsidRPr="00B45C6F">
        <w:rPr>
          <w:lang w:val="en-GB"/>
        </w:rPr>
        <w:t>s’</w:t>
      </w:r>
      <w:r w:rsidRPr="00B45C6F">
        <w:rPr>
          <w:lang w:val="en-GB"/>
        </w:rPr>
        <w:t xml:space="preserve"> revenues the most and </w:t>
      </w:r>
      <w:r w:rsidR="00062631" w:rsidRPr="00B45C6F">
        <w:rPr>
          <w:lang w:val="en-GB"/>
        </w:rPr>
        <w:t>develop a new type of tax</w:t>
      </w:r>
      <w:r w:rsidR="005D2E4E" w:rsidRPr="00B45C6F">
        <w:rPr>
          <w:lang w:val="en-GB"/>
        </w:rPr>
        <w:t xml:space="preserve"> that aims at equalising the a</w:t>
      </w:r>
      <w:r w:rsidR="003B6EB7" w:rsidRPr="00B45C6F">
        <w:rPr>
          <w:lang w:val="en-GB"/>
        </w:rPr>
        <w:t>mount which would otherwise be</w:t>
      </w:r>
      <w:r w:rsidR="005D2E4E" w:rsidRPr="00B45C6F">
        <w:rPr>
          <w:lang w:val="en-GB"/>
        </w:rPr>
        <w:t xml:space="preserve"> paid as</w:t>
      </w:r>
      <w:r w:rsidR="00062631" w:rsidRPr="00B45C6F">
        <w:rPr>
          <w:lang w:val="en-GB"/>
        </w:rPr>
        <w:t xml:space="preserve"> </w:t>
      </w:r>
      <w:r w:rsidR="005D2E4E" w:rsidRPr="00B45C6F">
        <w:rPr>
          <w:lang w:val="en-GB"/>
        </w:rPr>
        <w:t>CIT</w:t>
      </w:r>
      <w:r w:rsidR="000C4629" w:rsidRPr="00B45C6F">
        <w:rPr>
          <w:lang w:val="en-GB"/>
        </w:rPr>
        <w:t>.</w:t>
      </w:r>
      <w:r w:rsidR="007E44B7" w:rsidRPr="00B45C6F">
        <w:rPr>
          <w:lang w:val="en-GB"/>
        </w:rPr>
        <w:t xml:space="preserve"> </w:t>
      </w:r>
      <w:r w:rsidR="00125FC9" w:rsidRPr="00B45C6F">
        <w:rPr>
          <w:lang w:val="en-GB"/>
        </w:rPr>
        <w:t xml:space="preserve">Furthermore, it is not acceptable to enforce a tax regime whose subjective qualifications can only be met by certain taxpayers. After all, </w:t>
      </w:r>
      <w:r w:rsidR="00EF1E6E" w:rsidRPr="00B45C6F">
        <w:rPr>
          <w:lang w:val="en-GB"/>
        </w:rPr>
        <w:t>‘(…) devising rules specifically for the digital economy may well be inappropriate</w:t>
      </w:r>
      <w:r w:rsidR="00A3024D" w:rsidRPr="00B45C6F">
        <w:rPr>
          <w:lang w:val="en-GB"/>
        </w:rPr>
        <w:t>,</w:t>
      </w:r>
      <w:r w:rsidR="00EF1E6E" w:rsidRPr="00B45C6F">
        <w:rPr>
          <w:lang w:val="en-GB"/>
        </w:rPr>
        <w:t>’</w:t>
      </w:r>
      <w:bookmarkStart w:id="3" w:name="_Ref533082196"/>
      <w:r w:rsidR="00EF1E6E" w:rsidRPr="00B45C6F">
        <w:rPr>
          <w:rStyle w:val="FootnoteReference"/>
          <w:lang w:val="en-GB"/>
        </w:rPr>
        <w:footnoteReference w:id="6"/>
      </w:r>
      <w:bookmarkEnd w:id="3"/>
      <w:r w:rsidR="00A3024D" w:rsidRPr="00B45C6F">
        <w:rPr>
          <w:lang w:val="en-GB"/>
        </w:rPr>
        <w:t xml:space="preserve"> although digitalisation has made it easier for multinational corporations to set up their entities and shift their profits to low-tax jurisdictions.</w:t>
      </w:r>
      <w:bookmarkStart w:id="4" w:name="_Ref533694250"/>
      <w:r w:rsidR="00A3024D" w:rsidRPr="00B45C6F">
        <w:rPr>
          <w:rStyle w:val="FootnoteReference"/>
          <w:lang w:val="en-GB"/>
        </w:rPr>
        <w:footnoteReference w:id="7"/>
      </w:r>
      <w:bookmarkEnd w:id="4"/>
      <w:r w:rsidR="00A3024D" w:rsidRPr="00B45C6F">
        <w:rPr>
          <w:lang w:val="en-GB"/>
        </w:rPr>
        <w:t xml:space="preserve"> </w:t>
      </w:r>
      <w:r w:rsidR="007E44B7" w:rsidRPr="00B45C6F">
        <w:rPr>
          <w:lang w:val="en-GB"/>
        </w:rPr>
        <w:t>Th</w:t>
      </w:r>
      <w:r w:rsidR="00125FC9" w:rsidRPr="00B45C6F">
        <w:rPr>
          <w:lang w:val="en-GB"/>
        </w:rPr>
        <w:t>is</w:t>
      </w:r>
      <w:r w:rsidR="007E44B7" w:rsidRPr="00B45C6F">
        <w:rPr>
          <w:lang w:val="en-GB"/>
        </w:rPr>
        <w:t xml:space="preserve"> is arguably the case with the DST proposal which has </w:t>
      </w:r>
      <w:r w:rsidR="003B6EB7" w:rsidRPr="00B45C6F">
        <w:rPr>
          <w:lang w:val="en-GB"/>
        </w:rPr>
        <w:t xml:space="preserve">significantly </w:t>
      </w:r>
      <w:r w:rsidR="007E44B7" w:rsidRPr="00B45C6F">
        <w:rPr>
          <w:lang w:val="en-GB"/>
        </w:rPr>
        <w:t xml:space="preserve">contributed to the architectural flaws of the tax. These flaws </w:t>
      </w:r>
      <w:r w:rsidR="002B19D6" w:rsidRPr="00B45C6F">
        <w:rPr>
          <w:lang w:val="en-GB"/>
        </w:rPr>
        <w:t>are coherent to, again, the</w:t>
      </w:r>
      <w:r w:rsidR="007E44B7" w:rsidRPr="00B45C6F">
        <w:rPr>
          <w:lang w:val="en-GB"/>
        </w:rPr>
        <w:t xml:space="preserve"> </w:t>
      </w:r>
      <w:r w:rsidR="002B19D6" w:rsidRPr="00B45C6F">
        <w:rPr>
          <w:lang w:val="en-GB"/>
        </w:rPr>
        <w:t>responsive and temporary nature of the DST, in lieu of</w:t>
      </w:r>
      <w:r w:rsidR="007E44B7" w:rsidRPr="00B45C6F">
        <w:rPr>
          <w:lang w:val="en-GB"/>
        </w:rPr>
        <w:t xml:space="preserve"> </w:t>
      </w:r>
      <w:r w:rsidR="002B19D6" w:rsidRPr="00B45C6F">
        <w:rPr>
          <w:lang w:val="en-GB"/>
        </w:rPr>
        <w:t>a comprehensive and long-term solution</w:t>
      </w:r>
      <w:r w:rsidR="007E44B7" w:rsidRPr="00B45C6F">
        <w:rPr>
          <w:lang w:val="en-GB"/>
        </w:rPr>
        <w:t>.</w:t>
      </w:r>
    </w:p>
    <w:p w:rsidR="007E44B7" w:rsidRPr="00B45C6F" w:rsidRDefault="007E44B7" w:rsidP="00AF4E11">
      <w:pPr>
        <w:pStyle w:val="Heading2"/>
        <w:numPr>
          <w:ilvl w:val="0"/>
          <w:numId w:val="8"/>
        </w:numPr>
        <w:spacing w:before="120" w:after="120"/>
        <w:ind w:left="851" w:hanging="567"/>
        <w:rPr>
          <w:rFonts w:ascii="Times New Roman" w:hAnsi="Times New Roman" w:cs="Times New Roman"/>
        </w:rPr>
      </w:pPr>
      <w:r w:rsidRPr="00B45C6F">
        <w:rPr>
          <w:rFonts w:ascii="Times New Roman" w:hAnsi="Times New Roman" w:cs="Times New Roman"/>
        </w:rPr>
        <w:t xml:space="preserve">The </w:t>
      </w:r>
      <w:r w:rsidR="007F6177" w:rsidRPr="00B45C6F">
        <w:rPr>
          <w:rFonts w:ascii="Times New Roman" w:hAnsi="Times New Roman" w:cs="Times New Roman"/>
        </w:rPr>
        <w:t>conflation</w:t>
      </w:r>
      <w:r w:rsidRPr="00B45C6F">
        <w:rPr>
          <w:rFonts w:ascii="Times New Roman" w:hAnsi="Times New Roman" w:cs="Times New Roman"/>
        </w:rPr>
        <w:t xml:space="preserve"> of concepts </w:t>
      </w:r>
      <w:r w:rsidR="00C67060" w:rsidRPr="00B45C6F">
        <w:rPr>
          <w:rFonts w:ascii="Times New Roman" w:hAnsi="Times New Roman" w:cs="Times New Roman"/>
        </w:rPr>
        <w:t xml:space="preserve">established in </w:t>
      </w:r>
      <w:r w:rsidRPr="00B45C6F">
        <w:rPr>
          <w:rFonts w:ascii="Times New Roman" w:hAnsi="Times New Roman" w:cs="Times New Roman"/>
        </w:rPr>
        <w:t>direct and indirect taxes</w:t>
      </w:r>
    </w:p>
    <w:p w:rsidR="00676B8D" w:rsidRPr="00B45C6F" w:rsidRDefault="00C67060" w:rsidP="00A3024D">
      <w:pPr>
        <w:spacing w:after="120"/>
        <w:ind w:firstLine="567"/>
        <w:rPr>
          <w:lang w:val="en-GB"/>
        </w:rPr>
      </w:pPr>
      <w:r w:rsidRPr="00B45C6F">
        <w:rPr>
          <w:lang w:val="en-GB"/>
        </w:rPr>
        <w:t>The first flaw of the DST concerns its embodiment of tax principles f</w:t>
      </w:r>
      <w:r w:rsidR="00354D79" w:rsidRPr="00B45C6F">
        <w:rPr>
          <w:lang w:val="en-GB"/>
        </w:rPr>
        <w:t>ound in the CIT and VAT systems</w:t>
      </w:r>
      <w:r w:rsidR="009867CE">
        <w:rPr>
          <w:lang w:val="en-GB"/>
        </w:rPr>
        <w:t>, whereas the CIT, VAT, and</w:t>
      </w:r>
      <w:r w:rsidR="00354D79" w:rsidRPr="00B45C6F">
        <w:rPr>
          <w:lang w:val="en-GB"/>
        </w:rPr>
        <w:t xml:space="preserve"> DST</w:t>
      </w:r>
      <w:r w:rsidR="00062631" w:rsidRPr="00B45C6F">
        <w:rPr>
          <w:lang w:val="en-GB"/>
        </w:rPr>
        <w:t xml:space="preserve"> are syntheses of distinct international tax paradigm</w:t>
      </w:r>
      <w:r w:rsidR="009867CE">
        <w:rPr>
          <w:lang w:val="en-GB"/>
        </w:rPr>
        <w:t>s</w:t>
      </w:r>
      <w:r w:rsidR="00062631" w:rsidRPr="00B45C6F">
        <w:rPr>
          <w:lang w:val="en-GB"/>
        </w:rPr>
        <w:t>.</w:t>
      </w:r>
      <w:r w:rsidR="00A42DB3" w:rsidRPr="00B45C6F">
        <w:rPr>
          <w:lang w:val="en-GB"/>
        </w:rPr>
        <w:t xml:space="preserve"> The CIT is </w:t>
      </w:r>
      <w:r w:rsidR="00B707C7" w:rsidRPr="00B45C6F">
        <w:rPr>
          <w:lang w:val="en-GB"/>
        </w:rPr>
        <w:t xml:space="preserve">based on the principle of </w:t>
      </w:r>
      <w:r w:rsidR="00A42DB3" w:rsidRPr="00B45C6F">
        <w:rPr>
          <w:lang w:val="en-GB"/>
        </w:rPr>
        <w:t>‘origin’, by which business profits are generated in the state in which capital and labour are deployed as means of producing goods or services</w:t>
      </w:r>
      <w:r w:rsidR="00B707C7" w:rsidRPr="00B45C6F">
        <w:rPr>
          <w:lang w:val="en-GB"/>
        </w:rPr>
        <w:t xml:space="preserve"> (i.e. the emphasis on the supply side of income production).</w:t>
      </w:r>
      <w:bookmarkStart w:id="5" w:name="_Ref533076204"/>
      <w:r w:rsidR="00B707C7" w:rsidRPr="00B45C6F">
        <w:rPr>
          <w:rStyle w:val="FootnoteReference"/>
          <w:lang w:val="en-GB"/>
        </w:rPr>
        <w:footnoteReference w:id="8"/>
      </w:r>
      <w:bookmarkEnd w:id="5"/>
      <w:r w:rsidR="00B707C7" w:rsidRPr="00B45C6F">
        <w:rPr>
          <w:lang w:val="en-GB"/>
        </w:rPr>
        <w:t xml:space="preserve"> </w:t>
      </w:r>
      <w:r w:rsidR="00A42DB3" w:rsidRPr="00B45C6F">
        <w:rPr>
          <w:lang w:val="en-GB"/>
        </w:rPr>
        <w:t>The nexus for taxation on business profits is thus allocated</w:t>
      </w:r>
      <w:r w:rsidR="00B707C7" w:rsidRPr="00B45C6F">
        <w:rPr>
          <w:lang w:val="en-GB"/>
        </w:rPr>
        <w:t xml:space="preserve"> to that state, unless a permanent establishment exists in the state in which the goods or services are destined.</w:t>
      </w:r>
      <w:r w:rsidR="00A3024D" w:rsidRPr="00B45C6F">
        <w:rPr>
          <w:lang w:val="en-GB"/>
        </w:rPr>
        <w:t xml:space="preserve"> </w:t>
      </w:r>
      <w:r w:rsidR="00676B8D" w:rsidRPr="00B45C6F">
        <w:rPr>
          <w:lang w:val="en-GB"/>
        </w:rPr>
        <w:t>One should</w:t>
      </w:r>
      <w:r w:rsidR="00FC5A0A" w:rsidRPr="00B45C6F">
        <w:rPr>
          <w:lang w:val="en-GB"/>
        </w:rPr>
        <w:t xml:space="preserve"> </w:t>
      </w:r>
      <w:r w:rsidR="00676B8D" w:rsidRPr="00B45C6F">
        <w:rPr>
          <w:lang w:val="en-GB"/>
        </w:rPr>
        <w:t xml:space="preserve">reckon that the CIT was designed with sound tax </w:t>
      </w:r>
      <w:r w:rsidR="00750508" w:rsidRPr="00B45C6F">
        <w:rPr>
          <w:lang w:val="en-GB"/>
        </w:rPr>
        <w:t>principles and policy objectives</w:t>
      </w:r>
      <w:r w:rsidR="008B0AE1" w:rsidRPr="00B45C6F">
        <w:rPr>
          <w:lang w:val="en-GB"/>
        </w:rPr>
        <w:t>,</w:t>
      </w:r>
      <w:r w:rsidR="00676B8D" w:rsidRPr="00B45C6F">
        <w:rPr>
          <w:lang w:val="en-GB"/>
        </w:rPr>
        <w:t xml:space="preserve"> </w:t>
      </w:r>
      <w:r w:rsidR="00750508" w:rsidRPr="00B45C6F">
        <w:rPr>
          <w:lang w:val="en-GB"/>
        </w:rPr>
        <w:t>including to</w:t>
      </w:r>
      <w:r w:rsidR="008B0AE1" w:rsidRPr="00B45C6F">
        <w:rPr>
          <w:lang w:val="en-GB"/>
        </w:rPr>
        <w:t xml:space="preserve"> </w:t>
      </w:r>
      <w:r w:rsidR="00676B8D" w:rsidRPr="00B45C6F">
        <w:rPr>
          <w:lang w:val="en-GB"/>
        </w:rPr>
        <w:t>facilitat</w:t>
      </w:r>
      <w:r w:rsidR="008B0AE1" w:rsidRPr="00B45C6F">
        <w:rPr>
          <w:lang w:val="en-GB"/>
        </w:rPr>
        <w:t>e</w:t>
      </w:r>
      <w:r w:rsidR="00676B8D" w:rsidRPr="00B45C6F">
        <w:rPr>
          <w:lang w:val="en-GB"/>
        </w:rPr>
        <w:t xml:space="preserve"> </w:t>
      </w:r>
      <w:r w:rsidR="008B0AE1" w:rsidRPr="00B45C6F">
        <w:rPr>
          <w:lang w:val="en-GB"/>
        </w:rPr>
        <w:t xml:space="preserve">cross-border </w:t>
      </w:r>
      <w:r w:rsidR="00676B8D" w:rsidRPr="00B45C6F">
        <w:rPr>
          <w:lang w:val="en-GB"/>
        </w:rPr>
        <w:t>trades through avoidance of double taxation.</w:t>
      </w:r>
    </w:p>
    <w:p w:rsidR="00700CFE" w:rsidRPr="00B45C6F" w:rsidRDefault="00166A49" w:rsidP="00692B2C">
      <w:pPr>
        <w:spacing w:after="120"/>
        <w:ind w:firstLine="567"/>
        <w:rPr>
          <w:lang w:val="en-GB"/>
        </w:rPr>
      </w:pPr>
      <w:r w:rsidRPr="00B45C6F">
        <w:rPr>
          <w:lang w:val="en-GB"/>
        </w:rPr>
        <w:t xml:space="preserve">Meanwhile, the DST is </w:t>
      </w:r>
      <w:r w:rsidR="00750508" w:rsidRPr="00B45C6F">
        <w:rPr>
          <w:lang w:val="en-GB"/>
        </w:rPr>
        <w:t>conceptually</w:t>
      </w:r>
      <w:r w:rsidR="007167DE" w:rsidRPr="00B45C6F">
        <w:rPr>
          <w:lang w:val="en-GB"/>
        </w:rPr>
        <w:t xml:space="preserve"> </w:t>
      </w:r>
      <w:r w:rsidRPr="00B45C6F">
        <w:rPr>
          <w:lang w:val="en-GB"/>
        </w:rPr>
        <w:t xml:space="preserve">based on </w:t>
      </w:r>
      <w:r w:rsidR="007167DE" w:rsidRPr="00B45C6F">
        <w:rPr>
          <w:lang w:val="en-GB"/>
        </w:rPr>
        <w:t>the principle of ‘destination</w:t>
      </w:r>
      <w:r w:rsidR="000D3F63" w:rsidRPr="00B45C6F">
        <w:rPr>
          <w:lang w:val="en-GB"/>
        </w:rPr>
        <w:t>,</w:t>
      </w:r>
      <w:r w:rsidR="007167DE" w:rsidRPr="00B45C6F">
        <w:rPr>
          <w:lang w:val="en-GB"/>
        </w:rPr>
        <w:t xml:space="preserve"> by</w:t>
      </w:r>
      <w:r w:rsidR="000D3F63" w:rsidRPr="00B45C6F">
        <w:rPr>
          <w:lang w:val="en-GB"/>
        </w:rPr>
        <w:t xml:space="preserve"> which </w:t>
      </w:r>
      <w:r w:rsidR="007167DE" w:rsidRPr="00B45C6F">
        <w:rPr>
          <w:lang w:val="en-GB"/>
        </w:rPr>
        <w:t>business profits may—depending on whether sales are actually made—be generated in the state in which the produced goods or services</w:t>
      </w:r>
      <w:r w:rsidR="003C2AC0" w:rsidRPr="00B45C6F">
        <w:rPr>
          <w:lang w:val="en-GB"/>
        </w:rPr>
        <w:t xml:space="preserve"> are distributed to the market</w:t>
      </w:r>
      <w:r w:rsidR="007167DE" w:rsidRPr="00B45C6F">
        <w:rPr>
          <w:lang w:val="en-GB"/>
        </w:rPr>
        <w:t xml:space="preserve"> (i.e. the emphasis on the demand side of income production).</w:t>
      </w:r>
      <w:r w:rsidR="007167DE" w:rsidRPr="00B45C6F">
        <w:rPr>
          <w:rStyle w:val="FootnoteReference"/>
          <w:lang w:val="en-GB"/>
        </w:rPr>
        <w:footnoteReference w:id="9"/>
      </w:r>
      <w:r w:rsidR="00A86AD0" w:rsidRPr="00B45C6F">
        <w:rPr>
          <w:lang w:val="en-GB"/>
        </w:rPr>
        <w:t xml:space="preserve"> </w:t>
      </w:r>
      <w:r w:rsidR="00703B7B" w:rsidRPr="00B45C6F">
        <w:rPr>
          <w:lang w:val="en-GB"/>
        </w:rPr>
        <w:t xml:space="preserve">In turn, the principle </w:t>
      </w:r>
      <w:r w:rsidR="008938D1" w:rsidRPr="00B45C6F">
        <w:rPr>
          <w:lang w:val="en-GB"/>
        </w:rPr>
        <w:t>is paving the way for</w:t>
      </w:r>
      <w:r w:rsidR="00703B7B" w:rsidRPr="00B45C6F">
        <w:rPr>
          <w:lang w:val="en-GB"/>
        </w:rPr>
        <w:t xml:space="preserve"> </w:t>
      </w:r>
      <w:r w:rsidR="008C3F71">
        <w:rPr>
          <w:lang w:val="en-GB"/>
        </w:rPr>
        <w:t>‘</w:t>
      </w:r>
      <w:r w:rsidR="00703B7B" w:rsidRPr="00B45C6F">
        <w:rPr>
          <w:lang w:val="en-GB"/>
        </w:rPr>
        <w:t>value creation</w:t>
      </w:r>
      <w:r w:rsidR="008C3F71">
        <w:rPr>
          <w:lang w:val="en-GB"/>
        </w:rPr>
        <w:t>’</w:t>
      </w:r>
      <w:r w:rsidR="00703B7B" w:rsidRPr="00B45C6F">
        <w:rPr>
          <w:lang w:val="en-GB"/>
        </w:rPr>
        <w:t xml:space="preserve">, which </w:t>
      </w:r>
      <w:r w:rsidR="000D3F63" w:rsidRPr="00B45C6F">
        <w:rPr>
          <w:lang w:val="en-GB"/>
        </w:rPr>
        <w:t xml:space="preserve">was </w:t>
      </w:r>
      <w:r w:rsidR="00E04006" w:rsidRPr="00B45C6F">
        <w:rPr>
          <w:lang w:val="en-GB"/>
        </w:rPr>
        <w:t>reiterated</w:t>
      </w:r>
      <w:r w:rsidR="000D3F63" w:rsidRPr="00B45C6F">
        <w:rPr>
          <w:lang w:val="en-GB"/>
        </w:rPr>
        <w:t xml:space="preserve"> </w:t>
      </w:r>
      <w:r w:rsidR="008938D1" w:rsidRPr="00B45C6F">
        <w:rPr>
          <w:lang w:val="en-GB"/>
        </w:rPr>
        <w:t xml:space="preserve">in </w:t>
      </w:r>
      <w:r w:rsidR="000D3F63" w:rsidRPr="00B45C6F">
        <w:rPr>
          <w:lang w:val="en-GB"/>
        </w:rPr>
        <w:t>the Base Erosion and Profits Shifting (BEPS) project</w:t>
      </w:r>
      <w:r w:rsidR="00703B7B" w:rsidRPr="00B45C6F">
        <w:rPr>
          <w:lang w:val="en-GB"/>
        </w:rPr>
        <w:t xml:space="preserve"> as means to tackle ‘(…) the use of intangibles, risks, capital and other high-risk transactions to shift profits</w:t>
      </w:r>
      <w:r w:rsidR="000D3F63" w:rsidRPr="00B45C6F">
        <w:rPr>
          <w:lang w:val="en-GB"/>
        </w:rPr>
        <w:t>.</w:t>
      </w:r>
      <w:r w:rsidR="00E04006" w:rsidRPr="00B45C6F">
        <w:rPr>
          <w:lang w:val="en-GB"/>
        </w:rPr>
        <w:t>’</w:t>
      </w:r>
      <w:r w:rsidR="00555684" w:rsidRPr="00B45C6F">
        <w:rPr>
          <w:rStyle w:val="FootnoteReference"/>
          <w:lang w:val="en-GB"/>
        </w:rPr>
        <w:footnoteReference w:id="10"/>
      </w:r>
      <w:r w:rsidR="007167DE" w:rsidRPr="00B45C6F">
        <w:rPr>
          <w:lang w:val="en-GB"/>
        </w:rPr>
        <w:t xml:space="preserve"> </w:t>
      </w:r>
      <w:r w:rsidR="00303697" w:rsidRPr="00B45C6F">
        <w:rPr>
          <w:lang w:val="en-GB"/>
        </w:rPr>
        <w:t xml:space="preserve">Battling for its way </w:t>
      </w:r>
      <w:r w:rsidR="00DB0356" w:rsidRPr="00B45C6F">
        <w:rPr>
          <w:lang w:val="en-GB"/>
        </w:rPr>
        <w:t>to overtake</w:t>
      </w:r>
      <w:r w:rsidR="00303697" w:rsidRPr="00B45C6F">
        <w:rPr>
          <w:lang w:val="en-GB"/>
        </w:rPr>
        <w:t xml:space="preserve"> the hegemony of </w:t>
      </w:r>
      <w:r w:rsidR="008938D1" w:rsidRPr="00B45C6F">
        <w:rPr>
          <w:lang w:val="en-GB"/>
        </w:rPr>
        <w:t>permanent establishment</w:t>
      </w:r>
      <w:r w:rsidR="00DB0356" w:rsidRPr="00B45C6F">
        <w:rPr>
          <w:lang w:val="en-GB"/>
        </w:rPr>
        <w:t xml:space="preserve"> in determining the nexus for source taxation on business profits</w:t>
      </w:r>
      <w:r w:rsidR="00303697" w:rsidRPr="00B45C6F">
        <w:rPr>
          <w:lang w:val="en-GB"/>
        </w:rPr>
        <w:t>,</w:t>
      </w:r>
      <w:r w:rsidR="00950CD0" w:rsidRPr="00B45C6F">
        <w:rPr>
          <w:lang w:val="en-GB"/>
        </w:rPr>
        <w:t xml:space="preserve"> </w:t>
      </w:r>
      <w:r w:rsidR="00303697" w:rsidRPr="00B45C6F">
        <w:rPr>
          <w:lang w:val="en-GB"/>
        </w:rPr>
        <w:t>v</w:t>
      </w:r>
      <w:r w:rsidR="00DB0356" w:rsidRPr="00B45C6F">
        <w:rPr>
          <w:lang w:val="en-GB"/>
        </w:rPr>
        <w:t>alue creation might have found its armours in the DST</w:t>
      </w:r>
      <w:r w:rsidR="00303697" w:rsidRPr="00B45C6F">
        <w:rPr>
          <w:lang w:val="en-GB"/>
        </w:rPr>
        <w:t>.</w:t>
      </w:r>
      <w:r w:rsidR="00676B8D" w:rsidRPr="00B45C6F">
        <w:rPr>
          <w:lang w:val="en-GB"/>
        </w:rPr>
        <w:t xml:space="preserve"> </w:t>
      </w:r>
      <w:r w:rsidR="00DB0356" w:rsidRPr="00B45C6F">
        <w:rPr>
          <w:lang w:val="en-GB"/>
        </w:rPr>
        <w:t xml:space="preserve">Unfortunately, </w:t>
      </w:r>
      <w:r w:rsidR="00676B8D" w:rsidRPr="00B45C6F">
        <w:rPr>
          <w:lang w:val="en-GB"/>
        </w:rPr>
        <w:t>the</w:t>
      </w:r>
      <w:r w:rsidR="00146B07" w:rsidRPr="00B45C6F">
        <w:rPr>
          <w:lang w:val="en-GB"/>
        </w:rPr>
        <w:t xml:space="preserve"> DST </w:t>
      </w:r>
      <w:r w:rsidR="00DB0356" w:rsidRPr="00B45C6F">
        <w:rPr>
          <w:lang w:val="en-GB"/>
        </w:rPr>
        <w:t xml:space="preserve">is a mere </w:t>
      </w:r>
      <w:r w:rsidR="00146B07" w:rsidRPr="00B45C6F">
        <w:rPr>
          <w:lang w:val="en-GB"/>
        </w:rPr>
        <w:t xml:space="preserve">twist of the CIT and </w:t>
      </w:r>
      <w:r w:rsidR="00676B8D" w:rsidRPr="00B45C6F">
        <w:rPr>
          <w:lang w:val="en-GB"/>
        </w:rPr>
        <w:t>with prejudice to</w:t>
      </w:r>
      <w:r w:rsidR="00146B07" w:rsidRPr="00B45C6F">
        <w:rPr>
          <w:lang w:val="en-GB"/>
        </w:rPr>
        <w:t xml:space="preserve"> the creation of opportunities for double non-taxation.</w:t>
      </w:r>
    </w:p>
    <w:p w:rsidR="00676B8D" w:rsidRPr="00B45C6F" w:rsidRDefault="009129F0" w:rsidP="00125FC9">
      <w:pPr>
        <w:spacing w:after="120"/>
        <w:ind w:firstLine="567"/>
        <w:rPr>
          <w:lang w:val="en-GB"/>
        </w:rPr>
      </w:pPr>
      <w:r w:rsidRPr="00B45C6F">
        <w:rPr>
          <w:lang w:val="en-GB"/>
        </w:rPr>
        <w:t>The</w:t>
      </w:r>
      <w:r w:rsidR="00676B8D" w:rsidRPr="00B45C6F">
        <w:rPr>
          <w:lang w:val="en-GB"/>
        </w:rPr>
        <w:t xml:space="preserve"> destination</w:t>
      </w:r>
      <w:r w:rsidRPr="00B45C6F">
        <w:rPr>
          <w:lang w:val="en-GB"/>
        </w:rPr>
        <w:t xml:space="preserve"> principle has been the backbone of the </w:t>
      </w:r>
      <w:r w:rsidR="007E44B7" w:rsidRPr="00B45C6F">
        <w:rPr>
          <w:lang w:val="en-GB"/>
        </w:rPr>
        <w:t xml:space="preserve">VAT </w:t>
      </w:r>
      <w:r w:rsidRPr="00B45C6F">
        <w:rPr>
          <w:lang w:val="en-GB"/>
        </w:rPr>
        <w:t xml:space="preserve">system. By design, the VAT burden is meant to be carried by the consumers, thus has its emphasis on the demand side of income production. Recent literature have, however, sought for discussions on the Destination-Based Cash Flow Tax (DBCFT), which is </w:t>
      </w:r>
      <w:r w:rsidR="00CA47D5" w:rsidRPr="00B45C6F">
        <w:rPr>
          <w:lang w:val="en-GB"/>
        </w:rPr>
        <w:t xml:space="preserve">also </w:t>
      </w:r>
      <w:r w:rsidR="00692B2C" w:rsidRPr="00B45C6F">
        <w:rPr>
          <w:lang w:val="en-GB"/>
        </w:rPr>
        <w:t>an attempt for an adjusted adoption of</w:t>
      </w:r>
      <w:r w:rsidRPr="00B45C6F">
        <w:rPr>
          <w:lang w:val="en-GB"/>
        </w:rPr>
        <w:t xml:space="preserve"> the destination principle into the direct tax system.</w:t>
      </w:r>
      <w:r w:rsidR="00125FC9" w:rsidRPr="00B45C6F">
        <w:rPr>
          <w:lang w:val="en-GB"/>
        </w:rPr>
        <w:t xml:space="preserve"> </w:t>
      </w:r>
      <w:r w:rsidR="00CA47D5" w:rsidRPr="00B45C6F">
        <w:rPr>
          <w:lang w:val="en-GB"/>
        </w:rPr>
        <w:t xml:space="preserve">The DBCFT is claimed to </w:t>
      </w:r>
      <w:r w:rsidR="00B12512" w:rsidRPr="00B45C6F">
        <w:rPr>
          <w:lang w:val="en-GB"/>
        </w:rPr>
        <w:t>have the ability to, inter alia, remove the incentives for taxpayers to manipulate internal transfer prices and eliminate altogether taxation on business profits in the residence states, both of which through the so-called ‘border adjustments’.</w:t>
      </w:r>
      <w:r w:rsidR="00CA47D5" w:rsidRPr="00B45C6F">
        <w:rPr>
          <w:rStyle w:val="FootnoteReference"/>
          <w:lang w:val="en-GB"/>
        </w:rPr>
        <w:footnoteReference w:id="11"/>
      </w:r>
    </w:p>
    <w:p w:rsidR="007575AB" w:rsidRPr="00B45C6F" w:rsidRDefault="00F645AE" w:rsidP="007575AB">
      <w:pPr>
        <w:spacing w:after="120"/>
        <w:ind w:firstLine="567"/>
        <w:rPr>
          <w:lang w:val="en-GB"/>
        </w:rPr>
      </w:pPr>
      <w:r w:rsidRPr="00B45C6F">
        <w:rPr>
          <w:lang w:val="en-GB"/>
        </w:rPr>
        <w:lastRenderedPageBreak/>
        <w:t xml:space="preserve">A rather less adjusted incorporation of the destination principle is, however, found </w:t>
      </w:r>
      <w:r w:rsidR="00E44383" w:rsidRPr="00B45C6F">
        <w:rPr>
          <w:lang w:val="en-GB"/>
        </w:rPr>
        <w:t>within</w:t>
      </w:r>
      <w:r w:rsidRPr="00B45C6F">
        <w:rPr>
          <w:lang w:val="en-GB"/>
        </w:rPr>
        <w:t xml:space="preserve"> the conceptualisation of the DST. </w:t>
      </w:r>
      <w:r w:rsidR="00954C53" w:rsidRPr="00B45C6F">
        <w:rPr>
          <w:lang w:val="en-GB"/>
        </w:rPr>
        <w:t xml:space="preserve">On the one hand, the DST </w:t>
      </w:r>
      <w:r w:rsidR="00035E0D" w:rsidRPr="00B45C6F">
        <w:rPr>
          <w:lang w:val="en-GB"/>
        </w:rPr>
        <w:t>has posited</w:t>
      </w:r>
      <w:r w:rsidR="00954C53" w:rsidRPr="00B45C6F">
        <w:rPr>
          <w:lang w:val="en-GB"/>
        </w:rPr>
        <w:t xml:space="preserve"> multinational corporations as carriers of its economic and administrative burdens—</w:t>
      </w:r>
      <w:r w:rsidR="004936C6" w:rsidRPr="00B45C6F">
        <w:rPr>
          <w:lang w:val="en-GB"/>
        </w:rPr>
        <w:t>thus attributes the</w:t>
      </w:r>
      <w:r w:rsidR="00954C53" w:rsidRPr="00B45C6F">
        <w:rPr>
          <w:lang w:val="en-GB"/>
        </w:rPr>
        <w:t xml:space="preserve"> DST with character</w:t>
      </w:r>
      <w:r w:rsidR="004936C6" w:rsidRPr="00B45C6F">
        <w:rPr>
          <w:lang w:val="en-GB"/>
        </w:rPr>
        <w:t xml:space="preserve"> of a direct tax, like the CIT</w:t>
      </w:r>
      <w:r w:rsidR="00954C53" w:rsidRPr="00B45C6F">
        <w:rPr>
          <w:lang w:val="en-GB"/>
        </w:rPr>
        <w:t xml:space="preserve">. On the other hand, the DST is calculated based on the value of turnovers (i.e. the gross revenues)—thus attributes the DST with </w:t>
      </w:r>
      <w:r w:rsidR="004936C6" w:rsidRPr="00B45C6F">
        <w:rPr>
          <w:lang w:val="en-GB"/>
        </w:rPr>
        <w:t xml:space="preserve">character of an </w:t>
      </w:r>
      <w:r w:rsidR="00954C53" w:rsidRPr="00B45C6F">
        <w:rPr>
          <w:lang w:val="en-GB"/>
        </w:rPr>
        <w:t>indirect tax</w:t>
      </w:r>
      <w:r w:rsidR="004936C6" w:rsidRPr="00B45C6F">
        <w:rPr>
          <w:lang w:val="en-GB"/>
        </w:rPr>
        <w:t>, like the VAT</w:t>
      </w:r>
      <w:r w:rsidR="00954C53" w:rsidRPr="00B45C6F">
        <w:rPr>
          <w:lang w:val="en-GB"/>
        </w:rPr>
        <w:t>. Its emphasis on the taxable objects (i.e. the taxable revenues) is also unusual for taxation on persons</w:t>
      </w:r>
      <w:r w:rsidRPr="00B45C6F">
        <w:rPr>
          <w:lang w:val="en-GB"/>
        </w:rPr>
        <w:t xml:space="preserve"> like the DST</w:t>
      </w:r>
      <w:r w:rsidR="00954C53" w:rsidRPr="00B45C6F">
        <w:rPr>
          <w:lang w:val="en-GB"/>
        </w:rPr>
        <w:t>.</w:t>
      </w:r>
      <w:r w:rsidRPr="00B45C6F">
        <w:rPr>
          <w:lang w:val="en-GB"/>
        </w:rPr>
        <w:t xml:space="preserve"> </w:t>
      </w:r>
      <w:r w:rsidR="00253564" w:rsidRPr="00B45C6F">
        <w:rPr>
          <w:lang w:val="en-GB"/>
        </w:rPr>
        <w:t>Indeed, in its proposal, the Commission formulates the tax base of DST as to include ‘(…) total gross revenues, net of value added tax and other similar taxes’</w:t>
      </w:r>
      <w:r w:rsidR="00253564" w:rsidRPr="00B45C6F">
        <w:rPr>
          <w:rStyle w:val="FootnoteReference"/>
          <w:lang w:val="en-GB"/>
        </w:rPr>
        <w:footnoteReference w:id="12"/>
      </w:r>
      <w:r w:rsidR="007575AB" w:rsidRPr="00B45C6F">
        <w:rPr>
          <w:lang w:val="en-GB"/>
        </w:rPr>
        <w:t xml:space="preserve"> derived from:</w:t>
      </w:r>
      <w:r w:rsidR="007575AB" w:rsidRPr="00B45C6F">
        <w:rPr>
          <w:rStyle w:val="FootnoteReference"/>
          <w:lang w:val="en-GB"/>
        </w:rPr>
        <w:footnoteReference w:id="13"/>
      </w:r>
    </w:p>
    <w:p w:rsidR="007575AB" w:rsidRPr="00B45C6F" w:rsidRDefault="00E71382" w:rsidP="0092177E">
      <w:pPr>
        <w:pStyle w:val="ListParagraph"/>
        <w:numPr>
          <w:ilvl w:val="0"/>
          <w:numId w:val="6"/>
        </w:numPr>
        <w:spacing w:after="120"/>
        <w:ind w:left="993" w:hanging="426"/>
        <w:contextualSpacing w:val="0"/>
        <w:rPr>
          <w:sz w:val="22"/>
          <w:szCs w:val="22"/>
          <w:lang w:val="en-GB"/>
        </w:rPr>
      </w:pPr>
      <w:r w:rsidRPr="00B45C6F">
        <w:rPr>
          <w:sz w:val="22"/>
          <w:szCs w:val="22"/>
          <w:lang w:val="en-GB"/>
        </w:rPr>
        <w:t>‘</w:t>
      </w:r>
      <w:r w:rsidR="007575AB" w:rsidRPr="00B45C6F">
        <w:rPr>
          <w:sz w:val="22"/>
          <w:szCs w:val="22"/>
          <w:lang w:val="en-GB"/>
        </w:rPr>
        <w:t>the placing on a digital interface of advertising targeted at users of that interface;</w:t>
      </w:r>
    </w:p>
    <w:p w:rsidR="007575AB" w:rsidRPr="00B45C6F" w:rsidRDefault="007575AB" w:rsidP="0092177E">
      <w:pPr>
        <w:pStyle w:val="ListParagraph"/>
        <w:numPr>
          <w:ilvl w:val="0"/>
          <w:numId w:val="6"/>
        </w:numPr>
        <w:spacing w:after="120"/>
        <w:ind w:left="993" w:hanging="426"/>
        <w:contextualSpacing w:val="0"/>
        <w:rPr>
          <w:sz w:val="22"/>
          <w:szCs w:val="22"/>
          <w:lang w:val="en-GB"/>
        </w:rPr>
      </w:pPr>
      <w:r w:rsidRPr="00B45C6F">
        <w:rPr>
          <w:sz w:val="22"/>
          <w:szCs w:val="22"/>
          <w:lang w:val="en-GB"/>
        </w:rPr>
        <w:t>the making available to users of a multi-sided digital interface which allows users to find other users and to interact with them, and which may also facilitate the provision of underlying supplies of goods or services directly between users;</w:t>
      </w:r>
      <w:r w:rsidR="00377E4C" w:rsidRPr="00B45C6F">
        <w:rPr>
          <w:sz w:val="22"/>
          <w:szCs w:val="22"/>
          <w:lang w:val="en-GB"/>
        </w:rPr>
        <w:t xml:space="preserve"> and</w:t>
      </w:r>
    </w:p>
    <w:p w:rsidR="007575AB" w:rsidRPr="00B45C6F" w:rsidRDefault="007575AB" w:rsidP="0092177E">
      <w:pPr>
        <w:pStyle w:val="ListParagraph"/>
        <w:numPr>
          <w:ilvl w:val="0"/>
          <w:numId w:val="6"/>
        </w:numPr>
        <w:spacing w:after="120"/>
        <w:ind w:left="993" w:hanging="426"/>
        <w:contextualSpacing w:val="0"/>
        <w:rPr>
          <w:sz w:val="22"/>
          <w:szCs w:val="22"/>
          <w:lang w:val="en-GB"/>
        </w:rPr>
      </w:pPr>
      <w:proofErr w:type="gramStart"/>
      <w:r w:rsidRPr="00B45C6F">
        <w:rPr>
          <w:sz w:val="22"/>
          <w:szCs w:val="22"/>
          <w:lang w:val="en-GB"/>
        </w:rPr>
        <w:t>the</w:t>
      </w:r>
      <w:proofErr w:type="gramEnd"/>
      <w:r w:rsidRPr="00B45C6F">
        <w:rPr>
          <w:sz w:val="22"/>
          <w:szCs w:val="22"/>
          <w:lang w:val="en-GB"/>
        </w:rPr>
        <w:t xml:space="preserve"> transmission of data collected about users and generated from users' activities on digital interfaces.</w:t>
      </w:r>
      <w:r w:rsidR="00E71382" w:rsidRPr="00B45C6F">
        <w:rPr>
          <w:sz w:val="22"/>
          <w:szCs w:val="22"/>
          <w:lang w:val="en-GB"/>
        </w:rPr>
        <w:t>’</w:t>
      </w:r>
    </w:p>
    <w:p w:rsidR="00EE0A40" w:rsidRPr="00B45C6F" w:rsidRDefault="008204F9" w:rsidP="00F645AE">
      <w:pPr>
        <w:spacing w:after="120"/>
        <w:ind w:firstLine="567"/>
        <w:rPr>
          <w:lang w:val="en-GB"/>
        </w:rPr>
      </w:pPr>
      <w:r w:rsidRPr="00B45C6F">
        <w:rPr>
          <w:lang w:val="en-GB"/>
        </w:rPr>
        <w:t>As further explained in the next section, the above activities have been redefined as to restrict the type of activities</w:t>
      </w:r>
      <w:r w:rsidR="00377E4C" w:rsidRPr="00B45C6F">
        <w:rPr>
          <w:lang w:val="en-GB"/>
        </w:rPr>
        <w:t>—</w:t>
      </w:r>
      <w:r w:rsidRPr="00B45C6F">
        <w:rPr>
          <w:lang w:val="en-GB"/>
        </w:rPr>
        <w:t>the revenues of which are</w:t>
      </w:r>
      <w:r w:rsidR="00377E4C" w:rsidRPr="00B45C6F">
        <w:rPr>
          <w:lang w:val="en-GB"/>
        </w:rPr>
        <w:t>—</w:t>
      </w:r>
      <w:r w:rsidRPr="00B45C6F">
        <w:rPr>
          <w:lang w:val="en-GB"/>
        </w:rPr>
        <w:t>to be taxed with DST.</w:t>
      </w:r>
      <w:r w:rsidR="00336130" w:rsidRPr="00B45C6F">
        <w:rPr>
          <w:lang w:val="en-GB"/>
        </w:rPr>
        <w:t xml:space="preserve"> At this point, it is necessary to identify that, based on the above formulation of activities, the Commission seeks to include vast array of business models followed by operators within the digital economy</w:t>
      </w:r>
      <w:r w:rsidR="004E63CB" w:rsidRPr="00B45C6F">
        <w:rPr>
          <w:lang w:val="en-GB"/>
        </w:rPr>
        <w:t>.</w:t>
      </w:r>
      <w:r w:rsidRPr="00B45C6F">
        <w:rPr>
          <w:lang w:val="en-GB"/>
        </w:rPr>
        <w:t xml:space="preserve"> </w:t>
      </w:r>
      <w:r w:rsidR="00F645AE" w:rsidRPr="00B45C6F">
        <w:rPr>
          <w:lang w:val="en-GB"/>
        </w:rPr>
        <w:t>T</w:t>
      </w:r>
      <w:r w:rsidR="005858F1" w:rsidRPr="00B45C6F">
        <w:rPr>
          <w:lang w:val="en-GB"/>
        </w:rPr>
        <w:t>he Commission</w:t>
      </w:r>
      <w:r w:rsidR="00F645AE" w:rsidRPr="00B45C6F">
        <w:rPr>
          <w:lang w:val="en-GB"/>
        </w:rPr>
        <w:t>, however, neglect</w:t>
      </w:r>
      <w:r w:rsidR="005858F1" w:rsidRPr="00B45C6F">
        <w:rPr>
          <w:lang w:val="en-GB"/>
        </w:rPr>
        <w:t>s</w:t>
      </w:r>
      <w:r w:rsidR="00F645AE" w:rsidRPr="00B45C6F">
        <w:rPr>
          <w:lang w:val="en-GB"/>
        </w:rPr>
        <w:t xml:space="preserve"> th</w:t>
      </w:r>
      <w:r w:rsidR="004936C6" w:rsidRPr="00B45C6F">
        <w:rPr>
          <w:lang w:val="en-GB"/>
        </w:rPr>
        <w:t xml:space="preserve">e cascade effect </w:t>
      </w:r>
      <w:r w:rsidR="001C42E3" w:rsidRPr="00B45C6F">
        <w:rPr>
          <w:lang w:val="en-GB"/>
        </w:rPr>
        <w:t>inherent to</w:t>
      </w:r>
      <w:r w:rsidR="004936C6" w:rsidRPr="00B45C6F">
        <w:rPr>
          <w:lang w:val="en-GB"/>
        </w:rPr>
        <w:t xml:space="preserve"> </w:t>
      </w:r>
      <w:r w:rsidR="00035E0D" w:rsidRPr="00B45C6F">
        <w:rPr>
          <w:lang w:val="en-GB"/>
        </w:rPr>
        <w:t>turnover-based</w:t>
      </w:r>
      <w:r w:rsidR="004E63CB" w:rsidRPr="00B45C6F">
        <w:rPr>
          <w:lang w:val="en-GB"/>
        </w:rPr>
        <w:t xml:space="preserve"> taxes. T</w:t>
      </w:r>
      <w:r w:rsidR="00EE0A40" w:rsidRPr="00B45C6F">
        <w:rPr>
          <w:lang w:val="en-GB"/>
        </w:rPr>
        <w:t>he E</w:t>
      </w:r>
      <w:r w:rsidR="00F645AE" w:rsidRPr="00B45C6F">
        <w:rPr>
          <w:lang w:val="en-GB"/>
        </w:rPr>
        <w:t xml:space="preserve">uropean </w:t>
      </w:r>
      <w:r w:rsidR="00EE0A40" w:rsidRPr="00B45C6F">
        <w:rPr>
          <w:lang w:val="en-GB"/>
        </w:rPr>
        <w:t>E</w:t>
      </w:r>
      <w:r w:rsidR="00F645AE" w:rsidRPr="00B45C6F">
        <w:rPr>
          <w:lang w:val="en-GB"/>
        </w:rPr>
        <w:t xml:space="preserve">conomic and </w:t>
      </w:r>
      <w:r w:rsidR="00EE0A40" w:rsidRPr="00B45C6F">
        <w:rPr>
          <w:lang w:val="en-GB"/>
        </w:rPr>
        <w:t>S</w:t>
      </w:r>
      <w:r w:rsidR="005858F1" w:rsidRPr="00B45C6F">
        <w:rPr>
          <w:lang w:val="en-GB"/>
        </w:rPr>
        <w:t>ocial Committee (EESC)</w:t>
      </w:r>
      <w:r w:rsidR="004E63CB" w:rsidRPr="00B45C6F">
        <w:rPr>
          <w:lang w:val="en-GB"/>
        </w:rPr>
        <w:t xml:space="preserve">, </w:t>
      </w:r>
      <w:r w:rsidR="00EC3EBC" w:rsidRPr="00B45C6F">
        <w:rPr>
          <w:lang w:val="en-GB"/>
        </w:rPr>
        <w:t xml:space="preserve">while </w:t>
      </w:r>
      <w:r w:rsidR="004E63CB" w:rsidRPr="00B45C6F">
        <w:rPr>
          <w:lang w:val="en-GB"/>
        </w:rPr>
        <w:t>identifying this as a potential issue, submits</w:t>
      </w:r>
      <w:r w:rsidR="00EE0A40" w:rsidRPr="00B45C6F">
        <w:rPr>
          <w:lang w:val="en-GB"/>
        </w:rPr>
        <w:t>:</w:t>
      </w:r>
      <w:bookmarkStart w:id="6" w:name="_Ref533679510"/>
      <w:r w:rsidR="00EE0A40" w:rsidRPr="00B45C6F">
        <w:rPr>
          <w:rStyle w:val="FootnoteReference"/>
          <w:lang w:val="en-GB"/>
        </w:rPr>
        <w:footnoteReference w:id="14"/>
      </w:r>
      <w:bookmarkEnd w:id="6"/>
    </w:p>
    <w:p w:rsidR="00EE0A40" w:rsidRPr="00B45C6F" w:rsidRDefault="00EE0A40" w:rsidP="005B433B">
      <w:pPr>
        <w:spacing w:after="120"/>
        <w:ind w:left="567"/>
        <w:rPr>
          <w:sz w:val="22"/>
          <w:szCs w:val="22"/>
          <w:lang w:val="en-GB"/>
        </w:rPr>
      </w:pPr>
      <w:r w:rsidRPr="00B45C6F">
        <w:rPr>
          <w:sz w:val="22"/>
          <w:szCs w:val="22"/>
          <w:lang w:val="en-GB"/>
        </w:rPr>
        <w:t>‘The EESC is concerned that by taxing turnover, with the negative cascading effects explicitly recognised by the Commission, the development of digital services, and in particular start-ups, could be harmed. The cascading effect arises when the services are sold several times and taxed each time.’</w:t>
      </w:r>
    </w:p>
    <w:p w:rsidR="00EE0A40" w:rsidRPr="00B45C6F" w:rsidRDefault="0021616B" w:rsidP="0021616B">
      <w:pPr>
        <w:spacing w:after="120"/>
        <w:ind w:firstLine="567"/>
        <w:rPr>
          <w:lang w:val="en-GB"/>
        </w:rPr>
      </w:pPr>
      <w:r w:rsidRPr="00B45C6F">
        <w:rPr>
          <w:lang w:val="en-GB"/>
        </w:rPr>
        <w:t xml:space="preserve">Certainly, more issues concerning the cascade effect of indirect taxes arise in the business-to-business </w:t>
      </w:r>
      <w:r w:rsidR="0092177E" w:rsidRPr="00B45C6F">
        <w:rPr>
          <w:lang w:val="en-GB"/>
        </w:rPr>
        <w:t xml:space="preserve">(B2B) </w:t>
      </w:r>
      <w:r w:rsidRPr="00B45C6F">
        <w:rPr>
          <w:lang w:val="en-GB"/>
        </w:rPr>
        <w:t xml:space="preserve">model </w:t>
      </w:r>
      <w:r w:rsidR="00704905" w:rsidRPr="00B45C6F">
        <w:rPr>
          <w:lang w:val="en-GB"/>
        </w:rPr>
        <w:t>than in</w:t>
      </w:r>
      <w:r w:rsidRPr="00B45C6F">
        <w:rPr>
          <w:lang w:val="en-GB"/>
        </w:rPr>
        <w:t xml:space="preserve"> the business-to-consumer</w:t>
      </w:r>
      <w:r w:rsidR="0092177E" w:rsidRPr="00B45C6F">
        <w:rPr>
          <w:lang w:val="en-GB"/>
        </w:rPr>
        <w:t xml:space="preserve"> (B2C)</w:t>
      </w:r>
      <w:r w:rsidR="00704905" w:rsidRPr="00B45C6F">
        <w:rPr>
          <w:lang w:val="en-GB"/>
        </w:rPr>
        <w:t xml:space="preserve"> </w:t>
      </w:r>
      <w:r w:rsidRPr="00B45C6F">
        <w:rPr>
          <w:lang w:val="en-GB"/>
        </w:rPr>
        <w:t>model</w:t>
      </w:r>
      <w:r w:rsidR="00704905" w:rsidRPr="00B45C6F">
        <w:rPr>
          <w:lang w:val="en-GB"/>
        </w:rPr>
        <w:t xml:space="preserve">, which </w:t>
      </w:r>
      <w:r w:rsidR="0092177E" w:rsidRPr="00B45C6F">
        <w:rPr>
          <w:lang w:val="en-GB"/>
        </w:rPr>
        <w:t>major</w:t>
      </w:r>
      <w:r w:rsidR="00EC3EBC" w:rsidRPr="00B45C6F">
        <w:rPr>
          <w:lang w:val="en-GB"/>
        </w:rPr>
        <w:t xml:space="preserve"> </w:t>
      </w:r>
      <w:r w:rsidR="00704905" w:rsidRPr="00B45C6F">
        <w:rPr>
          <w:lang w:val="en-GB"/>
        </w:rPr>
        <w:t xml:space="preserve">digital economy </w:t>
      </w:r>
      <w:r w:rsidR="0092177E" w:rsidRPr="00B45C6F">
        <w:rPr>
          <w:lang w:val="en-GB"/>
        </w:rPr>
        <w:t>operators</w:t>
      </w:r>
      <w:r w:rsidR="00EC3EBC" w:rsidRPr="00B45C6F">
        <w:rPr>
          <w:lang w:val="en-GB"/>
        </w:rPr>
        <w:t xml:space="preserve"> </w:t>
      </w:r>
      <w:r w:rsidR="0092177E" w:rsidRPr="00B45C6F">
        <w:rPr>
          <w:lang w:val="en-GB"/>
        </w:rPr>
        <w:t>embrace the most</w:t>
      </w:r>
      <w:r w:rsidRPr="00B45C6F">
        <w:rPr>
          <w:lang w:val="en-GB"/>
        </w:rPr>
        <w:t xml:space="preserve">. </w:t>
      </w:r>
      <w:r w:rsidR="0092177E" w:rsidRPr="00B45C6F">
        <w:rPr>
          <w:lang w:val="en-GB"/>
        </w:rPr>
        <w:t>At this point, a destination-based tax has gained support in that consumers are relatively immobile, and that such taxation might be the only viable option even in the long term.</w:t>
      </w:r>
      <w:r w:rsidR="0092177E" w:rsidRPr="00B45C6F">
        <w:rPr>
          <w:rStyle w:val="FootnoteReference"/>
          <w:lang w:val="en-GB"/>
        </w:rPr>
        <w:footnoteReference w:id="15"/>
      </w:r>
      <w:r w:rsidR="0092177E" w:rsidRPr="00B45C6F">
        <w:rPr>
          <w:lang w:val="en-GB"/>
        </w:rPr>
        <w:t xml:space="preserve"> </w:t>
      </w:r>
      <w:r w:rsidRPr="00B45C6F">
        <w:rPr>
          <w:lang w:val="en-GB"/>
        </w:rPr>
        <w:t xml:space="preserve">The </w:t>
      </w:r>
      <w:r w:rsidR="0092177E" w:rsidRPr="00B45C6F">
        <w:rPr>
          <w:lang w:val="en-GB"/>
        </w:rPr>
        <w:t>B2C</w:t>
      </w:r>
      <w:r w:rsidRPr="00B45C6F">
        <w:rPr>
          <w:lang w:val="en-GB"/>
        </w:rPr>
        <w:t xml:space="preserve"> model, however, presents </w:t>
      </w:r>
      <w:r w:rsidR="0092177E" w:rsidRPr="00B45C6F">
        <w:rPr>
          <w:lang w:val="en-GB"/>
        </w:rPr>
        <w:t>another</w:t>
      </w:r>
      <w:r w:rsidRPr="00B45C6F">
        <w:rPr>
          <w:lang w:val="en-GB"/>
        </w:rPr>
        <w:t xml:space="preserve"> challenge of imposing DST, namely the collection of taxes. Obliging private customers to withhold the DST during the </w:t>
      </w:r>
      <w:r w:rsidR="00DF7137" w:rsidRPr="00B45C6F">
        <w:rPr>
          <w:lang w:val="en-GB"/>
        </w:rPr>
        <w:t>delivery</w:t>
      </w:r>
      <w:r w:rsidRPr="00B45C6F">
        <w:rPr>
          <w:lang w:val="en-GB"/>
        </w:rPr>
        <w:t xml:space="preserve"> of goods or services by virtue of digital platforms would present technical challenges, which in</w:t>
      </w:r>
      <w:r w:rsidR="00D35DD5" w:rsidRPr="00B45C6F">
        <w:rPr>
          <w:lang w:val="en-GB"/>
        </w:rPr>
        <w:t xml:space="preserve"> turn hinder the pursuit</w:t>
      </w:r>
      <w:r w:rsidRPr="00B45C6F">
        <w:rPr>
          <w:lang w:val="en-GB"/>
        </w:rPr>
        <w:t xml:space="preserve"> of an efficient tax collection system.</w:t>
      </w:r>
      <w:r w:rsidR="005B433B" w:rsidRPr="00B45C6F">
        <w:rPr>
          <w:lang w:val="en-GB"/>
        </w:rPr>
        <w:t xml:space="preserve"> </w:t>
      </w:r>
      <w:r w:rsidR="00D40E2A" w:rsidRPr="00B45C6F">
        <w:rPr>
          <w:lang w:val="en-GB"/>
        </w:rPr>
        <w:t>At this point, tax</w:t>
      </w:r>
      <w:r w:rsidR="00212586" w:rsidRPr="00B45C6F">
        <w:rPr>
          <w:lang w:val="en-GB"/>
        </w:rPr>
        <w:t>ing</w:t>
      </w:r>
      <w:r w:rsidR="00D40E2A" w:rsidRPr="00B45C6F">
        <w:rPr>
          <w:lang w:val="en-GB"/>
        </w:rPr>
        <w:t xml:space="preserve"> corporate profits by way of imposing indirect taxes seems to be disproportionate with the goal of establishing a fair tax system.</w:t>
      </w:r>
    </w:p>
    <w:p w:rsidR="004D4637" w:rsidRPr="00B45C6F" w:rsidRDefault="00B26C28" w:rsidP="0021616B">
      <w:pPr>
        <w:spacing w:after="120"/>
        <w:ind w:firstLine="567"/>
        <w:rPr>
          <w:lang w:val="en-GB"/>
        </w:rPr>
      </w:pPr>
      <w:r w:rsidRPr="00B45C6F">
        <w:rPr>
          <w:lang w:val="en-GB"/>
        </w:rPr>
        <w:t xml:space="preserve">More disproportionate is the </w:t>
      </w:r>
      <w:r w:rsidR="00205494" w:rsidRPr="00B45C6F">
        <w:rPr>
          <w:lang w:val="en-GB"/>
        </w:rPr>
        <w:t xml:space="preserve">imposition of DST on gross corporate income. In this regard, one should reckon that direct taxes, be it income tax or DST, embrace the equity principle, by which the amount of taxes payable should accord with the ability to pay of the payer. </w:t>
      </w:r>
      <w:r w:rsidR="00373978" w:rsidRPr="00B45C6F">
        <w:rPr>
          <w:lang w:val="en-GB"/>
        </w:rPr>
        <w:t>In the income tax, this translates to measures such as exempted income, income brackets, and for entrepreneurs, the calculation of tax base on a net basis. Practically, the income tax laws allow for taxation on gross income only for the so-called passive income, that is to say income derived from the passive use of capital (i.e. portfolio investments), such as dividends, interests, and royalties. The costs incurred in deriving these income are usually</w:t>
      </w:r>
      <w:r w:rsidR="008B25D1" w:rsidRPr="00B45C6F">
        <w:rPr>
          <w:lang w:val="en-GB"/>
        </w:rPr>
        <w:t xml:space="preserve"> low or</w:t>
      </w:r>
      <w:r w:rsidR="00373978" w:rsidRPr="00B45C6F">
        <w:rPr>
          <w:lang w:val="en-GB"/>
        </w:rPr>
        <w:t xml:space="preserve"> indeterminable</w:t>
      </w:r>
      <w:r w:rsidR="008B25D1" w:rsidRPr="00B45C6F">
        <w:rPr>
          <w:lang w:val="en-GB"/>
        </w:rPr>
        <w:t xml:space="preserve"> that a gross-income taxation is justified.</w:t>
      </w:r>
      <w:r w:rsidR="00586CC7" w:rsidRPr="00B45C6F">
        <w:rPr>
          <w:lang w:val="en-GB"/>
        </w:rPr>
        <w:t xml:space="preserve"> This is not the case with business profits, which calculation for income tax must account for all costs deductible by virtue of the income tax laws.</w:t>
      </w:r>
      <w:r w:rsidR="006F6D51" w:rsidRPr="00B45C6F">
        <w:rPr>
          <w:lang w:val="en-GB"/>
        </w:rPr>
        <w:t xml:space="preserve"> It is doubtful that the temporary effect of DST</w:t>
      </w:r>
      <w:r w:rsidR="00586CC7" w:rsidRPr="00B45C6F">
        <w:rPr>
          <w:lang w:val="en-GB"/>
        </w:rPr>
        <w:t xml:space="preserve"> </w:t>
      </w:r>
      <w:r w:rsidR="006F6D51" w:rsidRPr="00B45C6F">
        <w:rPr>
          <w:lang w:val="en-GB"/>
        </w:rPr>
        <w:t>and the need to establish a fair tax system are sufficient in justifying gross-income taxation in DST.</w:t>
      </w:r>
      <w:r w:rsidR="003567C4" w:rsidRPr="00B45C6F">
        <w:rPr>
          <w:lang w:val="en-GB"/>
        </w:rPr>
        <w:t xml:space="preserve"> Unfortunately, the disproportiona</w:t>
      </w:r>
      <w:r w:rsidR="00682C36">
        <w:rPr>
          <w:lang w:val="en-GB"/>
        </w:rPr>
        <w:t>teness</w:t>
      </w:r>
      <w:r w:rsidR="003567C4" w:rsidRPr="00B45C6F">
        <w:rPr>
          <w:lang w:val="en-GB"/>
        </w:rPr>
        <w:t xml:space="preserve"> of the DST does not end at the conflation of tax concepts.</w:t>
      </w:r>
      <w:r w:rsidR="002A62A3" w:rsidRPr="00B45C6F">
        <w:rPr>
          <w:lang w:val="en-GB"/>
        </w:rPr>
        <w:t xml:space="preserve"> </w:t>
      </w:r>
    </w:p>
    <w:p w:rsidR="00EE0A40" w:rsidRPr="00B45C6F" w:rsidRDefault="00EE0A40" w:rsidP="00586CC7">
      <w:pPr>
        <w:spacing w:after="120"/>
        <w:rPr>
          <w:lang w:val="en-GB"/>
        </w:rPr>
        <w:sectPr w:rsidR="00EE0A40" w:rsidRPr="00B45C6F">
          <w:footerReference w:type="default" r:id="rId8"/>
          <w:pgSz w:w="11907" w:h="16840" w:code="9"/>
          <w:pgMar w:top="1134" w:right="1134" w:bottom="1134" w:left="1134" w:header="567" w:footer="851" w:gutter="0"/>
          <w:cols w:space="720"/>
          <w:docGrid w:linePitch="360"/>
        </w:sectPr>
      </w:pPr>
    </w:p>
    <w:p w:rsidR="00A25AB9" w:rsidRPr="00B45C6F" w:rsidRDefault="00F8683B" w:rsidP="003139EA">
      <w:pPr>
        <w:pStyle w:val="Heading2"/>
        <w:numPr>
          <w:ilvl w:val="0"/>
          <w:numId w:val="8"/>
        </w:numPr>
        <w:spacing w:before="120" w:after="120"/>
        <w:ind w:left="709" w:hanging="425"/>
        <w:rPr>
          <w:rFonts w:ascii="Times New Roman" w:hAnsi="Times New Roman" w:cs="Times New Roman"/>
        </w:rPr>
      </w:pPr>
      <w:r w:rsidRPr="00B45C6F">
        <w:rPr>
          <w:rFonts w:ascii="Times New Roman" w:hAnsi="Times New Roman" w:cs="Times New Roman"/>
        </w:rPr>
        <w:lastRenderedPageBreak/>
        <w:t>The liquefied concept of ‘value creation’</w:t>
      </w:r>
    </w:p>
    <w:p w:rsidR="0044204C" w:rsidRPr="00B45C6F" w:rsidRDefault="00C30894" w:rsidP="00D16C04">
      <w:pPr>
        <w:spacing w:after="120"/>
        <w:ind w:firstLine="567"/>
        <w:rPr>
          <w:lang w:val="en-GB"/>
        </w:rPr>
      </w:pPr>
      <w:r w:rsidRPr="00B45C6F">
        <w:rPr>
          <w:lang w:val="en-GB"/>
        </w:rPr>
        <w:t>The above conceptual flaws have led to</w:t>
      </w:r>
      <w:r w:rsidR="00327DA1" w:rsidRPr="00B45C6F">
        <w:rPr>
          <w:lang w:val="en-GB"/>
        </w:rPr>
        <w:t xml:space="preserve"> </w:t>
      </w:r>
      <w:r w:rsidR="003606E7" w:rsidRPr="00B45C6F">
        <w:rPr>
          <w:lang w:val="en-GB"/>
        </w:rPr>
        <w:t xml:space="preserve">disproportionate </w:t>
      </w:r>
      <w:r w:rsidR="00571C90" w:rsidRPr="00B45C6F">
        <w:rPr>
          <w:lang w:val="en-GB"/>
        </w:rPr>
        <w:t xml:space="preserve">tax </w:t>
      </w:r>
      <w:r w:rsidR="003606E7" w:rsidRPr="00B45C6F">
        <w:rPr>
          <w:lang w:val="en-GB"/>
        </w:rPr>
        <w:t xml:space="preserve">measures. </w:t>
      </w:r>
      <w:r w:rsidR="00571C90" w:rsidRPr="00B45C6F">
        <w:rPr>
          <w:lang w:val="en-GB"/>
        </w:rPr>
        <w:t xml:space="preserve">The rapid growth of the digital economy </w:t>
      </w:r>
      <w:r w:rsidR="00360A46" w:rsidRPr="00B45C6F">
        <w:rPr>
          <w:lang w:val="en-GB"/>
        </w:rPr>
        <w:t xml:space="preserve">is </w:t>
      </w:r>
      <w:r w:rsidR="00327DA1" w:rsidRPr="00B45C6F">
        <w:rPr>
          <w:lang w:val="en-GB"/>
        </w:rPr>
        <w:t>considered</w:t>
      </w:r>
      <w:r w:rsidR="00571C90" w:rsidRPr="00B45C6F">
        <w:rPr>
          <w:lang w:val="en-GB"/>
        </w:rPr>
        <w:t xml:space="preserve"> paramount that a responsive measure like the DST is urgently necessary to be implemented. Recent exposure</w:t>
      </w:r>
      <w:r w:rsidR="00327DA1" w:rsidRPr="00B45C6F">
        <w:rPr>
          <w:lang w:val="en-GB"/>
        </w:rPr>
        <w:t>s</w:t>
      </w:r>
      <w:r w:rsidR="00571C90" w:rsidRPr="00B45C6F">
        <w:rPr>
          <w:lang w:val="en-GB"/>
        </w:rPr>
        <w:t xml:space="preserve"> of alleged tax evasions by actors of the digital economy </w:t>
      </w:r>
      <w:r w:rsidR="00327DA1" w:rsidRPr="00B45C6F">
        <w:rPr>
          <w:lang w:val="en-GB"/>
        </w:rPr>
        <w:t>later</w:t>
      </w:r>
      <w:r w:rsidR="00571C90" w:rsidRPr="00B45C6F">
        <w:rPr>
          <w:lang w:val="en-GB"/>
        </w:rPr>
        <w:t xml:space="preserve"> furnish for the retributive elements of the DST.</w:t>
      </w:r>
      <w:r w:rsidR="00A462AC" w:rsidRPr="00B45C6F">
        <w:rPr>
          <w:lang w:val="en-GB"/>
        </w:rPr>
        <w:t xml:space="preserve"> Amongst the </w:t>
      </w:r>
      <w:r w:rsidR="003C2771" w:rsidRPr="00B45C6F">
        <w:rPr>
          <w:lang w:val="en-GB"/>
        </w:rPr>
        <w:t>most sceptical</w:t>
      </w:r>
      <w:r w:rsidR="00812FFF" w:rsidRPr="00B45C6F">
        <w:rPr>
          <w:lang w:val="en-GB"/>
        </w:rPr>
        <w:t>ly disproportionate</w:t>
      </w:r>
      <w:r w:rsidR="003C2771" w:rsidRPr="00B45C6F">
        <w:rPr>
          <w:lang w:val="en-GB"/>
        </w:rPr>
        <w:t xml:space="preserve"> </w:t>
      </w:r>
      <w:r w:rsidR="00A462AC" w:rsidRPr="00B45C6F">
        <w:rPr>
          <w:lang w:val="en-GB"/>
        </w:rPr>
        <w:t xml:space="preserve">measures within the DST </w:t>
      </w:r>
      <w:r w:rsidR="00812FFF" w:rsidRPr="00B45C6F">
        <w:rPr>
          <w:lang w:val="en-GB"/>
        </w:rPr>
        <w:t>are</w:t>
      </w:r>
      <w:r w:rsidR="00A462AC" w:rsidRPr="00B45C6F">
        <w:rPr>
          <w:lang w:val="en-GB"/>
        </w:rPr>
        <w:t xml:space="preserve"> </w:t>
      </w:r>
      <w:r w:rsidR="0044204C" w:rsidRPr="00B45C6F">
        <w:rPr>
          <w:lang w:val="en-GB"/>
        </w:rPr>
        <w:t>whether the notion of</w:t>
      </w:r>
      <w:r w:rsidR="003C2771" w:rsidRPr="00B45C6F">
        <w:rPr>
          <w:lang w:val="en-GB"/>
        </w:rPr>
        <w:t xml:space="preserve"> value creation </w:t>
      </w:r>
      <w:r w:rsidR="00327DA1" w:rsidRPr="00B45C6F">
        <w:rPr>
          <w:lang w:val="en-GB"/>
        </w:rPr>
        <w:t>aligns with</w:t>
      </w:r>
      <w:r w:rsidR="003C2771" w:rsidRPr="00B45C6F">
        <w:rPr>
          <w:lang w:val="en-GB"/>
        </w:rPr>
        <w:t xml:space="preserve"> </w:t>
      </w:r>
      <w:r w:rsidR="0044204C" w:rsidRPr="00B45C6F">
        <w:rPr>
          <w:lang w:val="en-GB"/>
        </w:rPr>
        <w:t xml:space="preserve">a </w:t>
      </w:r>
      <w:r w:rsidR="003C2771" w:rsidRPr="00B45C6F">
        <w:rPr>
          <w:lang w:val="en-GB"/>
        </w:rPr>
        <w:t>turnover-based tax</w:t>
      </w:r>
      <w:r w:rsidR="0044204C" w:rsidRPr="00B45C6F">
        <w:rPr>
          <w:lang w:val="en-GB"/>
        </w:rPr>
        <w:t xml:space="preserve"> the DST</w:t>
      </w:r>
      <w:r w:rsidR="00327DA1" w:rsidRPr="00B45C6F">
        <w:rPr>
          <w:lang w:val="en-GB"/>
        </w:rPr>
        <w:t xml:space="preserve"> is</w:t>
      </w:r>
      <w:r w:rsidR="003C2771" w:rsidRPr="00B45C6F">
        <w:rPr>
          <w:lang w:val="en-GB"/>
        </w:rPr>
        <w:t xml:space="preserve">, and </w:t>
      </w:r>
      <w:r w:rsidR="0044204C" w:rsidRPr="00B45C6F">
        <w:rPr>
          <w:lang w:val="en-GB"/>
        </w:rPr>
        <w:t>whether the proposed rules on taxable persons for DST purposes constitute</w:t>
      </w:r>
      <w:r w:rsidR="003C2771" w:rsidRPr="00B45C6F">
        <w:rPr>
          <w:lang w:val="en-GB"/>
        </w:rPr>
        <w:t xml:space="preserve"> discrimi</w:t>
      </w:r>
      <w:r w:rsidR="0044204C" w:rsidRPr="00B45C6F">
        <w:rPr>
          <w:lang w:val="en-GB"/>
        </w:rPr>
        <w:t xml:space="preserve">natory measures against digital economy operators established in certain </w:t>
      </w:r>
      <w:r w:rsidR="00812FFF" w:rsidRPr="00B45C6F">
        <w:rPr>
          <w:lang w:val="en-GB"/>
        </w:rPr>
        <w:t>states</w:t>
      </w:r>
      <w:r w:rsidR="0044204C" w:rsidRPr="00B45C6F">
        <w:rPr>
          <w:lang w:val="en-GB"/>
        </w:rPr>
        <w:t>.</w:t>
      </w:r>
    </w:p>
    <w:p w:rsidR="00D16C04" w:rsidRPr="00B45C6F" w:rsidRDefault="00D16C04" w:rsidP="00FD1F50">
      <w:pPr>
        <w:spacing w:after="120"/>
        <w:ind w:firstLine="567"/>
        <w:rPr>
          <w:lang w:val="en-GB"/>
        </w:rPr>
      </w:pPr>
      <w:r w:rsidRPr="00B45C6F">
        <w:rPr>
          <w:lang w:val="en-GB"/>
        </w:rPr>
        <w:t>As previously concluded, a</w:t>
      </w:r>
      <w:r w:rsidR="0044204C" w:rsidRPr="00B45C6F">
        <w:rPr>
          <w:lang w:val="en-GB"/>
        </w:rPr>
        <w:t xml:space="preserve"> turnover-based tax is disproportionate to the goal of </w:t>
      </w:r>
      <w:r w:rsidRPr="00B45C6F">
        <w:rPr>
          <w:lang w:val="en-GB"/>
        </w:rPr>
        <w:t xml:space="preserve">establishing fair tax system within the EU. </w:t>
      </w:r>
      <w:r w:rsidR="00FD1F50" w:rsidRPr="00B45C6F">
        <w:rPr>
          <w:lang w:val="en-GB"/>
        </w:rPr>
        <w:t xml:space="preserve">Presumably, such method has been chosen by the Commission </w:t>
      </w:r>
      <w:r w:rsidR="00AF4E11" w:rsidRPr="00B45C6F">
        <w:rPr>
          <w:lang w:val="en-GB"/>
        </w:rPr>
        <w:t>within</w:t>
      </w:r>
      <w:r w:rsidR="00FD1F50" w:rsidRPr="00B45C6F">
        <w:rPr>
          <w:lang w:val="en-GB"/>
        </w:rPr>
        <w:t xml:space="preserve"> </w:t>
      </w:r>
      <w:r w:rsidR="00AF4E11" w:rsidRPr="00B45C6F">
        <w:rPr>
          <w:lang w:val="en-GB"/>
        </w:rPr>
        <w:t>the efforts to align</w:t>
      </w:r>
      <w:r w:rsidR="00FD1F50" w:rsidRPr="00B45C6F">
        <w:rPr>
          <w:lang w:val="en-GB"/>
        </w:rPr>
        <w:t xml:space="preserve"> taxation of business profits with value creation. The Commission argued that values are created in the state where the users are located, for ‘Users are providing data, sharing knowledge and content, and enabling wide and diverse networks</w:t>
      </w:r>
      <w:r w:rsidR="00AF4E11" w:rsidRPr="00B45C6F">
        <w:rPr>
          <w:lang w:val="en-GB"/>
        </w:rPr>
        <w:t>.</w:t>
      </w:r>
      <w:r w:rsidR="00FD1F50" w:rsidRPr="00B45C6F">
        <w:rPr>
          <w:lang w:val="en-GB"/>
        </w:rPr>
        <w:t>’</w:t>
      </w:r>
      <w:r w:rsidR="00FD1F50" w:rsidRPr="00B45C6F">
        <w:rPr>
          <w:rStyle w:val="FootnoteReference"/>
          <w:lang w:val="en-GB"/>
        </w:rPr>
        <w:footnoteReference w:id="16"/>
      </w:r>
      <w:r w:rsidR="00FD1F50" w:rsidRPr="00B45C6F">
        <w:rPr>
          <w:lang w:val="en-GB"/>
        </w:rPr>
        <w:t xml:space="preserve"> </w:t>
      </w:r>
      <w:r w:rsidR="003D076A" w:rsidRPr="00B45C6F">
        <w:rPr>
          <w:lang w:val="en-GB"/>
        </w:rPr>
        <w:t>In other words, the</w:t>
      </w:r>
      <w:r w:rsidR="001632DC" w:rsidRPr="00B45C6F">
        <w:rPr>
          <w:lang w:val="en-GB"/>
        </w:rPr>
        <w:t>se</w:t>
      </w:r>
      <w:r w:rsidR="003D076A" w:rsidRPr="00B45C6F">
        <w:rPr>
          <w:lang w:val="en-GB"/>
        </w:rPr>
        <w:t xml:space="preserve"> users have created ‘customer-based intangible</w:t>
      </w:r>
      <w:r w:rsidR="001632DC" w:rsidRPr="00B45C6F">
        <w:rPr>
          <w:lang w:val="en-GB"/>
        </w:rPr>
        <w:t>s</w:t>
      </w:r>
      <w:r w:rsidR="003D076A" w:rsidRPr="00B45C6F">
        <w:rPr>
          <w:lang w:val="en-GB"/>
        </w:rPr>
        <w:t xml:space="preserve">,’ which are important </w:t>
      </w:r>
      <w:r w:rsidR="00A916BD" w:rsidRPr="00B45C6F">
        <w:rPr>
          <w:lang w:val="en-GB"/>
        </w:rPr>
        <w:t xml:space="preserve">in accruing business values of multinational corporations, </w:t>
      </w:r>
      <w:r w:rsidR="003D076A" w:rsidRPr="00B45C6F">
        <w:rPr>
          <w:lang w:val="en-GB"/>
        </w:rPr>
        <w:t xml:space="preserve">even </w:t>
      </w:r>
      <w:r w:rsidR="00A916BD" w:rsidRPr="00B45C6F">
        <w:rPr>
          <w:lang w:val="en-GB"/>
        </w:rPr>
        <w:t>when not operating digitally</w:t>
      </w:r>
      <w:r w:rsidR="003D076A" w:rsidRPr="00B45C6F">
        <w:rPr>
          <w:lang w:val="en-GB"/>
        </w:rPr>
        <w:t>.</w:t>
      </w:r>
      <w:r w:rsidR="003D076A" w:rsidRPr="00B45C6F">
        <w:rPr>
          <w:rStyle w:val="FootnoteReference"/>
          <w:lang w:val="en-GB"/>
        </w:rPr>
        <w:footnoteReference w:id="17"/>
      </w:r>
      <w:r w:rsidR="003D076A" w:rsidRPr="00B45C6F">
        <w:rPr>
          <w:lang w:val="en-GB"/>
        </w:rPr>
        <w:t xml:space="preserve"> </w:t>
      </w:r>
      <w:r w:rsidRPr="00B45C6F">
        <w:rPr>
          <w:lang w:val="en-GB"/>
        </w:rPr>
        <w:t>The EESC</w:t>
      </w:r>
      <w:r w:rsidR="00AF4E11" w:rsidRPr="00B45C6F">
        <w:rPr>
          <w:lang w:val="en-GB"/>
        </w:rPr>
        <w:t>, however, argues</w:t>
      </w:r>
      <w:r w:rsidRPr="00B45C6F">
        <w:rPr>
          <w:lang w:val="en-GB"/>
        </w:rPr>
        <w:t>:</w:t>
      </w:r>
      <w:r w:rsidRPr="00B45C6F">
        <w:rPr>
          <w:rStyle w:val="FootnoteReference"/>
          <w:lang w:val="en-GB"/>
        </w:rPr>
        <w:footnoteReference w:id="18"/>
      </w:r>
    </w:p>
    <w:p w:rsidR="00D16C04" w:rsidRPr="00B45C6F" w:rsidRDefault="00E71382" w:rsidP="00D16C04">
      <w:pPr>
        <w:spacing w:after="120"/>
        <w:ind w:left="567"/>
        <w:rPr>
          <w:sz w:val="22"/>
          <w:szCs w:val="22"/>
          <w:lang w:val="en-GB"/>
        </w:rPr>
      </w:pPr>
      <w:r w:rsidRPr="00B45C6F">
        <w:rPr>
          <w:sz w:val="22"/>
          <w:szCs w:val="22"/>
          <w:lang w:val="en-GB"/>
        </w:rPr>
        <w:t>‘</w:t>
      </w:r>
      <w:r w:rsidR="00D16C04" w:rsidRPr="00B45C6F">
        <w:rPr>
          <w:sz w:val="22"/>
          <w:szCs w:val="22"/>
          <w:lang w:val="en-GB"/>
        </w:rPr>
        <w:t xml:space="preserve">Taxing turnover instead of profit and levying taxes where sales take place instead of where value is created constitutes a fundamental change from the current principles of taxation. </w:t>
      </w:r>
      <w:r w:rsidR="00FC67EE" w:rsidRPr="00B45C6F">
        <w:rPr>
          <w:sz w:val="22"/>
          <w:szCs w:val="22"/>
          <w:lang w:val="en-GB"/>
        </w:rPr>
        <w:t>(…)</w:t>
      </w:r>
      <w:r w:rsidR="00D16C04" w:rsidRPr="00B45C6F">
        <w:rPr>
          <w:sz w:val="22"/>
          <w:szCs w:val="22"/>
          <w:lang w:val="en-GB"/>
        </w:rPr>
        <w:t xml:space="preserve"> a shift in taxation will benefit larger economies with many consumers at the expense of smaller exporting economies. The EESC underlines that any solution, whether short or longer term, to the taxation of digital business models must result in a fair and equal economic outcome for all economies in the EU.</w:t>
      </w:r>
      <w:r w:rsidRPr="00B45C6F">
        <w:rPr>
          <w:sz w:val="22"/>
          <w:szCs w:val="22"/>
          <w:lang w:val="en-GB"/>
        </w:rPr>
        <w:t>’</w:t>
      </w:r>
    </w:p>
    <w:p w:rsidR="00EE0A40" w:rsidRPr="00B45C6F" w:rsidRDefault="00B73468" w:rsidP="00D4308A">
      <w:pPr>
        <w:spacing w:after="120"/>
        <w:ind w:firstLine="567"/>
        <w:rPr>
          <w:lang w:val="en-GB"/>
        </w:rPr>
      </w:pPr>
      <w:r w:rsidRPr="00B45C6F">
        <w:rPr>
          <w:lang w:val="en-GB"/>
        </w:rPr>
        <w:t xml:space="preserve">Effectively, the EESC </w:t>
      </w:r>
      <w:r w:rsidR="0088258F" w:rsidRPr="00B45C6F">
        <w:rPr>
          <w:lang w:val="en-GB"/>
        </w:rPr>
        <w:t>reaffirms that a turnover-based tax is rather radical from the existing international tax law principles, and more significantly,</w:t>
      </w:r>
      <w:r w:rsidRPr="00B45C6F">
        <w:rPr>
          <w:lang w:val="en-GB"/>
        </w:rPr>
        <w:t xml:space="preserve"> that values are </w:t>
      </w:r>
      <w:r w:rsidRPr="00B45C6F">
        <w:rPr>
          <w:b/>
          <w:lang w:val="en-GB"/>
        </w:rPr>
        <w:t>not</w:t>
      </w:r>
      <w:r w:rsidRPr="00B45C6F">
        <w:rPr>
          <w:lang w:val="en-GB"/>
        </w:rPr>
        <w:t xml:space="preserve"> created in the state in which the users are residing. </w:t>
      </w:r>
      <w:r w:rsidR="00ED4891" w:rsidRPr="00B45C6F">
        <w:rPr>
          <w:lang w:val="en-GB"/>
        </w:rPr>
        <w:t>While</w:t>
      </w:r>
      <w:r w:rsidR="00346274" w:rsidRPr="00B45C6F">
        <w:rPr>
          <w:lang w:val="en-GB"/>
        </w:rPr>
        <w:t xml:space="preserve"> the latter conclusion</w:t>
      </w:r>
      <w:r w:rsidR="00ED4891" w:rsidRPr="00B45C6F">
        <w:rPr>
          <w:lang w:val="en-GB"/>
        </w:rPr>
        <w:t xml:space="preserve"> </w:t>
      </w:r>
      <w:r w:rsidR="004066B3" w:rsidRPr="00B45C6F">
        <w:rPr>
          <w:lang w:val="en-GB"/>
        </w:rPr>
        <w:t>raises</w:t>
      </w:r>
      <w:r w:rsidR="00346274" w:rsidRPr="00B45C6F">
        <w:rPr>
          <w:lang w:val="en-GB"/>
        </w:rPr>
        <w:t xml:space="preserve"> the </w:t>
      </w:r>
      <w:r w:rsidR="00FF4455" w:rsidRPr="00B45C6F">
        <w:rPr>
          <w:lang w:val="en-GB"/>
        </w:rPr>
        <w:t xml:space="preserve">concern </w:t>
      </w:r>
      <w:r w:rsidR="00346274" w:rsidRPr="00B45C6F">
        <w:rPr>
          <w:lang w:val="en-GB"/>
        </w:rPr>
        <w:t>of</w:t>
      </w:r>
      <w:r w:rsidR="00FF4455" w:rsidRPr="00B45C6F">
        <w:rPr>
          <w:lang w:val="en-GB"/>
        </w:rPr>
        <w:t xml:space="preserve"> the possible exodus</w:t>
      </w:r>
      <w:r w:rsidR="00ED4891" w:rsidRPr="00B45C6F">
        <w:rPr>
          <w:lang w:val="en-GB"/>
        </w:rPr>
        <w:t xml:space="preserve"> of </w:t>
      </w:r>
      <w:r w:rsidR="003D6AE8" w:rsidRPr="00B45C6F">
        <w:rPr>
          <w:lang w:val="en-GB"/>
        </w:rPr>
        <w:t>taxable income</w:t>
      </w:r>
      <w:r w:rsidR="00ED4891" w:rsidRPr="00B45C6F">
        <w:rPr>
          <w:lang w:val="en-GB"/>
        </w:rPr>
        <w:t xml:space="preserve"> from one Member State to another, it posits the caveat of </w:t>
      </w:r>
      <w:r w:rsidR="009D078A" w:rsidRPr="00B45C6F">
        <w:rPr>
          <w:lang w:val="en-GB"/>
        </w:rPr>
        <w:t xml:space="preserve">a </w:t>
      </w:r>
      <w:r w:rsidR="00864F12" w:rsidRPr="00B45C6F">
        <w:rPr>
          <w:lang w:val="en-GB"/>
        </w:rPr>
        <w:t>distort</w:t>
      </w:r>
      <w:r w:rsidR="00C84B0D" w:rsidRPr="00B45C6F">
        <w:rPr>
          <w:lang w:val="en-GB"/>
        </w:rPr>
        <w:t xml:space="preserve">ed </w:t>
      </w:r>
      <w:r w:rsidR="00864F12" w:rsidRPr="00B45C6F">
        <w:rPr>
          <w:lang w:val="en-GB"/>
        </w:rPr>
        <w:t xml:space="preserve">EU single market </w:t>
      </w:r>
      <w:r w:rsidR="001A1A4C" w:rsidRPr="00B45C6F">
        <w:rPr>
          <w:lang w:val="en-GB"/>
        </w:rPr>
        <w:t>which is less attractive than emerging</w:t>
      </w:r>
      <w:r w:rsidR="00864F12" w:rsidRPr="00B45C6F">
        <w:rPr>
          <w:lang w:val="en-GB"/>
        </w:rPr>
        <w:t xml:space="preserve"> markets</w:t>
      </w:r>
      <w:r w:rsidR="00A616BF" w:rsidRPr="00B45C6F">
        <w:rPr>
          <w:lang w:val="en-GB"/>
        </w:rPr>
        <w:t xml:space="preserve"> that</w:t>
      </w:r>
      <w:r w:rsidR="00DA4091" w:rsidRPr="00B45C6F">
        <w:rPr>
          <w:lang w:val="en-GB"/>
        </w:rPr>
        <w:t xml:space="preserve"> do not impose a DST</w:t>
      </w:r>
      <w:r w:rsidR="00864F12" w:rsidRPr="00B45C6F">
        <w:rPr>
          <w:lang w:val="en-GB"/>
        </w:rPr>
        <w:t>.</w:t>
      </w:r>
      <w:r w:rsidR="003606E7" w:rsidRPr="00B45C6F">
        <w:rPr>
          <w:lang w:val="en-GB"/>
        </w:rPr>
        <w:t xml:space="preserve"> </w:t>
      </w:r>
      <w:r w:rsidR="00D540D3" w:rsidRPr="00B45C6F">
        <w:rPr>
          <w:lang w:val="en-GB"/>
        </w:rPr>
        <w:t>If th</w:t>
      </w:r>
      <w:r w:rsidR="001A1A4C" w:rsidRPr="00B45C6F">
        <w:rPr>
          <w:lang w:val="en-GB"/>
        </w:rPr>
        <w:t>is</w:t>
      </w:r>
      <w:r w:rsidR="00D540D3" w:rsidRPr="00B45C6F">
        <w:rPr>
          <w:lang w:val="en-GB"/>
        </w:rPr>
        <w:t xml:space="preserve"> </w:t>
      </w:r>
      <w:r w:rsidR="003B2536" w:rsidRPr="00B45C6F">
        <w:rPr>
          <w:lang w:val="en-GB"/>
        </w:rPr>
        <w:t>conclusion</w:t>
      </w:r>
      <w:r w:rsidR="001A1A4C" w:rsidRPr="00B45C6F">
        <w:rPr>
          <w:lang w:val="en-GB"/>
        </w:rPr>
        <w:t xml:space="preserve"> is</w:t>
      </w:r>
      <w:r w:rsidR="00D540D3" w:rsidRPr="00B45C6F">
        <w:rPr>
          <w:lang w:val="en-GB"/>
        </w:rPr>
        <w:t xml:space="preserve"> </w:t>
      </w:r>
      <w:r w:rsidR="001E0411" w:rsidRPr="00B45C6F">
        <w:rPr>
          <w:lang w:val="en-GB"/>
        </w:rPr>
        <w:t>unlikely to occur</w:t>
      </w:r>
      <w:r w:rsidR="00D540D3" w:rsidRPr="00B45C6F">
        <w:rPr>
          <w:lang w:val="en-GB"/>
        </w:rPr>
        <w:t xml:space="preserve">, </w:t>
      </w:r>
      <w:r w:rsidR="003B2536" w:rsidRPr="00B45C6F">
        <w:rPr>
          <w:lang w:val="en-GB"/>
        </w:rPr>
        <w:t>the imposition of value-creation-based DST</w:t>
      </w:r>
      <w:r w:rsidR="00D540D3" w:rsidRPr="00B45C6F">
        <w:rPr>
          <w:lang w:val="en-GB"/>
        </w:rPr>
        <w:t xml:space="preserve"> will at least distort the balanced allocation of taxing rights established by the current networks of Double Tax Conventions (DTC). </w:t>
      </w:r>
      <w:r w:rsidR="003B2536" w:rsidRPr="00B45C6F">
        <w:rPr>
          <w:lang w:val="en-GB"/>
        </w:rPr>
        <w:t xml:space="preserve">Conclusively, the EU </w:t>
      </w:r>
      <w:r w:rsidR="009D078A" w:rsidRPr="00B45C6F">
        <w:rPr>
          <w:lang w:val="en-GB"/>
        </w:rPr>
        <w:t>considers</w:t>
      </w:r>
      <w:r w:rsidR="003B2536" w:rsidRPr="00B45C6F">
        <w:rPr>
          <w:lang w:val="en-GB"/>
        </w:rPr>
        <w:t xml:space="preserve"> </w:t>
      </w:r>
      <w:r w:rsidR="009D078A" w:rsidRPr="00B45C6F">
        <w:rPr>
          <w:lang w:val="en-GB"/>
        </w:rPr>
        <w:t>itself</w:t>
      </w:r>
      <w:r w:rsidR="003B2536" w:rsidRPr="00B45C6F">
        <w:rPr>
          <w:lang w:val="en-GB"/>
        </w:rPr>
        <w:t xml:space="preserve"> as</w:t>
      </w:r>
      <w:r w:rsidR="009D078A" w:rsidRPr="00B45C6F">
        <w:rPr>
          <w:lang w:val="en-GB"/>
        </w:rPr>
        <w:t xml:space="preserve"> home of the</w:t>
      </w:r>
      <w:r w:rsidR="003B2536" w:rsidRPr="00B45C6F">
        <w:rPr>
          <w:lang w:val="en-GB"/>
        </w:rPr>
        <w:t xml:space="preserve"> investo</w:t>
      </w:r>
      <w:r w:rsidR="009D078A" w:rsidRPr="00B45C6F">
        <w:rPr>
          <w:lang w:val="en-GB"/>
        </w:rPr>
        <w:t>rs</w:t>
      </w:r>
      <w:r w:rsidR="006E1722" w:rsidRPr="00B45C6F">
        <w:rPr>
          <w:lang w:val="en-GB"/>
        </w:rPr>
        <w:t xml:space="preserve">—and thus retains the </w:t>
      </w:r>
      <w:r w:rsidR="00325266" w:rsidRPr="00B45C6F">
        <w:rPr>
          <w:lang w:val="en-GB"/>
        </w:rPr>
        <w:t xml:space="preserve">unrestricted </w:t>
      </w:r>
      <w:r w:rsidR="006E1722" w:rsidRPr="00B45C6F">
        <w:rPr>
          <w:lang w:val="en-GB"/>
        </w:rPr>
        <w:t>taxing right</w:t>
      </w:r>
      <w:r w:rsidR="00886384" w:rsidRPr="00B45C6F">
        <w:rPr>
          <w:lang w:val="en-GB"/>
        </w:rPr>
        <w:t xml:space="preserve"> </w:t>
      </w:r>
      <w:r w:rsidR="00325266" w:rsidRPr="00B45C6F">
        <w:rPr>
          <w:lang w:val="en-GB"/>
        </w:rPr>
        <w:t xml:space="preserve">afforded by the provisions of </w:t>
      </w:r>
      <w:r w:rsidR="00886384" w:rsidRPr="00B45C6F">
        <w:rPr>
          <w:lang w:val="en-GB"/>
        </w:rPr>
        <w:t>DTC</w:t>
      </w:r>
      <w:r w:rsidR="006E1722" w:rsidRPr="00B45C6F">
        <w:rPr>
          <w:lang w:val="en-GB"/>
        </w:rPr>
        <w:t xml:space="preserve">—in respect of </w:t>
      </w:r>
      <w:r w:rsidR="001E0411" w:rsidRPr="00B45C6F">
        <w:rPr>
          <w:lang w:val="en-GB"/>
        </w:rPr>
        <w:t xml:space="preserve">inbound </w:t>
      </w:r>
      <w:r w:rsidR="006E1722" w:rsidRPr="00B45C6F">
        <w:rPr>
          <w:lang w:val="en-GB"/>
        </w:rPr>
        <w:t>flows dividends</w:t>
      </w:r>
      <w:r w:rsidR="00886384" w:rsidRPr="00B45C6F">
        <w:rPr>
          <w:lang w:val="en-GB"/>
        </w:rPr>
        <w:t xml:space="preserve"> and</w:t>
      </w:r>
      <w:r w:rsidR="006E1722" w:rsidRPr="00B45C6F">
        <w:rPr>
          <w:lang w:val="en-GB"/>
        </w:rPr>
        <w:t xml:space="preserve"> interests</w:t>
      </w:r>
      <w:r w:rsidR="00886384" w:rsidRPr="00B45C6F">
        <w:rPr>
          <w:lang w:val="en-GB"/>
        </w:rPr>
        <w:t xml:space="preserve"> (</w:t>
      </w:r>
      <w:r w:rsidR="006E1722" w:rsidRPr="00B45C6F">
        <w:rPr>
          <w:lang w:val="en-GB"/>
        </w:rPr>
        <w:t>and</w:t>
      </w:r>
      <w:r w:rsidR="00886384" w:rsidRPr="00B45C6F">
        <w:rPr>
          <w:lang w:val="en-GB"/>
        </w:rPr>
        <w:t xml:space="preserve"> perhaps,</w:t>
      </w:r>
      <w:r w:rsidR="006E1722" w:rsidRPr="00B45C6F">
        <w:rPr>
          <w:lang w:val="en-GB"/>
        </w:rPr>
        <w:t xml:space="preserve"> royalties</w:t>
      </w:r>
      <w:r w:rsidR="00886384" w:rsidRPr="00B45C6F">
        <w:rPr>
          <w:lang w:val="en-GB"/>
        </w:rPr>
        <w:t>)</w:t>
      </w:r>
      <w:r w:rsidR="001E0411" w:rsidRPr="00B45C6F">
        <w:rPr>
          <w:lang w:val="en-GB"/>
        </w:rPr>
        <w:t>,</w:t>
      </w:r>
      <w:r w:rsidR="00886384" w:rsidRPr="00B45C6F">
        <w:rPr>
          <w:lang w:val="en-GB"/>
        </w:rPr>
        <w:t xml:space="preserve"> </w:t>
      </w:r>
      <w:r w:rsidR="00325266" w:rsidRPr="00B45C6F">
        <w:rPr>
          <w:lang w:val="en-GB"/>
        </w:rPr>
        <w:t xml:space="preserve">while simultaneously </w:t>
      </w:r>
      <w:r w:rsidR="009D078A" w:rsidRPr="00B45C6F">
        <w:rPr>
          <w:lang w:val="en-GB"/>
        </w:rPr>
        <w:t>affirms itself</w:t>
      </w:r>
      <w:r w:rsidR="00325266" w:rsidRPr="00B45C6F">
        <w:rPr>
          <w:lang w:val="en-GB"/>
        </w:rPr>
        <w:t xml:space="preserve"> as </w:t>
      </w:r>
      <w:r w:rsidR="009D078A" w:rsidRPr="00B45C6F">
        <w:rPr>
          <w:lang w:val="en-GB"/>
        </w:rPr>
        <w:t>home of the investments</w:t>
      </w:r>
      <w:r w:rsidR="00325266" w:rsidRPr="00B45C6F">
        <w:rPr>
          <w:lang w:val="en-GB"/>
        </w:rPr>
        <w:t xml:space="preserve">—and thus </w:t>
      </w:r>
      <w:r w:rsidR="00C44232" w:rsidRPr="00B45C6F">
        <w:rPr>
          <w:lang w:val="en-GB"/>
        </w:rPr>
        <w:t>insists on acquiring</w:t>
      </w:r>
      <w:r w:rsidR="00083B42" w:rsidRPr="00B45C6F">
        <w:rPr>
          <w:lang w:val="en-GB"/>
        </w:rPr>
        <w:t xml:space="preserve"> primary taxing right, notwithstanding the provisions of DTC</w:t>
      </w:r>
      <w:r w:rsidR="00325266" w:rsidRPr="00B45C6F">
        <w:rPr>
          <w:lang w:val="en-GB"/>
        </w:rPr>
        <w:t>—</w:t>
      </w:r>
      <w:r w:rsidR="00083B42" w:rsidRPr="00B45C6F">
        <w:rPr>
          <w:lang w:val="en-GB"/>
        </w:rPr>
        <w:t xml:space="preserve">in respect of business profits arguably generated in </w:t>
      </w:r>
      <w:r w:rsidR="00C44232" w:rsidRPr="00B45C6F">
        <w:rPr>
          <w:lang w:val="en-GB"/>
        </w:rPr>
        <w:t>its</w:t>
      </w:r>
      <w:r w:rsidR="00083B42" w:rsidRPr="00B45C6F">
        <w:rPr>
          <w:lang w:val="en-GB"/>
        </w:rPr>
        <w:t xml:space="preserve"> territories. </w:t>
      </w:r>
      <w:r w:rsidR="000C0FE7" w:rsidRPr="00B45C6F">
        <w:rPr>
          <w:lang w:val="en-GB"/>
        </w:rPr>
        <w:t xml:space="preserve">This </w:t>
      </w:r>
      <w:r w:rsidR="001E0411" w:rsidRPr="00B45C6F">
        <w:rPr>
          <w:lang w:val="en-GB"/>
        </w:rPr>
        <w:t>constitutes a new level of tax sovereignty</w:t>
      </w:r>
      <w:r w:rsidR="000C0FE7" w:rsidRPr="00B45C6F">
        <w:rPr>
          <w:lang w:val="en-GB"/>
        </w:rPr>
        <w:t>.</w:t>
      </w:r>
    </w:p>
    <w:p w:rsidR="0092324F" w:rsidRPr="00B45C6F" w:rsidRDefault="00771762" w:rsidP="0092324F">
      <w:pPr>
        <w:pStyle w:val="Heading2"/>
        <w:numPr>
          <w:ilvl w:val="0"/>
          <w:numId w:val="8"/>
        </w:numPr>
        <w:spacing w:before="120" w:after="120"/>
        <w:ind w:left="709" w:hanging="425"/>
      </w:pPr>
      <w:r w:rsidRPr="00B45C6F">
        <w:rPr>
          <w:rFonts w:ascii="Times New Roman" w:hAnsi="Times New Roman" w:cs="Times New Roman"/>
        </w:rPr>
        <w:t>The covertly discriminatory</w:t>
      </w:r>
      <w:r w:rsidR="0092324F" w:rsidRPr="00B45C6F">
        <w:rPr>
          <w:rFonts w:ascii="Times New Roman" w:hAnsi="Times New Roman" w:cs="Times New Roman"/>
        </w:rPr>
        <w:t xml:space="preserve"> policies and measures</w:t>
      </w:r>
    </w:p>
    <w:p w:rsidR="00D35DD5" w:rsidRPr="00B45C6F" w:rsidRDefault="00D35DD5" w:rsidP="00D4308A">
      <w:pPr>
        <w:spacing w:after="120"/>
        <w:ind w:firstLine="567"/>
        <w:rPr>
          <w:lang w:val="en-GB"/>
        </w:rPr>
      </w:pPr>
      <w:r w:rsidRPr="00B45C6F">
        <w:rPr>
          <w:lang w:val="en-GB"/>
        </w:rPr>
        <w:t>The objective of a fair tax system is also unlikely to be achieved if the very means used in achieving that goal is discriminatory. In its earlier studies on the DST, the Commission stated:</w:t>
      </w:r>
      <w:r w:rsidRPr="00B45C6F">
        <w:rPr>
          <w:rStyle w:val="FootnoteReference"/>
          <w:lang w:val="en-GB"/>
        </w:rPr>
        <w:footnoteReference w:id="19"/>
      </w:r>
    </w:p>
    <w:p w:rsidR="00A25AB9" w:rsidRPr="00B45C6F" w:rsidRDefault="00D35DD5" w:rsidP="00D35DD5">
      <w:pPr>
        <w:spacing w:after="120"/>
        <w:ind w:left="567"/>
        <w:rPr>
          <w:sz w:val="22"/>
          <w:szCs w:val="22"/>
          <w:lang w:val="en-GB"/>
        </w:rPr>
      </w:pPr>
      <w:r w:rsidRPr="00B45C6F">
        <w:rPr>
          <w:sz w:val="22"/>
          <w:szCs w:val="22"/>
          <w:lang w:val="en-GB"/>
        </w:rPr>
        <w:t>Digital companies are growing far faster than the economy at large, and the largest digital companies have huge user and consumer bases within the EU. For example, 42% of Europeans are users of Facebook.</w:t>
      </w:r>
      <w:r w:rsidR="006B1569" w:rsidRPr="00B45C6F">
        <w:rPr>
          <w:sz w:val="22"/>
          <w:szCs w:val="22"/>
          <w:lang w:val="en-GB"/>
        </w:rPr>
        <w:t xml:space="preserve"> (…) the lion's share of the traffic is captured by the (…) global websites.</w:t>
      </w:r>
    </w:p>
    <w:p w:rsidR="003139EA" w:rsidRPr="00B45C6F" w:rsidRDefault="00575F41" w:rsidP="003139EA">
      <w:pPr>
        <w:spacing w:after="120"/>
        <w:ind w:firstLine="567"/>
        <w:rPr>
          <w:lang w:val="en-GB"/>
        </w:rPr>
      </w:pPr>
      <w:r w:rsidRPr="00B45C6F">
        <w:rPr>
          <w:lang w:val="en-GB"/>
        </w:rPr>
        <w:t xml:space="preserve">Perhaps, the naming as above is just </w:t>
      </w:r>
      <w:r w:rsidR="00145C0D" w:rsidRPr="00B45C6F">
        <w:rPr>
          <w:lang w:val="en-GB"/>
        </w:rPr>
        <w:t>illustrative</w:t>
      </w:r>
      <w:r w:rsidRPr="00B45C6F">
        <w:rPr>
          <w:lang w:val="en-GB"/>
        </w:rPr>
        <w:t xml:space="preserve">. </w:t>
      </w:r>
      <w:r w:rsidR="007F28CB" w:rsidRPr="00B45C6F">
        <w:rPr>
          <w:lang w:val="en-GB"/>
        </w:rPr>
        <w:t>Even if it is typological, it is only mentioned in a policy</w:t>
      </w:r>
      <w:r w:rsidR="00B17FA0">
        <w:rPr>
          <w:lang w:val="en-GB"/>
        </w:rPr>
        <w:t xml:space="preserve"> paper, and thus hardly forms a</w:t>
      </w:r>
      <w:r w:rsidR="007F28CB" w:rsidRPr="00B45C6F">
        <w:rPr>
          <w:lang w:val="en-GB"/>
        </w:rPr>
        <w:t xml:space="preserve"> discriminat</w:t>
      </w:r>
      <w:r w:rsidR="00C7137A">
        <w:rPr>
          <w:lang w:val="en-GB"/>
        </w:rPr>
        <w:t>ory treatment</w:t>
      </w:r>
      <w:r w:rsidR="007F28CB" w:rsidRPr="00B45C6F">
        <w:rPr>
          <w:lang w:val="en-GB"/>
        </w:rPr>
        <w:t xml:space="preserve">. </w:t>
      </w:r>
      <w:r w:rsidRPr="00B45C6F">
        <w:rPr>
          <w:lang w:val="en-GB"/>
        </w:rPr>
        <w:t xml:space="preserve">After all, the Commission had committed to abandon ‘protectionism, deregulation or a race to the bottom’ and shift its </w:t>
      </w:r>
      <w:r w:rsidR="007F28CB" w:rsidRPr="00B45C6F">
        <w:rPr>
          <w:lang w:val="en-GB"/>
        </w:rPr>
        <w:t>digital economy p</w:t>
      </w:r>
      <w:r w:rsidRPr="00B45C6F">
        <w:rPr>
          <w:lang w:val="en-GB"/>
        </w:rPr>
        <w:t>olicies towards ‘smart regulation</w:t>
      </w:r>
      <w:r w:rsidR="007F28CB" w:rsidRPr="00B45C6F">
        <w:rPr>
          <w:lang w:val="en-GB"/>
        </w:rPr>
        <w:t>.</w:t>
      </w:r>
      <w:r w:rsidRPr="00B45C6F">
        <w:rPr>
          <w:lang w:val="en-GB"/>
        </w:rPr>
        <w:t>’</w:t>
      </w:r>
      <w:r w:rsidR="00A14C0B" w:rsidRPr="00B45C6F">
        <w:rPr>
          <w:rStyle w:val="FootnoteReference"/>
          <w:lang w:val="en-GB"/>
        </w:rPr>
        <w:footnoteReference w:id="20"/>
      </w:r>
      <w:r w:rsidR="00A14C0B" w:rsidRPr="00B45C6F">
        <w:rPr>
          <w:lang w:val="en-GB"/>
        </w:rPr>
        <w:t xml:space="preserve"> Tax policies in the EU should, therefore, represent a </w:t>
      </w:r>
      <w:r w:rsidR="007F28CB" w:rsidRPr="00B45C6F">
        <w:rPr>
          <w:lang w:val="en-GB"/>
        </w:rPr>
        <w:t xml:space="preserve">balanced </w:t>
      </w:r>
      <w:r w:rsidR="00A14C0B" w:rsidRPr="00B45C6F">
        <w:rPr>
          <w:lang w:val="en-GB"/>
        </w:rPr>
        <w:t>response against the challenges brought upon by digitalisation and new business models.</w:t>
      </w:r>
      <w:r w:rsidR="00A14C0B" w:rsidRPr="00B45C6F">
        <w:rPr>
          <w:rStyle w:val="FootnoteReference"/>
          <w:lang w:val="en-GB"/>
        </w:rPr>
        <w:footnoteReference w:id="21"/>
      </w:r>
    </w:p>
    <w:p w:rsidR="005E6565" w:rsidRPr="00B45C6F" w:rsidRDefault="00304C35" w:rsidP="003139EA">
      <w:pPr>
        <w:spacing w:after="120"/>
        <w:ind w:firstLine="567"/>
        <w:rPr>
          <w:lang w:val="en-GB"/>
        </w:rPr>
      </w:pPr>
      <w:r w:rsidRPr="00B45C6F">
        <w:rPr>
          <w:lang w:val="en-GB"/>
        </w:rPr>
        <w:lastRenderedPageBreak/>
        <w:t>The targeting of foreign digital operator establishments</w:t>
      </w:r>
      <w:r w:rsidR="00DD7409" w:rsidRPr="00B45C6F">
        <w:rPr>
          <w:lang w:val="en-GB"/>
        </w:rPr>
        <w:t xml:space="preserve"> is, however, </w:t>
      </w:r>
      <w:r w:rsidRPr="00B45C6F">
        <w:rPr>
          <w:lang w:val="en-GB"/>
        </w:rPr>
        <w:t>reflected in the recitals and provisions of the proposed directive.</w:t>
      </w:r>
      <w:r w:rsidR="00DD7409" w:rsidRPr="00B45C6F">
        <w:rPr>
          <w:lang w:val="en-GB"/>
        </w:rPr>
        <w:t xml:space="preserve"> Recital 22 of the proposed directive confers that ‘Only certain entities should qualify as taxable persons for the purposes of DST, regardless of whether they are established in a Member State or in a non-Union jurisdiction.’ The latter part of the phrase ensures </w:t>
      </w:r>
      <w:r w:rsidR="00E41C3D" w:rsidRPr="00B45C6F">
        <w:rPr>
          <w:lang w:val="en-GB"/>
        </w:rPr>
        <w:t>that no overt discrimination arises. A covert discrimination, however, arises when the proposed directive sets for a global revenue threshold of EUR 750,000,000 and EU revenue threshold of EUR 50,000 in a given fiscal year.</w:t>
      </w:r>
      <w:r w:rsidR="00E41C3D" w:rsidRPr="00B45C6F">
        <w:rPr>
          <w:rStyle w:val="FootnoteReference"/>
          <w:lang w:val="en-GB"/>
        </w:rPr>
        <w:footnoteReference w:id="22"/>
      </w:r>
      <w:r w:rsidR="00AB2BB4" w:rsidRPr="00B45C6F">
        <w:rPr>
          <w:lang w:val="en-GB"/>
        </w:rPr>
        <w:t xml:space="preserve"> </w:t>
      </w:r>
      <w:r w:rsidR="00EF0E6C" w:rsidRPr="00B45C6F">
        <w:rPr>
          <w:lang w:val="en-GB"/>
        </w:rPr>
        <w:t xml:space="preserve">The revenue thresholds seems to operate in a similar manner as thresholds establishing permanent establishments would operate. A </w:t>
      </w:r>
      <w:r w:rsidR="00B1351F" w:rsidRPr="00B45C6F">
        <w:rPr>
          <w:lang w:val="en-GB"/>
        </w:rPr>
        <w:t xml:space="preserve">monetary </w:t>
      </w:r>
      <w:r w:rsidR="00EF0E6C" w:rsidRPr="00B45C6F">
        <w:rPr>
          <w:lang w:val="en-GB"/>
        </w:rPr>
        <w:t xml:space="preserve">threshold </w:t>
      </w:r>
      <w:r w:rsidR="00B1351F" w:rsidRPr="00B45C6F">
        <w:rPr>
          <w:lang w:val="en-GB"/>
        </w:rPr>
        <w:t xml:space="preserve">as such </w:t>
      </w:r>
      <w:r w:rsidR="00EF0E6C" w:rsidRPr="00B45C6F">
        <w:rPr>
          <w:lang w:val="en-GB"/>
        </w:rPr>
        <w:t xml:space="preserve">is, however, alien to the DTC. </w:t>
      </w:r>
      <w:r w:rsidR="00505A50" w:rsidRPr="00B45C6F">
        <w:rPr>
          <w:lang w:val="en-GB"/>
        </w:rPr>
        <w:t xml:space="preserve">Temporary threshold (e.g. </w:t>
      </w:r>
      <w:r w:rsidR="005E6565" w:rsidRPr="00B45C6F">
        <w:rPr>
          <w:lang w:val="en-GB"/>
        </w:rPr>
        <w:t xml:space="preserve">a certain number of months </w:t>
      </w:r>
      <w:r w:rsidR="00505A50" w:rsidRPr="00B45C6F">
        <w:rPr>
          <w:lang w:val="en-GB"/>
        </w:rPr>
        <w:t xml:space="preserve">beyond which a construction project would constitute a permanent establishment) or </w:t>
      </w:r>
      <w:r w:rsidR="005E6565" w:rsidRPr="00B45C6F">
        <w:rPr>
          <w:lang w:val="en-GB"/>
        </w:rPr>
        <w:t>q</w:t>
      </w:r>
      <w:r w:rsidR="00505A50" w:rsidRPr="00B45C6F">
        <w:rPr>
          <w:lang w:val="en-GB"/>
        </w:rPr>
        <w:t>ualitative thresholds (e.g. the dependency of an agent to a principal</w:t>
      </w:r>
      <w:r w:rsidR="005E6565" w:rsidRPr="00B45C6F">
        <w:rPr>
          <w:lang w:val="en-GB"/>
        </w:rPr>
        <w:t>)</w:t>
      </w:r>
      <w:r w:rsidR="00AF0342" w:rsidRPr="00B45C6F">
        <w:rPr>
          <w:lang w:val="en-GB"/>
        </w:rPr>
        <w:t xml:space="preserve"> are more common to be used as means to establish a permanent establishment</w:t>
      </w:r>
      <w:r w:rsidR="005E6565" w:rsidRPr="00B45C6F">
        <w:rPr>
          <w:lang w:val="en-GB"/>
        </w:rPr>
        <w:t>.</w:t>
      </w:r>
      <w:r w:rsidR="00505A50" w:rsidRPr="00B45C6F">
        <w:rPr>
          <w:lang w:val="en-GB"/>
        </w:rPr>
        <w:t xml:space="preserve"> </w:t>
      </w:r>
      <w:r w:rsidR="00B3772F" w:rsidRPr="00B45C6F">
        <w:rPr>
          <w:lang w:val="en-GB"/>
        </w:rPr>
        <w:t xml:space="preserve">Again, </w:t>
      </w:r>
      <w:proofErr w:type="gramStart"/>
      <w:r w:rsidR="00B3772F" w:rsidRPr="00B45C6F">
        <w:rPr>
          <w:lang w:val="en-GB"/>
        </w:rPr>
        <w:t>a depart</w:t>
      </w:r>
      <w:proofErr w:type="gramEnd"/>
      <w:r w:rsidR="00B3772F" w:rsidRPr="00B45C6F">
        <w:rPr>
          <w:lang w:val="en-GB"/>
        </w:rPr>
        <w:t xml:space="preserve"> from established </w:t>
      </w:r>
      <w:r w:rsidR="00404695" w:rsidRPr="00B45C6F">
        <w:rPr>
          <w:lang w:val="en-GB"/>
        </w:rPr>
        <w:t xml:space="preserve">direct </w:t>
      </w:r>
      <w:r w:rsidR="00B3772F" w:rsidRPr="00B45C6F">
        <w:rPr>
          <w:lang w:val="en-GB"/>
        </w:rPr>
        <w:t>tax</w:t>
      </w:r>
      <w:r w:rsidR="00404695" w:rsidRPr="00B45C6F">
        <w:rPr>
          <w:lang w:val="en-GB"/>
        </w:rPr>
        <w:t xml:space="preserve"> rules</w:t>
      </w:r>
      <w:r w:rsidR="00B3772F" w:rsidRPr="00B45C6F">
        <w:rPr>
          <w:lang w:val="en-GB"/>
        </w:rPr>
        <w:t>.</w:t>
      </w:r>
    </w:p>
    <w:p w:rsidR="00304C35" w:rsidRPr="00B45C6F" w:rsidRDefault="00D84C5C" w:rsidP="003139EA">
      <w:pPr>
        <w:spacing w:after="120"/>
        <w:ind w:firstLine="567"/>
        <w:rPr>
          <w:lang w:val="en-GB"/>
        </w:rPr>
      </w:pPr>
      <w:r w:rsidRPr="00B45C6F">
        <w:rPr>
          <w:lang w:val="en-GB"/>
        </w:rPr>
        <w:t>Furthermore,</w:t>
      </w:r>
      <w:r w:rsidR="00EF0E6C" w:rsidRPr="00B45C6F">
        <w:rPr>
          <w:lang w:val="en-GB"/>
        </w:rPr>
        <w:t xml:space="preserve"> h</w:t>
      </w:r>
      <w:r w:rsidR="00AB2BB4" w:rsidRPr="00B45C6F">
        <w:rPr>
          <w:lang w:val="en-GB"/>
        </w:rPr>
        <w:t xml:space="preserve">ad </w:t>
      </w:r>
      <w:r w:rsidR="00DA7B2C" w:rsidRPr="00B45C6F">
        <w:rPr>
          <w:lang w:val="en-GB"/>
        </w:rPr>
        <w:t>a provision as such</w:t>
      </w:r>
      <w:r w:rsidR="00AB2BB4" w:rsidRPr="00B45C6F">
        <w:rPr>
          <w:lang w:val="en-GB"/>
        </w:rPr>
        <w:t xml:space="preserve"> been </w:t>
      </w:r>
      <w:r w:rsidR="00DA7B2C" w:rsidRPr="00B45C6F">
        <w:rPr>
          <w:lang w:val="en-GB"/>
        </w:rPr>
        <w:t>adopted by an EU</w:t>
      </w:r>
      <w:r w:rsidR="00AB2BB4" w:rsidRPr="00B45C6F">
        <w:rPr>
          <w:lang w:val="en-GB"/>
        </w:rPr>
        <w:t xml:space="preserve"> Member State</w:t>
      </w:r>
      <w:r w:rsidR="00DA7B2C" w:rsidRPr="00B45C6F">
        <w:rPr>
          <w:lang w:val="en-GB"/>
        </w:rPr>
        <w:t>, it would have invited for state aid investigation</w:t>
      </w:r>
      <w:r w:rsidR="009D2683">
        <w:rPr>
          <w:lang w:val="en-GB"/>
        </w:rPr>
        <w:t>,</w:t>
      </w:r>
      <w:r w:rsidR="00DA7B2C" w:rsidRPr="00B45C6F">
        <w:rPr>
          <w:lang w:val="en-GB"/>
        </w:rPr>
        <w:t xml:space="preserve"> or </w:t>
      </w:r>
      <w:r w:rsidR="00AB2BB4" w:rsidRPr="00B45C6F">
        <w:rPr>
          <w:lang w:val="en-GB"/>
        </w:rPr>
        <w:t xml:space="preserve">brought before the Court of Justice of the EU </w:t>
      </w:r>
      <w:r w:rsidR="00DA7B2C" w:rsidRPr="00B45C6F">
        <w:rPr>
          <w:lang w:val="en-GB"/>
        </w:rPr>
        <w:t xml:space="preserve">(CJEU) </w:t>
      </w:r>
      <w:r w:rsidR="00AB2BB4" w:rsidRPr="00B45C6F">
        <w:rPr>
          <w:lang w:val="en-GB"/>
        </w:rPr>
        <w:t>for a preliminary ruling</w:t>
      </w:r>
      <w:r w:rsidR="00AF0342" w:rsidRPr="00B45C6F">
        <w:rPr>
          <w:lang w:val="en-GB"/>
        </w:rPr>
        <w:t xml:space="preserve"> on its conformity with the fundamental freedoms.</w:t>
      </w:r>
      <w:r w:rsidR="001C3500" w:rsidRPr="00B45C6F">
        <w:rPr>
          <w:lang w:val="en-GB"/>
        </w:rPr>
        <w:t xml:space="preserve"> When applied as an EU law, it would at least be a ring-fencing of </w:t>
      </w:r>
      <w:r w:rsidR="00404695" w:rsidRPr="00B45C6F">
        <w:rPr>
          <w:lang w:val="en-GB"/>
        </w:rPr>
        <w:t xml:space="preserve">the </w:t>
      </w:r>
      <w:r w:rsidR="001C3500" w:rsidRPr="00B45C6F">
        <w:rPr>
          <w:lang w:val="en-GB"/>
        </w:rPr>
        <w:t>smaller business entities operating on digital platforms and have their customers within the EU territory.</w:t>
      </w:r>
      <w:r w:rsidR="000351E9" w:rsidRPr="00B45C6F">
        <w:rPr>
          <w:lang w:val="en-GB"/>
        </w:rPr>
        <w:t xml:space="preserve"> It follows that the Commission’s commitment to avoid protectionism </w:t>
      </w:r>
      <w:r w:rsidR="00404695" w:rsidRPr="00B45C6F">
        <w:rPr>
          <w:lang w:val="en-GB"/>
        </w:rPr>
        <w:t>has not been</w:t>
      </w:r>
      <w:r w:rsidR="009630B5" w:rsidRPr="00B45C6F">
        <w:rPr>
          <w:lang w:val="en-GB"/>
        </w:rPr>
        <w:t xml:space="preserve"> reflected in the DST proposal. The only way to comprehend the revenue threshold is to consider the DST as an indirect tax. The VAT Directive,</w:t>
      </w:r>
      <w:r w:rsidR="009630B5" w:rsidRPr="00B45C6F">
        <w:rPr>
          <w:rStyle w:val="FootnoteReference"/>
          <w:lang w:val="en-GB"/>
        </w:rPr>
        <w:footnoteReference w:id="23"/>
      </w:r>
      <w:r w:rsidR="009630B5" w:rsidRPr="00B45C6F">
        <w:rPr>
          <w:lang w:val="en-GB"/>
        </w:rPr>
        <w:t xml:space="preserve"> for example, confers for </w:t>
      </w:r>
      <w:r w:rsidR="00B1351F" w:rsidRPr="00B45C6F">
        <w:rPr>
          <w:lang w:val="en-GB"/>
        </w:rPr>
        <w:t xml:space="preserve">monetary thresholds on the total value of supply of goods (e.g. EUR 10,000 intra-EU acquisition threshold). </w:t>
      </w:r>
      <w:r w:rsidR="00403A90" w:rsidRPr="00B45C6F">
        <w:rPr>
          <w:lang w:val="en-GB"/>
        </w:rPr>
        <w:t>Such measure is</w:t>
      </w:r>
      <w:r w:rsidR="00AD7E11" w:rsidRPr="00B45C6F">
        <w:rPr>
          <w:lang w:val="en-GB"/>
        </w:rPr>
        <w:t>, again, in</w:t>
      </w:r>
      <w:r w:rsidR="00403A90" w:rsidRPr="00B45C6F">
        <w:rPr>
          <w:lang w:val="en-GB"/>
        </w:rPr>
        <w:t xml:space="preserve">compatible for a tax whose policy is based on the failure of the states in which sales are made to tax profits of digital corporations, simply </w:t>
      </w:r>
      <w:r w:rsidR="00AD7E11" w:rsidRPr="00B45C6F">
        <w:rPr>
          <w:lang w:val="en-GB"/>
        </w:rPr>
        <w:t>due to the inability of</w:t>
      </w:r>
      <w:r w:rsidR="00403A90" w:rsidRPr="00B45C6F">
        <w:rPr>
          <w:lang w:val="en-GB"/>
        </w:rPr>
        <w:t xml:space="preserve"> these states to formulate ‘physical presence’ required by the existing corporate tax system.</w:t>
      </w:r>
    </w:p>
    <w:p w:rsidR="00A25AB9" w:rsidRPr="00B45C6F" w:rsidRDefault="004079F7" w:rsidP="003139EA">
      <w:pPr>
        <w:pStyle w:val="Heading1"/>
        <w:numPr>
          <w:ilvl w:val="0"/>
          <w:numId w:val="7"/>
        </w:numPr>
        <w:spacing w:before="120" w:after="120"/>
        <w:ind w:left="284" w:hanging="284"/>
        <w:rPr>
          <w:rFonts w:ascii="Times New Roman" w:hAnsi="Times New Roman" w:cs="Times New Roman"/>
          <w:b/>
          <w:color w:val="auto"/>
          <w:sz w:val="24"/>
          <w:szCs w:val="24"/>
          <w:lang w:val="en-GB"/>
        </w:rPr>
      </w:pPr>
      <w:r w:rsidRPr="00B45C6F">
        <w:rPr>
          <w:rFonts w:ascii="Times New Roman" w:hAnsi="Times New Roman" w:cs="Times New Roman"/>
          <w:b/>
          <w:color w:val="auto"/>
          <w:sz w:val="24"/>
          <w:szCs w:val="24"/>
          <w:lang w:val="en-GB"/>
        </w:rPr>
        <w:t>Proportioning</w:t>
      </w:r>
      <w:r w:rsidR="00466669" w:rsidRPr="00B45C6F">
        <w:rPr>
          <w:rFonts w:ascii="Times New Roman" w:hAnsi="Times New Roman" w:cs="Times New Roman"/>
          <w:b/>
          <w:color w:val="auto"/>
          <w:sz w:val="24"/>
          <w:szCs w:val="24"/>
          <w:lang w:val="en-GB"/>
        </w:rPr>
        <w:t xml:space="preserve"> the </w:t>
      </w:r>
      <w:r w:rsidRPr="00B45C6F">
        <w:rPr>
          <w:rFonts w:ascii="Times New Roman" w:hAnsi="Times New Roman" w:cs="Times New Roman"/>
          <w:b/>
          <w:color w:val="auto"/>
          <w:sz w:val="24"/>
          <w:szCs w:val="24"/>
          <w:lang w:val="en-GB"/>
        </w:rPr>
        <w:t xml:space="preserve">EU </w:t>
      </w:r>
      <w:r w:rsidR="00466669" w:rsidRPr="00B45C6F">
        <w:rPr>
          <w:rFonts w:ascii="Times New Roman" w:hAnsi="Times New Roman" w:cs="Times New Roman"/>
          <w:b/>
          <w:color w:val="auto"/>
          <w:sz w:val="24"/>
          <w:szCs w:val="24"/>
          <w:lang w:val="en-GB"/>
        </w:rPr>
        <w:t>DST</w:t>
      </w:r>
      <w:r w:rsidRPr="00B45C6F">
        <w:rPr>
          <w:rFonts w:ascii="Times New Roman" w:hAnsi="Times New Roman" w:cs="Times New Roman"/>
          <w:b/>
          <w:color w:val="auto"/>
          <w:sz w:val="24"/>
          <w:szCs w:val="24"/>
          <w:lang w:val="en-GB"/>
        </w:rPr>
        <w:t xml:space="preserve"> proposal</w:t>
      </w:r>
    </w:p>
    <w:p w:rsidR="00014772" w:rsidRPr="00B45C6F" w:rsidRDefault="00D10CD9" w:rsidP="002A2B00">
      <w:pPr>
        <w:spacing w:after="120"/>
        <w:ind w:firstLine="567"/>
        <w:rPr>
          <w:lang w:val="en-GB"/>
        </w:rPr>
      </w:pPr>
      <w:r w:rsidRPr="00B45C6F">
        <w:rPr>
          <w:lang w:val="en-GB"/>
        </w:rPr>
        <w:t>In their joint statement on the establishment of fair and effective taxation in the EU with respect to multinational corporations running their businesses through digital platforms, the governments of Germany and France</w:t>
      </w:r>
      <w:r w:rsidR="00A0138A" w:rsidRPr="00B45C6F">
        <w:rPr>
          <w:lang w:val="en-GB"/>
        </w:rPr>
        <w:t xml:space="preserve"> have requested the Commission and the Council to focus the DST proposal on revenues generated from advertisement activities</w:t>
      </w:r>
      <w:r w:rsidR="00373DA1" w:rsidRPr="00B45C6F">
        <w:rPr>
          <w:lang w:val="en-GB"/>
        </w:rPr>
        <w:t>.</w:t>
      </w:r>
      <w:r w:rsidR="00373DA1" w:rsidRPr="00B45C6F">
        <w:rPr>
          <w:rStyle w:val="FootnoteReference"/>
          <w:lang w:val="en-GB"/>
        </w:rPr>
        <w:footnoteReference w:id="24"/>
      </w:r>
      <w:r w:rsidR="00373DA1" w:rsidRPr="00B45C6F">
        <w:rPr>
          <w:lang w:val="en-GB"/>
        </w:rPr>
        <w:t xml:space="preserve"> This statement consequently narrows the issues discussed </w:t>
      </w:r>
      <w:r w:rsidR="00FA3124" w:rsidRPr="00B45C6F">
        <w:rPr>
          <w:lang w:val="en-GB"/>
        </w:rPr>
        <w:t>in the previous section</w:t>
      </w:r>
      <w:r w:rsidR="00373DA1" w:rsidRPr="00B45C6F">
        <w:rPr>
          <w:lang w:val="en-GB"/>
        </w:rPr>
        <w:t xml:space="preserve">, </w:t>
      </w:r>
      <w:r w:rsidR="00014772" w:rsidRPr="00B45C6F">
        <w:rPr>
          <w:lang w:val="en-GB"/>
        </w:rPr>
        <w:t>inter alia</w:t>
      </w:r>
      <w:r w:rsidR="00373DA1" w:rsidRPr="00B45C6F">
        <w:rPr>
          <w:lang w:val="en-GB"/>
        </w:rPr>
        <w:t xml:space="preserve"> that less entities will be treated discriminatorily under the DST regime.</w:t>
      </w:r>
      <w:r w:rsidR="003465E7" w:rsidRPr="00B45C6F">
        <w:rPr>
          <w:lang w:val="en-GB"/>
        </w:rPr>
        <w:t xml:space="preserve"> Th</w:t>
      </w:r>
      <w:r w:rsidR="00235134" w:rsidRPr="00B45C6F">
        <w:rPr>
          <w:lang w:val="en-GB"/>
        </w:rPr>
        <w:t>e statement</w:t>
      </w:r>
      <w:r w:rsidR="003465E7" w:rsidRPr="00B45C6F">
        <w:rPr>
          <w:lang w:val="en-GB"/>
        </w:rPr>
        <w:t xml:space="preserve"> is a</w:t>
      </w:r>
      <w:r w:rsidR="00373DA1" w:rsidRPr="00B45C6F">
        <w:rPr>
          <w:lang w:val="en-GB"/>
        </w:rPr>
        <w:t xml:space="preserve">lso </w:t>
      </w:r>
      <w:r w:rsidR="00235134" w:rsidRPr="00B45C6F">
        <w:rPr>
          <w:lang w:val="en-GB"/>
        </w:rPr>
        <w:t>well-reasoned</w:t>
      </w:r>
      <w:r w:rsidR="003465E7" w:rsidRPr="00B45C6F">
        <w:rPr>
          <w:lang w:val="en-GB"/>
        </w:rPr>
        <w:t>, for advertising income have become a dominant income source of digital corporations.</w:t>
      </w:r>
      <w:bookmarkStart w:id="7" w:name="_Ref534028048"/>
      <w:r w:rsidR="003465E7" w:rsidRPr="00B45C6F">
        <w:rPr>
          <w:rStyle w:val="FootnoteReference"/>
          <w:lang w:val="en-GB"/>
        </w:rPr>
        <w:footnoteReference w:id="25"/>
      </w:r>
      <w:bookmarkEnd w:id="7"/>
      <w:r w:rsidR="00D84827" w:rsidRPr="00B45C6F">
        <w:rPr>
          <w:lang w:val="en-GB"/>
        </w:rPr>
        <w:t xml:space="preserve"> The business model has been that users consume the services provided by digital corporation, while advertisers will place their ads and pay for the fees</w:t>
      </w:r>
      <w:r w:rsidR="002153C2" w:rsidRPr="00B45C6F">
        <w:rPr>
          <w:lang w:val="en-GB"/>
        </w:rPr>
        <w:t>—which are linear to the amount of users—</w:t>
      </w:r>
      <w:r w:rsidR="00D84827" w:rsidRPr="00B45C6F">
        <w:rPr>
          <w:lang w:val="en-GB"/>
        </w:rPr>
        <w:t>charged by the digital corporation.</w:t>
      </w:r>
      <w:r w:rsidR="00D84827" w:rsidRPr="00B45C6F">
        <w:rPr>
          <w:rStyle w:val="FootnoteReference"/>
          <w:lang w:val="en-GB"/>
        </w:rPr>
        <w:footnoteReference w:id="26"/>
      </w:r>
      <w:r w:rsidR="00B701E7" w:rsidRPr="00B45C6F">
        <w:rPr>
          <w:lang w:val="en-GB"/>
        </w:rPr>
        <w:t xml:space="preserve"> </w:t>
      </w:r>
    </w:p>
    <w:p w:rsidR="005B433B" w:rsidRPr="00B45C6F" w:rsidRDefault="00B701E7" w:rsidP="002A2B00">
      <w:pPr>
        <w:spacing w:after="120"/>
        <w:ind w:firstLine="567"/>
        <w:rPr>
          <w:lang w:val="en-GB"/>
        </w:rPr>
      </w:pPr>
      <w:r w:rsidRPr="00B45C6F">
        <w:rPr>
          <w:lang w:val="en-GB"/>
        </w:rPr>
        <w:t>Thus, it is the very technical ability of a digital corporation to manage the intergroup networks (i.e. networks of users and advertisers) that is critical to its revenue.</w:t>
      </w:r>
      <w:r w:rsidRPr="00B45C6F">
        <w:rPr>
          <w:rStyle w:val="FootnoteReference"/>
          <w:lang w:val="en-GB"/>
        </w:rPr>
        <w:footnoteReference w:id="27"/>
      </w:r>
      <w:r w:rsidR="003C315A" w:rsidRPr="00B45C6F">
        <w:rPr>
          <w:lang w:val="en-GB"/>
        </w:rPr>
        <w:t xml:space="preserve"> While th</w:t>
      </w:r>
      <w:r w:rsidR="008A6C55" w:rsidRPr="00B45C6F">
        <w:rPr>
          <w:lang w:val="en-GB"/>
        </w:rPr>
        <w:t>e</w:t>
      </w:r>
      <w:r w:rsidR="003C315A" w:rsidRPr="00B45C6F">
        <w:rPr>
          <w:lang w:val="en-GB"/>
        </w:rPr>
        <w:t xml:space="preserve"> ability is reflected </w:t>
      </w:r>
      <w:r w:rsidR="008A6C55" w:rsidRPr="00B45C6F">
        <w:rPr>
          <w:lang w:val="en-GB"/>
        </w:rPr>
        <w:t>in</w:t>
      </w:r>
      <w:r w:rsidR="003C315A" w:rsidRPr="00B45C6F">
        <w:rPr>
          <w:lang w:val="en-GB"/>
        </w:rPr>
        <w:t xml:space="preserve"> the number of users, it is also reflected </w:t>
      </w:r>
      <w:r w:rsidR="008A6C55" w:rsidRPr="00B45C6F">
        <w:rPr>
          <w:lang w:val="en-GB"/>
        </w:rPr>
        <w:t>in</w:t>
      </w:r>
      <w:r w:rsidR="003C315A" w:rsidRPr="00B45C6F">
        <w:rPr>
          <w:lang w:val="en-GB"/>
        </w:rPr>
        <w:t xml:space="preserve"> the amount of infrastructural investments </w:t>
      </w:r>
      <w:r w:rsidR="00D30A16" w:rsidRPr="00B45C6F">
        <w:rPr>
          <w:lang w:val="en-GB"/>
        </w:rPr>
        <w:t xml:space="preserve">(e.g. the capacity of its servers) </w:t>
      </w:r>
      <w:r w:rsidR="003C315A" w:rsidRPr="00B45C6F">
        <w:rPr>
          <w:lang w:val="en-GB"/>
        </w:rPr>
        <w:t>made by the corporation which may be located elsewhere than in the state in which a significant amount of its users reside.</w:t>
      </w:r>
      <w:r w:rsidR="002A2B00" w:rsidRPr="00B45C6F">
        <w:rPr>
          <w:lang w:val="en-GB"/>
        </w:rPr>
        <w:t xml:space="preserve"> </w:t>
      </w:r>
      <w:r w:rsidR="001206A8" w:rsidRPr="00B45C6F">
        <w:rPr>
          <w:lang w:val="en-GB"/>
        </w:rPr>
        <w:t>The</w:t>
      </w:r>
      <w:r w:rsidR="002A2B00" w:rsidRPr="00B45C6F">
        <w:rPr>
          <w:lang w:val="en-GB"/>
        </w:rPr>
        <w:t xml:space="preserve"> prevailing view of the</w:t>
      </w:r>
      <w:r w:rsidR="001206A8" w:rsidRPr="00B45C6F">
        <w:rPr>
          <w:lang w:val="en-GB"/>
        </w:rPr>
        <w:t xml:space="preserve"> Commission </w:t>
      </w:r>
      <w:r w:rsidR="002A2B00" w:rsidRPr="00B45C6F">
        <w:rPr>
          <w:lang w:val="en-GB"/>
        </w:rPr>
        <w:t xml:space="preserve">seems to be, however, </w:t>
      </w:r>
      <w:r w:rsidR="001206A8" w:rsidRPr="00B45C6F">
        <w:rPr>
          <w:lang w:val="en-GB"/>
        </w:rPr>
        <w:t>to deem revenue</w:t>
      </w:r>
      <w:r w:rsidR="002A2B00" w:rsidRPr="00B45C6F">
        <w:rPr>
          <w:lang w:val="en-GB"/>
        </w:rPr>
        <w:t>s solely generated in the state of the users.</w:t>
      </w:r>
      <w:r w:rsidR="00692892" w:rsidRPr="00B45C6F">
        <w:rPr>
          <w:lang w:val="en-GB"/>
        </w:rPr>
        <w:t xml:space="preserve"> In a long run, a one-sided view as such could harm commercial relationships</w:t>
      </w:r>
      <w:r w:rsidR="001206A8" w:rsidRPr="00B45C6F">
        <w:rPr>
          <w:lang w:val="en-GB"/>
        </w:rPr>
        <w:t xml:space="preserve"> </w:t>
      </w:r>
      <w:r w:rsidR="00692892" w:rsidRPr="00B45C6F">
        <w:rPr>
          <w:lang w:val="en-GB"/>
        </w:rPr>
        <w:t xml:space="preserve">between the EU and its partners, particularly when resulted in the </w:t>
      </w:r>
      <w:r w:rsidR="008A6C55" w:rsidRPr="00B45C6F">
        <w:rPr>
          <w:lang w:val="en-GB"/>
        </w:rPr>
        <w:t>former</w:t>
      </w:r>
      <w:r w:rsidR="00692892" w:rsidRPr="00B45C6F">
        <w:rPr>
          <w:lang w:val="en-GB"/>
        </w:rPr>
        <w:t xml:space="preserve"> acquiring new right to tax profits of foreign corporation</w:t>
      </w:r>
      <w:r w:rsidR="008A6C55" w:rsidRPr="00B45C6F">
        <w:rPr>
          <w:lang w:val="en-GB"/>
        </w:rPr>
        <w:t>s</w:t>
      </w:r>
      <w:r w:rsidR="00692892" w:rsidRPr="00B45C6F">
        <w:rPr>
          <w:lang w:val="en-GB"/>
        </w:rPr>
        <w:t xml:space="preserve">. </w:t>
      </w:r>
      <w:r w:rsidR="005B433B" w:rsidRPr="00B45C6F">
        <w:rPr>
          <w:lang w:val="en-GB"/>
        </w:rPr>
        <w:t>The EESC notes:</w:t>
      </w:r>
      <w:r w:rsidR="005B433B" w:rsidRPr="00B45C6F">
        <w:rPr>
          <w:rStyle w:val="FootnoteReference"/>
          <w:lang w:val="en-GB"/>
        </w:rPr>
        <w:footnoteReference w:id="28"/>
      </w:r>
    </w:p>
    <w:p w:rsidR="005B433B" w:rsidRPr="00B45C6F" w:rsidRDefault="005B433B" w:rsidP="005B433B">
      <w:pPr>
        <w:spacing w:after="120"/>
        <w:ind w:left="567"/>
        <w:rPr>
          <w:sz w:val="22"/>
          <w:szCs w:val="22"/>
          <w:lang w:val="en-GB"/>
        </w:rPr>
      </w:pPr>
      <w:r w:rsidRPr="00B45C6F">
        <w:rPr>
          <w:sz w:val="22"/>
          <w:szCs w:val="22"/>
          <w:lang w:val="en-GB"/>
        </w:rPr>
        <w:lastRenderedPageBreak/>
        <w:t>It is very important to develop new principles on how to attribute corporate profits to an EU country and tax them, in dialogue with trading partners, in order to avoid any escalation of trade and tax tensions between major economic players in the world. The EESC underlines the need for fair and consensus-based solutions.</w:t>
      </w:r>
    </w:p>
    <w:p w:rsidR="004079F7" w:rsidRPr="00B45C6F" w:rsidRDefault="008A6C55" w:rsidP="008A6C55">
      <w:pPr>
        <w:spacing w:after="120"/>
        <w:ind w:firstLine="567"/>
        <w:rPr>
          <w:lang w:val="en-GB"/>
        </w:rPr>
      </w:pPr>
      <w:r w:rsidRPr="00B45C6F">
        <w:rPr>
          <w:lang w:val="en-GB"/>
        </w:rPr>
        <w:t xml:space="preserve">Fortunately, the EU Parliament has improved </w:t>
      </w:r>
      <w:r w:rsidR="00D431DA">
        <w:rPr>
          <w:lang w:val="en-GB"/>
        </w:rPr>
        <w:t xml:space="preserve">the </w:t>
      </w:r>
      <w:r w:rsidRPr="00B45C6F">
        <w:rPr>
          <w:lang w:val="en-GB"/>
        </w:rPr>
        <w:t>texts of the proposal. In its proposed draft, the Parliament argues, inter alia, that ‘</w:t>
      </w:r>
      <w:r w:rsidRPr="00B45C6F">
        <w:rPr>
          <w:bCs/>
          <w:iCs/>
          <w:lang w:val="en-GB"/>
        </w:rPr>
        <w:t>Digitalisation has changed the role of users, allowing them to become increasingly involve</w:t>
      </w:r>
      <w:r w:rsidR="00B53F83" w:rsidRPr="00B45C6F">
        <w:rPr>
          <w:bCs/>
          <w:iCs/>
          <w:lang w:val="en-GB"/>
        </w:rPr>
        <w:t>d in the value creation process</w:t>
      </w:r>
      <w:r w:rsidRPr="00B45C6F">
        <w:rPr>
          <w:bCs/>
          <w:iCs/>
          <w:lang w:val="en-GB"/>
        </w:rPr>
        <w:t>’</w:t>
      </w:r>
      <w:bookmarkStart w:id="8" w:name="_Ref534030055"/>
      <w:r w:rsidR="00B53F83" w:rsidRPr="00B45C6F">
        <w:rPr>
          <w:bCs/>
          <w:iCs/>
          <w:lang w:val="en-GB"/>
        </w:rPr>
        <w:t>,</w:t>
      </w:r>
      <w:bookmarkEnd w:id="8"/>
      <w:r w:rsidR="00B53F83" w:rsidRPr="00B45C6F">
        <w:rPr>
          <w:bCs/>
          <w:iCs/>
          <w:lang w:val="en-GB"/>
        </w:rPr>
        <w:t xml:space="preserve"> with a purview of closing the gap between taxation of revenues generated from digital and non-digital platforms.</w:t>
      </w:r>
      <w:r w:rsidR="00B53F83" w:rsidRPr="00B45C6F">
        <w:rPr>
          <w:rStyle w:val="FootnoteReference"/>
          <w:bCs/>
          <w:iCs/>
          <w:lang w:val="en-GB"/>
        </w:rPr>
        <w:t xml:space="preserve"> </w:t>
      </w:r>
      <w:bookmarkStart w:id="9" w:name="_Ref407965765"/>
      <w:r w:rsidR="00B53F83" w:rsidRPr="00B45C6F">
        <w:rPr>
          <w:rStyle w:val="FootnoteReference"/>
          <w:bCs/>
          <w:iCs/>
          <w:lang w:val="en-GB"/>
        </w:rPr>
        <w:footnoteReference w:id="29"/>
      </w:r>
      <w:bookmarkEnd w:id="9"/>
      <w:r w:rsidRPr="00B45C6F">
        <w:rPr>
          <w:b/>
          <w:bCs/>
          <w:i/>
          <w:iCs/>
          <w:lang w:val="en-GB"/>
        </w:rPr>
        <w:t xml:space="preserve"> </w:t>
      </w:r>
      <w:r w:rsidRPr="00B45C6F">
        <w:rPr>
          <w:bCs/>
          <w:iCs/>
          <w:lang w:val="en-GB"/>
        </w:rPr>
        <w:t>The Parliament also reduce</w:t>
      </w:r>
      <w:r w:rsidR="00B53F83" w:rsidRPr="00B45C6F">
        <w:rPr>
          <w:bCs/>
          <w:iCs/>
          <w:lang w:val="en-GB"/>
        </w:rPr>
        <w:t>s</w:t>
      </w:r>
      <w:r w:rsidRPr="00B45C6F">
        <w:rPr>
          <w:bCs/>
          <w:iCs/>
          <w:lang w:val="en-GB"/>
        </w:rPr>
        <w:t xml:space="preserve"> the EU revenues threshold to EUR 40,000,000.</w:t>
      </w:r>
      <w:r w:rsidRPr="00B45C6F">
        <w:rPr>
          <w:rStyle w:val="FootnoteReference"/>
          <w:bCs/>
          <w:iCs/>
          <w:lang w:val="en-GB"/>
        </w:rPr>
        <w:footnoteReference w:id="30"/>
      </w:r>
      <w:r w:rsidRPr="00B45C6F">
        <w:rPr>
          <w:bCs/>
          <w:iCs/>
          <w:lang w:val="en-GB"/>
        </w:rPr>
        <w:t xml:space="preserve"> </w:t>
      </w:r>
      <w:r w:rsidR="00B53F83" w:rsidRPr="00B45C6F">
        <w:rPr>
          <w:lang w:val="en-GB"/>
        </w:rPr>
        <w:t>W</w:t>
      </w:r>
      <w:r w:rsidR="002A772E" w:rsidRPr="00B45C6F">
        <w:rPr>
          <w:lang w:val="en-GB"/>
        </w:rPr>
        <w:t xml:space="preserve">ithin the </w:t>
      </w:r>
      <w:r w:rsidR="00B53F83" w:rsidRPr="00B45C6F">
        <w:rPr>
          <w:lang w:val="en-GB"/>
        </w:rPr>
        <w:t>next stages of the legislative process</w:t>
      </w:r>
      <w:r w:rsidR="002A772E" w:rsidRPr="00B45C6F">
        <w:rPr>
          <w:lang w:val="en-GB"/>
        </w:rPr>
        <w:t xml:space="preserve">, the Commission and the Council should </w:t>
      </w:r>
      <w:r w:rsidR="00B53F83" w:rsidRPr="00B45C6F">
        <w:rPr>
          <w:lang w:val="en-GB"/>
        </w:rPr>
        <w:t xml:space="preserve">also </w:t>
      </w:r>
      <w:r w:rsidR="00B0157D" w:rsidRPr="00B45C6F">
        <w:rPr>
          <w:lang w:val="en-GB"/>
        </w:rPr>
        <w:t>align their work</w:t>
      </w:r>
      <w:r w:rsidR="00B53F83" w:rsidRPr="00B45C6F">
        <w:rPr>
          <w:lang w:val="en-GB"/>
        </w:rPr>
        <w:t xml:space="preserve"> with</w:t>
      </w:r>
      <w:r w:rsidR="00B0157D" w:rsidRPr="00B45C6F">
        <w:rPr>
          <w:lang w:val="en-GB"/>
        </w:rPr>
        <w:t xml:space="preserve"> the</w:t>
      </w:r>
      <w:r w:rsidR="00B53F83" w:rsidRPr="00B45C6F">
        <w:rPr>
          <w:lang w:val="en-GB"/>
        </w:rPr>
        <w:t xml:space="preserve"> existing multil</w:t>
      </w:r>
      <w:r w:rsidR="00B0157D" w:rsidRPr="00B45C6F">
        <w:rPr>
          <w:lang w:val="en-GB"/>
        </w:rPr>
        <w:t>ateral efforts in addressing</w:t>
      </w:r>
      <w:r w:rsidR="00B53F83" w:rsidRPr="00B45C6F">
        <w:rPr>
          <w:lang w:val="en-GB"/>
        </w:rPr>
        <w:t xml:space="preserve"> tax issues within the digital economy. </w:t>
      </w:r>
      <w:r w:rsidR="004079F7" w:rsidRPr="00B45C6F">
        <w:rPr>
          <w:lang w:val="en-GB"/>
        </w:rPr>
        <w:t>The EESC submits:</w:t>
      </w:r>
      <w:r w:rsidR="004079F7" w:rsidRPr="00B45C6F">
        <w:rPr>
          <w:rStyle w:val="FootnoteReference"/>
          <w:lang w:val="en-GB"/>
        </w:rPr>
        <w:footnoteReference w:id="31"/>
      </w:r>
    </w:p>
    <w:p w:rsidR="004079F7" w:rsidRPr="00B45C6F" w:rsidRDefault="004079F7" w:rsidP="004079F7">
      <w:pPr>
        <w:spacing w:after="120"/>
        <w:ind w:left="567"/>
        <w:rPr>
          <w:sz w:val="22"/>
          <w:szCs w:val="22"/>
          <w:lang w:val="en-GB"/>
        </w:rPr>
      </w:pPr>
      <w:r w:rsidRPr="00B45C6F">
        <w:rPr>
          <w:sz w:val="22"/>
          <w:szCs w:val="22"/>
          <w:lang w:val="en-GB"/>
        </w:rPr>
        <w:t>When assessing the effective level of taxation of the digital sector, the EESC underlines the need to take into account the changes in the tax codes going forward due to the ongoing implementation of BEPS rules, and, in particular, to consider the substantially increased level of taxation in the US of US digital firms operating in the EU, due to changes in the US Tax Code</w:t>
      </w:r>
      <w:r w:rsidR="00B0157D" w:rsidRPr="00B45C6F">
        <w:rPr>
          <w:sz w:val="22"/>
          <w:szCs w:val="22"/>
          <w:lang w:val="en-GB"/>
        </w:rPr>
        <w:t>.</w:t>
      </w:r>
    </w:p>
    <w:p w:rsidR="004079F7" w:rsidRPr="00B45C6F" w:rsidRDefault="00BC33F3" w:rsidP="004079F7">
      <w:pPr>
        <w:spacing w:after="120"/>
        <w:ind w:firstLine="567"/>
        <w:rPr>
          <w:lang w:val="en-GB"/>
        </w:rPr>
      </w:pPr>
      <w:r w:rsidRPr="00B45C6F">
        <w:rPr>
          <w:lang w:val="en-GB"/>
        </w:rPr>
        <w:t>The efforts to proportionate the DST proposal thus do not need to deviate from the current international frameworks, although ingenious solutions—and not just mere conflations of existing concepts—are necessary.</w:t>
      </w:r>
      <w:r w:rsidR="00B0157D" w:rsidRPr="00B45C6F">
        <w:rPr>
          <w:lang w:val="en-GB"/>
        </w:rPr>
        <w:t xml:space="preserve"> Amongst the feasible solutions are to harness the current concepts of permanent establishment and royalties, as to include activities conducted in the digital economy.</w:t>
      </w:r>
    </w:p>
    <w:p w:rsidR="00A25AB9" w:rsidRPr="001F6A82" w:rsidRDefault="004079F7" w:rsidP="001F6A82">
      <w:pPr>
        <w:pStyle w:val="ListParagraph"/>
        <w:numPr>
          <w:ilvl w:val="0"/>
          <w:numId w:val="10"/>
        </w:numPr>
        <w:spacing w:before="120" w:after="120"/>
        <w:ind w:left="851" w:hanging="284"/>
        <w:contextualSpacing w:val="0"/>
        <w:rPr>
          <w:u w:val="single"/>
        </w:rPr>
      </w:pPr>
      <w:r w:rsidRPr="001F6A82">
        <w:rPr>
          <w:u w:val="single"/>
        </w:rPr>
        <w:t>Harnessing the concept of permanent establishment</w:t>
      </w:r>
    </w:p>
    <w:p w:rsidR="00CD15C4" w:rsidRPr="00B45C6F" w:rsidRDefault="007B0197" w:rsidP="003139EA">
      <w:pPr>
        <w:spacing w:after="120"/>
        <w:ind w:firstLine="567"/>
        <w:rPr>
          <w:lang w:val="en-GB"/>
        </w:rPr>
      </w:pPr>
      <w:r w:rsidRPr="00B45C6F">
        <w:rPr>
          <w:lang w:val="en-GB"/>
        </w:rPr>
        <w:t>As previously mentioned, the idea of a DST was based on the difficulties faced by the states in which users of digital platforms reside to tax on the profits deemed to be generated by digital corporations out of their users.</w:t>
      </w:r>
      <w:r w:rsidR="0085281B" w:rsidRPr="00B45C6F">
        <w:rPr>
          <w:lang w:val="en-GB"/>
        </w:rPr>
        <w:t xml:space="preserve"> Actually, this has been the main scrutiny within the proposed Council Directive on rules relating to the corporate taxation of a significant digital presence, </w:t>
      </w:r>
      <w:r w:rsidR="00EC5AAD" w:rsidRPr="00B45C6F">
        <w:rPr>
          <w:lang w:val="en-GB"/>
        </w:rPr>
        <w:t xml:space="preserve">which is </w:t>
      </w:r>
      <w:r w:rsidR="0085281B" w:rsidRPr="00B45C6F">
        <w:rPr>
          <w:lang w:val="en-GB"/>
        </w:rPr>
        <w:t>parallel to the proposal for DST Directive. While the latter measure is interim, the former directive is expected to be permanent. In that directive, the notion ‘significant digital presence’ is introduced as means to qualify digital platforms as permanent establishments, the existence of which will induce taxation of profits by the state in which the establishments are located.</w:t>
      </w:r>
    </w:p>
    <w:p w:rsidR="003139EA" w:rsidRPr="00B45C6F" w:rsidRDefault="00CD15C4" w:rsidP="00B00580">
      <w:pPr>
        <w:spacing w:after="120"/>
        <w:ind w:firstLine="567"/>
        <w:rPr>
          <w:lang w:val="en-GB"/>
        </w:rPr>
      </w:pPr>
      <w:r w:rsidRPr="00B45C6F">
        <w:rPr>
          <w:lang w:val="en-GB"/>
        </w:rPr>
        <w:t>In determining digital presence, the Commission has proposed for thresholds on total revenue, number of users, and number of business contracts concluded by a digital corporation within an EU Member State.</w:t>
      </w:r>
      <w:r w:rsidR="006271B6" w:rsidRPr="00B45C6F">
        <w:rPr>
          <w:lang w:val="en-GB"/>
        </w:rPr>
        <w:t xml:space="preserve"> While these measures are novel to </w:t>
      </w:r>
      <w:r w:rsidR="001C0AF8" w:rsidRPr="00B45C6F">
        <w:rPr>
          <w:lang w:val="en-GB"/>
        </w:rPr>
        <w:t>the</w:t>
      </w:r>
      <w:r w:rsidR="006271B6" w:rsidRPr="00B45C6F">
        <w:rPr>
          <w:lang w:val="en-GB"/>
        </w:rPr>
        <w:t xml:space="preserve"> traditional permanent establishments, they </w:t>
      </w:r>
      <w:r w:rsidR="006A0687" w:rsidRPr="00B45C6F">
        <w:rPr>
          <w:lang w:val="en-GB"/>
        </w:rPr>
        <w:t>are necessary in rendering the international tax rule</w:t>
      </w:r>
      <w:r w:rsidR="001C0AF8" w:rsidRPr="00B45C6F">
        <w:rPr>
          <w:lang w:val="en-GB"/>
        </w:rPr>
        <w:t>s adaptive to the rapid changes towards</w:t>
      </w:r>
      <w:r w:rsidR="006A0687" w:rsidRPr="00B45C6F">
        <w:rPr>
          <w:lang w:val="en-GB"/>
        </w:rPr>
        <w:t xml:space="preserve"> business platforms.</w:t>
      </w:r>
      <w:r w:rsidR="00B00580" w:rsidRPr="00B45C6F">
        <w:rPr>
          <w:lang w:val="en-GB"/>
        </w:rPr>
        <w:t xml:space="preserve"> Perhaps, the revenue threshold, as previously argued, is incompatible with the direct-tax nature of the DST. </w:t>
      </w:r>
      <w:r w:rsidR="007E0006" w:rsidRPr="00B45C6F">
        <w:rPr>
          <w:lang w:val="en-GB"/>
        </w:rPr>
        <w:t>Notwithstanding, t</w:t>
      </w:r>
      <w:r w:rsidR="00B00580" w:rsidRPr="00B45C6F">
        <w:rPr>
          <w:lang w:val="en-GB"/>
        </w:rPr>
        <w:t xml:space="preserve">he EESC </w:t>
      </w:r>
      <w:r w:rsidR="007E0006" w:rsidRPr="00B45C6F">
        <w:rPr>
          <w:lang w:val="en-GB"/>
        </w:rPr>
        <w:t>supports for the measure, although</w:t>
      </w:r>
      <w:r w:rsidR="00B00580" w:rsidRPr="00B45C6F">
        <w:rPr>
          <w:lang w:val="en-GB"/>
        </w:rPr>
        <w:t xml:space="preserve"> it proposes for increase in the threshold</w:t>
      </w:r>
      <w:r w:rsidR="007E0006" w:rsidRPr="00B45C6F">
        <w:rPr>
          <w:lang w:val="en-GB"/>
        </w:rPr>
        <w:t>.</w:t>
      </w:r>
      <w:r w:rsidR="00B00580" w:rsidRPr="00B45C6F">
        <w:rPr>
          <w:lang w:val="en-GB"/>
        </w:rPr>
        <w:t xml:space="preserve"> </w:t>
      </w:r>
      <w:r w:rsidR="007E0006" w:rsidRPr="00B45C6F">
        <w:rPr>
          <w:lang w:val="en-GB"/>
        </w:rPr>
        <w:t>T</w:t>
      </w:r>
      <w:r w:rsidR="0008506E" w:rsidRPr="00B45C6F">
        <w:rPr>
          <w:lang w:val="en-GB"/>
        </w:rPr>
        <w:t>he setting of</w:t>
      </w:r>
      <w:r w:rsidR="00B00580" w:rsidRPr="00B45C6F">
        <w:rPr>
          <w:lang w:val="en-GB"/>
        </w:rPr>
        <w:t xml:space="preserve"> </w:t>
      </w:r>
      <w:r w:rsidR="007E0006" w:rsidRPr="00B45C6F">
        <w:rPr>
          <w:lang w:val="en-GB"/>
        </w:rPr>
        <w:t xml:space="preserve">the </w:t>
      </w:r>
      <w:r w:rsidR="00B00580" w:rsidRPr="00B45C6F">
        <w:rPr>
          <w:lang w:val="en-GB"/>
        </w:rPr>
        <w:t xml:space="preserve">threshold </w:t>
      </w:r>
      <w:r w:rsidR="0008506E" w:rsidRPr="00B45C6F">
        <w:rPr>
          <w:lang w:val="en-GB"/>
        </w:rPr>
        <w:t xml:space="preserve">should ‘(…) </w:t>
      </w:r>
      <w:r w:rsidR="00B00580" w:rsidRPr="00B45C6F">
        <w:rPr>
          <w:lang w:val="en-GB"/>
        </w:rPr>
        <w:t>resulted in an outcome that does not risk hampering digitalisation but instead enhanced the f</w:t>
      </w:r>
      <w:r w:rsidR="0008506E" w:rsidRPr="00B45C6F">
        <w:rPr>
          <w:lang w:val="en-GB"/>
        </w:rPr>
        <w:t>unctioning of the single market.’</w:t>
      </w:r>
      <w:r w:rsidR="0008506E" w:rsidRPr="00B45C6F">
        <w:rPr>
          <w:rStyle w:val="FootnoteReference"/>
          <w:lang w:val="en-GB"/>
        </w:rPr>
        <w:footnoteReference w:id="32"/>
      </w:r>
    </w:p>
    <w:p w:rsidR="00EE0A40" w:rsidRPr="001F6A82" w:rsidRDefault="004079F7" w:rsidP="001F6A82">
      <w:pPr>
        <w:pStyle w:val="ListParagraph"/>
        <w:numPr>
          <w:ilvl w:val="0"/>
          <w:numId w:val="10"/>
        </w:numPr>
        <w:spacing w:before="120" w:after="120"/>
        <w:ind w:left="851" w:hanging="284"/>
        <w:contextualSpacing w:val="0"/>
        <w:rPr>
          <w:u w:val="single"/>
        </w:rPr>
      </w:pPr>
      <w:r w:rsidRPr="001F6A82">
        <w:rPr>
          <w:u w:val="single"/>
        </w:rPr>
        <w:t>Harnessing the concept of royalties</w:t>
      </w:r>
    </w:p>
    <w:p w:rsidR="00BE3A4F" w:rsidRPr="00B45C6F" w:rsidRDefault="00A83FBE" w:rsidP="000A592C">
      <w:pPr>
        <w:spacing w:after="120"/>
        <w:ind w:firstLine="567"/>
        <w:rPr>
          <w:lang w:val="en-GB"/>
        </w:rPr>
      </w:pPr>
      <w:proofErr w:type="gramStart"/>
      <w:r w:rsidRPr="00B45C6F">
        <w:rPr>
          <w:lang w:val="en-GB"/>
        </w:rPr>
        <w:t>While  taxation</w:t>
      </w:r>
      <w:proofErr w:type="gramEnd"/>
      <w:r w:rsidRPr="00B45C6F">
        <w:rPr>
          <w:lang w:val="en-GB"/>
        </w:rPr>
        <w:t xml:space="preserve"> of profits of digital corporations are likely to be resolved </w:t>
      </w:r>
      <w:r w:rsidR="006D3A24" w:rsidRPr="00B45C6F">
        <w:rPr>
          <w:lang w:val="en-GB"/>
        </w:rPr>
        <w:t>by</w:t>
      </w:r>
      <w:r w:rsidRPr="00B45C6F">
        <w:rPr>
          <w:lang w:val="en-GB"/>
        </w:rPr>
        <w:t xml:space="preserve"> the concept of permanent establishment, studies can also be devoted to tax such profits by way of harnessing the </w:t>
      </w:r>
      <w:r w:rsidR="00E21BCF" w:rsidRPr="00B45C6F">
        <w:rPr>
          <w:lang w:val="en-GB"/>
        </w:rPr>
        <w:t xml:space="preserve">international tax </w:t>
      </w:r>
      <w:r w:rsidRPr="00B45C6F">
        <w:rPr>
          <w:lang w:val="en-GB"/>
        </w:rPr>
        <w:t xml:space="preserve">concept of royalties. This </w:t>
      </w:r>
      <w:r w:rsidR="00E21BCF" w:rsidRPr="00B45C6F">
        <w:rPr>
          <w:lang w:val="en-GB"/>
        </w:rPr>
        <w:t xml:space="preserve">is </w:t>
      </w:r>
      <w:r w:rsidRPr="00B45C6F">
        <w:rPr>
          <w:lang w:val="en-GB"/>
        </w:rPr>
        <w:t xml:space="preserve">made possible by the argument </w:t>
      </w:r>
      <w:r w:rsidR="001A1019" w:rsidRPr="00B45C6F">
        <w:rPr>
          <w:lang w:val="en-GB"/>
        </w:rPr>
        <w:t>that users database constitute intangibles necessary in capitalising revenues within the digital economy.</w:t>
      </w:r>
      <w:r w:rsidR="00464DAC" w:rsidRPr="00B45C6F">
        <w:rPr>
          <w:lang w:val="en-GB"/>
        </w:rPr>
        <w:t xml:space="preserve"> </w:t>
      </w:r>
      <w:r w:rsidR="006D3A24" w:rsidRPr="00B45C6F">
        <w:rPr>
          <w:lang w:val="en-GB"/>
        </w:rPr>
        <w:t xml:space="preserve">The values of </w:t>
      </w:r>
      <w:proofErr w:type="gramStart"/>
      <w:r w:rsidR="006D3A24" w:rsidRPr="00B45C6F">
        <w:rPr>
          <w:lang w:val="en-GB"/>
        </w:rPr>
        <w:t>users</w:t>
      </w:r>
      <w:proofErr w:type="gramEnd"/>
      <w:r w:rsidR="006D3A24" w:rsidRPr="00B45C6F">
        <w:rPr>
          <w:lang w:val="en-GB"/>
        </w:rPr>
        <w:t xml:space="preserve"> database are </w:t>
      </w:r>
      <w:r w:rsidR="003B761F" w:rsidRPr="00B45C6F">
        <w:rPr>
          <w:lang w:val="en-GB"/>
        </w:rPr>
        <w:t>known as ‘installed customer base’, ‘customer relations’, or ‘goodwill’.</w:t>
      </w:r>
      <w:r w:rsidR="006D3A24" w:rsidRPr="00B45C6F">
        <w:rPr>
          <w:rStyle w:val="FootnoteReference"/>
          <w:lang w:val="en-GB"/>
        </w:rPr>
        <w:footnoteReference w:id="33"/>
      </w:r>
    </w:p>
    <w:p w:rsidR="003139EA" w:rsidRPr="00B45C6F" w:rsidRDefault="008A2763" w:rsidP="000A592C">
      <w:pPr>
        <w:spacing w:after="120"/>
        <w:ind w:firstLine="567"/>
        <w:rPr>
          <w:lang w:val="en-GB"/>
        </w:rPr>
      </w:pPr>
      <w:r w:rsidRPr="00B45C6F">
        <w:rPr>
          <w:lang w:val="en-GB"/>
        </w:rPr>
        <w:lastRenderedPageBreak/>
        <w:t xml:space="preserve">Practically, there are advantages in taxing the royalties derived from </w:t>
      </w:r>
      <w:proofErr w:type="gramStart"/>
      <w:r w:rsidRPr="00B45C6F">
        <w:rPr>
          <w:lang w:val="en-GB"/>
        </w:rPr>
        <w:t>users</w:t>
      </w:r>
      <w:proofErr w:type="gramEnd"/>
      <w:r w:rsidRPr="00B45C6F">
        <w:rPr>
          <w:lang w:val="en-GB"/>
        </w:rPr>
        <w:t xml:space="preserve"> database. First, the effort</w:t>
      </w:r>
      <w:r w:rsidR="007F0DA5" w:rsidRPr="00B45C6F">
        <w:rPr>
          <w:lang w:val="en-GB"/>
        </w:rPr>
        <w:t>s</w:t>
      </w:r>
      <w:r w:rsidRPr="00B45C6F">
        <w:rPr>
          <w:lang w:val="en-GB"/>
        </w:rPr>
        <w:t xml:space="preserve"> to link value creation with</w:t>
      </w:r>
      <w:r w:rsidR="007F0DA5" w:rsidRPr="00B45C6F">
        <w:rPr>
          <w:lang w:val="en-GB"/>
        </w:rPr>
        <w:t xml:space="preserve"> the</w:t>
      </w:r>
      <w:r w:rsidRPr="00B45C6F">
        <w:rPr>
          <w:lang w:val="en-GB"/>
        </w:rPr>
        <w:t xml:space="preserve"> location of users may finally </w:t>
      </w:r>
      <w:r w:rsidR="00F57BAC" w:rsidRPr="00B45C6F">
        <w:rPr>
          <w:lang w:val="en-GB"/>
        </w:rPr>
        <w:t>found success</w:t>
      </w:r>
      <w:r w:rsidRPr="00B45C6F">
        <w:rPr>
          <w:lang w:val="en-GB"/>
        </w:rPr>
        <w:t>: users database are intangibles</w:t>
      </w:r>
      <w:r w:rsidR="00E9589F" w:rsidRPr="00B45C6F">
        <w:rPr>
          <w:lang w:val="en-GB"/>
        </w:rPr>
        <w:t xml:space="preserve"> that are developed </w:t>
      </w:r>
      <w:r w:rsidR="00543333" w:rsidRPr="00B45C6F">
        <w:rPr>
          <w:lang w:val="en-GB"/>
        </w:rPr>
        <w:t>overtime, taking into account the costs of infrastructural investments incurred by digital corporations i</w:t>
      </w:r>
      <w:r w:rsidR="003E7679" w:rsidRPr="00B45C6F">
        <w:rPr>
          <w:lang w:val="en-GB"/>
        </w:rPr>
        <w:t>n maintaining the values of the</w:t>
      </w:r>
      <w:r w:rsidR="00543333" w:rsidRPr="00B45C6F">
        <w:rPr>
          <w:lang w:val="en-GB"/>
        </w:rPr>
        <w:t xml:space="preserve"> database.</w:t>
      </w:r>
      <w:r w:rsidRPr="00B45C6F">
        <w:rPr>
          <w:lang w:val="en-GB"/>
        </w:rPr>
        <w:t xml:space="preserve"> Second, </w:t>
      </w:r>
      <w:r w:rsidR="00121AAA" w:rsidRPr="00B45C6F">
        <w:rPr>
          <w:lang w:val="en-GB"/>
        </w:rPr>
        <w:t xml:space="preserve">taxing the royalties arising from </w:t>
      </w:r>
      <w:r w:rsidR="007F0DA5" w:rsidRPr="00B45C6F">
        <w:rPr>
          <w:lang w:val="en-GB"/>
        </w:rPr>
        <w:t xml:space="preserve">the </w:t>
      </w:r>
      <w:r w:rsidR="00121AAA" w:rsidRPr="00B45C6F">
        <w:rPr>
          <w:lang w:val="en-GB"/>
        </w:rPr>
        <w:t>deploy</w:t>
      </w:r>
      <w:r w:rsidR="007F0DA5" w:rsidRPr="00B45C6F">
        <w:rPr>
          <w:lang w:val="en-GB"/>
        </w:rPr>
        <w:t>ment of</w:t>
      </w:r>
      <w:r w:rsidR="00121AAA" w:rsidRPr="00B45C6F">
        <w:rPr>
          <w:lang w:val="en-GB"/>
        </w:rPr>
        <w:t xml:space="preserve"> </w:t>
      </w:r>
      <w:proofErr w:type="gramStart"/>
      <w:r w:rsidR="00121AAA" w:rsidRPr="00B45C6F">
        <w:rPr>
          <w:lang w:val="en-GB"/>
        </w:rPr>
        <w:t>users</w:t>
      </w:r>
      <w:proofErr w:type="gramEnd"/>
      <w:r w:rsidR="00121AAA" w:rsidRPr="00B45C6F">
        <w:rPr>
          <w:lang w:val="en-GB"/>
        </w:rPr>
        <w:t xml:space="preserve"> database would only call for expansion to the </w:t>
      </w:r>
      <w:r w:rsidR="003E7679" w:rsidRPr="00B45C6F">
        <w:rPr>
          <w:lang w:val="en-GB"/>
        </w:rPr>
        <w:t xml:space="preserve">current </w:t>
      </w:r>
      <w:r w:rsidR="00121AAA" w:rsidRPr="00B45C6F">
        <w:rPr>
          <w:lang w:val="en-GB"/>
        </w:rPr>
        <w:t xml:space="preserve">definition of royalties contained in the DTC. Doing so would avoid the </w:t>
      </w:r>
      <w:r w:rsidR="007D017C" w:rsidRPr="00B45C6F">
        <w:rPr>
          <w:lang w:val="en-GB"/>
        </w:rPr>
        <w:t>introduction of</w:t>
      </w:r>
      <w:r w:rsidR="000135E7" w:rsidRPr="00B45C6F">
        <w:rPr>
          <w:lang w:val="en-GB"/>
        </w:rPr>
        <w:t xml:space="preserve"> </w:t>
      </w:r>
      <w:r w:rsidR="00F81055" w:rsidRPr="00B45C6F">
        <w:rPr>
          <w:lang w:val="en-GB"/>
        </w:rPr>
        <w:t>measure</w:t>
      </w:r>
      <w:r w:rsidR="007D017C" w:rsidRPr="00B45C6F">
        <w:rPr>
          <w:lang w:val="en-GB"/>
        </w:rPr>
        <w:t>s</w:t>
      </w:r>
      <w:r w:rsidR="00F81055" w:rsidRPr="00B45C6F">
        <w:rPr>
          <w:lang w:val="en-GB"/>
        </w:rPr>
        <w:t xml:space="preserve"> alien to the current international tax regime</w:t>
      </w:r>
      <w:r w:rsidR="00121AAA" w:rsidRPr="00B45C6F">
        <w:rPr>
          <w:lang w:val="en-GB"/>
        </w:rPr>
        <w:t xml:space="preserve">, </w:t>
      </w:r>
      <w:r w:rsidR="00F81055" w:rsidRPr="00B45C6F">
        <w:rPr>
          <w:lang w:val="en-GB"/>
        </w:rPr>
        <w:t xml:space="preserve">thus </w:t>
      </w:r>
      <w:r w:rsidR="00121AAA" w:rsidRPr="00B45C6F">
        <w:rPr>
          <w:lang w:val="en-GB"/>
        </w:rPr>
        <w:t>require</w:t>
      </w:r>
      <w:r w:rsidR="00F81055" w:rsidRPr="00B45C6F">
        <w:rPr>
          <w:lang w:val="en-GB"/>
        </w:rPr>
        <w:t>s</w:t>
      </w:r>
      <w:r w:rsidR="00121AAA" w:rsidRPr="00B45C6F">
        <w:rPr>
          <w:lang w:val="en-GB"/>
        </w:rPr>
        <w:t xml:space="preserve"> </w:t>
      </w:r>
      <w:r w:rsidR="00CE77C7" w:rsidRPr="00B45C6F">
        <w:rPr>
          <w:lang w:val="en-GB"/>
        </w:rPr>
        <w:t xml:space="preserve">for </w:t>
      </w:r>
      <w:r w:rsidR="00F81055" w:rsidRPr="00B45C6F">
        <w:rPr>
          <w:lang w:val="en-GB"/>
        </w:rPr>
        <w:t xml:space="preserve">less </w:t>
      </w:r>
      <w:r w:rsidR="00121AAA" w:rsidRPr="00B45C6F">
        <w:rPr>
          <w:lang w:val="en-GB"/>
        </w:rPr>
        <w:t xml:space="preserve">political support. </w:t>
      </w:r>
      <w:r w:rsidR="0024558E" w:rsidRPr="00B45C6F">
        <w:rPr>
          <w:lang w:val="en-GB"/>
        </w:rPr>
        <w:t xml:space="preserve">Lastly, </w:t>
      </w:r>
      <w:r w:rsidRPr="00B45C6F">
        <w:rPr>
          <w:lang w:val="en-GB"/>
        </w:rPr>
        <w:t>w</w:t>
      </w:r>
      <w:r w:rsidR="00464DAC" w:rsidRPr="00B45C6F">
        <w:rPr>
          <w:lang w:val="en-GB"/>
        </w:rPr>
        <w:t>hile deploying the number of users as threshold for the creation of permanent establishment could lead to a state having taxing right in one year and not having one in another, t</w:t>
      </w:r>
      <w:r w:rsidR="00BE3A4F" w:rsidRPr="00B45C6F">
        <w:rPr>
          <w:lang w:val="en-GB"/>
        </w:rPr>
        <w:t xml:space="preserve">axing </w:t>
      </w:r>
      <w:r w:rsidR="008D0114" w:rsidRPr="00B45C6F">
        <w:rPr>
          <w:lang w:val="en-GB"/>
        </w:rPr>
        <w:t>the income arising from the use of users database</w:t>
      </w:r>
      <w:r w:rsidR="00BE3A4F" w:rsidRPr="00B45C6F">
        <w:rPr>
          <w:lang w:val="en-GB"/>
        </w:rPr>
        <w:t xml:space="preserve"> ensure</w:t>
      </w:r>
      <w:r w:rsidR="008D0114" w:rsidRPr="00B45C6F">
        <w:rPr>
          <w:lang w:val="en-GB"/>
        </w:rPr>
        <w:t>s</w:t>
      </w:r>
      <w:r w:rsidR="00BE3A4F" w:rsidRPr="00B45C6F">
        <w:rPr>
          <w:lang w:val="en-GB"/>
        </w:rPr>
        <w:t xml:space="preserve"> s</w:t>
      </w:r>
      <w:r w:rsidR="000F0082" w:rsidRPr="00B45C6F">
        <w:rPr>
          <w:lang w:val="en-GB"/>
        </w:rPr>
        <w:t>table taxing right for a state.</w:t>
      </w:r>
      <w:r w:rsidR="001308F8" w:rsidRPr="00B45C6F">
        <w:rPr>
          <w:lang w:val="en-GB"/>
        </w:rPr>
        <w:t xml:space="preserve"> The increase or decrease in the number of users would</w:t>
      </w:r>
      <w:r w:rsidR="00D94B69" w:rsidRPr="00B45C6F">
        <w:rPr>
          <w:lang w:val="en-GB"/>
        </w:rPr>
        <w:t xml:space="preserve"> only affect</w:t>
      </w:r>
      <w:r w:rsidR="001308F8" w:rsidRPr="00B45C6F">
        <w:rPr>
          <w:lang w:val="en-GB"/>
        </w:rPr>
        <w:t xml:space="preserve"> the amount of taxes to be collected,</w:t>
      </w:r>
      <w:r w:rsidR="00F81055" w:rsidRPr="00B45C6F">
        <w:rPr>
          <w:lang w:val="en-GB"/>
        </w:rPr>
        <w:t xml:space="preserve"> and not the taxing right</w:t>
      </w:r>
      <w:r w:rsidR="001308F8" w:rsidRPr="00B45C6F">
        <w:rPr>
          <w:lang w:val="en-GB"/>
        </w:rPr>
        <w:t>.</w:t>
      </w:r>
    </w:p>
    <w:p w:rsidR="00A25AB9" w:rsidRPr="00B45C6F" w:rsidRDefault="00A25AB9" w:rsidP="003139EA">
      <w:pPr>
        <w:pStyle w:val="Heading1"/>
        <w:numPr>
          <w:ilvl w:val="0"/>
          <w:numId w:val="7"/>
        </w:numPr>
        <w:spacing w:before="120" w:after="120"/>
        <w:ind w:left="284" w:hanging="284"/>
        <w:rPr>
          <w:b/>
          <w:lang w:val="en-GB"/>
        </w:rPr>
      </w:pPr>
      <w:r w:rsidRPr="00B45C6F">
        <w:rPr>
          <w:rFonts w:ascii="Times New Roman" w:hAnsi="Times New Roman" w:cs="Times New Roman"/>
          <w:b/>
          <w:color w:val="auto"/>
          <w:sz w:val="24"/>
          <w:szCs w:val="24"/>
          <w:lang w:val="en-GB"/>
        </w:rPr>
        <w:t>Conclusion</w:t>
      </w:r>
    </w:p>
    <w:p w:rsidR="0046416E" w:rsidRPr="00B45C6F" w:rsidRDefault="00DE33CE" w:rsidP="000A592C">
      <w:pPr>
        <w:spacing w:after="120"/>
        <w:ind w:firstLine="567"/>
        <w:rPr>
          <w:lang w:val="en-GB"/>
        </w:rPr>
      </w:pPr>
      <w:r w:rsidRPr="00B45C6F">
        <w:rPr>
          <w:lang w:val="en-GB"/>
        </w:rPr>
        <w:t xml:space="preserve">Based on the above elaboration, and as the answer to the </w:t>
      </w:r>
      <w:proofErr w:type="spellStart"/>
      <w:r w:rsidR="00241435" w:rsidRPr="00B45C6F">
        <w:rPr>
          <w:lang w:val="en-GB"/>
        </w:rPr>
        <w:t>fist</w:t>
      </w:r>
      <w:proofErr w:type="spellEnd"/>
      <w:r w:rsidR="00241435" w:rsidRPr="00B45C6F">
        <w:rPr>
          <w:lang w:val="en-GB"/>
        </w:rPr>
        <w:t xml:space="preserve"> </w:t>
      </w:r>
      <w:r w:rsidRPr="00B45C6F">
        <w:rPr>
          <w:lang w:val="en-GB"/>
        </w:rPr>
        <w:t xml:space="preserve">question of this paper, it can </w:t>
      </w:r>
      <w:r w:rsidR="00241435" w:rsidRPr="00B45C6F">
        <w:rPr>
          <w:lang w:val="en-GB"/>
        </w:rPr>
        <w:t>be concluded that</w:t>
      </w:r>
      <w:r w:rsidRPr="00B45C6F">
        <w:rPr>
          <w:lang w:val="en-GB"/>
        </w:rPr>
        <w:t xml:space="preserve"> the current EU DST proposal by the Commission is not feasible to be adopted. Conceptual flaws have led to the measures being disproportionate with the need to establish a fair tax system. For one reason, the proposed measures have </w:t>
      </w:r>
      <w:r w:rsidR="008A3627" w:rsidRPr="00B45C6F">
        <w:rPr>
          <w:lang w:val="en-GB"/>
        </w:rPr>
        <w:t>rather blatantly adopted</w:t>
      </w:r>
      <w:r w:rsidR="00B33B8E" w:rsidRPr="00B45C6F">
        <w:rPr>
          <w:lang w:val="en-GB"/>
        </w:rPr>
        <w:t xml:space="preserve"> </w:t>
      </w:r>
      <w:r w:rsidRPr="00B45C6F">
        <w:rPr>
          <w:lang w:val="en-GB"/>
        </w:rPr>
        <w:t>features of indirect taxes into, taking into account the aim of the Commission to tax profits of digital corporations operating in the EU, a direct tax.</w:t>
      </w:r>
      <w:r w:rsidR="0093795D" w:rsidRPr="00B45C6F">
        <w:rPr>
          <w:lang w:val="en-GB"/>
        </w:rPr>
        <w:t xml:space="preserve"> The ambiguous genre of the tax is resulted from the introduction of </w:t>
      </w:r>
      <w:r w:rsidR="005D0CD0" w:rsidRPr="00B45C6F">
        <w:rPr>
          <w:lang w:val="en-GB"/>
        </w:rPr>
        <w:t>a concept</w:t>
      </w:r>
      <w:r w:rsidR="0093795D" w:rsidRPr="00B45C6F">
        <w:rPr>
          <w:lang w:val="en-GB"/>
        </w:rPr>
        <w:t xml:space="preserve"> by which taxes must be paid in the state or states in which </w:t>
      </w:r>
      <w:r w:rsidR="005D0CD0" w:rsidRPr="00B45C6F">
        <w:rPr>
          <w:lang w:val="en-GB"/>
        </w:rPr>
        <w:t>values (i.e. a significant portion of the profits) are</w:t>
      </w:r>
      <w:r w:rsidR="00A21531" w:rsidRPr="00B45C6F">
        <w:rPr>
          <w:lang w:val="en-GB"/>
        </w:rPr>
        <w:t xml:space="preserve"> deemed to have been</w:t>
      </w:r>
      <w:r w:rsidR="005D0CD0" w:rsidRPr="00B45C6F">
        <w:rPr>
          <w:lang w:val="en-GB"/>
        </w:rPr>
        <w:t xml:space="preserve"> generated</w:t>
      </w:r>
      <w:r w:rsidR="00B33B8E" w:rsidRPr="00B45C6F">
        <w:rPr>
          <w:lang w:val="en-GB"/>
        </w:rPr>
        <w:t>, or the so-called ‘value creation’ concept</w:t>
      </w:r>
      <w:r w:rsidR="005D0CD0" w:rsidRPr="00B45C6F">
        <w:rPr>
          <w:lang w:val="en-GB"/>
        </w:rPr>
        <w:t>.</w:t>
      </w:r>
      <w:r w:rsidR="00B33B8E" w:rsidRPr="00B45C6F">
        <w:rPr>
          <w:lang w:val="en-GB"/>
        </w:rPr>
        <w:t xml:space="preserve"> Unfortunately, the Commission and the EESC have differences in comprehending the concept. </w:t>
      </w:r>
    </w:p>
    <w:p w:rsidR="00A21531" w:rsidRPr="00B45C6F" w:rsidRDefault="00B33B8E" w:rsidP="000A592C">
      <w:pPr>
        <w:spacing w:after="120"/>
        <w:ind w:firstLine="567"/>
        <w:rPr>
          <w:lang w:val="en-GB"/>
        </w:rPr>
      </w:pPr>
      <w:r w:rsidRPr="00B45C6F">
        <w:rPr>
          <w:lang w:val="en-GB"/>
        </w:rPr>
        <w:t xml:space="preserve">For another reason, </w:t>
      </w:r>
      <w:r w:rsidR="00066486" w:rsidRPr="00B45C6F">
        <w:rPr>
          <w:lang w:val="en-GB"/>
        </w:rPr>
        <w:t xml:space="preserve">as a result of the above conflation, </w:t>
      </w:r>
      <w:r w:rsidRPr="00B45C6F">
        <w:rPr>
          <w:lang w:val="en-GB"/>
        </w:rPr>
        <w:t xml:space="preserve">the proposed measures are at least covertly </w:t>
      </w:r>
      <w:r w:rsidR="008A3627" w:rsidRPr="00B45C6F">
        <w:rPr>
          <w:lang w:val="en-GB"/>
        </w:rPr>
        <w:t>discriminatory</w:t>
      </w:r>
      <w:r w:rsidRPr="00B45C6F">
        <w:rPr>
          <w:lang w:val="en-GB"/>
        </w:rPr>
        <w:t xml:space="preserve"> </w:t>
      </w:r>
      <w:r w:rsidR="008A3627" w:rsidRPr="00B45C6F">
        <w:rPr>
          <w:lang w:val="en-GB"/>
        </w:rPr>
        <w:t xml:space="preserve">against major digital corporations established </w:t>
      </w:r>
      <w:r w:rsidR="00E60305" w:rsidRPr="00B45C6F">
        <w:rPr>
          <w:lang w:val="en-GB"/>
        </w:rPr>
        <w:t>outside the EU</w:t>
      </w:r>
      <w:r w:rsidR="008A3627" w:rsidRPr="00B45C6F">
        <w:rPr>
          <w:lang w:val="en-GB"/>
        </w:rPr>
        <w:t xml:space="preserve"> and have the</w:t>
      </w:r>
      <w:r w:rsidR="00E60305" w:rsidRPr="00B45C6F">
        <w:rPr>
          <w:lang w:val="en-GB"/>
        </w:rPr>
        <w:t>ir</w:t>
      </w:r>
      <w:r w:rsidR="008A3627" w:rsidRPr="00B45C6F">
        <w:rPr>
          <w:lang w:val="en-GB"/>
        </w:rPr>
        <w:t xml:space="preserve"> customer bases within the EU. In doing so, the Commission has introduced revenue thresholds within which business entities are not subject to DST. Simultaneously, these thresholds</w:t>
      </w:r>
      <w:r w:rsidR="00E60305" w:rsidRPr="00B45C6F">
        <w:rPr>
          <w:lang w:val="en-GB"/>
        </w:rPr>
        <w:t xml:space="preserve"> might also be seen as the Commission’s efforts to</w:t>
      </w:r>
      <w:r w:rsidR="008A3627" w:rsidRPr="00B45C6F">
        <w:rPr>
          <w:lang w:val="en-GB"/>
        </w:rPr>
        <w:t xml:space="preserve"> ring-fenc</w:t>
      </w:r>
      <w:r w:rsidR="00E60305" w:rsidRPr="00B45C6F">
        <w:rPr>
          <w:lang w:val="en-GB"/>
        </w:rPr>
        <w:t xml:space="preserve">e the smaller </w:t>
      </w:r>
      <w:r w:rsidR="008A3627" w:rsidRPr="00B45C6F">
        <w:rPr>
          <w:lang w:val="en-GB"/>
        </w:rPr>
        <w:t>enterprises established and operating within the EU.</w:t>
      </w:r>
      <w:r w:rsidR="005F2461" w:rsidRPr="00B45C6F">
        <w:rPr>
          <w:lang w:val="en-GB"/>
        </w:rPr>
        <w:t xml:space="preserve"> The discrimination</w:t>
      </w:r>
      <w:r w:rsidR="004A6E6B" w:rsidRPr="00B45C6F">
        <w:rPr>
          <w:lang w:val="en-GB"/>
        </w:rPr>
        <w:t xml:space="preserve"> may be </w:t>
      </w:r>
      <w:r w:rsidR="007A44F2" w:rsidRPr="00B45C6F">
        <w:rPr>
          <w:lang w:val="en-GB"/>
        </w:rPr>
        <w:t>unseen by those who</w:t>
      </w:r>
      <w:r w:rsidR="004A6E6B" w:rsidRPr="00B45C6F">
        <w:rPr>
          <w:lang w:val="en-GB"/>
        </w:rPr>
        <w:t xml:space="preserve"> </w:t>
      </w:r>
      <w:r w:rsidR="007A44F2" w:rsidRPr="00B45C6F">
        <w:rPr>
          <w:lang w:val="en-GB"/>
        </w:rPr>
        <w:t>view</w:t>
      </w:r>
      <w:r w:rsidR="004A6E6B" w:rsidRPr="00B45C6F">
        <w:rPr>
          <w:lang w:val="en-GB"/>
        </w:rPr>
        <w:t xml:space="preserve"> the DST as a solid indirect tax, </w:t>
      </w:r>
      <w:r w:rsidR="007A44F2" w:rsidRPr="00B45C6F">
        <w:rPr>
          <w:lang w:val="en-GB"/>
        </w:rPr>
        <w:t>which the DST is not</w:t>
      </w:r>
      <w:r w:rsidR="004A6E6B" w:rsidRPr="00B45C6F">
        <w:rPr>
          <w:lang w:val="en-GB"/>
        </w:rPr>
        <w:t>. Revenue thresholds are typical</w:t>
      </w:r>
      <w:r w:rsidR="005D6CC9" w:rsidRPr="00B45C6F">
        <w:rPr>
          <w:lang w:val="en-GB"/>
        </w:rPr>
        <w:t xml:space="preserve"> to </w:t>
      </w:r>
      <w:r w:rsidR="007A44F2" w:rsidRPr="00B45C6F">
        <w:rPr>
          <w:lang w:val="en-GB"/>
        </w:rPr>
        <w:t>indirect taxes</w:t>
      </w:r>
      <w:r w:rsidR="005D6CC9" w:rsidRPr="00B45C6F">
        <w:rPr>
          <w:lang w:val="en-GB"/>
        </w:rPr>
        <w:t xml:space="preserve">, particularly in order to mitigate the complication </w:t>
      </w:r>
      <w:r w:rsidR="009978AA" w:rsidRPr="00B45C6F">
        <w:rPr>
          <w:lang w:val="en-GB"/>
        </w:rPr>
        <w:t>resulted from</w:t>
      </w:r>
      <w:r w:rsidR="005D6CC9" w:rsidRPr="00B45C6F">
        <w:rPr>
          <w:lang w:val="en-GB"/>
        </w:rPr>
        <w:t xml:space="preserve"> the</w:t>
      </w:r>
      <w:r w:rsidR="007A44F2" w:rsidRPr="00B45C6F">
        <w:rPr>
          <w:lang w:val="en-GB"/>
        </w:rPr>
        <w:t>ir</w:t>
      </w:r>
      <w:r w:rsidR="005D6CC9" w:rsidRPr="00B45C6F">
        <w:rPr>
          <w:lang w:val="en-GB"/>
        </w:rPr>
        <w:t xml:space="preserve"> cascade effect</w:t>
      </w:r>
      <w:r w:rsidR="007A44F2" w:rsidRPr="00B45C6F">
        <w:rPr>
          <w:lang w:val="en-GB"/>
        </w:rPr>
        <w:t>s</w:t>
      </w:r>
      <w:r w:rsidR="005D6CC9" w:rsidRPr="00B45C6F">
        <w:rPr>
          <w:lang w:val="en-GB"/>
        </w:rPr>
        <w:t>.</w:t>
      </w:r>
      <w:r w:rsidR="009978AA" w:rsidRPr="00B45C6F">
        <w:rPr>
          <w:lang w:val="en-GB"/>
        </w:rPr>
        <w:t xml:space="preserve"> This complication is, ho</w:t>
      </w:r>
      <w:r w:rsidR="007A44F2" w:rsidRPr="00B45C6F">
        <w:rPr>
          <w:lang w:val="en-GB"/>
        </w:rPr>
        <w:t>wever, atypical to direct taxes.</w:t>
      </w:r>
      <w:r w:rsidR="009978AA" w:rsidRPr="00B45C6F">
        <w:rPr>
          <w:lang w:val="en-GB"/>
        </w:rPr>
        <w:t xml:space="preserve"> </w:t>
      </w:r>
      <w:r w:rsidR="007A44F2" w:rsidRPr="00B45C6F">
        <w:rPr>
          <w:lang w:val="en-GB"/>
        </w:rPr>
        <w:t>R</w:t>
      </w:r>
      <w:r w:rsidR="009978AA" w:rsidRPr="00B45C6F">
        <w:rPr>
          <w:lang w:val="en-GB"/>
        </w:rPr>
        <w:t xml:space="preserve">evenue thresholds introduced in </w:t>
      </w:r>
      <w:r w:rsidR="00B71822" w:rsidRPr="00B45C6F">
        <w:rPr>
          <w:lang w:val="en-GB"/>
        </w:rPr>
        <w:t>these</w:t>
      </w:r>
      <w:r w:rsidR="009978AA" w:rsidRPr="00B45C6F">
        <w:rPr>
          <w:lang w:val="en-GB"/>
        </w:rPr>
        <w:t xml:space="preserve"> taxes </w:t>
      </w:r>
      <w:r w:rsidR="007A44F2" w:rsidRPr="00B45C6F">
        <w:rPr>
          <w:lang w:val="en-GB"/>
        </w:rPr>
        <w:t>are meant to implement</w:t>
      </w:r>
      <w:r w:rsidR="009978AA" w:rsidRPr="00B45C6F">
        <w:rPr>
          <w:lang w:val="en-GB"/>
        </w:rPr>
        <w:t xml:space="preserve"> the ability to pay principle, which are more relevant in individual income taxes than in CIT.</w:t>
      </w:r>
    </w:p>
    <w:p w:rsidR="00A25AB9" w:rsidRPr="00B45C6F" w:rsidRDefault="00236D21" w:rsidP="000A592C">
      <w:pPr>
        <w:spacing w:after="120"/>
        <w:ind w:firstLine="567"/>
        <w:rPr>
          <w:lang w:val="en-GB"/>
        </w:rPr>
      </w:pPr>
      <w:r w:rsidRPr="00B45C6F">
        <w:rPr>
          <w:lang w:val="en-GB"/>
        </w:rPr>
        <w:t xml:space="preserve">Meanwhile, as the answer to the second question of this paper, </w:t>
      </w:r>
      <w:r w:rsidR="00E821B8" w:rsidRPr="00B45C6F">
        <w:rPr>
          <w:lang w:val="en-GB"/>
        </w:rPr>
        <w:t xml:space="preserve">it can be concluded that efforts to balance the DST measures with their goal of establishing a fair tax system have evidently been done by the EU Parliament. </w:t>
      </w:r>
      <w:r w:rsidR="0082289F" w:rsidRPr="00B45C6F">
        <w:rPr>
          <w:lang w:val="en-GB"/>
        </w:rPr>
        <w:t xml:space="preserve">Users of digital platforms are considered as an important contributor to value creation, but not the only contributor; while revenue thresholds have been lowered. </w:t>
      </w:r>
      <w:r w:rsidR="00D91BAF" w:rsidRPr="00B45C6F">
        <w:rPr>
          <w:lang w:val="en-GB"/>
        </w:rPr>
        <w:t xml:space="preserve">A proportionate DST would, however, call for further efforts. A direct tax on the corporate profits </w:t>
      </w:r>
      <w:r w:rsidR="00261EE1" w:rsidRPr="00B45C6F">
        <w:rPr>
          <w:lang w:val="en-GB"/>
        </w:rPr>
        <w:t>of digital corporations should accord with the established international tax laws, particularly the DTC.</w:t>
      </w:r>
      <w:r w:rsidR="00147AE1" w:rsidRPr="00B45C6F">
        <w:rPr>
          <w:lang w:val="en-GB"/>
        </w:rPr>
        <w:t xml:space="preserve"> The tax should be imposed as income tax as governed by provisions of DTC. In turn, a harnessed concept of permanent establishment should be able to formulate a ‘physical presence’ or other qualitative thresholds for digital corporations. Alternatively, efforts may also be devoted as to harness the concept of royalties within DTC, for arguments have been raised as to consider users database as intangibles—thus generate </w:t>
      </w:r>
      <w:proofErr w:type="gramStart"/>
      <w:r w:rsidR="00147AE1" w:rsidRPr="00B45C6F">
        <w:rPr>
          <w:lang w:val="en-GB"/>
        </w:rPr>
        <w:t>royalties</w:t>
      </w:r>
      <w:proofErr w:type="gramEnd"/>
      <w:r w:rsidR="00147AE1" w:rsidRPr="00B45C6F">
        <w:rPr>
          <w:lang w:val="en-GB"/>
        </w:rPr>
        <w:t xml:space="preserve"> payments.</w:t>
      </w:r>
      <w:r w:rsidR="00261EE1" w:rsidRPr="00B45C6F">
        <w:rPr>
          <w:lang w:val="en-GB"/>
        </w:rPr>
        <w:t xml:space="preserve"> </w:t>
      </w:r>
      <w:r w:rsidR="00147AE1" w:rsidRPr="00B45C6F">
        <w:rPr>
          <w:lang w:val="en-GB"/>
        </w:rPr>
        <w:t>As a closure</w:t>
      </w:r>
      <w:r w:rsidR="006A0E74" w:rsidRPr="00B45C6F">
        <w:rPr>
          <w:lang w:val="en-GB"/>
        </w:rPr>
        <w:t>, it has been said that t</w:t>
      </w:r>
      <w:r w:rsidR="00571C90" w:rsidRPr="00B45C6F">
        <w:rPr>
          <w:lang w:val="en-GB"/>
        </w:rPr>
        <w:t xml:space="preserve">he law always comes </w:t>
      </w:r>
      <w:r w:rsidR="006A0E74" w:rsidRPr="00B45C6F">
        <w:rPr>
          <w:lang w:val="en-GB"/>
        </w:rPr>
        <w:t>behind than the development</w:t>
      </w:r>
      <w:r w:rsidR="00E0089B" w:rsidRPr="00B45C6F">
        <w:rPr>
          <w:lang w:val="en-GB"/>
        </w:rPr>
        <w:t>s—and the legal problems arising therefrom—</w:t>
      </w:r>
      <w:r w:rsidR="006A0E74" w:rsidRPr="00B45C6F">
        <w:rPr>
          <w:lang w:val="en-GB"/>
        </w:rPr>
        <w:t xml:space="preserve">taken place in the society. The law should not, nevertheless, be formulated as means to establish a leeway, but </w:t>
      </w:r>
      <w:r w:rsidR="00126F0F" w:rsidRPr="00B45C6F">
        <w:rPr>
          <w:lang w:val="en-GB"/>
        </w:rPr>
        <w:t xml:space="preserve">rather </w:t>
      </w:r>
      <w:r w:rsidR="006A0E74" w:rsidRPr="00B45C6F">
        <w:rPr>
          <w:lang w:val="en-GB"/>
        </w:rPr>
        <w:t>as a</w:t>
      </w:r>
      <w:r w:rsidR="00126F0F" w:rsidRPr="00B45C6F">
        <w:rPr>
          <w:lang w:val="en-GB"/>
        </w:rPr>
        <w:t xml:space="preserve"> dignified and</w:t>
      </w:r>
      <w:r w:rsidR="006A0E74" w:rsidRPr="00B45C6F">
        <w:rPr>
          <w:lang w:val="en-GB"/>
        </w:rPr>
        <w:t xml:space="preserve"> comprehensive </w:t>
      </w:r>
      <w:r w:rsidR="00126F0F" w:rsidRPr="00B45C6F">
        <w:rPr>
          <w:lang w:val="en-GB"/>
        </w:rPr>
        <w:t>response to the legal issues confronted by the people.</w:t>
      </w:r>
    </w:p>
    <w:p w:rsidR="000F3069" w:rsidRPr="00B45C6F" w:rsidRDefault="00CB3DC0" w:rsidP="00B273FC">
      <w:pPr>
        <w:spacing w:after="120"/>
        <w:ind w:firstLine="284"/>
        <w:jc w:val="both"/>
        <w:rPr>
          <w:lang w:val="en-GB"/>
        </w:rPr>
      </w:pPr>
      <w:r w:rsidRPr="00B45C6F">
        <w:rPr>
          <w:lang w:val="en-GB"/>
        </w:rPr>
        <w:t xml:space="preserve"> </w:t>
      </w:r>
    </w:p>
    <w:p w:rsidR="003A1FD3" w:rsidRPr="00B45C6F" w:rsidRDefault="003A1FD3" w:rsidP="00655B49">
      <w:pPr>
        <w:spacing w:after="120"/>
        <w:jc w:val="both"/>
        <w:rPr>
          <w:lang w:val="en-GB"/>
        </w:rPr>
      </w:pPr>
    </w:p>
    <w:sectPr w:rsidR="003A1FD3" w:rsidRPr="00B45C6F" w:rsidSect="00FD1F50">
      <w:pgSz w:w="11907" w:h="16840" w:code="9"/>
      <w:pgMar w:top="1134" w:right="1134" w:bottom="1134" w:left="1134" w:header="567"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81C" w:rsidRDefault="00D6481C" w:rsidP="00B65FD8">
      <w:r>
        <w:separator/>
      </w:r>
    </w:p>
  </w:endnote>
  <w:endnote w:type="continuationSeparator" w:id="0">
    <w:p w:rsidR="00D6481C" w:rsidRDefault="00D6481C" w:rsidP="00B6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185172198"/>
      <w:docPartObj>
        <w:docPartGallery w:val="Page Numbers (Bottom of Page)"/>
        <w:docPartUnique/>
      </w:docPartObj>
    </w:sdtPr>
    <w:sdtEndPr>
      <w:rPr>
        <w:noProof/>
      </w:rPr>
    </w:sdtEndPr>
    <w:sdtContent>
      <w:p w:rsidR="00B17FA0" w:rsidRPr="00A25AB9" w:rsidRDefault="000A643B" w:rsidP="00A25AB9">
        <w:pPr>
          <w:pStyle w:val="Footer"/>
          <w:jc w:val="right"/>
          <w:rPr>
            <w:sz w:val="22"/>
            <w:szCs w:val="22"/>
          </w:rPr>
        </w:pPr>
        <w:r>
          <w:fldChar w:fldCharType="begin"/>
        </w:r>
        <w:r>
          <w:instrText xml:space="preserve"> PAGE   \* MERGEFORMAT </w:instrText>
        </w:r>
        <w:r>
          <w:fldChar w:fldCharType="separate"/>
        </w:r>
        <w:r w:rsidR="001C735F" w:rsidRPr="001C735F">
          <w:rPr>
            <w:noProof/>
            <w:sz w:val="22"/>
            <w:szCs w:val="22"/>
          </w:rPr>
          <w:t>7</w:t>
        </w:r>
        <w:r>
          <w:rPr>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81C" w:rsidRDefault="00D6481C" w:rsidP="00B65FD8">
      <w:r>
        <w:separator/>
      </w:r>
    </w:p>
  </w:footnote>
  <w:footnote w:type="continuationSeparator" w:id="0">
    <w:p w:rsidR="00D6481C" w:rsidRDefault="00D6481C" w:rsidP="00B65FD8">
      <w:r>
        <w:continuationSeparator/>
      </w:r>
    </w:p>
  </w:footnote>
  <w:footnote w:id="1">
    <w:p w:rsidR="00B17FA0" w:rsidRPr="008A6C55" w:rsidRDefault="00B17FA0" w:rsidP="00850BD1">
      <w:pPr>
        <w:pStyle w:val="FootnoteText"/>
      </w:pPr>
      <w:r w:rsidRPr="008A6C55">
        <w:rPr>
          <w:rStyle w:val="FootnoteReference"/>
        </w:rPr>
        <w:sym w:font="Symbol" w:char="F02A"/>
      </w:r>
      <w:r w:rsidRPr="008A6C55">
        <w:t xml:space="preserve"> </w:t>
      </w:r>
      <w:r w:rsidRPr="008A6C55">
        <w:tab/>
        <w:t xml:space="preserve">Associate Professor in tax law at the Faculty of Law, </w:t>
      </w:r>
      <w:proofErr w:type="spellStart"/>
      <w:r w:rsidRPr="008A6C55">
        <w:t>Universitas</w:t>
      </w:r>
      <w:proofErr w:type="spellEnd"/>
      <w:r w:rsidRPr="008A6C55">
        <w:t xml:space="preserve"> </w:t>
      </w:r>
      <w:proofErr w:type="spellStart"/>
      <w:r w:rsidRPr="008A6C55">
        <w:t>Gadjah</w:t>
      </w:r>
      <w:proofErr w:type="spellEnd"/>
      <w:r w:rsidRPr="008A6C55">
        <w:t xml:space="preserve"> </w:t>
      </w:r>
      <w:proofErr w:type="spellStart"/>
      <w:r w:rsidRPr="008A6C55">
        <w:t>Mada</w:t>
      </w:r>
      <w:proofErr w:type="spellEnd"/>
      <w:r w:rsidRPr="008A6C55">
        <w:t xml:space="preserve"> (Yogyakarta, Indonesia). Doctoral student at the Faculty of Law, University of Helsinki (Helsinki, Finland). The author wishes to thank Professor </w:t>
      </w:r>
      <w:proofErr w:type="spellStart"/>
      <w:r w:rsidRPr="008A6C55">
        <w:t>Marjaana</w:t>
      </w:r>
      <w:proofErr w:type="spellEnd"/>
      <w:r w:rsidRPr="008A6C55">
        <w:t xml:space="preserve"> </w:t>
      </w:r>
      <w:proofErr w:type="spellStart"/>
      <w:r w:rsidRPr="008A6C55">
        <w:t>Helminen</w:t>
      </w:r>
      <w:proofErr w:type="spellEnd"/>
      <w:r w:rsidRPr="008A6C55">
        <w:t xml:space="preserve"> for her precious comments. E-mail: </w:t>
      </w:r>
      <w:proofErr w:type="spellStart"/>
      <w:proofErr w:type="gramStart"/>
      <w:r w:rsidRPr="008A6C55">
        <w:t>adrianto.dwi</w:t>
      </w:r>
      <w:proofErr w:type="spellEnd"/>
      <w:r w:rsidRPr="008A6C55">
        <w:t>[</w:t>
      </w:r>
      <w:proofErr w:type="gramEnd"/>
      <w:r w:rsidRPr="008A6C55">
        <w:t>at]mail.ugm.ac.id.</w:t>
      </w:r>
    </w:p>
  </w:footnote>
  <w:footnote w:id="2">
    <w:p w:rsidR="00B17FA0" w:rsidRPr="008A6C55" w:rsidRDefault="00B17FA0" w:rsidP="00D672ED">
      <w:pPr>
        <w:pStyle w:val="FootnoteText"/>
      </w:pPr>
      <w:r w:rsidRPr="008A6C55">
        <w:rPr>
          <w:rStyle w:val="FootnoteReference"/>
        </w:rPr>
        <w:footnoteRef/>
      </w:r>
      <w:r w:rsidRPr="008A6C55">
        <w:t xml:space="preserve"> </w:t>
      </w:r>
      <w:r w:rsidRPr="008A6C55">
        <w:tab/>
        <w:t xml:space="preserve">The European Commission, ‘Proposal for a Council Directive laying down rules relating to the corporate taxation of a significant digital presence’, </w:t>
      </w:r>
      <w:proofErr w:type="gramStart"/>
      <w:r w:rsidRPr="008A6C55">
        <w:t>COM(</w:t>
      </w:r>
      <w:proofErr w:type="gramEnd"/>
      <w:r w:rsidRPr="008A6C55">
        <w:t>2018) 147, 21 March 2018, Article 4(3). In the proposal, a ‘significant digital presence’ is to be determined in accordance with a corporation’s total revenues, total number of users, and total number of business contracts generated in an EU Member State.</w:t>
      </w:r>
    </w:p>
  </w:footnote>
  <w:footnote w:id="3">
    <w:p w:rsidR="00B17FA0" w:rsidRPr="008A6C55" w:rsidRDefault="00B17FA0">
      <w:pPr>
        <w:pStyle w:val="FootnoteText"/>
      </w:pPr>
      <w:r w:rsidRPr="008A6C55">
        <w:rPr>
          <w:rStyle w:val="FootnoteReference"/>
        </w:rPr>
        <w:footnoteRef/>
      </w:r>
      <w:r w:rsidRPr="008A6C55">
        <w:t xml:space="preserve"> </w:t>
      </w:r>
      <w:r w:rsidRPr="008A6C55">
        <w:tab/>
        <w:t xml:space="preserve">The European Commission, ‘Proposal for a Council Directive on the common system of a digital services tax on revenues resulting from the provision of certain digital services’, </w:t>
      </w:r>
      <w:proofErr w:type="gramStart"/>
      <w:r w:rsidRPr="008A6C55">
        <w:t>COM(</w:t>
      </w:r>
      <w:proofErr w:type="gramEnd"/>
      <w:r w:rsidRPr="008A6C55">
        <w:t>2018) 148, 21 March 2018, 2.</w:t>
      </w:r>
    </w:p>
  </w:footnote>
  <w:footnote w:id="4">
    <w:p w:rsidR="00B17FA0" w:rsidRPr="008A6C55" w:rsidRDefault="00B17FA0" w:rsidP="00D672ED">
      <w:pPr>
        <w:pStyle w:val="FootnoteText"/>
      </w:pPr>
      <w:r w:rsidRPr="008A6C55">
        <w:rPr>
          <w:rStyle w:val="FootnoteReference"/>
        </w:rPr>
        <w:footnoteRef/>
      </w:r>
      <w:r w:rsidRPr="008A6C55">
        <w:t xml:space="preserve"> </w:t>
      </w:r>
      <w:r w:rsidRPr="008A6C55">
        <w:tab/>
        <w:t>The European Commission, ‘Communication from the Commission to the European Parliament and the Council concerning Time to establish a modern, fair and efficient taxation standard for the digital economy’, COM(2018) 146, 21 March 2018, 4.</w:t>
      </w:r>
    </w:p>
  </w:footnote>
  <w:footnote w:id="5">
    <w:p w:rsidR="00B17FA0" w:rsidRPr="008A6C55" w:rsidRDefault="00B17FA0" w:rsidP="00D672ED">
      <w:pPr>
        <w:pStyle w:val="FootnoteText"/>
      </w:pPr>
      <w:r w:rsidRPr="008A6C55">
        <w:rPr>
          <w:rStyle w:val="FootnoteReference"/>
        </w:rPr>
        <w:footnoteRef/>
      </w:r>
      <w:r w:rsidRPr="008A6C55">
        <w:t xml:space="preserve"> </w:t>
      </w:r>
      <w:r w:rsidRPr="008A6C55">
        <w:tab/>
        <w:t xml:space="preserve">Michael </w:t>
      </w:r>
      <w:proofErr w:type="spellStart"/>
      <w:r w:rsidRPr="008A6C55">
        <w:t>Deveraux</w:t>
      </w:r>
      <w:proofErr w:type="spellEnd"/>
      <w:r w:rsidRPr="008A6C55">
        <w:t>, ‘The Digital Services “Sutton” Tax’, http://business-taxation.sbsblogs.co.uk/2018/10/23/the-digital-services-sutton-tax/?dm_i=17AR,5XL76,U06BYQ,N8496,1, [19 December 2018].</w:t>
      </w:r>
    </w:p>
  </w:footnote>
  <w:footnote w:id="6">
    <w:p w:rsidR="00B17FA0" w:rsidRPr="008A6C55" w:rsidRDefault="00B17FA0">
      <w:pPr>
        <w:pStyle w:val="FootnoteText"/>
      </w:pPr>
      <w:r w:rsidRPr="008A6C55">
        <w:rPr>
          <w:rStyle w:val="FootnoteReference"/>
        </w:rPr>
        <w:footnoteRef/>
      </w:r>
      <w:r w:rsidRPr="008A6C55">
        <w:t xml:space="preserve"> </w:t>
      </w:r>
      <w:r w:rsidRPr="008A6C55">
        <w:tab/>
        <w:t xml:space="preserve">Maarten de Wilde, ‘Tax jurisdiction in a digitalizing economy; why ‘online profits’ are so hard to pin down’, (2015) 43 </w:t>
      </w:r>
      <w:proofErr w:type="spellStart"/>
      <w:r w:rsidRPr="008A6C55">
        <w:t>Intertax</w:t>
      </w:r>
      <w:proofErr w:type="spellEnd"/>
      <w:r w:rsidRPr="008A6C55">
        <w:t xml:space="preserve"> 796, 801.</w:t>
      </w:r>
    </w:p>
  </w:footnote>
  <w:footnote w:id="7">
    <w:p w:rsidR="00B17FA0" w:rsidRPr="008A6C55" w:rsidRDefault="00B17FA0">
      <w:pPr>
        <w:pStyle w:val="FootnoteText"/>
      </w:pPr>
      <w:r w:rsidRPr="008A6C55">
        <w:rPr>
          <w:rStyle w:val="FootnoteReference"/>
        </w:rPr>
        <w:footnoteRef/>
      </w:r>
      <w:r w:rsidRPr="008A6C55">
        <w:t xml:space="preserve"> </w:t>
      </w:r>
      <w:r w:rsidRPr="008A6C55">
        <w:tab/>
        <w:t xml:space="preserve">Michael P. Devereux and John </w:t>
      </w:r>
      <w:proofErr w:type="spellStart"/>
      <w:r w:rsidRPr="008A6C55">
        <w:t>Vella</w:t>
      </w:r>
      <w:proofErr w:type="spellEnd"/>
      <w:r w:rsidRPr="008A6C55">
        <w:t xml:space="preserve">, ‘Implications of digitalization for international corporate tax reform’, (2018) 46 </w:t>
      </w:r>
      <w:proofErr w:type="spellStart"/>
      <w:r w:rsidRPr="008A6C55">
        <w:t>Intertax</w:t>
      </w:r>
      <w:proofErr w:type="spellEnd"/>
      <w:r w:rsidRPr="008A6C55">
        <w:t xml:space="preserve"> 550, 551.</w:t>
      </w:r>
    </w:p>
  </w:footnote>
  <w:footnote w:id="8">
    <w:p w:rsidR="00B17FA0" w:rsidRPr="008A6C55" w:rsidRDefault="00B17FA0">
      <w:pPr>
        <w:pStyle w:val="FootnoteText"/>
      </w:pPr>
      <w:r w:rsidRPr="008A6C55">
        <w:rPr>
          <w:rStyle w:val="FootnoteReference"/>
        </w:rPr>
        <w:footnoteRef/>
      </w:r>
      <w:r w:rsidRPr="008A6C55">
        <w:t xml:space="preserve"> </w:t>
      </w:r>
      <w:r w:rsidRPr="008A6C55">
        <w:tab/>
        <w:t xml:space="preserve">Maarten de Wilde, supra </w:t>
      </w:r>
      <w:r w:rsidR="000A643B">
        <w:fldChar w:fldCharType="begin"/>
      </w:r>
      <w:r w:rsidR="000A643B">
        <w:instrText xml:space="preserve"> NOTEREF _Ref533082196 \h  \* MERGEFORMAT </w:instrText>
      </w:r>
      <w:r w:rsidR="000A643B">
        <w:fldChar w:fldCharType="separate"/>
      </w:r>
      <w:r w:rsidR="00E30D71">
        <w:t>5</w:t>
      </w:r>
      <w:r w:rsidR="000A643B">
        <w:fldChar w:fldCharType="end"/>
      </w:r>
      <w:r w:rsidRPr="008A6C55">
        <w:t>, 797. See also: OECD, ‘Addressing base erosion and profits shifting’, (OECD Publishing 2012), 35. The OECD upholds the ‘origin of wealth’ principle, by which taxation of business profits are determined by “(…) (</w:t>
      </w:r>
      <w:proofErr w:type="spellStart"/>
      <w:r w:rsidRPr="008A6C55">
        <w:t>i</w:t>
      </w:r>
      <w:proofErr w:type="spellEnd"/>
      <w:r w:rsidRPr="008A6C55">
        <w:t>) the origin of the wealth (i.e. source) and (ii) where the wealth was spent (i.e. residence).” The origin of wealth thus represents “(…) all the stages involved in the creation of wealth.”</w:t>
      </w:r>
    </w:p>
  </w:footnote>
  <w:footnote w:id="9">
    <w:p w:rsidR="00B17FA0" w:rsidRPr="008A6C55" w:rsidRDefault="00B17FA0" w:rsidP="007167DE">
      <w:pPr>
        <w:pStyle w:val="FootnoteText"/>
      </w:pPr>
      <w:r w:rsidRPr="008A6C55">
        <w:rPr>
          <w:rStyle w:val="FootnoteReference"/>
        </w:rPr>
        <w:footnoteRef/>
      </w:r>
      <w:r w:rsidRPr="008A6C55">
        <w:t xml:space="preserve"> </w:t>
      </w:r>
      <w:r w:rsidRPr="008A6C55">
        <w:tab/>
        <w:t xml:space="preserve">Maarten de Wilde, supra </w:t>
      </w:r>
      <w:r w:rsidR="000A643B">
        <w:fldChar w:fldCharType="begin"/>
      </w:r>
      <w:r w:rsidR="000A643B">
        <w:instrText xml:space="preserve"> NOTEREF _Ref533082196 \h  \* MERGEFORMAT </w:instrText>
      </w:r>
      <w:r w:rsidR="000A643B">
        <w:fldChar w:fldCharType="separate"/>
      </w:r>
      <w:r w:rsidR="00E30D71">
        <w:t>5</w:t>
      </w:r>
      <w:r w:rsidR="000A643B">
        <w:fldChar w:fldCharType="end"/>
      </w:r>
      <w:r w:rsidRPr="008A6C55">
        <w:t>, 798.</w:t>
      </w:r>
    </w:p>
  </w:footnote>
  <w:footnote w:id="10">
    <w:p w:rsidR="00B17FA0" w:rsidRPr="008A6C55" w:rsidRDefault="00B17FA0">
      <w:pPr>
        <w:pStyle w:val="FootnoteText"/>
      </w:pPr>
      <w:r w:rsidRPr="008A6C55">
        <w:rPr>
          <w:rStyle w:val="FootnoteReference"/>
        </w:rPr>
        <w:footnoteRef/>
      </w:r>
      <w:r w:rsidRPr="008A6C55">
        <w:t xml:space="preserve"> </w:t>
      </w:r>
      <w:r w:rsidRPr="008A6C55">
        <w:tab/>
        <w:t>See: OECD, ‘Action plan on base erosion and profits shifting’, (OECD Publishing 2013), 14.</w:t>
      </w:r>
    </w:p>
  </w:footnote>
  <w:footnote w:id="11">
    <w:p w:rsidR="00B17FA0" w:rsidRPr="008A6C55" w:rsidRDefault="00B17FA0" w:rsidP="00CA47D5">
      <w:pPr>
        <w:pStyle w:val="FootnoteText"/>
        <w:rPr>
          <w:bCs/>
        </w:rPr>
      </w:pPr>
      <w:r w:rsidRPr="008A6C55">
        <w:rPr>
          <w:rStyle w:val="FootnoteReference"/>
        </w:rPr>
        <w:footnoteRef/>
      </w:r>
      <w:r w:rsidRPr="008A6C55">
        <w:t xml:space="preserve"> </w:t>
      </w:r>
      <w:r w:rsidRPr="008A6C55">
        <w:tab/>
      </w:r>
      <w:r w:rsidRPr="008A6C55">
        <w:rPr>
          <w:bCs/>
        </w:rPr>
        <w:t xml:space="preserve">Alan </w:t>
      </w:r>
      <w:proofErr w:type="spellStart"/>
      <w:r w:rsidRPr="008A6C55">
        <w:rPr>
          <w:bCs/>
        </w:rPr>
        <w:t>Auerbach</w:t>
      </w:r>
      <w:proofErr w:type="spellEnd"/>
      <w:r w:rsidRPr="008A6C55">
        <w:rPr>
          <w:bCs/>
        </w:rPr>
        <w:t>, ‘Understanding the destination-based approach to business taxation’, 26 October 2017, https://voxeu.org/article/understanding-destination-based-approach-business-taxation, on 21 December 2018.</w:t>
      </w:r>
    </w:p>
  </w:footnote>
  <w:footnote w:id="12">
    <w:p w:rsidR="00B17FA0" w:rsidRPr="008A6C55" w:rsidRDefault="00B17FA0">
      <w:pPr>
        <w:pStyle w:val="FootnoteText"/>
      </w:pPr>
      <w:r w:rsidRPr="008A6C55">
        <w:rPr>
          <w:rStyle w:val="FootnoteReference"/>
        </w:rPr>
        <w:footnoteRef/>
      </w:r>
      <w:r w:rsidRPr="008A6C55">
        <w:t xml:space="preserve"> </w:t>
      </w:r>
      <w:r w:rsidRPr="008A6C55">
        <w:tab/>
        <w:t xml:space="preserve">The European Commission, </w:t>
      </w:r>
      <w:proofErr w:type="gramStart"/>
      <w:r w:rsidRPr="008A6C55">
        <w:t>COM(</w:t>
      </w:r>
      <w:proofErr w:type="gramEnd"/>
      <w:r w:rsidRPr="008A6C55">
        <w:t xml:space="preserve">2018) 148, supra </w:t>
      </w:r>
      <w:r w:rsidRPr="008A6C55">
        <w:fldChar w:fldCharType="begin"/>
      </w:r>
      <w:r w:rsidRPr="008A6C55">
        <w:instrText xml:space="preserve"> NOTEREF _Ref533681647 \h </w:instrText>
      </w:r>
      <w:r w:rsidRPr="008A6C55">
        <w:fldChar w:fldCharType="separate"/>
      </w:r>
      <w:r w:rsidR="00E30D71">
        <w:t>2</w:t>
      </w:r>
      <w:r w:rsidRPr="008A6C55">
        <w:fldChar w:fldCharType="end"/>
      </w:r>
      <w:r w:rsidRPr="008A6C55">
        <w:t>, proposed Article 3(2).</w:t>
      </w:r>
    </w:p>
  </w:footnote>
  <w:footnote w:id="13">
    <w:p w:rsidR="00B17FA0" w:rsidRPr="008A6C55" w:rsidRDefault="00B17FA0">
      <w:pPr>
        <w:pStyle w:val="FootnoteText"/>
      </w:pPr>
      <w:r w:rsidRPr="008A6C55">
        <w:rPr>
          <w:rStyle w:val="FootnoteReference"/>
        </w:rPr>
        <w:footnoteRef/>
      </w:r>
      <w:r w:rsidRPr="008A6C55">
        <w:t xml:space="preserve"> </w:t>
      </w:r>
      <w:r w:rsidRPr="008A6C55">
        <w:tab/>
        <w:t xml:space="preserve">The European Commission, </w:t>
      </w:r>
      <w:proofErr w:type="gramStart"/>
      <w:r w:rsidRPr="008A6C55">
        <w:t>COM(</w:t>
      </w:r>
      <w:proofErr w:type="gramEnd"/>
      <w:r w:rsidRPr="008A6C55">
        <w:t xml:space="preserve">2018) 148, supra </w:t>
      </w:r>
      <w:r w:rsidRPr="008A6C55">
        <w:fldChar w:fldCharType="begin"/>
      </w:r>
      <w:r w:rsidRPr="008A6C55">
        <w:instrText xml:space="preserve"> NOTEREF _Ref533681647 \h </w:instrText>
      </w:r>
      <w:r w:rsidRPr="008A6C55">
        <w:fldChar w:fldCharType="separate"/>
      </w:r>
      <w:r w:rsidR="00E30D71">
        <w:t>2</w:t>
      </w:r>
      <w:r w:rsidRPr="008A6C55">
        <w:fldChar w:fldCharType="end"/>
      </w:r>
      <w:r w:rsidRPr="008A6C55">
        <w:t>, proposed Article 3(1).</w:t>
      </w:r>
    </w:p>
  </w:footnote>
  <w:footnote w:id="14">
    <w:p w:rsidR="00B17FA0" w:rsidRPr="008A6C55" w:rsidRDefault="00B17FA0" w:rsidP="00EE0A40">
      <w:pPr>
        <w:pStyle w:val="FootnoteText"/>
      </w:pPr>
      <w:r w:rsidRPr="008A6C55">
        <w:rPr>
          <w:rStyle w:val="FootnoteReference"/>
        </w:rPr>
        <w:footnoteRef/>
      </w:r>
      <w:r w:rsidRPr="008A6C55">
        <w:t xml:space="preserve"> </w:t>
      </w:r>
      <w:r w:rsidRPr="008A6C55">
        <w:tab/>
        <w:t>Opinion of the European Economic and Social Committee on ‘Proposal for a Council Directive laying down rules relating to the corporate taxation of a significant digital presence’, OJ C 367/73, [3.13].</w:t>
      </w:r>
    </w:p>
  </w:footnote>
  <w:footnote w:id="15">
    <w:p w:rsidR="00B17FA0" w:rsidRPr="008A6C55" w:rsidRDefault="00B17FA0" w:rsidP="0092177E">
      <w:pPr>
        <w:pStyle w:val="FootnoteText"/>
      </w:pPr>
      <w:r w:rsidRPr="008A6C55">
        <w:rPr>
          <w:rStyle w:val="FootnoteReference"/>
        </w:rPr>
        <w:footnoteRef/>
      </w:r>
      <w:r w:rsidRPr="008A6C55">
        <w:t xml:space="preserve"> </w:t>
      </w:r>
      <w:r w:rsidRPr="008A6C55">
        <w:tab/>
        <w:t xml:space="preserve">Michael P. Devereux and John </w:t>
      </w:r>
      <w:proofErr w:type="spellStart"/>
      <w:r w:rsidRPr="008A6C55">
        <w:t>Vella</w:t>
      </w:r>
      <w:proofErr w:type="spellEnd"/>
      <w:r w:rsidRPr="008A6C55">
        <w:t xml:space="preserve">, supra </w:t>
      </w:r>
      <w:r w:rsidRPr="008A6C55">
        <w:fldChar w:fldCharType="begin"/>
      </w:r>
      <w:r w:rsidRPr="008A6C55">
        <w:instrText xml:space="preserve"> NOTEREF _Ref533694250 \h </w:instrText>
      </w:r>
      <w:r w:rsidRPr="008A6C55">
        <w:fldChar w:fldCharType="separate"/>
      </w:r>
      <w:r w:rsidR="00E30D71">
        <w:t>6</w:t>
      </w:r>
      <w:r w:rsidRPr="008A6C55">
        <w:fldChar w:fldCharType="end"/>
      </w:r>
      <w:r w:rsidRPr="008A6C55">
        <w:t>, 555-556. Also, a destination-based taxation on profits strongly relates to the protection of intellectual property rights by the state in which the products are marketed.</w:t>
      </w:r>
    </w:p>
  </w:footnote>
  <w:footnote w:id="16">
    <w:p w:rsidR="00B17FA0" w:rsidRPr="008A6C55" w:rsidRDefault="00B17FA0">
      <w:pPr>
        <w:pStyle w:val="FootnoteText"/>
      </w:pPr>
      <w:r w:rsidRPr="008A6C55">
        <w:rPr>
          <w:rStyle w:val="FootnoteReference"/>
        </w:rPr>
        <w:footnoteRef/>
      </w:r>
      <w:r w:rsidRPr="008A6C55">
        <w:t xml:space="preserve"> </w:t>
      </w:r>
      <w:r w:rsidRPr="008A6C55">
        <w:tab/>
        <w:t xml:space="preserve">The European Commission, </w:t>
      </w:r>
      <w:proofErr w:type="gramStart"/>
      <w:r w:rsidRPr="008A6C55">
        <w:t>COM(</w:t>
      </w:r>
      <w:proofErr w:type="gramEnd"/>
      <w:r w:rsidRPr="008A6C55">
        <w:t xml:space="preserve">2018) 146, supra </w:t>
      </w:r>
      <w:r w:rsidRPr="008A6C55">
        <w:fldChar w:fldCharType="begin"/>
      </w:r>
      <w:r w:rsidRPr="008A6C55">
        <w:instrText xml:space="preserve"> NOTEREF _Ref533692801 \h </w:instrText>
      </w:r>
      <w:r w:rsidRPr="008A6C55">
        <w:fldChar w:fldCharType="separate"/>
      </w:r>
      <w:r w:rsidR="00E30D71">
        <w:t>3</w:t>
      </w:r>
      <w:r w:rsidRPr="008A6C55">
        <w:fldChar w:fldCharType="end"/>
      </w:r>
      <w:r w:rsidRPr="008A6C55">
        <w:t>, 1.</w:t>
      </w:r>
    </w:p>
  </w:footnote>
  <w:footnote w:id="17">
    <w:p w:rsidR="00B17FA0" w:rsidRPr="008A6C55" w:rsidRDefault="00B17FA0">
      <w:pPr>
        <w:pStyle w:val="FootnoteText"/>
      </w:pPr>
      <w:r w:rsidRPr="008A6C55">
        <w:rPr>
          <w:rStyle w:val="FootnoteReference"/>
        </w:rPr>
        <w:footnoteRef/>
      </w:r>
      <w:r w:rsidRPr="008A6C55">
        <w:t xml:space="preserve"> </w:t>
      </w:r>
      <w:r w:rsidRPr="008A6C55">
        <w:tab/>
        <w:t xml:space="preserve">Michael P. Devereux and John </w:t>
      </w:r>
      <w:proofErr w:type="spellStart"/>
      <w:r w:rsidRPr="008A6C55">
        <w:t>Vella</w:t>
      </w:r>
      <w:proofErr w:type="spellEnd"/>
      <w:r w:rsidRPr="008A6C55">
        <w:t xml:space="preserve">, supra </w:t>
      </w:r>
      <w:r w:rsidRPr="008A6C55">
        <w:fldChar w:fldCharType="begin"/>
      </w:r>
      <w:r w:rsidRPr="008A6C55">
        <w:instrText xml:space="preserve"> NOTEREF _Ref533694250 \h </w:instrText>
      </w:r>
      <w:r w:rsidRPr="008A6C55">
        <w:fldChar w:fldCharType="separate"/>
      </w:r>
      <w:r w:rsidR="00E30D71">
        <w:t>6</w:t>
      </w:r>
      <w:r w:rsidRPr="008A6C55">
        <w:fldChar w:fldCharType="end"/>
      </w:r>
      <w:r w:rsidRPr="008A6C55">
        <w:t>, 555-556.</w:t>
      </w:r>
    </w:p>
  </w:footnote>
  <w:footnote w:id="18">
    <w:p w:rsidR="00B17FA0" w:rsidRPr="008A6C55" w:rsidRDefault="00B17FA0">
      <w:pPr>
        <w:pStyle w:val="FootnoteText"/>
      </w:pPr>
      <w:r w:rsidRPr="008A6C55">
        <w:rPr>
          <w:rStyle w:val="FootnoteReference"/>
        </w:rPr>
        <w:footnoteRef/>
      </w:r>
      <w:r w:rsidRPr="008A6C55">
        <w:t xml:space="preserve"> </w:t>
      </w:r>
      <w:r w:rsidRPr="008A6C55">
        <w:tab/>
        <w:t xml:space="preserve">Opinion of the European Economic and Social Committee, supra </w:t>
      </w:r>
      <w:r w:rsidRPr="008A6C55">
        <w:fldChar w:fldCharType="begin"/>
      </w:r>
      <w:r w:rsidRPr="008A6C55">
        <w:instrText xml:space="preserve"> NOTEREF _Ref533679510 \h </w:instrText>
      </w:r>
      <w:r w:rsidRPr="008A6C55">
        <w:fldChar w:fldCharType="separate"/>
      </w:r>
      <w:r w:rsidR="00E30D71">
        <w:t>13</w:t>
      </w:r>
      <w:r w:rsidRPr="008A6C55">
        <w:fldChar w:fldCharType="end"/>
      </w:r>
      <w:r w:rsidRPr="008A6C55">
        <w:t>, [3.15].</w:t>
      </w:r>
    </w:p>
  </w:footnote>
  <w:footnote w:id="19">
    <w:p w:rsidR="00B17FA0" w:rsidRPr="008A6C55" w:rsidRDefault="00B17FA0">
      <w:pPr>
        <w:pStyle w:val="FootnoteText"/>
      </w:pPr>
      <w:r w:rsidRPr="008A6C55">
        <w:rPr>
          <w:rStyle w:val="FootnoteReference"/>
        </w:rPr>
        <w:footnoteRef/>
      </w:r>
      <w:r w:rsidRPr="008A6C55">
        <w:t xml:space="preserve"> </w:t>
      </w:r>
      <w:r w:rsidRPr="008A6C55">
        <w:tab/>
        <w:t xml:space="preserve">The European Commission, </w:t>
      </w:r>
      <w:proofErr w:type="gramStart"/>
      <w:r w:rsidRPr="008A6C55">
        <w:t>COM(</w:t>
      </w:r>
      <w:proofErr w:type="gramEnd"/>
      <w:r w:rsidRPr="008A6C55">
        <w:t xml:space="preserve">2018) 146, supra </w:t>
      </w:r>
      <w:r w:rsidRPr="008A6C55">
        <w:fldChar w:fldCharType="begin"/>
      </w:r>
      <w:r w:rsidRPr="008A6C55">
        <w:instrText xml:space="preserve"> NOTEREF _Ref533692801 \h </w:instrText>
      </w:r>
      <w:r w:rsidRPr="008A6C55">
        <w:fldChar w:fldCharType="separate"/>
      </w:r>
      <w:r w:rsidR="00E30D71">
        <w:t>3</w:t>
      </w:r>
      <w:r w:rsidRPr="008A6C55">
        <w:fldChar w:fldCharType="end"/>
      </w:r>
      <w:r w:rsidRPr="008A6C55">
        <w:t>, 2.</w:t>
      </w:r>
    </w:p>
  </w:footnote>
  <w:footnote w:id="20">
    <w:p w:rsidR="00B17FA0" w:rsidRPr="008A6C55" w:rsidRDefault="00B17FA0">
      <w:pPr>
        <w:pStyle w:val="FootnoteText"/>
      </w:pPr>
      <w:r w:rsidRPr="008A6C55">
        <w:rPr>
          <w:rStyle w:val="FootnoteReference"/>
        </w:rPr>
        <w:footnoteRef/>
      </w:r>
      <w:r w:rsidRPr="008A6C55">
        <w:t xml:space="preserve"> </w:t>
      </w:r>
      <w:r w:rsidRPr="008A6C55">
        <w:tab/>
        <w:t xml:space="preserve">The European Commission, </w:t>
      </w:r>
      <w:proofErr w:type="gramStart"/>
      <w:r w:rsidRPr="008A6C55">
        <w:t>COM(</w:t>
      </w:r>
      <w:proofErr w:type="gramEnd"/>
      <w:r w:rsidRPr="008A6C55">
        <w:t xml:space="preserve">2018) 146, supra </w:t>
      </w:r>
      <w:r w:rsidRPr="008A6C55">
        <w:fldChar w:fldCharType="begin"/>
      </w:r>
      <w:r w:rsidRPr="008A6C55">
        <w:instrText xml:space="preserve"> NOTEREF _Ref533692801 \h </w:instrText>
      </w:r>
      <w:r w:rsidRPr="008A6C55">
        <w:fldChar w:fldCharType="separate"/>
      </w:r>
      <w:r w:rsidR="00E30D71">
        <w:t>3</w:t>
      </w:r>
      <w:r w:rsidRPr="008A6C55">
        <w:fldChar w:fldCharType="end"/>
      </w:r>
      <w:r w:rsidRPr="008A6C55">
        <w:t>, 3.</w:t>
      </w:r>
    </w:p>
  </w:footnote>
  <w:footnote w:id="21">
    <w:p w:rsidR="00B17FA0" w:rsidRPr="008A6C55" w:rsidRDefault="00B17FA0">
      <w:pPr>
        <w:pStyle w:val="FootnoteText"/>
      </w:pPr>
      <w:r w:rsidRPr="008A6C55">
        <w:rPr>
          <w:rStyle w:val="FootnoteReference"/>
        </w:rPr>
        <w:footnoteRef/>
      </w:r>
      <w:r w:rsidRPr="008A6C55">
        <w:t xml:space="preserve"> </w:t>
      </w:r>
      <w:r w:rsidRPr="008A6C55">
        <w:tab/>
        <w:t xml:space="preserve">The European Commission, </w:t>
      </w:r>
      <w:proofErr w:type="gramStart"/>
      <w:r w:rsidRPr="008A6C55">
        <w:t>COM(</w:t>
      </w:r>
      <w:proofErr w:type="gramEnd"/>
      <w:r w:rsidRPr="008A6C55">
        <w:t xml:space="preserve">2018) 146, supra </w:t>
      </w:r>
      <w:r w:rsidRPr="008A6C55">
        <w:fldChar w:fldCharType="begin"/>
      </w:r>
      <w:r w:rsidRPr="008A6C55">
        <w:instrText xml:space="preserve"> NOTEREF _Ref533692801 \h </w:instrText>
      </w:r>
      <w:r w:rsidRPr="008A6C55">
        <w:fldChar w:fldCharType="separate"/>
      </w:r>
      <w:r w:rsidR="00E30D71">
        <w:t>3</w:t>
      </w:r>
      <w:r w:rsidRPr="008A6C55">
        <w:fldChar w:fldCharType="end"/>
      </w:r>
      <w:r w:rsidRPr="008A6C55">
        <w:t>, 3-4.</w:t>
      </w:r>
    </w:p>
  </w:footnote>
  <w:footnote w:id="22">
    <w:p w:rsidR="00B17FA0" w:rsidRPr="008A6C55" w:rsidRDefault="00B17FA0">
      <w:pPr>
        <w:pStyle w:val="FootnoteText"/>
      </w:pPr>
      <w:r w:rsidRPr="008A6C55">
        <w:rPr>
          <w:rStyle w:val="FootnoteReference"/>
        </w:rPr>
        <w:footnoteRef/>
      </w:r>
      <w:r w:rsidRPr="008A6C55">
        <w:t xml:space="preserve"> </w:t>
      </w:r>
      <w:r w:rsidRPr="008A6C55">
        <w:tab/>
        <w:t xml:space="preserve">The European Commission, </w:t>
      </w:r>
      <w:proofErr w:type="gramStart"/>
      <w:r w:rsidRPr="008A6C55">
        <w:t>COM(</w:t>
      </w:r>
      <w:proofErr w:type="gramEnd"/>
      <w:r w:rsidRPr="008A6C55">
        <w:t xml:space="preserve">2018) 148, supra </w:t>
      </w:r>
      <w:r w:rsidRPr="008A6C55">
        <w:fldChar w:fldCharType="begin"/>
      </w:r>
      <w:r w:rsidRPr="008A6C55">
        <w:instrText xml:space="preserve"> NOTEREF _Ref533681647 \h </w:instrText>
      </w:r>
      <w:r w:rsidRPr="008A6C55">
        <w:fldChar w:fldCharType="separate"/>
      </w:r>
      <w:r w:rsidR="00E30D71">
        <w:t>2</w:t>
      </w:r>
      <w:r w:rsidRPr="008A6C55">
        <w:fldChar w:fldCharType="end"/>
      </w:r>
      <w:r w:rsidRPr="008A6C55">
        <w:t>, Recital [22] and proposed Article 4(1).</w:t>
      </w:r>
    </w:p>
  </w:footnote>
  <w:footnote w:id="23">
    <w:p w:rsidR="00B17FA0" w:rsidRPr="008A6C55" w:rsidRDefault="00B17FA0">
      <w:pPr>
        <w:pStyle w:val="FootnoteText"/>
      </w:pPr>
      <w:r w:rsidRPr="008A6C55">
        <w:rPr>
          <w:rStyle w:val="FootnoteReference"/>
        </w:rPr>
        <w:footnoteRef/>
      </w:r>
      <w:r w:rsidRPr="008A6C55">
        <w:t xml:space="preserve"> </w:t>
      </w:r>
      <w:r w:rsidRPr="008A6C55">
        <w:tab/>
        <w:t>Council Directive 2006/112/EC of 28 November 2006 on the common system of value added tax, OJ L 347/1.</w:t>
      </w:r>
    </w:p>
  </w:footnote>
  <w:footnote w:id="24">
    <w:p w:rsidR="00B17FA0" w:rsidRPr="008A6C55" w:rsidRDefault="00B17FA0" w:rsidP="00373DA1">
      <w:pPr>
        <w:pStyle w:val="FootnoteText"/>
      </w:pPr>
      <w:r w:rsidRPr="008A6C55">
        <w:rPr>
          <w:rStyle w:val="FootnoteReference"/>
        </w:rPr>
        <w:footnoteRef/>
      </w:r>
      <w:r w:rsidRPr="008A6C55">
        <w:t xml:space="preserve"> </w:t>
      </w:r>
      <w:r w:rsidRPr="008A6C55">
        <w:tab/>
        <w:t>NN, ‘Franco-German joint declaration on the taxation of digital companies and minimum taxation’, available at https://www.consilium.europa.eu/media/37276/fr-de-joint-declaration-on-the-taxation-of-digital-companies-final.pdf [31 December 2018].</w:t>
      </w:r>
    </w:p>
  </w:footnote>
  <w:footnote w:id="25">
    <w:p w:rsidR="00B17FA0" w:rsidRPr="008A6C55" w:rsidRDefault="00B17FA0">
      <w:pPr>
        <w:pStyle w:val="FootnoteText"/>
      </w:pPr>
      <w:r w:rsidRPr="008A6C55">
        <w:rPr>
          <w:rStyle w:val="FootnoteReference"/>
        </w:rPr>
        <w:footnoteRef/>
      </w:r>
      <w:r w:rsidRPr="008A6C55">
        <w:t xml:space="preserve"> </w:t>
      </w:r>
      <w:r w:rsidRPr="008A6C55">
        <w:tab/>
        <w:t xml:space="preserve">Hans </w:t>
      </w:r>
      <w:proofErr w:type="spellStart"/>
      <w:r w:rsidRPr="008A6C55">
        <w:t>Jarle</w:t>
      </w:r>
      <w:proofErr w:type="spellEnd"/>
      <w:r w:rsidRPr="008A6C55">
        <w:t xml:space="preserve"> Kind and Marko </w:t>
      </w:r>
      <w:proofErr w:type="spellStart"/>
      <w:r w:rsidRPr="008A6C55">
        <w:t>Koethenburger</w:t>
      </w:r>
      <w:proofErr w:type="spellEnd"/>
      <w:r w:rsidRPr="008A6C55">
        <w:t>, ‘Taxation in digital media markets’, (2018) 20 Journal of Public Economy Theory 22, 23.</w:t>
      </w:r>
    </w:p>
  </w:footnote>
  <w:footnote w:id="26">
    <w:p w:rsidR="00B17FA0" w:rsidRPr="008A6C55" w:rsidRDefault="00B17FA0">
      <w:pPr>
        <w:pStyle w:val="FootnoteText"/>
      </w:pPr>
      <w:r w:rsidRPr="008A6C55">
        <w:rPr>
          <w:rStyle w:val="FootnoteReference"/>
        </w:rPr>
        <w:footnoteRef/>
      </w:r>
      <w:r w:rsidRPr="008A6C55">
        <w:t xml:space="preserve"> </w:t>
      </w:r>
      <w:r w:rsidRPr="008A6C55">
        <w:tab/>
        <w:t xml:space="preserve">Hans </w:t>
      </w:r>
      <w:proofErr w:type="spellStart"/>
      <w:r w:rsidRPr="008A6C55">
        <w:t>Jarle</w:t>
      </w:r>
      <w:proofErr w:type="spellEnd"/>
      <w:r w:rsidRPr="008A6C55">
        <w:t xml:space="preserve"> Kind and Marko </w:t>
      </w:r>
      <w:proofErr w:type="spellStart"/>
      <w:r w:rsidRPr="008A6C55">
        <w:t>Koethenburger</w:t>
      </w:r>
      <w:proofErr w:type="spellEnd"/>
      <w:r w:rsidRPr="008A6C55">
        <w:t xml:space="preserve">, supra </w:t>
      </w:r>
      <w:r w:rsidRPr="008A6C55">
        <w:fldChar w:fldCharType="begin"/>
      </w:r>
      <w:r w:rsidRPr="008A6C55">
        <w:instrText xml:space="preserve"> NOTEREF _Ref534028048 \h </w:instrText>
      </w:r>
      <w:r w:rsidRPr="008A6C55">
        <w:fldChar w:fldCharType="separate"/>
      </w:r>
      <w:r w:rsidR="00E30D71">
        <w:t>24</w:t>
      </w:r>
      <w:r w:rsidRPr="008A6C55">
        <w:fldChar w:fldCharType="end"/>
      </w:r>
      <w:r w:rsidRPr="008A6C55">
        <w:t>, 23.</w:t>
      </w:r>
    </w:p>
  </w:footnote>
  <w:footnote w:id="27">
    <w:p w:rsidR="00B17FA0" w:rsidRPr="008A6C55" w:rsidRDefault="00B17FA0">
      <w:pPr>
        <w:pStyle w:val="FootnoteText"/>
      </w:pPr>
      <w:r w:rsidRPr="008A6C55">
        <w:rPr>
          <w:rStyle w:val="FootnoteReference"/>
        </w:rPr>
        <w:footnoteRef/>
      </w:r>
      <w:r w:rsidRPr="008A6C55">
        <w:t xml:space="preserve"> </w:t>
      </w:r>
      <w:r w:rsidRPr="008A6C55">
        <w:tab/>
        <w:t xml:space="preserve">Hans </w:t>
      </w:r>
      <w:proofErr w:type="spellStart"/>
      <w:r w:rsidRPr="008A6C55">
        <w:t>Jarle</w:t>
      </w:r>
      <w:proofErr w:type="spellEnd"/>
      <w:r w:rsidRPr="008A6C55">
        <w:t xml:space="preserve"> Kind and Marko </w:t>
      </w:r>
      <w:proofErr w:type="spellStart"/>
      <w:r w:rsidRPr="008A6C55">
        <w:t>Koethenburger</w:t>
      </w:r>
      <w:proofErr w:type="spellEnd"/>
      <w:r w:rsidRPr="008A6C55">
        <w:t xml:space="preserve">, supra </w:t>
      </w:r>
      <w:r w:rsidRPr="008A6C55">
        <w:fldChar w:fldCharType="begin"/>
      </w:r>
      <w:r w:rsidRPr="008A6C55">
        <w:instrText xml:space="preserve"> NOTEREF _Ref534028048 \h </w:instrText>
      </w:r>
      <w:r w:rsidRPr="008A6C55">
        <w:fldChar w:fldCharType="separate"/>
      </w:r>
      <w:r w:rsidR="00E30D71">
        <w:t>24</w:t>
      </w:r>
      <w:r w:rsidRPr="008A6C55">
        <w:fldChar w:fldCharType="end"/>
      </w:r>
      <w:r w:rsidRPr="008A6C55">
        <w:t>, 23.</w:t>
      </w:r>
    </w:p>
  </w:footnote>
  <w:footnote w:id="28">
    <w:p w:rsidR="00B17FA0" w:rsidRPr="008A6C55" w:rsidRDefault="00B17FA0" w:rsidP="005B433B">
      <w:pPr>
        <w:pStyle w:val="FootnoteText"/>
        <w:ind w:left="720" w:hanging="720"/>
      </w:pPr>
      <w:r w:rsidRPr="008A6C55">
        <w:rPr>
          <w:rStyle w:val="FootnoteReference"/>
        </w:rPr>
        <w:footnoteRef/>
      </w:r>
      <w:r w:rsidRPr="008A6C55">
        <w:tab/>
        <w:t xml:space="preserve">Opinion of the European Economic and Social Committee, supra </w:t>
      </w:r>
      <w:r w:rsidRPr="008A6C55">
        <w:fldChar w:fldCharType="begin"/>
      </w:r>
      <w:r w:rsidRPr="008A6C55">
        <w:instrText xml:space="preserve"> NOTEREF _Ref533679510 \h </w:instrText>
      </w:r>
      <w:r w:rsidRPr="008A6C55">
        <w:fldChar w:fldCharType="separate"/>
      </w:r>
      <w:r w:rsidR="00E30D71">
        <w:t>13</w:t>
      </w:r>
      <w:r w:rsidRPr="008A6C55">
        <w:fldChar w:fldCharType="end"/>
      </w:r>
      <w:r w:rsidRPr="008A6C55">
        <w:t>, [3.7].</w:t>
      </w:r>
    </w:p>
  </w:footnote>
  <w:footnote w:id="29">
    <w:p w:rsidR="00B17FA0" w:rsidRPr="008A6C55" w:rsidRDefault="00B17FA0" w:rsidP="00B53F83">
      <w:pPr>
        <w:pStyle w:val="FootnoteText"/>
      </w:pPr>
      <w:r w:rsidRPr="008A6C55">
        <w:rPr>
          <w:rStyle w:val="FootnoteReference"/>
        </w:rPr>
        <w:footnoteRef/>
      </w:r>
      <w:r w:rsidRPr="008A6C55">
        <w:t xml:space="preserve"> </w:t>
      </w:r>
      <w:r w:rsidRPr="008A6C55">
        <w:tab/>
        <w:t>The European Parliament, ‘European Parliament legislative resolution of 13 December 2018 on the proposal for a Council directive on the common system of a digital services tax on revenues resulting from the provision of certain digital services’</w:t>
      </w:r>
      <w:r>
        <w:t>, Amendment 2-3.</w:t>
      </w:r>
    </w:p>
  </w:footnote>
  <w:footnote w:id="30">
    <w:p w:rsidR="00B17FA0" w:rsidRPr="008A6C55" w:rsidRDefault="00B17FA0">
      <w:pPr>
        <w:pStyle w:val="FootnoteText"/>
        <w:rPr>
          <w:lang w:val="en-US"/>
        </w:rPr>
      </w:pPr>
      <w:r>
        <w:rPr>
          <w:rStyle w:val="FootnoteReference"/>
        </w:rPr>
        <w:footnoteRef/>
      </w:r>
      <w:r>
        <w:t xml:space="preserve"> </w:t>
      </w:r>
      <w:r>
        <w:rPr>
          <w:lang w:val="en-US"/>
        </w:rPr>
        <w:tab/>
      </w:r>
      <w:r w:rsidRPr="008A6C55">
        <w:t>The European Parliament</w:t>
      </w:r>
      <w:r>
        <w:t xml:space="preserve">, supra </w:t>
      </w:r>
      <w:r w:rsidR="000A643B">
        <w:fldChar w:fldCharType="begin"/>
      </w:r>
      <w:r w:rsidR="000A643B">
        <w:instrText xml:space="preserve"> NOTEREF _Ref407965765 \h </w:instrText>
      </w:r>
      <w:r w:rsidR="000A643B">
        <w:fldChar w:fldCharType="separate"/>
      </w:r>
      <w:r w:rsidR="00E30D71">
        <w:t>28</w:t>
      </w:r>
      <w:r w:rsidR="000A643B">
        <w:fldChar w:fldCharType="end"/>
      </w:r>
      <w:r>
        <w:t>, Amendment 37.</w:t>
      </w:r>
    </w:p>
  </w:footnote>
  <w:footnote w:id="31">
    <w:p w:rsidR="00B17FA0" w:rsidRPr="008A6C55" w:rsidRDefault="00B17FA0" w:rsidP="004079F7">
      <w:pPr>
        <w:pStyle w:val="FootnoteText"/>
      </w:pPr>
      <w:r w:rsidRPr="008A6C55">
        <w:rPr>
          <w:rStyle w:val="FootnoteReference"/>
        </w:rPr>
        <w:footnoteRef/>
      </w:r>
      <w:r w:rsidRPr="008A6C55">
        <w:t xml:space="preserve"> </w:t>
      </w:r>
      <w:r w:rsidRPr="008A6C55">
        <w:tab/>
        <w:t xml:space="preserve">Opinion of the European Economic and Social Committee, supra </w:t>
      </w:r>
      <w:r w:rsidRPr="008A6C55">
        <w:fldChar w:fldCharType="begin"/>
      </w:r>
      <w:r w:rsidRPr="008A6C55">
        <w:instrText xml:space="preserve"> NOTEREF _Ref533679510 \h </w:instrText>
      </w:r>
      <w:r w:rsidRPr="008A6C55">
        <w:fldChar w:fldCharType="separate"/>
      </w:r>
      <w:r w:rsidR="00E30D71">
        <w:t>13</w:t>
      </w:r>
      <w:r w:rsidRPr="008A6C55">
        <w:fldChar w:fldCharType="end"/>
      </w:r>
      <w:r w:rsidRPr="008A6C55">
        <w:t>, [3.14].</w:t>
      </w:r>
    </w:p>
  </w:footnote>
  <w:footnote w:id="32">
    <w:p w:rsidR="00B17FA0" w:rsidRDefault="00B17FA0">
      <w:pPr>
        <w:pStyle w:val="FootnoteText"/>
      </w:pPr>
      <w:r>
        <w:rPr>
          <w:rStyle w:val="FootnoteReference"/>
        </w:rPr>
        <w:footnoteRef/>
      </w:r>
      <w:r>
        <w:t xml:space="preserve"> </w:t>
      </w:r>
      <w:r>
        <w:tab/>
      </w:r>
      <w:r w:rsidRPr="008A6C55">
        <w:t xml:space="preserve">Opinion of the European Economic and Social Committee, supra </w:t>
      </w:r>
      <w:r w:rsidRPr="008A6C55">
        <w:fldChar w:fldCharType="begin"/>
      </w:r>
      <w:r w:rsidRPr="008A6C55">
        <w:instrText xml:space="preserve"> NOTEREF _Ref533679510 \h </w:instrText>
      </w:r>
      <w:r w:rsidRPr="008A6C55">
        <w:fldChar w:fldCharType="separate"/>
      </w:r>
      <w:r w:rsidR="00E30D71">
        <w:t>13</w:t>
      </w:r>
      <w:r w:rsidRPr="008A6C55">
        <w:fldChar w:fldCharType="end"/>
      </w:r>
      <w:r w:rsidRPr="008A6C55">
        <w:t>, [3.14].</w:t>
      </w:r>
    </w:p>
  </w:footnote>
  <w:footnote w:id="33">
    <w:p w:rsidR="00B17FA0" w:rsidRDefault="00B17FA0">
      <w:pPr>
        <w:pStyle w:val="FootnoteText"/>
      </w:pPr>
      <w:r>
        <w:rPr>
          <w:rStyle w:val="FootnoteReference"/>
        </w:rPr>
        <w:footnoteRef/>
      </w:r>
      <w:r>
        <w:t xml:space="preserve"> </w:t>
      </w:r>
      <w:r>
        <w:tab/>
      </w:r>
      <w:r w:rsidRPr="008A6C55">
        <w:t xml:space="preserve">Michael P. Devereux and John </w:t>
      </w:r>
      <w:proofErr w:type="spellStart"/>
      <w:r w:rsidRPr="008A6C55">
        <w:t>Vella</w:t>
      </w:r>
      <w:proofErr w:type="spellEnd"/>
      <w:r w:rsidRPr="008A6C55">
        <w:t xml:space="preserve">, supra </w:t>
      </w:r>
      <w:r w:rsidRPr="008A6C55">
        <w:fldChar w:fldCharType="begin"/>
      </w:r>
      <w:r w:rsidRPr="008A6C55">
        <w:instrText xml:space="preserve"> NOTEREF _Ref533694250 \h </w:instrText>
      </w:r>
      <w:r w:rsidRPr="008A6C55">
        <w:fldChar w:fldCharType="separate"/>
      </w:r>
      <w:r w:rsidR="00E30D71">
        <w:t>6</w:t>
      </w:r>
      <w:r w:rsidRPr="008A6C55">
        <w:fldChar w:fldCharType="end"/>
      </w:r>
      <w:r>
        <w:t>, 555.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5AC9"/>
    <w:multiLevelType w:val="hybridMultilevel"/>
    <w:tmpl w:val="192068FA"/>
    <w:lvl w:ilvl="0" w:tplc="D74615BA">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F70BE0"/>
    <w:multiLevelType w:val="hybridMultilevel"/>
    <w:tmpl w:val="521EC60A"/>
    <w:lvl w:ilvl="0" w:tplc="E20811C6">
      <w:start w:val="1"/>
      <w:numFmt w:val="decimal"/>
      <w:lvlText w:val="2.%1."/>
      <w:lvlJc w:val="left"/>
      <w:pPr>
        <w:ind w:left="1004" w:hanging="360"/>
      </w:pPr>
      <w:rPr>
        <w:rFonts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3E27DD"/>
    <w:multiLevelType w:val="hybridMultilevel"/>
    <w:tmpl w:val="360616EA"/>
    <w:lvl w:ilvl="0" w:tplc="645A2624">
      <w:start w:val="1"/>
      <w:numFmt w:val="decimal"/>
      <w:lvlText w:val="2.%1."/>
      <w:lvlJc w:val="left"/>
      <w:pPr>
        <w:ind w:left="720" w:hanging="360"/>
      </w:pPr>
      <w:rPr>
        <w:rFonts w:ascii="Times New Roman" w:hAnsi="Times New Roman" w:cs="Times New Roman" w:hint="default"/>
        <w:b/>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1B23E5"/>
    <w:multiLevelType w:val="multilevel"/>
    <w:tmpl w:val="0C7AE5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77582F"/>
    <w:multiLevelType w:val="hybridMultilevel"/>
    <w:tmpl w:val="50822306"/>
    <w:lvl w:ilvl="0" w:tplc="E74A8BB4">
      <w:start w:val="1"/>
      <w:numFmt w:val="decimal"/>
      <w:lvlText w:val="%1."/>
      <w:lvlJc w:val="left"/>
      <w:pPr>
        <w:ind w:left="720" w:hanging="360"/>
      </w:pPr>
      <w:rPr>
        <w:rFonts w:ascii="Times New Roman" w:hAnsi="Times New Roman" w:cs="Times New Roman" w:hint="default"/>
        <w:b/>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1C69BF"/>
    <w:multiLevelType w:val="hybridMultilevel"/>
    <w:tmpl w:val="2DB8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BE159A"/>
    <w:multiLevelType w:val="multilevel"/>
    <w:tmpl w:val="431E27AC"/>
    <w:lvl w:ilvl="0">
      <w:start w:val="1"/>
      <w:numFmt w:val="decimal"/>
      <w:lvlText w:val="%1."/>
      <w:lvlJc w:val="left"/>
      <w:pPr>
        <w:ind w:left="1930" w:hanging="283"/>
      </w:pPr>
      <w:rPr>
        <w:rFonts w:hint="default"/>
      </w:rPr>
    </w:lvl>
    <w:lvl w:ilvl="1">
      <w:start w:val="1"/>
      <w:numFmt w:val="decimal"/>
      <w:isLgl/>
      <w:lvlText w:val="%1.%2."/>
      <w:lvlJc w:val="left"/>
      <w:pPr>
        <w:ind w:left="236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2727" w:hanging="108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447" w:hanging="1800"/>
      </w:pPr>
      <w:rPr>
        <w:rFonts w:hint="default"/>
      </w:rPr>
    </w:lvl>
    <w:lvl w:ilvl="8">
      <w:start w:val="1"/>
      <w:numFmt w:val="decimal"/>
      <w:isLgl/>
      <w:lvlText w:val="%1.%2.%3.%4.%5.%6.%7.%8.%9."/>
      <w:lvlJc w:val="left"/>
      <w:pPr>
        <w:ind w:left="3807" w:hanging="2160"/>
      </w:pPr>
      <w:rPr>
        <w:rFonts w:hint="default"/>
      </w:rPr>
    </w:lvl>
  </w:abstractNum>
  <w:abstractNum w:abstractNumId="7">
    <w:nsid w:val="4AB24ADB"/>
    <w:multiLevelType w:val="hybridMultilevel"/>
    <w:tmpl w:val="A6127228"/>
    <w:lvl w:ilvl="0" w:tplc="F964355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375CD2"/>
    <w:multiLevelType w:val="hybridMultilevel"/>
    <w:tmpl w:val="4CB41EFC"/>
    <w:lvl w:ilvl="0" w:tplc="120E00D8">
      <w:start w:val="1"/>
      <w:numFmt w:val="decimal"/>
      <w:lvlText w:val="3.%1."/>
      <w:lvlJc w:val="left"/>
      <w:pPr>
        <w:ind w:left="720" w:hanging="360"/>
      </w:pPr>
      <w:rPr>
        <w:rFonts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00903F5"/>
    <w:multiLevelType w:val="hybridMultilevel"/>
    <w:tmpl w:val="1800202C"/>
    <w:lvl w:ilvl="0" w:tplc="E27A197A">
      <w:start w:val="1"/>
      <w:numFmt w:val="decimal"/>
      <w:lvlText w:val="3.%1."/>
      <w:lvlJc w:val="left"/>
      <w:pPr>
        <w:ind w:left="720" w:hanging="360"/>
      </w:pPr>
      <w:rPr>
        <w:rFonts w:hint="default"/>
        <w:b/>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1CC5E7D"/>
    <w:multiLevelType w:val="hybridMultilevel"/>
    <w:tmpl w:val="CFB608BA"/>
    <w:lvl w:ilvl="0" w:tplc="B562F4B0">
      <w:start w:val="1"/>
      <w:numFmt w:val="decimal"/>
      <w:lvlText w:val="%1."/>
      <w:lvlJc w:val="left"/>
      <w:pPr>
        <w:ind w:left="720" w:hanging="360"/>
      </w:pPr>
      <w:rPr>
        <w:rFonts w:hint="default"/>
        <w:b/>
        <w:i w:val="0"/>
        <w:strike w:val="0"/>
        <w:dstrike w:val="0"/>
        <w:color w:val="000000"/>
        <w:sz w:val="24"/>
        <w:szCs w:val="24"/>
        <w:u w:val="none" w:color="000000"/>
        <w:vertAlign w:val="baseline"/>
      </w:rPr>
    </w:lvl>
    <w:lvl w:ilvl="1" w:tplc="3BA2418A">
      <w:start w:val="1"/>
      <w:numFmt w:val="lowerLetter"/>
      <w:lvlText w:val="(%2)"/>
      <w:lvlJc w:val="left"/>
      <w:pPr>
        <w:ind w:left="1470" w:hanging="39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8"/>
  </w:num>
  <w:num w:numId="5">
    <w:abstractNumId w:val="1"/>
  </w:num>
  <w:num w:numId="6">
    <w:abstractNumId w:val="0"/>
  </w:num>
  <w:num w:numId="7">
    <w:abstractNumId w:val="4"/>
  </w:num>
  <w:num w:numId="8">
    <w:abstractNumId w:val="2"/>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i-FI"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C31"/>
    <w:rsid w:val="000067CC"/>
    <w:rsid w:val="000135E7"/>
    <w:rsid w:val="00013F2C"/>
    <w:rsid w:val="00014772"/>
    <w:rsid w:val="00017307"/>
    <w:rsid w:val="00023EDE"/>
    <w:rsid w:val="000351E9"/>
    <w:rsid w:val="00035E0D"/>
    <w:rsid w:val="00036D99"/>
    <w:rsid w:val="00055BB3"/>
    <w:rsid w:val="00062631"/>
    <w:rsid w:val="00064D2E"/>
    <w:rsid w:val="00066486"/>
    <w:rsid w:val="00077E9E"/>
    <w:rsid w:val="00080BC4"/>
    <w:rsid w:val="00083B42"/>
    <w:rsid w:val="0008449B"/>
    <w:rsid w:val="0008506E"/>
    <w:rsid w:val="000864E0"/>
    <w:rsid w:val="00086F69"/>
    <w:rsid w:val="00093E71"/>
    <w:rsid w:val="00095326"/>
    <w:rsid w:val="00097944"/>
    <w:rsid w:val="000A0EB3"/>
    <w:rsid w:val="000A13DE"/>
    <w:rsid w:val="000A592C"/>
    <w:rsid w:val="000A5DA7"/>
    <w:rsid w:val="000A643B"/>
    <w:rsid w:val="000A7950"/>
    <w:rsid w:val="000A7A90"/>
    <w:rsid w:val="000B1A45"/>
    <w:rsid w:val="000C0FE7"/>
    <w:rsid w:val="000C4629"/>
    <w:rsid w:val="000C6C50"/>
    <w:rsid w:val="000D1ABE"/>
    <w:rsid w:val="000D3F63"/>
    <w:rsid w:val="000D481C"/>
    <w:rsid w:val="000E42F7"/>
    <w:rsid w:val="000E4978"/>
    <w:rsid w:val="000F0082"/>
    <w:rsid w:val="000F00B5"/>
    <w:rsid w:val="000F3069"/>
    <w:rsid w:val="00106512"/>
    <w:rsid w:val="0010790D"/>
    <w:rsid w:val="00111F71"/>
    <w:rsid w:val="00113130"/>
    <w:rsid w:val="001133F3"/>
    <w:rsid w:val="001206A8"/>
    <w:rsid w:val="00121AAA"/>
    <w:rsid w:val="00125B6F"/>
    <w:rsid w:val="00125B8F"/>
    <w:rsid w:val="00125FC9"/>
    <w:rsid w:val="00126F0F"/>
    <w:rsid w:val="001308F8"/>
    <w:rsid w:val="001340E0"/>
    <w:rsid w:val="0014041B"/>
    <w:rsid w:val="00145C0D"/>
    <w:rsid w:val="00146B07"/>
    <w:rsid w:val="00147460"/>
    <w:rsid w:val="0014789C"/>
    <w:rsid w:val="00147AE1"/>
    <w:rsid w:val="00156F5D"/>
    <w:rsid w:val="0016017D"/>
    <w:rsid w:val="0016034C"/>
    <w:rsid w:val="001632DC"/>
    <w:rsid w:val="00166A49"/>
    <w:rsid w:val="00180E92"/>
    <w:rsid w:val="00182273"/>
    <w:rsid w:val="00183DD2"/>
    <w:rsid w:val="00183FE3"/>
    <w:rsid w:val="00191B44"/>
    <w:rsid w:val="00197A4B"/>
    <w:rsid w:val="001A1019"/>
    <w:rsid w:val="001A1A4C"/>
    <w:rsid w:val="001A3D9E"/>
    <w:rsid w:val="001A733B"/>
    <w:rsid w:val="001B6856"/>
    <w:rsid w:val="001C0AF8"/>
    <w:rsid w:val="001C3500"/>
    <w:rsid w:val="001C42E3"/>
    <w:rsid w:val="001C735F"/>
    <w:rsid w:val="001D19A6"/>
    <w:rsid w:val="001D4E73"/>
    <w:rsid w:val="001D6192"/>
    <w:rsid w:val="001E0411"/>
    <w:rsid w:val="001E6C01"/>
    <w:rsid w:val="001F6A82"/>
    <w:rsid w:val="00200EC9"/>
    <w:rsid w:val="00205494"/>
    <w:rsid w:val="00212586"/>
    <w:rsid w:val="002153C2"/>
    <w:rsid w:val="0021616B"/>
    <w:rsid w:val="002331B4"/>
    <w:rsid w:val="00235134"/>
    <w:rsid w:val="00236D21"/>
    <w:rsid w:val="00241435"/>
    <w:rsid w:val="0024558E"/>
    <w:rsid w:val="00253564"/>
    <w:rsid w:val="002535B2"/>
    <w:rsid w:val="0025696B"/>
    <w:rsid w:val="00261EE1"/>
    <w:rsid w:val="00262B4D"/>
    <w:rsid w:val="0026402C"/>
    <w:rsid w:val="002642AE"/>
    <w:rsid w:val="00266693"/>
    <w:rsid w:val="00273E5F"/>
    <w:rsid w:val="002761DF"/>
    <w:rsid w:val="002848D1"/>
    <w:rsid w:val="00296C61"/>
    <w:rsid w:val="002A2B00"/>
    <w:rsid w:val="002A5AD3"/>
    <w:rsid w:val="002A62A3"/>
    <w:rsid w:val="002A7516"/>
    <w:rsid w:val="002A772E"/>
    <w:rsid w:val="002B19D6"/>
    <w:rsid w:val="002B29E9"/>
    <w:rsid w:val="002B486F"/>
    <w:rsid w:val="002C3B2C"/>
    <w:rsid w:val="002C671E"/>
    <w:rsid w:val="002D0B35"/>
    <w:rsid w:val="002D4A19"/>
    <w:rsid w:val="002E277C"/>
    <w:rsid w:val="002F2DD5"/>
    <w:rsid w:val="0030327F"/>
    <w:rsid w:val="00303697"/>
    <w:rsid w:val="00304896"/>
    <w:rsid w:val="00304C35"/>
    <w:rsid w:val="003139EA"/>
    <w:rsid w:val="00313FB2"/>
    <w:rsid w:val="00316246"/>
    <w:rsid w:val="003179C7"/>
    <w:rsid w:val="00323812"/>
    <w:rsid w:val="00325266"/>
    <w:rsid w:val="00327DA1"/>
    <w:rsid w:val="003357E9"/>
    <w:rsid w:val="00336130"/>
    <w:rsid w:val="003400D3"/>
    <w:rsid w:val="003402F4"/>
    <w:rsid w:val="00344093"/>
    <w:rsid w:val="00346274"/>
    <w:rsid w:val="003465E7"/>
    <w:rsid w:val="0034748A"/>
    <w:rsid w:val="003534F2"/>
    <w:rsid w:val="00354D79"/>
    <w:rsid w:val="003567C4"/>
    <w:rsid w:val="003606E7"/>
    <w:rsid w:val="00360A46"/>
    <w:rsid w:val="00361CE6"/>
    <w:rsid w:val="00373978"/>
    <w:rsid w:val="00373DA1"/>
    <w:rsid w:val="00377518"/>
    <w:rsid w:val="00377E4C"/>
    <w:rsid w:val="00393F97"/>
    <w:rsid w:val="003A06E1"/>
    <w:rsid w:val="003A1FD3"/>
    <w:rsid w:val="003A2FF4"/>
    <w:rsid w:val="003A795B"/>
    <w:rsid w:val="003B0473"/>
    <w:rsid w:val="003B06AA"/>
    <w:rsid w:val="003B1904"/>
    <w:rsid w:val="003B2536"/>
    <w:rsid w:val="003B6EB7"/>
    <w:rsid w:val="003B761F"/>
    <w:rsid w:val="003C2771"/>
    <w:rsid w:val="003C2AC0"/>
    <w:rsid w:val="003C315A"/>
    <w:rsid w:val="003D076A"/>
    <w:rsid w:val="003D6AE8"/>
    <w:rsid w:val="003E587A"/>
    <w:rsid w:val="003E7679"/>
    <w:rsid w:val="003F0575"/>
    <w:rsid w:val="003F54F7"/>
    <w:rsid w:val="00403A90"/>
    <w:rsid w:val="00404695"/>
    <w:rsid w:val="004059FC"/>
    <w:rsid w:val="004066B3"/>
    <w:rsid w:val="004079F7"/>
    <w:rsid w:val="00410691"/>
    <w:rsid w:val="00412537"/>
    <w:rsid w:val="00423D20"/>
    <w:rsid w:val="00427FB4"/>
    <w:rsid w:val="00432A8C"/>
    <w:rsid w:val="00433E00"/>
    <w:rsid w:val="00437689"/>
    <w:rsid w:val="0044204C"/>
    <w:rsid w:val="00443BA5"/>
    <w:rsid w:val="00444124"/>
    <w:rsid w:val="00445D9C"/>
    <w:rsid w:val="00446011"/>
    <w:rsid w:val="00463908"/>
    <w:rsid w:val="0046416E"/>
    <w:rsid w:val="00464DAC"/>
    <w:rsid w:val="00466669"/>
    <w:rsid w:val="00470FFF"/>
    <w:rsid w:val="0047527C"/>
    <w:rsid w:val="004936C6"/>
    <w:rsid w:val="004A6E6B"/>
    <w:rsid w:val="004B1D3A"/>
    <w:rsid w:val="004B5F44"/>
    <w:rsid w:val="004C28DE"/>
    <w:rsid w:val="004C350C"/>
    <w:rsid w:val="004D1BCB"/>
    <w:rsid w:val="004D4637"/>
    <w:rsid w:val="004E49AA"/>
    <w:rsid w:val="004E5D27"/>
    <w:rsid w:val="004E63CB"/>
    <w:rsid w:val="004F02CD"/>
    <w:rsid w:val="004F31C7"/>
    <w:rsid w:val="004F3B72"/>
    <w:rsid w:val="0050171E"/>
    <w:rsid w:val="00504FAC"/>
    <w:rsid w:val="00505641"/>
    <w:rsid w:val="00505A50"/>
    <w:rsid w:val="00520221"/>
    <w:rsid w:val="00531423"/>
    <w:rsid w:val="00531E5B"/>
    <w:rsid w:val="00543333"/>
    <w:rsid w:val="00550687"/>
    <w:rsid w:val="00550E94"/>
    <w:rsid w:val="00552F3E"/>
    <w:rsid w:val="00555684"/>
    <w:rsid w:val="00560391"/>
    <w:rsid w:val="00567D33"/>
    <w:rsid w:val="00571C90"/>
    <w:rsid w:val="005747B4"/>
    <w:rsid w:val="00575F41"/>
    <w:rsid w:val="00583E61"/>
    <w:rsid w:val="005851D1"/>
    <w:rsid w:val="005858F1"/>
    <w:rsid w:val="00586CC7"/>
    <w:rsid w:val="005965B4"/>
    <w:rsid w:val="00596EB7"/>
    <w:rsid w:val="005A3B3C"/>
    <w:rsid w:val="005A5E97"/>
    <w:rsid w:val="005A78CC"/>
    <w:rsid w:val="005B433B"/>
    <w:rsid w:val="005C3349"/>
    <w:rsid w:val="005C4A2C"/>
    <w:rsid w:val="005C4BF7"/>
    <w:rsid w:val="005D0CD0"/>
    <w:rsid w:val="005D2E4E"/>
    <w:rsid w:val="005D4612"/>
    <w:rsid w:val="005D6ABF"/>
    <w:rsid w:val="005D6CC9"/>
    <w:rsid w:val="005E1632"/>
    <w:rsid w:val="005E6565"/>
    <w:rsid w:val="005F2461"/>
    <w:rsid w:val="005F28EE"/>
    <w:rsid w:val="005F3D21"/>
    <w:rsid w:val="005F778A"/>
    <w:rsid w:val="006104E8"/>
    <w:rsid w:val="00611801"/>
    <w:rsid w:val="00611D67"/>
    <w:rsid w:val="00611F8F"/>
    <w:rsid w:val="006124A8"/>
    <w:rsid w:val="00617573"/>
    <w:rsid w:val="0062115E"/>
    <w:rsid w:val="006271B6"/>
    <w:rsid w:val="0063278F"/>
    <w:rsid w:val="006365C2"/>
    <w:rsid w:val="006418D7"/>
    <w:rsid w:val="00642A37"/>
    <w:rsid w:val="00646C33"/>
    <w:rsid w:val="00655B49"/>
    <w:rsid w:val="00665974"/>
    <w:rsid w:val="00675223"/>
    <w:rsid w:val="00676B8D"/>
    <w:rsid w:val="00682C36"/>
    <w:rsid w:val="006866B0"/>
    <w:rsid w:val="00691C34"/>
    <w:rsid w:val="00691E6C"/>
    <w:rsid w:val="00692208"/>
    <w:rsid w:val="00692892"/>
    <w:rsid w:val="00692B2C"/>
    <w:rsid w:val="00692CEE"/>
    <w:rsid w:val="006A0687"/>
    <w:rsid w:val="006A0E74"/>
    <w:rsid w:val="006A798C"/>
    <w:rsid w:val="006B1569"/>
    <w:rsid w:val="006B5E20"/>
    <w:rsid w:val="006B6C5E"/>
    <w:rsid w:val="006C5B0F"/>
    <w:rsid w:val="006D3A24"/>
    <w:rsid w:val="006D665D"/>
    <w:rsid w:val="006D6D33"/>
    <w:rsid w:val="006E1722"/>
    <w:rsid w:val="006F6D51"/>
    <w:rsid w:val="00700CFE"/>
    <w:rsid w:val="00702A8E"/>
    <w:rsid w:val="00703B7B"/>
    <w:rsid w:val="00704905"/>
    <w:rsid w:val="00707B36"/>
    <w:rsid w:val="00713A89"/>
    <w:rsid w:val="007167DE"/>
    <w:rsid w:val="00721ACB"/>
    <w:rsid w:val="00722ED3"/>
    <w:rsid w:val="00724630"/>
    <w:rsid w:val="00724DA3"/>
    <w:rsid w:val="00726031"/>
    <w:rsid w:val="007423C2"/>
    <w:rsid w:val="0074488A"/>
    <w:rsid w:val="0074657D"/>
    <w:rsid w:val="00750508"/>
    <w:rsid w:val="007575AB"/>
    <w:rsid w:val="00771762"/>
    <w:rsid w:val="007756C6"/>
    <w:rsid w:val="00784C95"/>
    <w:rsid w:val="007A44F2"/>
    <w:rsid w:val="007A6DB7"/>
    <w:rsid w:val="007B0197"/>
    <w:rsid w:val="007C322E"/>
    <w:rsid w:val="007D017C"/>
    <w:rsid w:val="007D1DC4"/>
    <w:rsid w:val="007E0006"/>
    <w:rsid w:val="007E0B25"/>
    <w:rsid w:val="007E44B7"/>
    <w:rsid w:val="007F0DA5"/>
    <w:rsid w:val="007F28CB"/>
    <w:rsid w:val="007F6177"/>
    <w:rsid w:val="00800999"/>
    <w:rsid w:val="00803175"/>
    <w:rsid w:val="00804024"/>
    <w:rsid w:val="00804F51"/>
    <w:rsid w:val="008127B7"/>
    <w:rsid w:val="00812FFF"/>
    <w:rsid w:val="00814820"/>
    <w:rsid w:val="00820091"/>
    <w:rsid w:val="008204F9"/>
    <w:rsid w:val="0082289F"/>
    <w:rsid w:val="00833D0A"/>
    <w:rsid w:val="00841A13"/>
    <w:rsid w:val="00843015"/>
    <w:rsid w:val="00844D08"/>
    <w:rsid w:val="00850BD1"/>
    <w:rsid w:val="0085281B"/>
    <w:rsid w:val="00853234"/>
    <w:rsid w:val="00864F12"/>
    <w:rsid w:val="0086724F"/>
    <w:rsid w:val="008710EC"/>
    <w:rsid w:val="0088258F"/>
    <w:rsid w:val="00886384"/>
    <w:rsid w:val="00887E4C"/>
    <w:rsid w:val="0089087A"/>
    <w:rsid w:val="00891D17"/>
    <w:rsid w:val="008930C7"/>
    <w:rsid w:val="008932BA"/>
    <w:rsid w:val="008938D1"/>
    <w:rsid w:val="00894393"/>
    <w:rsid w:val="008A2763"/>
    <w:rsid w:val="008A3627"/>
    <w:rsid w:val="008A6C55"/>
    <w:rsid w:val="008B0AE1"/>
    <w:rsid w:val="008B25D1"/>
    <w:rsid w:val="008B2785"/>
    <w:rsid w:val="008C3F71"/>
    <w:rsid w:val="008D0114"/>
    <w:rsid w:val="008D41E9"/>
    <w:rsid w:val="008D5A1A"/>
    <w:rsid w:val="008E583E"/>
    <w:rsid w:val="008E6811"/>
    <w:rsid w:val="008E77B9"/>
    <w:rsid w:val="00903BCA"/>
    <w:rsid w:val="009129F0"/>
    <w:rsid w:val="00912AC4"/>
    <w:rsid w:val="00917500"/>
    <w:rsid w:val="00920939"/>
    <w:rsid w:val="0092177E"/>
    <w:rsid w:val="0092324F"/>
    <w:rsid w:val="00932CE4"/>
    <w:rsid w:val="0093477A"/>
    <w:rsid w:val="009367CC"/>
    <w:rsid w:val="0093795D"/>
    <w:rsid w:val="00942BD9"/>
    <w:rsid w:val="00950CD0"/>
    <w:rsid w:val="00954C53"/>
    <w:rsid w:val="00960843"/>
    <w:rsid w:val="009630B5"/>
    <w:rsid w:val="009651BA"/>
    <w:rsid w:val="00967034"/>
    <w:rsid w:val="00971ABD"/>
    <w:rsid w:val="009770A5"/>
    <w:rsid w:val="009867CE"/>
    <w:rsid w:val="00993968"/>
    <w:rsid w:val="009978AA"/>
    <w:rsid w:val="009A3360"/>
    <w:rsid w:val="009B4C31"/>
    <w:rsid w:val="009D078A"/>
    <w:rsid w:val="009D1C68"/>
    <w:rsid w:val="009D2683"/>
    <w:rsid w:val="009D3DB6"/>
    <w:rsid w:val="009E618C"/>
    <w:rsid w:val="009E77A7"/>
    <w:rsid w:val="00A0138A"/>
    <w:rsid w:val="00A12774"/>
    <w:rsid w:val="00A138CA"/>
    <w:rsid w:val="00A14C0B"/>
    <w:rsid w:val="00A21531"/>
    <w:rsid w:val="00A25AB9"/>
    <w:rsid w:val="00A3024D"/>
    <w:rsid w:val="00A42DB3"/>
    <w:rsid w:val="00A462AC"/>
    <w:rsid w:val="00A568A9"/>
    <w:rsid w:val="00A616BF"/>
    <w:rsid w:val="00A65476"/>
    <w:rsid w:val="00A65CC0"/>
    <w:rsid w:val="00A67020"/>
    <w:rsid w:val="00A70124"/>
    <w:rsid w:val="00A75A54"/>
    <w:rsid w:val="00A815BB"/>
    <w:rsid w:val="00A81F7C"/>
    <w:rsid w:val="00A830A6"/>
    <w:rsid w:val="00A83FBE"/>
    <w:rsid w:val="00A86AD0"/>
    <w:rsid w:val="00A90305"/>
    <w:rsid w:val="00A916BD"/>
    <w:rsid w:val="00A93CD9"/>
    <w:rsid w:val="00A95474"/>
    <w:rsid w:val="00AA134B"/>
    <w:rsid w:val="00AB2BB4"/>
    <w:rsid w:val="00AB2D8E"/>
    <w:rsid w:val="00AB3490"/>
    <w:rsid w:val="00AC2341"/>
    <w:rsid w:val="00AC508A"/>
    <w:rsid w:val="00AD7E11"/>
    <w:rsid w:val="00AD7E19"/>
    <w:rsid w:val="00AF0342"/>
    <w:rsid w:val="00AF1C3E"/>
    <w:rsid w:val="00AF4C73"/>
    <w:rsid w:val="00AF4E11"/>
    <w:rsid w:val="00B00580"/>
    <w:rsid w:val="00B00707"/>
    <w:rsid w:val="00B0157D"/>
    <w:rsid w:val="00B06E3B"/>
    <w:rsid w:val="00B12512"/>
    <w:rsid w:val="00B1351F"/>
    <w:rsid w:val="00B16D8D"/>
    <w:rsid w:val="00B17FA0"/>
    <w:rsid w:val="00B269B1"/>
    <w:rsid w:val="00B26ADA"/>
    <w:rsid w:val="00B26C28"/>
    <w:rsid w:val="00B273FC"/>
    <w:rsid w:val="00B33B8E"/>
    <w:rsid w:val="00B3772F"/>
    <w:rsid w:val="00B45B08"/>
    <w:rsid w:val="00B45C6F"/>
    <w:rsid w:val="00B531AE"/>
    <w:rsid w:val="00B53F83"/>
    <w:rsid w:val="00B65FD8"/>
    <w:rsid w:val="00B701E7"/>
    <w:rsid w:val="00B706AE"/>
    <w:rsid w:val="00B707C7"/>
    <w:rsid w:val="00B71822"/>
    <w:rsid w:val="00B73468"/>
    <w:rsid w:val="00B75C0A"/>
    <w:rsid w:val="00B824C9"/>
    <w:rsid w:val="00B921F2"/>
    <w:rsid w:val="00B93B87"/>
    <w:rsid w:val="00B969D7"/>
    <w:rsid w:val="00B97164"/>
    <w:rsid w:val="00B977B7"/>
    <w:rsid w:val="00BB1ED4"/>
    <w:rsid w:val="00BC12B3"/>
    <w:rsid w:val="00BC33F3"/>
    <w:rsid w:val="00BC4146"/>
    <w:rsid w:val="00BD732E"/>
    <w:rsid w:val="00BE3999"/>
    <w:rsid w:val="00BE3A4F"/>
    <w:rsid w:val="00BE62AB"/>
    <w:rsid w:val="00BF28ED"/>
    <w:rsid w:val="00BF2902"/>
    <w:rsid w:val="00BF3DDB"/>
    <w:rsid w:val="00BF5A11"/>
    <w:rsid w:val="00C050D8"/>
    <w:rsid w:val="00C243D3"/>
    <w:rsid w:val="00C30894"/>
    <w:rsid w:val="00C341E6"/>
    <w:rsid w:val="00C37C2D"/>
    <w:rsid w:val="00C44232"/>
    <w:rsid w:val="00C47FC0"/>
    <w:rsid w:val="00C509D9"/>
    <w:rsid w:val="00C52E2E"/>
    <w:rsid w:val="00C57E44"/>
    <w:rsid w:val="00C6550D"/>
    <w:rsid w:val="00C67060"/>
    <w:rsid w:val="00C7137A"/>
    <w:rsid w:val="00C72EC0"/>
    <w:rsid w:val="00C807F3"/>
    <w:rsid w:val="00C819F1"/>
    <w:rsid w:val="00C84B0D"/>
    <w:rsid w:val="00C86F75"/>
    <w:rsid w:val="00C9064D"/>
    <w:rsid w:val="00C92375"/>
    <w:rsid w:val="00CA47D5"/>
    <w:rsid w:val="00CA5ED9"/>
    <w:rsid w:val="00CB3DC0"/>
    <w:rsid w:val="00CB5C1D"/>
    <w:rsid w:val="00CC03AC"/>
    <w:rsid w:val="00CC4277"/>
    <w:rsid w:val="00CC656D"/>
    <w:rsid w:val="00CD05EC"/>
    <w:rsid w:val="00CD06F6"/>
    <w:rsid w:val="00CD15C4"/>
    <w:rsid w:val="00CE77C7"/>
    <w:rsid w:val="00CF27E1"/>
    <w:rsid w:val="00CF5521"/>
    <w:rsid w:val="00D04FC1"/>
    <w:rsid w:val="00D07F5E"/>
    <w:rsid w:val="00D10CD9"/>
    <w:rsid w:val="00D1235A"/>
    <w:rsid w:val="00D1597F"/>
    <w:rsid w:val="00D16C04"/>
    <w:rsid w:val="00D23BF7"/>
    <w:rsid w:val="00D26ADF"/>
    <w:rsid w:val="00D30A16"/>
    <w:rsid w:val="00D35DD5"/>
    <w:rsid w:val="00D40E2A"/>
    <w:rsid w:val="00D4308A"/>
    <w:rsid w:val="00D431DA"/>
    <w:rsid w:val="00D508EB"/>
    <w:rsid w:val="00D540D3"/>
    <w:rsid w:val="00D55947"/>
    <w:rsid w:val="00D6481C"/>
    <w:rsid w:val="00D672ED"/>
    <w:rsid w:val="00D67DE6"/>
    <w:rsid w:val="00D73EE2"/>
    <w:rsid w:val="00D75A4B"/>
    <w:rsid w:val="00D77459"/>
    <w:rsid w:val="00D80231"/>
    <w:rsid w:val="00D83171"/>
    <w:rsid w:val="00D835EE"/>
    <w:rsid w:val="00D84827"/>
    <w:rsid w:val="00D84C5C"/>
    <w:rsid w:val="00D91BAF"/>
    <w:rsid w:val="00D94B69"/>
    <w:rsid w:val="00DA4091"/>
    <w:rsid w:val="00DA4126"/>
    <w:rsid w:val="00DA7B2C"/>
    <w:rsid w:val="00DB0356"/>
    <w:rsid w:val="00DB55B7"/>
    <w:rsid w:val="00DC0BB0"/>
    <w:rsid w:val="00DC165C"/>
    <w:rsid w:val="00DC515E"/>
    <w:rsid w:val="00DD1B1C"/>
    <w:rsid w:val="00DD4456"/>
    <w:rsid w:val="00DD7409"/>
    <w:rsid w:val="00DE33CE"/>
    <w:rsid w:val="00DE3EFE"/>
    <w:rsid w:val="00DE55F8"/>
    <w:rsid w:val="00DF7137"/>
    <w:rsid w:val="00E0089B"/>
    <w:rsid w:val="00E04006"/>
    <w:rsid w:val="00E06EB6"/>
    <w:rsid w:val="00E116A8"/>
    <w:rsid w:val="00E21BCF"/>
    <w:rsid w:val="00E254E4"/>
    <w:rsid w:val="00E30D71"/>
    <w:rsid w:val="00E348E3"/>
    <w:rsid w:val="00E34D22"/>
    <w:rsid w:val="00E35600"/>
    <w:rsid w:val="00E36651"/>
    <w:rsid w:val="00E40A3B"/>
    <w:rsid w:val="00E41C3D"/>
    <w:rsid w:val="00E4362F"/>
    <w:rsid w:val="00E44383"/>
    <w:rsid w:val="00E46C4C"/>
    <w:rsid w:val="00E50038"/>
    <w:rsid w:val="00E52D89"/>
    <w:rsid w:val="00E60305"/>
    <w:rsid w:val="00E60E9A"/>
    <w:rsid w:val="00E71382"/>
    <w:rsid w:val="00E73645"/>
    <w:rsid w:val="00E75AE1"/>
    <w:rsid w:val="00E821B8"/>
    <w:rsid w:val="00E9589F"/>
    <w:rsid w:val="00EA3DFD"/>
    <w:rsid w:val="00EA50F8"/>
    <w:rsid w:val="00EA7AED"/>
    <w:rsid w:val="00EA7D8D"/>
    <w:rsid w:val="00EC0365"/>
    <w:rsid w:val="00EC3EBC"/>
    <w:rsid w:val="00EC5AAD"/>
    <w:rsid w:val="00ED0F47"/>
    <w:rsid w:val="00ED4891"/>
    <w:rsid w:val="00EE0A40"/>
    <w:rsid w:val="00EE4A68"/>
    <w:rsid w:val="00EF0E6C"/>
    <w:rsid w:val="00EF1E6E"/>
    <w:rsid w:val="00F0026F"/>
    <w:rsid w:val="00F048C0"/>
    <w:rsid w:val="00F15C46"/>
    <w:rsid w:val="00F201C3"/>
    <w:rsid w:val="00F230EB"/>
    <w:rsid w:val="00F24B56"/>
    <w:rsid w:val="00F27914"/>
    <w:rsid w:val="00F545DE"/>
    <w:rsid w:val="00F57BAC"/>
    <w:rsid w:val="00F645AE"/>
    <w:rsid w:val="00F7293B"/>
    <w:rsid w:val="00F752B8"/>
    <w:rsid w:val="00F75AFF"/>
    <w:rsid w:val="00F76DE7"/>
    <w:rsid w:val="00F771E0"/>
    <w:rsid w:val="00F81055"/>
    <w:rsid w:val="00F8683B"/>
    <w:rsid w:val="00FA3124"/>
    <w:rsid w:val="00FA36F2"/>
    <w:rsid w:val="00FB17A3"/>
    <w:rsid w:val="00FC1C8C"/>
    <w:rsid w:val="00FC5A0A"/>
    <w:rsid w:val="00FC67EE"/>
    <w:rsid w:val="00FC74A9"/>
    <w:rsid w:val="00FD12D0"/>
    <w:rsid w:val="00FD1F50"/>
    <w:rsid w:val="00FD245C"/>
    <w:rsid w:val="00FD63F0"/>
    <w:rsid w:val="00FD7D5B"/>
    <w:rsid w:val="00FE2DF4"/>
    <w:rsid w:val="00FF4455"/>
    <w:rsid w:val="00FF6C3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D0E191-2803-1649-859D-6D62061A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1D1"/>
    <w:rPr>
      <w:lang w:val="en-US" w:eastAsia="en-US"/>
    </w:rPr>
  </w:style>
  <w:style w:type="paragraph" w:styleId="Heading1">
    <w:name w:val="heading 1"/>
    <w:basedOn w:val="Normal"/>
    <w:next w:val="Normal"/>
    <w:link w:val="Heading1Char"/>
    <w:rsid w:val="00156F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5851D1"/>
    <w:pPr>
      <w:keepNext/>
      <w:outlineLvl w:val="1"/>
    </w:pPr>
    <w:rPr>
      <w:rFonts w:ascii="Arial" w:hAnsi="Arial" w:cs="Arial"/>
      <w:b/>
      <w:bCs/>
      <w:lang w:val="en-GB"/>
    </w:rPr>
  </w:style>
  <w:style w:type="paragraph" w:styleId="Heading3">
    <w:name w:val="heading 3"/>
    <w:basedOn w:val="Normal"/>
    <w:next w:val="Normal"/>
    <w:qFormat/>
    <w:rsid w:val="005851D1"/>
    <w:pPr>
      <w:keepNext/>
      <w:jc w:val="center"/>
      <w:outlineLvl w:val="2"/>
    </w:pPr>
    <w:rPr>
      <w:rFonts w:ascii="Arial" w:hAnsi="Arial" w:cs="Arial"/>
      <w:b/>
      <w:bCs/>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75A54"/>
    <w:pPr>
      <w:tabs>
        <w:tab w:val="left" w:pos="284"/>
      </w:tabs>
      <w:ind w:left="284" w:hanging="284"/>
    </w:pPr>
    <w:rPr>
      <w:sz w:val="20"/>
      <w:szCs w:val="20"/>
      <w:lang w:val="en-GB" w:eastAsia="nl-NL"/>
    </w:rPr>
  </w:style>
  <w:style w:type="character" w:styleId="FootnoteReference">
    <w:name w:val="footnote reference"/>
    <w:basedOn w:val="DefaultParagraphFont"/>
    <w:uiPriority w:val="99"/>
    <w:rsid w:val="005851D1"/>
    <w:rPr>
      <w:vertAlign w:val="superscript"/>
    </w:rPr>
  </w:style>
  <w:style w:type="table" w:styleId="TableGrid">
    <w:name w:val="Table Grid"/>
    <w:basedOn w:val="TableNormal"/>
    <w:uiPriority w:val="59"/>
    <w:rsid w:val="00A65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5FD8"/>
    <w:pPr>
      <w:tabs>
        <w:tab w:val="center" w:pos="4680"/>
        <w:tab w:val="right" w:pos="9360"/>
      </w:tabs>
    </w:pPr>
  </w:style>
  <w:style w:type="character" w:customStyle="1" w:styleId="HeaderChar">
    <w:name w:val="Header Char"/>
    <w:basedOn w:val="DefaultParagraphFont"/>
    <w:link w:val="Header"/>
    <w:uiPriority w:val="99"/>
    <w:rsid w:val="00B65FD8"/>
    <w:rPr>
      <w:sz w:val="24"/>
      <w:szCs w:val="24"/>
    </w:rPr>
  </w:style>
  <w:style w:type="paragraph" w:styleId="Footer">
    <w:name w:val="footer"/>
    <w:basedOn w:val="Normal"/>
    <w:link w:val="FooterChar"/>
    <w:uiPriority w:val="99"/>
    <w:unhideWhenUsed/>
    <w:rsid w:val="00B65FD8"/>
    <w:pPr>
      <w:tabs>
        <w:tab w:val="center" w:pos="4680"/>
        <w:tab w:val="right" w:pos="9360"/>
      </w:tabs>
    </w:pPr>
  </w:style>
  <w:style w:type="character" w:customStyle="1" w:styleId="FooterChar">
    <w:name w:val="Footer Char"/>
    <w:basedOn w:val="DefaultParagraphFont"/>
    <w:link w:val="Footer"/>
    <w:uiPriority w:val="99"/>
    <w:rsid w:val="00B65FD8"/>
    <w:rPr>
      <w:sz w:val="24"/>
      <w:szCs w:val="24"/>
    </w:rPr>
  </w:style>
  <w:style w:type="character" w:styleId="CommentReference">
    <w:name w:val="annotation reference"/>
    <w:basedOn w:val="DefaultParagraphFont"/>
    <w:uiPriority w:val="99"/>
    <w:semiHidden/>
    <w:unhideWhenUsed/>
    <w:rsid w:val="00642A37"/>
    <w:rPr>
      <w:sz w:val="18"/>
      <w:szCs w:val="18"/>
    </w:rPr>
  </w:style>
  <w:style w:type="paragraph" w:styleId="CommentText">
    <w:name w:val="annotation text"/>
    <w:basedOn w:val="Normal"/>
    <w:link w:val="CommentTextChar"/>
    <w:uiPriority w:val="99"/>
    <w:semiHidden/>
    <w:unhideWhenUsed/>
    <w:rsid w:val="00642A37"/>
  </w:style>
  <w:style w:type="character" w:customStyle="1" w:styleId="CommentTextChar">
    <w:name w:val="Comment Text Char"/>
    <w:basedOn w:val="DefaultParagraphFont"/>
    <w:link w:val="CommentText"/>
    <w:uiPriority w:val="99"/>
    <w:semiHidden/>
    <w:rsid w:val="00642A37"/>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642A37"/>
    <w:rPr>
      <w:b/>
      <w:bCs/>
      <w:sz w:val="20"/>
      <w:szCs w:val="20"/>
    </w:rPr>
  </w:style>
  <w:style w:type="character" w:customStyle="1" w:styleId="CommentSubjectChar">
    <w:name w:val="Comment Subject Char"/>
    <w:basedOn w:val="CommentTextChar"/>
    <w:link w:val="CommentSubject"/>
    <w:uiPriority w:val="99"/>
    <w:semiHidden/>
    <w:rsid w:val="00642A37"/>
    <w:rPr>
      <w:b/>
      <w:bCs/>
      <w:sz w:val="24"/>
      <w:szCs w:val="24"/>
      <w:lang w:val="en-US" w:eastAsia="en-US"/>
    </w:rPr>
  </w:style>
  <w:style w:type="paragraph" w:styleId="BalloonText">
    <w:name w:val="Balloon Text"/>
    <w:basedOn w:val="Normal"/>
    <w:link w:val="BalloonTextChar"/>
    <w:uiPriority w:val="99"/>
    <w:semiHidden/>
    <w:unhideWhenUsed/>
    <w:rsid w:val="00642A37"/>
    <w:rPr>
      <w:rFonts w:ascii="Lucida Grande" w:hAnsi="Lucida Grande"/>
      <w:sz w:val="18"/>
      <w:szCs w:val="18"/>
    </w:rPr>
  </w:style>
  <w:style w:type="character" w:customStyle="1" w:styleId="BalloonTextChar">
    <w:name w:val="Balloon Text Char"/>
    <w:basedOn w:val="DefaultParagraphFont"/>
    <w:link w:val="BalloonText"/>
    <w:uiPriority w:val="99"/>
    <w:semiHidden/>
    <w:rsid w:val="00642A37"/>
    <w:rPr>
      <w:rFonts w:ascii="Lucida Grande" w:hAnsi="Lucida Grande"/>
      <w:sz w:val="18"/>
      <w:szCs w:val="18"/>
      <w:lang w:val="en-US" w:eastAsia="en-US"/>
    </w:rPr>
  </w:style>
  <w:style w:type="paragraph" w:styleId="ListParagraph">
    <w:name w:val="List Paragraph"/>
    <w:basedOn w:val="Normal"/>
    <w:rsid w:val="003A06E1"/>
    <w:pPr>
      <w:ind w:left="720"/>
      <w:contextualSpacing/>
    </w:pPr>
  </w:style>
  <w:style w:type="character" w:customStyle="1" w:styleId="Heading1Char">
    <w:name w:val="Heading 1 Char"/>
    <w:basedOn w:val="DefaultParagraphFont"/>
    <w:link w:val="Heading1"/>
    <w:rsid w:val="00156F5D"/>
    <w:rPr>
      <w:rFonts w:asciiTheme="majorHAnsi" w:eastAsiaTheme="majorEastAsia" w:hAnsiTheme="majorHAnsi" w:cstheme="majorBidi"/>
      <w:color w:val="2E74B5" w:themeColor="accent1" w:themeShade="BF"/>
      <w:sz w:val="32"/>
      <w:szCs w:val="32"/>
      <w:lang w:val="en-US" w:eastAsia="en-US"/>
    </w:rPr>
  </w:style>
  <w:style w:type="character" w:customStyle="1" w:styleId="FootnoteTextChar">
    <w:name w:val="Footnote Text Char"/>
    <w:basedOn w:val="DefaultParagraphFont"/>
    <w:link w:val="FootnoteText"/>
    <w:rsid w:val="00A75A54"/>
    <w:rPr>
      <w:sz w:val="20"/>
      <w:szCs w:val="20"/>
      <w:lang w:eastAsia="nl-NL"/>
    </w:rPr>
  </w:style>
  <w:style w:type="character" w:styleId="Hyperlink">
    <w:name w:val="Hyperlink"/>
    <w:basedOn w:val="DefaultParagraphFont"/>
    <w:rsid w:val="00DE55F8"/>
    <w:rPr>
      <w:color w:val="0563C1" w:themeColor="hyperlink"/>
      <w:u w:val="single"/>
    </w:rPr>
  </w:style>
  <w:style w:type="paragraph" w:styleId="NormalWeb">
    <w:name w:val="Normal (Web)"/>
    <w:basedOn w:val="Normal"/>
    <w:semiHidden/>
    <w:unhideWhenUsed/>
    <w:rsid w:val="00CA47D5"/>
  </w:style>
  <w:style w:type="paragraph" w:customStyle="1" w:styleId="Default">
    <w:name w:val="Default"/>
    <w:rsid w:val="008A6C55"/>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5523">
      <w:bodyDiv w:val="1"/>
      <w:marLeft w:val="0"/>
      <w:marRight w:val="0"/>
      <w:marTop w:val="0"/>
      <w:marBottom w:val="0"/>
      <w:divBdr>
        <w:top w:val="none" w:sz="0" w:space="0" w:color="auto"/>
        <w:left w:val="none" w:sz="0" w:space="0" w:color="auto"/>
        <w:bottom w:val="none" w:sz="0" w:space="0" w:color="auto"/>
        <w:right w:val="none" w:sz="0" w:space="0" w:color="auto"/>
      </w:divBdr>
    </w:div>
    <w:div w:id="127476291">
      <w:bodyDiv w:val="1"/>
      <w:marLeft w:val="0"/>
      <w:marRight w:val="0"/>
      <w:marTop w:val="0"/>
      <w:marBottom w:val="0"/>
      <w:divBdr>
        <w:top w:val="none" w:sz="0" w:space="0" w:color="auto"/>
        <w:left w:val="none" w:sz="0" w:space="0" w:color="auto"/>
        <w:bottom w:val="none" w:sz="0" w:space="0" w:color="auto"/>
        <w:right w:val="none" w:sz="0" w:space="0" w:color="auto"/>
      </w:divBdr>
      <w:divsChild>
        <w:div w:id="930237505">
          <w:marLeft w:val="0"/>
          <w:marRight w:val="0"/>
          <w:marTop w:val="0"/>
          <w:marBottom w:val="0"/>
          <w:divBdr>
            <w:top w:val="none" w:sz="0" w:space="0" w:color="auto"/>
            <w:left w:val="none" w:sz="0" w:space="0" w:color="auto"/>
            <w:bottom w:val="none" w:sz="0" w:space="0" w:color="auto"/>
            <w:right w:val="none" w:sz="0" w:space="0" w:color="auto"/>
          </w:divBdr>
          <w:divsChild>
            <w:div w:id="177626960">
              <w:marLeft w:val="0"/>
              <w:marRight w:val="0"/>
              <w:marTop w:val="0"/>
              <w:marBottom w:val="0"/>
              <w:divBdr>
                <w:top w:val="none" w:sz="0" w:space="0" w:color="auto"/>
                <w:left w:val="none" w:sz="0" w:space="0" w:color="auto"/>
                <w:bottom w:val="none" w:sz="0" w:space="0" w:color="auto"/>
                <w:right w:val="none" w:sz="0" w:space="0" w:color="auto"/>
              </w:divBdr>
              <w:divsChild>
                <w:div w:id="21070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9092">
      <w:bodyDiv w:val="1"/>
      <w:marLeft w:val="0"/>
      <w:marRight w:val="0"/>
      <w:marTop w:val="0"/>
      <w:marBottom w:val="0"/>
      <w:divBdr>
        <w:top w:val="none" w:sz="0" w:space="0" w:color="auto"/>
        <w:left w:val="none" w:sz="0" w:space="0" w:color="auto"/>
        <w:bottom w:val="none" w:sz="0" w:space="0" w:color="auto"/>
        <w:right w:val="none" w:sz="0" w:space="0" w:color="auto"/>
      </w:divBdr>
    </w:div>
    <w:div w:id="425270109">
      <w:bodyDiv w:val="1"/>
      <w:marLeft w:val="0"/>
      <w:marRight w:val="0"/>
      <w:marTop w:val="0"/>
      <w:marBottom w:val="0"/>
      <w:divBdr>
        <w:top w:val="none" w:sz="0" w:space="0" w:color="auto"/>
        <w:left w:val="none" w:sz="0" w:space="0" w:color="auto"/>
        <w:bottom w:val="none" w:sz="0" w:space="0" w:color="auto"/>
        <w:right w:val="none" w:sz="0" w:space="0" w:color="auto"/>
      </w:divBdr>
      <w:divsChild>
        <w:div w:id="1402405121">
          <w:marLeft w:val="0"/>
          <w:marRight w:val="0"/>
          <w:marTop w:val="0"/>
          <w:marBottom w:val="0"/>
          <w:divBdr>
            <w:top w:val="none" w:sz="0" w:space="0" w:color="auto"/>
            <w:left w:val="none" w:sz="0" w:space="0" w:color="auto"/>
            <w:bottom w:val="none" w:sz="0" w:space="0" w:color="auto"/>
            <w:right w:val="none" w:sz="0" w:space="0" w:color="auto"/>
          </w:divBdr>
          <w:divsChild>
            <w:div w:id="1696731249">
              <w:marLeft w:val="0"/>
              <w:marRight w:val="0"/>
              <w:marTop w:val="0"/>
              <w:marBottom w:val="0"/>
              <w:divBdr>
                <w:top w:val="none" w:sz="0" w:space="0" w:color="auto"/>
                <w:left w:val="none" w:sz="0" w:space="0" w:color="auto"/>
                <w:bottom w:val="none" w:sz="0" w:space="0" w:color="auto"/>
                <w:right w:val="none" w:sz="0" w:space="0" w:color="auto"/>
              </w:divBdr>
              <w:divsChild>
                <w:div w:id="12047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3062">
      <w:bodyDiv w:val="1"/>
      <w:marLeft w:val="0"/>
      <w:marRight w:val="0"/>
      <w:marTop w:val="0"/>
      <w:marBottom w:val="0"/>
      <w:divBdr>
        <w:top w:val="none" w:sz="0" w:space="0" w:color="auto"/>
        <w:left w:val="none" w:sz="0" w:space="0" w:color="auto"/>
        <w:bottom w:val="none" w:sz="0" w:space="0" w:color="auto"/>
        <w:right w:val="none" w:sz="0" w:space="0" w:color="auto"/>
      </w:divBdr>
      <w:divsChild>
        <w:div w:id="1261255867">
          <w:marLeft w:val="0"/>
          <w:marRight w:val="0"/>
          <w:marTop w:val="0"/>
          <w:marBottom w:val="0"/>
          <w:divBdr>
            <w:top w:val="none" w:sz="0" w:space="0" w:color="auto"/>
            <w:left w:val="none" w:sz="0" w:space="0" w:color="auto"/>
            <w:bottom w:val="none" w:sz="0" w:space="0" w:color="auto"/>
            <w:right w:val="none" w:sz="0" w:space="0" w:color="auto"/>
          </w:divBdr>
        </w:div>
        <w:div w:id="1809544223">
          <w:marLeft w:val="0"/>
          <w:marRight w:val="0"/>
          <w:marTop w:val="0"/>
          <w:marBottom w:val="0"/>
          <w:divBdr>
            <w:top w:val="none" w:sz="0" w:space="0" w:color="auto"/>
            <w:left w:val="none" w:sz="0" w:space="0" w:color="auto"/>
            <w:bottom w:val="none" w:sz="0" w:space="0" w:color="auto"/>
            <w:right w:val="none" w:sz="0" w:space="0" w:color="auto"/>
          </w:divBdr>
        </w:div>
        <w:div w:id="2070810350">
          <w:marLeft w:val="0"/>
          <w:marRight w:val="0"/>
          <w:marTop w:val="0"/>
          <w:marBottom w:val="0"/>
          <w:divBdr>
            <w:top w:val="none" w:sz="0" w:space="0" w:color="auto"/>
            <w:left w:val="none" w:sz="0" w:space="0" w:color="auto"/>
            <w:bottom w:val="none" w:sz="0" w:space="0" w:color="auto"/>
            <w:right w:val="none" w:sz="0" w:space="0" w:color="auto"/>
          </w:divBdr>
        </w:div>
        <w:div w:id="1144129291">
          <w:marLeft w:val="0"/>
          <w:marRight w:val="0"/>
          <w:marTop w:val="0"/>
          <w:marBottom w:val="0"/>
          <w:divBdr>
            <w:top w:val="none" w:sz="0" w:space="0" w:color="auto"/>
            <w:left w:val="none" w:sz="0" w:space="0" w:color="auto"/>
            <w:bottom w:val="none" w:sz="0" w:space="0" w:color="auto"/>
            <w:right w:val="none" w:sz="0" w:space="0" w:color="auto"/>
          </w:divBdr>
        </w:div>
        <w:div w:id="1261139841">
          <w:marLeft w:val="0"/>
          <w:marRight w:val="0"/>
          <w:marTop w:val="0"/>
          <w:marBottom w:val="0"/>
          <w:divBdr>
            <w:top w:val="none" w:sz="0" w:space="0" w:color="auto"/>
            <w:left w:val="none" w:sz="0" w:space="0" w:color="auto"/>
            <w:bottom w:val="none" w:sz="0" w:space="0" w:color="auto"/>
            <w:right w:val="none" w:sz="0" w:space="0" w:color="auto"/>
          </w:divBdr>
        </w:div>
        <w:div w:id="874269525">
          <w:marLeft w:val="0"/>
          <w:marRight w:val="0"/>
          <w:marTop w:val="0"/>
          <w:marBottom w:val="0"/>
          <w:divBdr>
            <w:top w:val="none" w:sz="0" w:space="0" w:color="auto"/>
            <w:left w:val="none" w:sz="0" w:space="0" w:color="auto"/>
            <w:bottom w:val="none" w:sz="0" w:space="0" w:color="auto"/>
            <w:right w:val="none" w:sz="0" w:space="0" w:color="auto"/>
          </w:divBdr>
        </w:div>
        <w:div w:id="671374045">
          <w:marLeft w:val="0"/>
          <w:marRight w:val="0"/>
          <w:marTop w:val="0"/>
          <w:marBottom w:val="0"/>
          <w:divBdr>
            <w:top w:val="none" w:sz="0" w:space="0" w:color="auto"/>
            <w:left w:val="none" w:sz="0" w:space="0" w:color="auto"/>
            <w:bottom w:val="none" w:sz="0" w:space="0" w:color="auto"/>
            <w:right w:val="none" w:sz="0" w:space="0" w:color="auto"/>
          </w:divBdr>
        </w:div>
        <w:div w:id="1716082952">
          <w:marLeft w:val="0"/>
          <w:marRight w:val="0"/>
          <w:marTop w:val="0"/>
          <w:marBottom w:val="0"/>
          <w:divBdr>
            <w:top w:val="none" w:sz="0" w:space="0" w:color="auto"/>
            <w:left w:val="none" w:sz="0" w:space="0" w:color="auto"/>
            <w:bottom w:val="none" w:sz="0" w:space="0" w:color="auto"/>
            <w:right w:val="none" w:sz="0" w:space="0" w:color="auto"/>
          </w:divBdr>
        </w:div>
        <w:div w:id="808279170">
          <w:marLeft w:val="0"/>
          <w:marRight w:val="0"/>
          <w:marTop w:val="0"/>
          <w:marBottom w:val="0"/>
          <w:divBdr>
            <w:top w:val="none" w:sz="0" w:space="0" w:color="auto"/>
            <w:left w:val="none" w:sz="0" w:space="0" w:color="auto"/>
            <w:bottom w:val="none" w:sz="0" w:space="0" w:color="auto"/>
            <w:right w:val="none" w:sz="0" w:space="0" w:color="auto"/>
          </w:divBdr>
        </w:div>
        <w:div w:id="430707448">
          <w:marLeft w:val="0"/>
          <w:marRight w:val="0"/>
          <w:marTop w:val="0"/>
          <w:marBottom w:val="0"/>
          <w:divBdr>
            <w:top w:val="none" w:sz="0" w:space="0" w:color="auto"/>
            <w:left w:val="none" w:sz="0" w:space="0" w:color="auto"/>
            <w:bottom w:val="none" w:sz="0" w:space="0" w:color="auto"/>
            <w:right w:val="none" w:sz="0" w:space="0" w:color="auto"/>
          </w:divBdr>
        </w:div>
        <w:div w:id="1149324549">
          <w:marLeft w:val="0"/>
          <w:marRight w:val="0"/>
          <w:marTop w:val="0"/>
          <w:marBottom w:val="0"/>
          <w:divBdr>
            <w:top w:val="none" w:sz="0" w:space="0" w:color="auto"/>
            <w:left w:val="none" w:sz="0" w:space="0" w:color="auto"/>
            <w:bottom w:val="none" w:sz="0" w:space="0" w:color="auto"/>
            <w:right w:val="none" w:sz="0" w:space="0" w:color="auto"/>
          </w:divBdr>
        </w:div>
        <w:div w:id="1728605392">
          <w:marLeft w:val="0"/>
          <w:marRight w:val="0"/>
          <w:marTop w:val="0"/>
          <w:marBottom w:val="0"/>
          <w:divBdr>
            <w:top w:val="none" w:sz="0" w:space="0" w:color="auto"/>
            <w:left w:val="none" w:sz="0" w:space="0" w:color="auto"/>
            <w:bottom w:val="none" w:sz="0" w:space="0" w:color="auto"/>
            <w:right w:val="none" w:sz="0" w:space="0" w:color="auto"/>
          </w:divBdr>
        </w:div>
        <w:div w:id="315300914">
          <w:marLeft w:val="0"/>
          <w:marRight w:val="0"/>
          <w:marTop w:val="0"/>
          <w:marBottom w:val="0"/>
          <w:divBdr>
            <w:top w:val="none" w:sz="0" w:space="0" w:color="auto"/>
            <w:left w:val="none" w:sz="0" w:space="0" w:color="auto"/>
            <w:bottom w:val="none" w:sz="0" w:space="0" w:color="auto"/>
            <w:right w:val="none" w:sz="0" w:space="0" w:color="auto"/>
          </w:divBdr>
        </w:div>
        <w:div w:id="937911347">
          <w:marLeft w:val="0"/>
          <w:marRight w:val="0"/>
          <w:marTop w:val="0"/>
          <w:marBottom w:val="0"/>
          <w:divBdr>
            <w:top w:val="none" w:sz="0" w:space="0" w:color="auto"/>
            <w:left w:val="none" w:sz="0" w:space="0" w:color="auto"/>
            <w:bottom w:val="none" w:sz="0" w:space="0" w:color="auto"/>
            <w:right w:val="none" w:sz="0" w:space="0" w:color="auto"/>
          </w:divBdr>
        </w:div>
        <w:div w:id="817497340">
          <w:marLeft w:val="0"/>
          <w:marRight w:val="0"/>
          <w:marTop w:val="0"/>
          <w:marBottom w:val="0"/>
          <w:divBdr>
            <w:top w:val="none" w:sz="0" w:space="0" w:color="auto"/>
            <w:left w:val="none" w:sz="0" w:space="0" w:color="auto"/>
            <w:bottom w:val="none" w:sz="0" w:space="0" w:color="auto"/>
            <w:right w:val="none" w:sz="0" w:space="0" w:color="auto"/>
          </w:divBdr>
        </w:div>
        <w:div w:id="1337267247">
          <w:marLeft w:val="0"/>
          <w:marRight w:val="0"/>
          <w:marTop w:val="0"/>
          <w:marBottom w:val="0"/>
          <w:divBdr>
            <w:top w:val="none" w:sz="0" w:space="0" w:color="auto"/>
            <w:left w:val="none" w:sz="0" w:space="0" w:color="auto"/>
            <w:bottom w:val="none" w:sz="0" w:space="0" w:color="auto"/>
            <w:right w:val="none" w:sz="0" w:space="0" w:color="auto"/>
          </w:divBdr>
        </w:div>
        <w:div w:id="1618096838">
          <w:marLeft w:val="0"/>
          <w:marRight w:val="0"/>
          <w:marTop w:val="0"/>
          <w:marBottom w:val="0"/>
          <w:divBdr>
            <w:top w:val="none" w:sz="0" w:space="0" w:color="auto"/>
            <w:left w:val="none" w:sz="0" w:space="0" w:color="auto"/>
            <w:bottom w:val="none" w:sz="0" w:space="0" w:color="auto"/>
            <w:right w:val="none" w:sz="0" w:space="0" w:color="auto"/>
          </w:divBdr>
        </w:div>
        <w:div w:id="1548377174">
          <w:marLeft w:val="0"/>
          <w:marRight w:val="0"/>
          <w:marTop w:val="0"/>
          <w:marBottom w:val="0"/>
          <w:divBdr>
            <w:top w:val="none" w:sz="0" w:space="0" w:color="auto"/>
            <w:left w:val="none" w:sz="0" w:space="0" w:color="auto"/>
            <w:bottom w:val="none" w:sz="0" w:space="0" w:color="auto"/>
            <w:right w:val="none" w:sz="0" w:space="0" w:color="auto"/>
          </w:divBdr>
        </w:div>
        <w:div w:id="2122719974">
          <w:marLeft w:val="0"/>
          <w:marRight w:val="0"/>
          <w:marTop w:val="0"/>
          <w:marBottom w:val="0"/>
          <w:divBdr>
            <w:top w:val="none" w:sz="0" w:space="0" w:color="auto"/>
            <w:left w:val="none" w:sz="0" w:space="0" w:color="auto"/>
            <w:bottom w:val="none" w:sz="0" w:space="0" w:color="auto"/>
            <w:right w:val="none" w:sz="0" w:space="0" w:color="auto"/>
          </w:divBdr>
        </w:div>
        <w:div w:id="1517033717">
          <w:marLeft w:val="0"/>
          <w:marRight w:val="0"/>
          <w:marTop w:val="0"/>
          <w:marBottom w:val="0"/>
          <w:divBdr>
            <w:top w:val="none" w:sz="0" w:space="0" w:color="auto"/>
            <w:left w:val="none" w:sz="0" w:space="0" w:color="auto"/>
            <w:bottom w:val="none" w:sz="0" w:space="0" w:color="auto"/>
            <w:right w:val="none" w:sz="0" w:space="0" w:color="auto"/>
          </w:divBdr>
        </w:div>
        <w:div w:id="1885673325">
          <w:marLeft w:val="0"/>
          <w:marRight w:val="0"/>
          <w:marTop w:val="0"/>
          <w:marBottom w:val="0"/>
          <w:divBdr>
            <w:top w:val="none" w:sz="0" w:space="0" w:color="auto"/>
            <w:left w:val="none" w:sz="0" w:space="0" w:color="auto"/>
            <w:bottom w:val="none" w:sz="0" w:space="0" w:color="auto"/>
            <w:right w:val="none" w:sz="0" w:space="0" w:color="auto"/>
          </w:divBdr>
        </w:div>
        <w:div w:id="1301767921">
          <w:marLeft w:val="0"/>
          <w:marRight w:val="0"/>
          <w:marTop w:val="0"/>
          <w:marBottom w:val="0"/>
          <w:divBdr>
            <w:top w:val="none" w:sz="0" w:space="0" w:color="auto"/>
            <w:left w:val="none" w:sz="0" w:space="0" w:color="auto"/>
            <w:bottom w:val="none" w:sz="0" w:space="0" w:color="auto"/>
            <w:right w:val="none" w:sz="0" w:space="0" w:color="auto"/>
          </w:divBdr>
        </w:div>
        <w:div w:id="1533300181">
          <w:marLeft w:val="0"/>
          <w:marRight w:val="0"/>
          <w:marTop w:val="0"/>
          <w:marBottom w:val="0"/>
          <w:divBdr>
            <w:top w:val="none" w:sz="0" w:space="0" w:color="auto"/>
            <w:left w:val="none" w:sz="0" w:space="0" w:color="auto"/>
            <w:bottom w:val="none" w:sz="0" w:space="0" w:color="auto"/>
            <w:right w:val="none" w:sz="0" w:space="0" w:color="auto"/>
          </w:divBdr>
        </w:div>
        <w:div w:id="2035381523">
          <w:marLeft w:val="0"/>
          <w:marRight w:val="0"/>
          <w:marTop w:val="0"/>
          <w:marBottom w:val="0"/>
          <w:divBdr>
            <w:top w:val="none" w:sz="0" w:space="0" w:color="auto"/>
            <w:left w:val="none" w:sz="0" w:space="0" w:color="auto"/>
            <w:bottom w:val="none" w:sz="0" w:space="0" w:color="auto"/>
            <w:right w:val="none" w:sz="0" w:space="0" w:color="auto"/>
          </w:divBdr>
        </w:div>
        <w:div w:id="36202229">
          <w:marLeft w:val="0"/>
          <w:marRight w:val="0"/>
          <w:marTop w:val="0"/>
          <w:marBottom w:val="0"/>
          <w:divBdr>
            <w:top w:val="none" w:sz="0" w:space="0" w:color="auto"/>
            <w:left w:val="none" w:sz="0" w:space="0" w:color="auto"/>
            <w:bottom w:val="none" w:sz="0" w:space="0" w:color="auto"/>
            <w:right w:val="none" w:sz="0" w:space="0" w:color="auto"/>
          </w:divBdr>
        </w:div>
        <w:div w:id="1532497731">
          <w:marLeft w:val="0"/>
          <w:marRight w:val="0"/>
          <w:marTop w:val="0"/>
          <w:marBottom w:val="0"/>
          <w:divBdr>
            <w:top w:val="none" w:sz="0" w:space="0" w:color="auto"/>
            <w:left w:val="none" w:sz="0" w:space="0" w:color="auto"/>
            <w:bottom w:val="none" w:sz="0" w:space="0" w:color="auto"/>
            <w:right w:val="none" w:sz="0" w:space="0" w:color="auto"/>
          </w:divBdr>
        </w:div>
        <w:div w:id="398089562">
          <w:marLeft w:val="0"/>
          <w:marRight w:val="0"/>
          <w:marTop w:val="0"/>
          <w:marBottom w:val="0"/>
          <w:divBdr>
            <w:top w:val="none" w:sz="0" w:space="0" w:color="auto"/>
            <w:left w:val="none" w:sz="0" w:space="0" w:color="auto"/>
            <w:bottom w:val="none" w:sz="0" w:space="0" w:color="auto"/>
            <w:right w:val="none" w:sz="0" w:space="0" w:color="auto"/>
          </w:divBdr>
        </w:div>
        <w:div w:id="2063403342">
          <w:marLeft w:val="0"/>
          <w:marRight w:val="0"/>
          <w:marTop w:val="0"/>
          <w:marBottom w:val="0"/>
          <w:divBdr>
            <w:top w:val="none" w:sz="0" w:space="0" w:color="auto"/>
            <w:left w:val="none" w:sz="0" w:space="0" w:color="auto"/>
            <w:bottom w:val="none" w:sz="0" w:space="0" w:color="auto"/>
            <w:right w:val="none" w:sz="0" w:space="0" w:color="auto"/>
          </w:divBdr>
        </w:div>
        <w:div w:id="185679162">
          <w:marLeft w:val="0"/>
          <w:marRight w:val="0"/>
          <w:marTop w:val="0"/>
          <w:marBottom w:val="0"/>
          <w:divBdr>
            <w:top w:val="none" w:sz="0" w:space="0" w:color="auto"/>
            <w:left w:val="none" w:sz="0" w:space="0" w:color="auto"/>
            <w:bottom w:val="none" w:sz="0" w:space="0" w:color="auto"/>
            <w:right w:val="none" w:sz="0" w:space="0" w:color="auto"/>
          </w:divBdr>
        </w:div>
        <w:div w:id="1890068766">
          <w:marLeft w:val="0"/>
          <w:marRight w:val="0"/>
          <w:marTop w:val="0"/>
          <w:marBottom w:val="0"/>
          <w:divBdr>
            <w:top w:val="none" w:sz="0" w:space="0" w:color="auto"/>
            <w:left w:val="none" w:sz="0" w:space="0" w:color="auto"/>
            <w:bottom w:val="none" w:sz="0" w:space="0" w:color="auto"/>
            <w:right w:val="none" w:sz="0" w:space="0" w:color="auto"/>
          </w:divBdr>
        </w:div>
        <w:div w:id="1788348936">
          <w:marLeft w:val="0"/>
          <w:marRight w:val="0"/>
          <w:marTop w:val="0"/>
          <w:marBottom w:val="0"/>
          <w:divBdr>
            <w:top w:val="none" w:sz="0" w:space="0" w:color="auto"/>
            <w:left w:val="none" w:sz="0" w:space="0" w:color="auto"/>
            <w:bottom w:val="none" w:sz="0" w:space="0" w:color="auto"/>
            <w:right w:val="none" w:sz="0" w:space="0" w:color="auto"/>
          </w:divBdr>
        </w:div>
        <w:div w:id="1926910768">
          <w:marLeft w:val="0"/>
          <w:marRight w:val="0"/>
          <w:marTop w:val="0"/>
          <w:marBottom w:val="0"/>
          <w:divBdr>
            <w:top w:val="none" w:sz="0" w:space="0" w:color="auto"/>
            <w:left w:val="none" w:sz="0" w:space="0" w:color="auto"/>
            <w:bottom w:val="none" w:sz="0" w:space="0" w:color="auto"/>
            <w:right w:val="none" w:sz="0" w:space="0" w:color="auto"/>
          </w:divBdr>
        </w:div>
        <w:div w:id="1827045066">
          <w:marLeft w:val="0"/>
          <w:marRight w:val="0"/>
          <w:marTop w:val="0"/>
          <w:marBottom w:val="0"/>
          <w:divBdr>
            <w:top w:val="none" w:sz="0" w:space="0" w:color="auto"/>
            <w:left w:val="none" w:sz="0" w:space="0" w:color="auto"/>
            <w:bottom w:val="none" w:sz="0" w:space="0" w:color="auto"/>
            <w:right w:val="none" w:sz="0" w:space="0" w:color="auto"/>
          </w:divBdr>
        </w:div>
        <w:div w:id="1094671838">
          <w:marLeft w:val="0"/>
          <w:marRight w:val="0"/>
          <w:marTop w:val="0"/>
          <w:marBottom w:val="0"/>
          <w:divBdr>
            <w:top w:val="none" w:sz="0" w:space="0" w:color="auto"/>
            <w:left w:val="none" w:sz="0" w:space="0" w:color="auto"/>
            <w:bottom w:val="none" w:sz="0" w:space="0" w:color="auto"/>
            <w:right w:val="none" w:sz="0" w:space="0" w:color="auto"/>
          </w:divBdr>
        </w:div>
      </w:divsChild>
    </w:div>
    <w:div w:id="1156652074">
      <w:bodyDiv w:val="1"/>
      <w:marLeft w:val="0"/>
      <w:marRight w:val="0"/>
      <w:marTop w:val="0"/>
      <w:marBottom w:val="0"/>
      <w:divBdr>
        <w:top w:val="none" w:sz="0" w:space="0" w:color="auto"/>
        <w:left w:val="none" w:sz="0" w:space="0" w:color="auto"/>
        <w:bottom w:val="none" w:sz="0" w:space="0" w:color="auto"/>
        <w:right w:val="none" w:sz="0" w:space="0" w:color="auto"/>
      </w:divBdr>
      <w:divsChild>
        <w:div w:id="2093238879">
          <w:marLeft w:val="0"/>
          <w:marRight w:val="0"/>
          <w:marTop w:val="0"/>
          <w:marBottom w:val="0"/>
          <w:divBdr>
            <w:top w:val="none" w:sz="0" w:space="0" w:color="auto"/>
            <w:left w:val="none" w:sz="0" w:space="0" w:color="auto"/>
            <w:bottom w:val="none" w:sz="0" w:space="0" w:color="auto"/>
            <w:right w:val="none" w:sz="0" w:space="0" w:color="auto"/>
          </w:divBdr>
          <w:divsChild>
            <w:div w:id="626590056">
              <w:marLeft w:val="0"/>
              <w:marRight w:val="0"/>
              <w:marTop w:val="0"/>
              <w:marBottom w:val="0"/>
              <w:divBdr>
                <w:top w:val="none" w:sz="0" w:space="0" w:color="auto"/>
                <w:left w:val="none" w:sz="0" w:space="0" w:color="auto"/>
                <w:bottom w:val="none" w:sz="0" w:space="0" w:color="auto"/>
                <w:right w:val="none" w:sz="0" w:space="0" w:color="auto"/>
              </w:divBdr>
              <w:divsChild>
                <w:div w:id="55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3094">
      <w:bodyDiv w:val="1"/>
      <w:marLeft w:val="0"/>
      <w:marRight w:val="0"/>
      <w:marTop w:val="0"/>
      <w:marBottom w:val="0"/>
      <w:divBdr>
        <w:top w:val="none" w:sz="0" w:space="0" w:color="auto"/>
        <w:left w:val="none" w:sz="0" w:space="0" w:color="auto"/>
        <w:bottom w:val="none" w:sz="0" w:space="0" w:color="auto"/>
        <w:right w:val="none" w:sz="0" w:space="0" w:color="auto"/>
      </w:divBdr>
      <w:divsChild>
        <w:div w:id="1781559687">
          <w:marLeft w:val="0"/>
          <w:marRight w:val="0"/>
          <w:marTop w:val="0"/>
          <w:marBottom w:val="0"/>
          <w:divBdr>
            <w:top w:val="none" w:sz="0" w:space="0" w:color="auto"/>
            <w:left w:val="none" w:sz="0" w:space="0" w:color="auto"/>
            <w:bottom w:val="none" w:sz="0" w:space="0" w:color="auto"/>
            <w:right w:val="none" w:sz="0" w:space="0" w:color="auto"/>
          </w:divBdr>
        </w:div>
        <w:div w:id="1630354833">
          <w:marLeft w:val="0"/>
          <w:marRight w:val="0"/>
          <w:marTop w:val="0"/>
          <w:marBottom w:val="0"/>
          <w:divBdr>
            <w:top w:val="none" w:sz="0" w:space="0" w:color="auto"/>
            <w:left w:val="none" w:sz="0" w:space="0" w:color="auto"/>
            <w:bottom w:val="none" w:sz="0" w:space="0" w:color="auto"/>
            <w:right w:val="none" w:sz="0" w:space="0" w:color="auto"/>
          </w:divBdr>
        </w:div>
        <w:div w:id="261762420">
          <w:marLeft w:val="0"/>
          <w:marRight w:val="0"/>
          <w:marTop w:val="0"/>
          <w:marBottom w:val="0"/>
          <w:divBdr>
            <w:top w:val="none" w:sz="0" w:space="0" w:color="auto"/>
            <w:left w:val="none" w:sz="0" w:space="0" w:color="auto"/>
            <w:bottom w:val="none" w:sz="0" w:space="0" w:color="auto"/>
            <w:right w:val="none" w:sz="0" w:space="0" w:color="auto"/>
          </w:divBdr>
        </w:div>
        <w:div w:id="1074472956">
          <w:marLeft w:val="0"/>
          <w:marRight w:val="0"/>
          <w:marTop w:val="0"/>
          <w:marBottom w:val="0"/>
          <w:divBdr>
            <w:top w:val="none" w:sz="0" w:space="0" w:color="auto"/>
            <w:left w:val="none" w:sz="0" w:space="0" w:color="auto"/>
            <w:bottom w:val="none" w:sz="0" w:space="0" w:color="auto"/>
            <w:right w:val="none" w:sz="0" w:space="0" w:color="auto"/>
          </w:divBdr>
        </w:div>
        <w:div w:id="2070028596">
          <w:marLeft w:val="0"/>
          <w:marRight w:val="0"/>
          <w:marTop w:val="0"/>
          <w:marBottom w:val="0"/>
          <w:divBdr>
            <w:top w:val="none" w:sz="0" w:space="0" w:color="auto"/>
            <w:left w:val="none" w:sz="0" w:space="0" w:color="auto"/>
            <w:bottom w:val="none" w:sz="0" w:space="0" w:color="auto"/>
            <w:right w:val="none" w:sz="0" w:space="0" w:color="auto"/>
          </w:divBdr>
        </w:div>
        <w:div w:id="1566840442">
          <w:marLeft w:val="0"/>
          <w:marRight w:val="0"/>
          <w:marTop w:val="0"/>
          <w:marBottom w:val="0"/>
          <w:divBdr>
            <w:top w:val="none" w:sz="0" w:space="0" w:color="auto"/>
            <w:left w:val="none" w:sz="0" w:space="0" w:color="auto"/>
            <w:bottom w:val="none" w:sz="0" w:space="0" w:color="auto"/>
            <w:right w:val="none" w:sz="0" w:space="0" w:color="auto"/>
          </w:divBdr>
        </w:div>
        <w:div w:id="1355769566">
          <w:marLeft w:val="0"/>
          <w:marRight w:val="0"/>
          <w:marTop w:val="0"/>
          <w:marBottom w:val="0"/>
          <w:divBdr>
            <w:top w:val="none" w:sz="0" w:space="0" w:color="auto"/>
            <w:left w:val="none" w:sz="0" w:space="0" w:color="auto"/>
            <w:bottom w:val="none" w:sz="0" w:space="0" w:color="auto"/>
            <w:right w:val="none" w:sz="0" w:space="0" w:color="auto"/>
          </w:divBdr>
        </w:div>
        <w:div w:id="1760442154">
          <w:marLeft w:val="0"/>
          <w:marRight w:val="0"/>
          <w:marTop w:val="0"/>
          <w:marBottom w:val="0"/>
          <w:divBdr>
            <w:top w:val="none" w:sz="0" w:space="0" w:color="auto"/>
            <w:left w:val="none" w:sz="0" w:space="0" w:color="auto"/>
            <w:bottom w:val="none" w:sz="0" w:space="0" w:color="auto"/>
            <w:right w:val="none" w:sz="0" w:space="0" w:color="auto"/>
          </w:divBdr>
        </w:div>
        <w:div w:id="1908686651">
          <w:marLeft w:val="0"/>
          <w:marRight w:val="0"/>
          <w:marTop w:val="0"/>
          <w:marBottom w:val="0"/>
          <w:divBdr>
            <w:top w:val="none" w:sz="0" w:space="0" w:color="auto"/>
            <w:left w:val="none" w:sz="0" w:space="0" w:color="auto"/>
            <w:bottom w:val="none" w:sz="0" w:space="0" w:color="auto"/>
            <w:right w:val="none" w:sz="0" w:space="0" w:color="auto"/>
          </w:divBdr>
        </w:div>
        <w:div w:id="1740589084">
          <w:marLeft w:val="0"/>
          <w:marRight w:val="0"/>
          <w:marTop w:val="0"/>
          <w:marBottom w:val="0"/>
          <w:divBdr>
            <w:top w:val="none" w:sz="0" w:space="0" w:color="auto"/>
            <w:left w:val="none" w:sz="0" w:space="0" w:color="auto"/>
            <w:bottom w:val="none" w:sz="0" w:space="0" w:color="auto"/>
            <w:right w:val="none" w:sz="0" w:space="0" w:color="auto"/>
          </w:divBdr>
        </w:div>
        <w:div w:id="156925743">
          <w:marLeft w:val="0"/>
          <w:marRight w:val="0"/>
          <w:marTop w:val="0"/>
          <w:marBottom w:val="0"/>
          <w:divBdr>
            <w:top w:val="none" w:sz="0" w:space="0" w:color="auto"/>
            <w:left w:val="none" w:sz="0" w:space="0" w:color="auto"/>
            <w:bottom w:val="none" w:sz="0" w:space="0" w:color="auto"/>
            <w:right w:val="none" w:sz="0" w:space="0" w:color="auto"/>
          </w:divBdr>
        </w:div>
        <w:div w:id="1393885490">
          <w:marLeft w:val="0"/>
          <w:marRight w:val="0"/>
          <w:marTop w:val="0"/>
          <w:marBottom w:val="0"/>
          <w:divBdr>
            <w:top w:val="none" w:sz="0" w:space="0" w:color="auto"/>
            <w:left w:val="none" w:sz="0" w:space="0" w:color="auto"/>
            <w:bottom w:val="none" w:sz="0" w:space="0" w:color="auto"/>
            <w:right w:val="none" w:sz="0" w:space="0" w:color="auto"/>
          </w:divBdr>
        </w:div>
        <w:div w:id="1920939665">
          <w:marLeft w:val="0"/>
          <w:marRight w:val="0"/>
          <w:marTop w:val="0"/>
          <w:marBottom w:val="0"/>
          <w:divBdr>
            <w:top w:val="none" w:sz="0" w:space="0" w:color="auto"/>
            <w:left w:val="none" w:sz="0" w:space="0" w:color="auto"/>
            <w:bottom w:val="none" w:sz="0" w:space="0" w:color="auto"/>
            <w:right w:val="none" w:sz="0" w:space="0" w:color="auto"/>
          </w:divBdr>
        </w:div>
        <w:div w:id="1956789137">
          <w:marLeft w:val="0"/>
          <w:marRight w:val="0"/>
          <w:marTop w:val="0"/>
          <w:marBottom w:val="0"/>
          <w:divBdr>
            <w:top w:val="none" w:sz="0" w:space="0" w:color="auto"/>
            <w:left w:val="none" w:sz="0" w:space="0" w:color="auto"/>
            <w:bottom w:val="none" w:sz="0" w:space="0" w:color="auto"/>
            <w:right w:val="none" w:sz="0" w:space="0" w:color="auto"/>
          </w:divBdr>
        </w:div>
        <w:div w:id="1325166637">
          <w:marLeft w:val="0"/>
          <w:marRight w:val="0"/>
          <w:marTop w:val="0"/>
          <w:marBottom w:val="0"/>
          <w:divBdr>
            <w:top w:val="none" w:sz="0" w:space="0" w:color="auto"/>
            <w:left w:val="none" w:sz="0" w:space="0" w:color="auto"/>
            <w:bottom w:val="none" w:sz="0" w:space="0" w:color="auto"/>
            <w:right w:val="none" w:sz="0" w:space="0" w:color="auto"/>
          </w:divBdr>
        </w:div>
        <w:div w:id="459301367">
          <w:marLeft w:val="0"/>
          <w:marRight w:val="0"/>
          <w:marTop w:val="0"/>
          <w:marBottom w:val="0"/>
          <w:divBdr>
            <w:top w:val="none" w:sz="0" w:space="0" w:color="auto"/>
            <w:left w:val="none" w:sz="0" w:space="0" w:color="auto"/>
            <w:bottom w:val="none" w:sz="0" w:space="0" w:color="auto"/>
            <w:right w:val="none" w:sz="0" w:space="0" w:color="auto"/>
          </w:divBdr>
        </w:div>
        <w:div w:id="1788306360">
          <w:marLeft w:val="0"/>
          <w:marRight w:val="0"/>
          <w:marTop w:val="0"/>
          <w:marBottom w:val="0"/>
          <w:divBdr>
            <w:top w:val="none" w:sz="0" w:space="0" w:color="auto"/>
            <w:left w:val="none" w:sz="0" w:space="0" w:color="auto"/>
            <w:bottom w:val="none" w:sz="0" w:space="0" w:color="auto"/>
            <w:right w:val="none" w:sz="0" w:space="0" w:color="auto"/>
          </w:divBdr>
        </w:div>
        <w:div w:id="965430475">
          <w:marLeft w:val="0"/>
          <w:marRight w:val="0"/>
          <w:marTop w:val="0"/>
          <w:marBottom w:val="0"/>
          <w:divBdr>
            <w:top w:val="none" w:sz="0" w:space="0" w:color="auto"/>
            <w:left w:val="none" w:sz="0" w:space="0" w:color="auto"/>
            <w:bottom w:val="none" w:sz="0" w:space="0" w:color="auto"/>
            <w:right w:val="none" w:sz="0" w:space="0" w:color="auto"/>
          </w:divBdr>
        </w:div>
        <w:div w:id="465318694">
          <w:marLeft w:val="0"/>
          <w:marRight w:val="0"/>
          <w:marTop w:val="0"/>
          <w:marBottom w:val="0"/>
          <w:divBdr>
            <w:top w:val="none" w:sz="0" w:space="0" w:color="auto"/>
            <w:left w:val="none" w:sz="0" w:space="0" w:color="auto"/>
            <w:bottom w:val="none" w:sz="0" w:space="0" w:color="auto"/>
            <w:right w:val="none" w:sz="0" w:space="0" w:color="auto"/>
          </w:divBdr>
        </w:div>
        <w:div w:id="1594506789">
          <w:marLeft w:val="0"/>
          <w:marRight w:val="0"/>
          <w:marTop w:val="0"/>
          <w:marBottom w:val="0"/>
          <w:divBdr>
            <w:top w:val="none" w:sz="0" w:space="0" w:color="auto"/>
            <w:left w:val="none" w:sz="0" w:space="0" w:color="auto"/>
            <w:bottom w:val="none" w:sz="0" w:space="0" w:color="auto"/>
            <w:right w:val="none" w:sz="0" w:space="0" w:color="auto"/>
          </w:divBdr>
        </w:div>
        <w:div w:id="587353967">
          <w:marLeft w:val="0"/>
          <w:marRight w:val="0"/>
          <w:marTop w:val="0"/>
          <w:marBottom w:val="0"/>
          <w:divBdr>
            <w:top w:val="none" w:sz="0" w:space="0" w:color="auto"/>
            <w:left w:val="none" w:sz="0" w:space="0" w:color="auto"/>
            <w:bottom w:val="none" w:sz="0" w:space="0" w:color="auto"/>
            <w:right w:val="none" w:sz="0" w:space="0" w:color="auto"/>
          </w:divBdr>
        </w:div>
        <w:div w:id="1895195996">
          <w:marLeft w:val="0"/>
          <w:marRight w:val="0"/>
          <w:marTop w:val="0"/>
          <w:marBottom w:val="0"/>
          <w:divBdr>
            <w:top w:val="none" w:sz="0" w:space="0" w:color="auto"/>
            <w:left w:val="none" w:sz="0" w:space="0" w:color="auto"/>
            <w:bottom w:val="none" w:sz="0" w:space="0" w:color="auto"/>
            <w:right w:val="none" w:sz="0" w:space="0" w:color="auto"/>
          </w:divBdr>
        </w:div>
        <w:div w:id="744229356">
          <w:marLeft w:val="0"/>
          <w:marRight w:val="0"/>
          <w:marTop w:val="0"/>
          <w:marBottom w:val="0"/>
          <w:divBdr>
            <w:top w:val="none" w:sz="0" w:space="0" w:color="auto"/>
            <w:left w:val="none" w:sz="0" w:space="0" w:color="auto"/>
            <w:bottom w:val="none" w:sz="0" w:space="0" w:color="auto"/>
            <w:right w:val="none" w:sz="0" w:space="0" w:color="auto"/>
          </w:divBdr>
        </w:div>
        <w:div w:id="644972167">
          <w:marLeft w:val="0"/>
          <w:marRight w:val="0"/>
          <w:marTop w:val="0"/>
          <w:marBottom w:val="0"/>
          <w:divBdr>
            <w:top w:val="none" w:sz="0" w:space="0" w:color="auto"/>
            <w:left w:val="none" w:sz="0" w:space="0" w:color="auto"/>
            <w:bottom w:val="none" w:sz="0" w:space="0" w:color="auto"/>
            <w:right w:val="none" w:sz="0" w:space="0" w:color="auto"/>
          </w:divBdr>
        </w:div>
        <w:div w:id="749351533">
          <w:marLeft w:val="0"/>
          <w:marRight w:val="0"/>
          <w:marTop w:val="0"/>
          <w:marBottom w:val="0"/>
          <w:divBdr>
            <w:top w:val="none" w:sz="0" w:space="0" w:color="auto"/>
            <w:left w:val="none" w:sz="0" w:space="0" w:color="auto"/>
            <w:bottom w:val="none" w:sz="0" w:space="0" w:color="auto"/>
            <w:right w:val="none" w:sz="0" w:space="0" w:color="auto"/>
          </w:divBdr>
        </w:div>
        <w:div w:id="561985716">
          <w:marLeft w:val="0"/>
          <w:marRight w:val="0"/>
          <w:marTop w:val="0"/>
          <w:marBottom w:val="0"/>
          <w:divBdr>
            <w:top w:val="none" w:sz="0" w:space="0" w:color="auto"/>
            <w:left w:val="none" w:sz="0" w:space="0" w:color="auto"/>
            <w:bottom w:val="none" w:sz="0" w:space="0" w:color="auto"/>
            <w:right w:val="none" w:sz="0" w:space="0" w:color="auto"/>
          </w:divBdr>
        </w:div>
        <w:div w:id="1635915448">
          <w:marLeft w:val="0"/>
          <w:marRight w:val="0"/>
          <w:marTop w:val="0"/>
          <w:marBottom w:val="0"/>
          <w:divBdr>
            <w:top w:val="none" w:sz="0" w:space="0" w:color="auto"/>
            <w:left w:val="none" w:sz="0" w:space="0" w:color="auto"/>
            <w:bottom w:val="none" w:sz="0" w:space="0" w:color="auto"/>
            <w:right w:val="none" w:sz="0" w:space="0" w:color="auto"/>
          </w:divBdr>
        </w:div>
        <w:div w:id="263148547">
          <w:marLeft w:val="0"/>
          <w:marRight w:val="0"/>
          <w:marTop w:val="0"/>
          <w:marBottom w:val="0"/>
          <w:divBdr>
            <w:top w:val="none" w:sz="0" w:space="0" w:color="auto"/>
            <w:left w:val="none" w:sz="0" w:space="0" w:color="auto"/>
            <w:bottom w:val="none" w:sz="0" w:space="0" w:color="auto"/>
            <w:right w:val="none" w:sz="0" w:space="0" w:color="auto"/>
          </w:divBdr>
        </w:div>
        <w:div w:id="670334224">
          <w:marLeft w:val="0"/>
          <w:marRight w:val="0"/>
          <w:marTop w:val="0"/>
          <w:marBottom w:val="0"/>
          <w:divBdr>
            <w:top w:val="none" w:sz="0" w:space="0" w:color="auto"/>
            <w:left w:val="none" w:sz="0" w:space="0" w:color="auto"/>
            <w:bottom w:val="none" w:sz="0" w:space="0" w:color="auto"/>
            <w:right w:val="none" w:sz="0" w:space="0" w:color="auto"/>
          </w:divBdr>
        </w:div>
        <w:div w:id="1810588670">
          <w:marLeft w:val="0"/>
          <w:marRight w:val="0"/>
          <w:marTop w:val="0"/>
          <w:marBottom w:val="0"/>
          <w:divBdr>
            <w:top w:val="none" w:sz="0" w:space="0" w:color="auto"/>
            <w:left w:val="none" w:sz="0" w:space="0" w:color="auto"/>
            <w:bottom w:val="none" w:sz="0" w:space="0" w:color="auto"/>
            <w:right w:val="none" w:sz="0" w:space="0" w:color="auto"/>
          </w:divBdr>
        </w:div>
        <w:div w:id="794064423">
          <w:marLeft w:val="0"/>
          <w:marRight w:val="0"/>
          <w:marTop w:val="0"/>
          <w:marBottom w:val="0"/>
          <w:divBdr>
            <w:top w:val="none" w:sz="0" w:space="0" w:color="auto"/>
            <w:left w:val="none" w:sz="0" w:space="0" w:color="auto"/>
            <w:bottom w:val="none" w:sz="0" w:space="0" w:color="auto"/>
            <w:right w:val="none" w:sz="0" w:space="0" w:color="auto"/>
          </w:divBdr>
        </w:div>
        <w:div w:id="1390611253">
          <w:marLeft w:val="0"/>
          <w:marRight w:val="0"/>
          <w:marTop w:val="0"/>
          <w:marBottom w:val="0"/>
          <w:divBdr>
            <w:top w:val="none" w:sz="0" w:space="0" w:color="auto"/>
            <w:left w:val="none" w:sz="0" w:space="0" w:color="auto"/>
            <w:bottom w:val="none" w:sz="0" w:space="0" w:color="auto"/>
            <w:right w:val="none" w:sz="0" w:space="0" w:color="auto"/>
          </w:divBdr>
        </w:div>
        <w:div w:id="1917090309">
          <w:marLeft w:val="0"/>
          <w:marRight w:val="0"/>
          <w:marTop w:val="0"/>
          <w:marBottom w:val="0"/>
          <w:divBdr>
            <w:top w:val="none" w:sz="0" w:space="0" w:color="auto"/>
            <w:left w:val="none" w:sz="0" w:space="0" w:color="auto"/>
            <w:bottom w:val="none" w:sz="0" w:space="0" w:color="auto"/>
            <w:right w:val="none" w:sz="0" w:space="0" w:color="auto"/>
          </w:divBdr>
        </w:div>
        <w:div w:id="1104418559">
          <w:marLeft w:val="0"/>
          <w:marRight w:val="0"/>
          <w:marTop w:val="0"/>
          <w:marBottom w:val="0"/>
          <w:divBdr>
            <w:top w:val="none" w:sz="0" w:space="0" w:color="auto"/>
            <w:left w:val="none" w:sz="0" w:space="0" w:color="auto"/>
            <w:bottom w:val="none" w:sz="0" w:space="0" w:color="auto"/>
            <w:right w:val="none" w:sz="0" w:space="0" w:color="auto"/>
          </w:divBdr>
        </w:div>
      </w:divsChild>
    </w:div>
    <w:div w:id="1215579046">
      <w:bodyDiv w:val="1"/>
      <w:marLeft w:val="0"/>
      <w:marRight w:val="0"/>
      <w:marTop w:val="0"/>
      <w:marBottom w:val="0"/>
      <w:divBdr>
        <w:top w:val="none" w:sz="0" w:space="0" w:color="auto"/>
        <w:left w:val="none" w:sz="0" w:space="0" w:color="auto"/>
        <w:bottom w:val="none" w:sz="0" w:space="0" w:color="auto"/>
        <w:right w:val="none" w:sz="0" w:space="0" w:color="auto"/>
      </w:divBdr>
      <w:divsChild>
        <w:div w:id="364450213">
          <w:marLeft w:val="0"/>
          <w:marRight w:val="0"/>
          <w:marTop w:val="0"/>
          <w:marBottom w:val="0"/>
          <w:divBdr>
            <w:top w:val="none" w:sz="0" w:space="0" w:color="auto"/>
            <w:left w:val="none" w:sz="0" w:space="0" w:color="auto"/>
            <w:bottom w:val="none" w:sz="0" w:space="0" w:color="auto"/>
            <w:right w:val="none" w:sz="0" w:space="0" w:color="auto"/>
          </w:divBdr>
        </w:div>
        <w:div w:id="1635672278">
          <w:marLeft w:val="0"/>
          <w:marRight w:val="0"/>
          <w:marTop w:val="0"/>
          <w:marBottom w:val="0"/>
          <w:divBdr>
            <w:top w:val="none" w:sz="0" w:space="0" w:color="auto"/>
            <w:left w:val="none" w:sz="0" w:space="0" w:color="auto"/>
            <w:bottom w:val="none" w:sz="0" w:space="0" w:color="auto"/>
            <w:right w:val="none" w:sz="0" w:space="0" w:color="auto"/>
          </w:divBdr>
        </w:div>
        <w:div w:id="545218167">
          <w:marLeft w:val="0"/>
          <w:marRight w:val="0"/>
          <w:marTop w:val="0"/>
          <w:marBottom w:val="0"/>
          <w:divBdr>
            <w:top w:val="none" w:sz="0" w:space="0" w:color="auto"/>
            <w:left w:val="none" w:sz="0" w:space="0" w:color="auto"/>
            <w:bottom w:val="none" w:sz="0" w:space="0" w:color="auto"/>
            <w:right w:val="none" w:sz="0" w:space="0" w:color="auto"/>
          </w:divBdr>
        </w:div>
        <w:div w:id="753630511">
          <w:marLeft w:val="0"/>
          <w:marRight w:val="0"/>
          <w:marTop w:val="0"/>
          <w:marBottom w:val="0"/>
          <w:divBdr>
            <w:top w:val="none" w:sz="0" w:space="0" w:color="auto"/>
            <w:left w:val="none" w:sz="0" w:space="0" w:color="auto"/>
            <w:bottom w:val="none" w:sz="0" w:space="0" w:color="auto"/>
            <w:right w:val="none" w:sz="0" w:space="0" w:color="auto"/>
          </w:divBdr>
        </w:div>
        <w:div w:id="408961458">
          <w:marLeft w:val="0"/>
          <w:marRight w:val="0"/>
          <w:marTop w:val="0"/>
          <w:marBottom w:val="0"/>
          <w:divBdr>
            <w:top w:val="none" w:sz="0" w:space="0" w:color="auto"/>
            <w:left w:val="none" w:sz="0" w:space="0" w:color="auto"/>
            <w:bottom w:val="none" w:sz="0" w:space="0" w:color="auto"/>
            <w:right w:val="none" w:sz="0" w:space="0" w:color="auto"/>
          </w:divBdr>
        </w:div>
        <w:div w:id="1401369903">
          <w:marLeft w:val="0"/>
          <w:marRight w:val="0"/>
          <w:marTop w:val="0"/>
          <w:marBottom w:val="0"/>
          <w:divBdr>
            <w:top w:val="none" w:sz="0" w:space="0" w:color="auto"/>
            <w:left w:val="none" w:sz="0" w:space="0" w:color="auto"/>
            <w:bottom w:val="none" w:sz="0" w:space="0" w:color="auto"/>
            <w:right w:val="none" w:sz="0" w:space="0" w:color="auto"/>
          </w:divBdr>
        </w:div>
        <w:div w:id="1468664433">
          <w:marLeft w:val="0"/>
          <w:marRight w:val="0"/>
          <w:marTop w:val="0"/>
          <w:marBottom w:val="0"/>
          <w:divBdr>
            <w:top w:val="none" w:sz="0" w:space="0" w:color="auto"/>
            <w:left w:val="none" w:sz="0" w:space="0" w:color="auto"/>
            <w:bottom w:val="none" w:sz="0" w:space="0" w:color="auto"/>
            <w:right w:val="none" w:sz="0" w:space="0" w:color="auto"/>
          </w:divBdr>
        </w:div>
        <w:div w:id="410322354">
          <w:marLeft w:val="0"/>
          <w:marRight w:val="0"/>
          <w:marTop w:val="0"/>
          <w:marBottom w:val="0"/>
          <w:divBdr>
            <w:top w:val="none" w:sz="0" w:space="0" w:color="auto"/>
            <w:left w:val="none" w:sz="0" w:space="0" w:color="auto"/>
            <w:bottom w:val="none" w:sz="0" w:space="0" w:color="auto"/>
            <w:right w:val="none" w:sz="0" w:space="0" w:color="auto"/>
          </w:divBdr>
        </w:div>
        <w:div w:id="10763853">
          <w:marLeft w:val="0"/>
          <w:marRight w:val="0"/>
          <w:marTop w:val="0"/>
          <w:marBottom w:val="0"/>
          <w:divBdr>
            <w:top w:val="none" w:sz="0" w:space="0" w:color="auto"/>
            <w:left w:val="none" w:sz="0" w:space="0" w:color="auto"/>
            <w:bottom w:val="none" w:sz="0" w:space="0" w:color="auto"/>
            <w:right w:val="none" w:sz="0" w:space="0" w:color="auto"/>
          </w:divBdr>
        </w:div>
        <w:div w:id="459156305">
          <w:marLeft w:val="0"/>
          <w:marRight w:val="0"/>
          <w:marTop w:val="0"/>
          <w:marBottom w:val="0"/>
          <w:divBdr>
            <w:top w:val="none" w:sz="0" w:space="0" w:color="auto"/>
            <w:left w:val="none" w:sz="0" w:space="0" w:color="auto"/>
            <w:bottom w:val="none" w:sz="0" w:space="0" w:color="auto"/>
            <w:right w:val="none" w:sz="0" w:space="0" w:color="auto"/>
          </w:divBdr>
        </w:div>
        <w:div w:id="1331443601">
          <w:marLeft w:val="0"/>
          <w:marRight w:val="0"/>
          <w:marTop w:val="0"/>
          <w:marBottom w:val="0"/>
          <w:divBdr>
            <w:top w:val="none" w:sz="0" w:space="0" w:color="auto"/>
            <w:left w:val="none" w:sz="0" w:space="0" w:color="auto"/>
            <w:bottom w:val="none" w:sz="0" w:space="0" w:color="auto"/>
            <w:right w:val="none" w:sz="0" w:space="0" w:color="auto"/>
          </w:divBdr>
        </w:div>
        <w:div w:id="1461149447">
          <w:marLeft w:val="0"/>
          <w:marRight w:val="0"/>
          <w:marTop w:val="0"/>
          <w:marBottom w:val="0"/>
          <w:divBdr>
            <w:top w:val="none" w:sz="0" w:space="0" w:color="auto"/>
            <w:left w:val="none" w:sz="0" w:space="0" w:color="auto"/>
            <w:bottom w:val="none" w:sz="0" w:space="0" w:color="auto"/>
            <w:right w:val="none" w:sz="0" w:space="0" w:color="auto"/>
          </w:divBdr>
        </w:div>
        <w:div w:id="1042169183">
          <w:marLeft w:val="0"/>
          <w:marRight w:val="0"/>
          <w:marTop w:val="0"/>
          <w:marBottom w:val="0"/>
          <w:divBdr>
            <w:top w:val="none" w:sz="0" w:space="0" w:color="auto"/>
            <w:left w:val="none" w:sz="0" w:space="0" w:color="auto"/>
            <w:bottom w:val="none" w:sz="0" w:space="0" w:color="auto"/>
            <w:right w:val="none" w:sz="0" w:space="0" w:color="auto"/>
          </w:divBdr>
        </w:div>
        <w:div w:id="1844472250">
          <w:marLeft w:val="0"/>
          <w:marRight w:val="0"/>
          <w:marTop w:val="0"/>
          <w:marBottom w:val="0"/>
          <w:divBdr>
            <w:top w:val="none" w:sz="0" w:space="0" w:color="auto"/>
            <w:left w:val="none" w:sz="0" w:space="0" w:color="auto"/>
            <w:bottom w:val="none" w:sz="0" w:space="0" w:color="auto"/>
            <w:right w:val="none" w:sz="0" w:space="0" w:color="auto"/>
          </w:divBdr>
        </w:div>
        <w:div w:id="432163921">
          <w:marLeft w:val="0"/>
          <w:marRight w:val="0"/>
          <w:marTop w:val="0"/>
          <w:marBottom w:val="0"/>
          <w:divBdr>
            <w:top w:val="none" w:sz="0" w:space="0" w:color="auto"/>
            <w:left w:val="none" w:sz="0" w:space="0" w:color="auto"/>
            <w:bottom w:val="none" w:sz="0" w:space="0" w:color="auto"/>
            <w:right w:val="none" w:sz="0" w:space="0" w:color="auto"/>
          </w:divBdr>
        </w:div>
        <w:div w:id="1448040760">
          <w:marLeft w:val="0"/>
          <w:marRight w:val="0"/>
          <w:marTop w:val="0"/>
          <w:marBottom w:val="0"/>
          <w:divBdr>
            <w:top w:val="none" w:sz="0" w:space="0" w:color="auto"/>
            <w:left w:val="none" w:sz="0" w:space="0" w:color="auto"/>
            <w:bottom w:val="none" w:sz="0" w:space="0" w:color="auto"/>
            <w:right w:val="none" w:sz="0" w:space="0" w:color="auto"/>
          </w:divBdr>
        </w:div>
        <w:div w:id="1502164178">
          <w:marLeft w:val="0"/>
          <w:marRight w:val="0"/>
          <w:marTop w:val="0"/>
          <w:marBottom w:val="0"/>
          <w:divBdr>
            <w:top w:val="none" w:sz="0" w:space="0" w:color="auto"/>
            <w:left w:val="none" w:sz="0" w:space="0" w:color="auto"/>
            <w:bottom w:val="none" w:sz="0" w:space="0" w:color="auto"/>
            <w:right w:val="none" w:sz="0" w:space="0" w:color="auto"/>
          </w:divBdr>
        </w:div>
        <w:div w:id="1975483230">
          <w:marLeft w:val="0"/>
          <w:marRight w:val="0"/>
          <w:marTop w:val="0"/>
          <w:marBottom w:val="0"/>
          <w:divBdr>
            <w:top w:val="none" w:sz="0" w:space="0" w:color="auto"/>
            <w:left w:val="none" w:sz="0" w:space="0" w:color="auto"/>
            <w:bottom w:val="none" w:sz="0" w:space="0" w:color="auto"/>
            <w:right w:val="none" w:sz="0" w:space="0" w:color="auto"/>
          </w:divBdr>
        </w:div>
        <w:div w:id="1737898675">
          <w:marLeft w:val="0"/>
          <w:marRight w:val="0"/>
          <w:marTop w:val="0"/>
          <w:marBottom w:val="0"/>
          <w:divBdr>
            <w:top w:val="none" w:sz="0" w:space="0" w:color="auto"/>
            <w:left w:val="none" w:sz="0" w:space="0" w:color="auto"/>
            <w:bottom w:val="none" w:sz="0" w:space="0" w:color="auto"/>
            <w:right w:val="none" w:sz="0" w:space="0" w:color="auto"/>
          </w:divBdr>
        </w:div>
        <w:div w:id="91124159">
          <w:marLeft w:val="0"/>
          <w:marRight w:val="0"/>
          <w:marTop w:val="0"/>
          <w:marBottom w:val="0"/>
          <w:divBdr>
            <w:top w:val="none" w:sz="0" w:space="0" w:color="auto"/>
            <w:left w:val="none" w:sz="0" w:space="0" w:color="auto"/>
            <w:bottom w:val="none" w:sz="0" w:space="0" w:color="auto"/>
            <w:right w:val="none" w:sz="0" w:space="0" w:color="auto"/>
          </w:divBdr>
        </w:div>
        <w:div w:id="1640113152">
          <w:marLeft w:val="0"/>
          <w:marRight w:val="0"/>
          <w:marTop w:val="0"/>
          <w:marBottom w:val="0"/>
          <w:divBdr>
            <w:top w:val="none" w:sz="0" w:space="0" w:color="auto"/>
            <w:left w:val="none" w:sz="0" w:space="0" w:color="auto"/>
            <w:bottom w:val="none" w:sz="0" w:space="0" w:color="auto"/>
            <w:right w:val="none" w:sz="0" w:space="0" w:color="auto"/>
          </w:divBdr>
        </w:div>
        <w:div w:id="883100330">
          <w:marLeft w:val="0"/>
          <w:marRight w:val="0"/>
          <w:marTop w:val="0"/>
          <w:marBottom w:val="0"/>
          <w:divBdr>
            <w:top w:val="none" w:sz="0" w:space="0" w:color="auto"/>
            <w:left w:val="none" w:sz="0" w:space="0" w:color="auto"/>
            <w:bottom w:val="none" w:sz="0" w:space="0" w:color="auto"/>
            <w:right w:val="none" w:sz="0" w:space="0" w:color="auto"/>
          </w:divBdr>
        </w:div>
        <w:div w:id="724454509">
          <w:marLeft w:val="0"/>
          <w:marRight w:val="0"/>
          <w:marTop w:val="0"/>
          <w:marBottom w:val="0"/>
          <w:divBdr>
            <w:top w:val="none" w:sz="0" w:space="0" w:color="auto"/>
            <w:left w:val="none" w:sz="0" w:space="0" w:color="auto"/>
            <w:bottom w:val="none" w:sz="0" w:space="0" w:color="auto"/>
            <w:right w:val="none" w:sz="0" w:space="0" w:color="auto"/>
          </w:divBdr>
        </w:div>
        <w:div w:id="354697616">
          <w:marLeft w:val="0"/>
          <w:marRight w:val="0"/>
          <w:marTop w:val="0"/>
          <w:marBottom w:val="0"/>
          <w:divBdr>
            <w:top w:val="none" w:sz="0" w:space="0" w:color="auto"/>
            <w:left w:val="none" w:sz="0" w:space="0" w:color="auto"/>
            <w:bottom w:val="none" w:sz="0" w:space="0" w:color="auto"/>
            <w:right w:val="none" w:sz="0" w:space="0" w:color="auto"/>
          </w:divBdr>
        </w:div>
        <w:div w:id="1258517224">
          <w:marLeft w:val="0"/>
          <w:marRight w:val="0"/>
          <w:marTop w:val="0"/>
          <w:marBottom w:val="0"/>
          <w:divBdr>
            <w:top w:val="none" w:sz="0" w:space="0" w:color="auto"/>
            <w:left w:val="none" w:sz="0" w:space="0" w:color="auto"/>
            <w:bottom w:val="none" w:sz="0" w:space="0" w:color="auto"/>
            <w:right w:val="none" w:sz="0" w:space="0" w:color="auto"/>
          </w:divBdr>
        </w:div>
        <w:div w:id="1219434552">
          <w:marLeft w:val="0"/>
          <w:marRight w:val="0"/>
          <w:marTop w:val="0"/>
          <w:marBottom w:val="0"/>
          <w:divBdr>
            <w:top w:val="none" w:sz="0" w:space="0" w:color="auto"/>
            <w:left w:val="none" w:sz="0" w:space="0" w:color="auto"/>
            <w:bottom w:val="none" w:sz="0" w:space="0" w:color="auto"/>
            <w:right w:val="none" w:sz="0" w:space="0" w:color="auto"/>
          </w:divBdr>
        </w:div>
        <w:div w:id="615480503">
          <w:marLeft w:val="0"/>
          <w:marRight w:val="0"/>
          <w:marTop w:val="0"/>
          <w:marBottom w:val="0"/>
          <w:divBdr>
            <w:top w:val="none" w:sz="0" w:space="0" w:color="auto"/>
            <w:left w:val="none" w:sz="0" w:space="0" w:color="auto"/>
            <w:bottom w:val="none" w:sz="0" w:space="0" w:color="auto"/>
            <w:right w:val="none" w:sz="0" w:space="0" w:color="auto"/>
          </w:divBdr>
        </w:div>
        <w:div w:id="553927485">
          <w:marLeft w:val="0"/>
          <w:marRight w:val="0"/>
          <w:marTop w:val="0"/>
          <w:marBottom w:val="0"/>
          <w:divBdr>
            <w:top w:val="none" w:sz="0" w:space="0" w:color="auto"/>
            <w:left w:val="none" w:sz="0" w:space="0" w:color="auto"/>
            <w:bottom w:val="none" w:sz="0" w:space="0" w:color="auto"/>
            <w:right w:val="none" w:sz="0" w:space="0" w:color="auto"/>
          </w:divBdr>
        </w:div>
        <w:div w:id="85732395">
          <w:marLeft w:val="0"/>
          <w:marRight w:val="0"/>
          <w:marTop w:val="0"/>
          <w:marBottom w:val="0"/>
          <w:divBdr>
            <w:top w:val="none" w:sz="0" w:space="0" w:color="auto"/>
            <w:left w:val="none" w:sz="0" w:space="0" w:color="auto"/>
            <w:bottom w:val="none" w:sz="0" w:space="0" w:color="auto"/>
            <w:right w:val="none" w:sz="0" w:space="0" w:color="auto"/>
          </w:divBdr>
        </w:div>
        <w:div w:id="157040064">
          <w:marLeft w:val="0"/>
          <w:marRight w:val="0"/>
          <w:marTop w:val="0"/>
          <w:marBottom w:val="0"/>
          <w:divBdr>
            <w:top w:val="none" w:sz="0" w:space="0" w:color="auto"/>
            <w:left w:val="none" w:sz="0" w:space="0" w:color="auto"/>
            <w:bottom w:val="none" w:sz="0" w:space="0" w:color="auto"/>
            <w:right w:val="none" w:sz="0" w:space="0" w:color="auto"/>
          </w:divBdr>
        </w:div>
        <w:div w:id="357706340">
          <w:marLeft w:val="0"/>
          <w:marRight w:val="0"/>
          <w:marTop w:val="0"/>
          <w:marBottom w:val="0"/>
          <w:divBdr>
            <w:top w:val="none" w:sz="0" w:space="0" w:color="auto"/>
            <w:left w:val="none" w:sz="0" w:space="0" w:color="auto"/>
            <w:bottom w:val="none" w:sz="0" w:space="0" w:color="auto"/>
            <w:right w:val="none" w:sz="0" w:space="0" w:color="auto"/>
          </w:divBdr>
        </w:div>
        <w:div w:id="1585188721">
          <w:marLeft w:val="0"/>
          <w:marRight w:val="0"/>
          <w:marTop w:val="0"/>
          <w:marBottom w:val="0"/>
          <w:divBdr>
            <w:top w:val="none" w:sz="0" w:space="0" w:color="auto"/>
            <w:left w:val="none" w:sz="0" w:space="0" w:color="auto"/>
            <w:bottom w:val="none" w:sz="0" w:space="0" w:color="auto"/>
            <w:right w:val="none" w:sz="0" w:space="0" w:color="auto"/>
          </w:divBdr>
        </w:div>
        <w:div w:id="2119375839">
          <w:marLeft w:val="0"/>
          <w:marRight w:val="0"/>
          <w:marTop w:val="0"/>
          <w:marBottom w:val="0"/>
          <w:divBdr>
            <w:top w:val="none" w:sz="0" w:space="0" w:color="auto"/>
            <w:left w:val="none" w:sz="0" w:space="0" w:color="auto"/>
            <w:bottom w:val="none" w:sz="0" w:space="0" w:color="auto"/>
            <w:right w:val="none" w:sz="0" w:space="0" w:color="auto"/>
          </w:divBdr>
        </w:div>
        <w:div w:id="1196692183">
          <w:marLeft w:val="0"/>
          <w:marRight w:val="0"/>
          <w:marTop w:val="0"/>
          <w:marBottom w:val="0"/>
          <w:divBdr>
            <w:top w:val="none" w:sz="0" w:space="0" w:color="auto"/>
            <w:left w:val="none" w:sz="0" w:space="0" w:color="auto"/>
            <w:bottom w:val="none" w:sz="0" w:space="0" w:color="auto"/>
            <w:right w:val="none" w:sz="0" w:space="0" w:color="auto"/>
          </w:divBdr>
        </w:div>
      </w:divsChild>
    </w:div>
    <w:div w:id="1349715245">
      <w:bodyDiv w:val="1"/>
      <w:marLeft w:val="0"/>
      <w:marRight w:val="0"/>
      <w:marTop w:val="0"/>
      <w:marBottom w:val="0"/>
      <w:divBdr>
        <w:top w:val="none" w:sz="0" w:space="0" w:color="auto"/>
        <w:left w:val="none" w:sz="0" w:space="0" w:color="auto"/>
        <w:bottom w:val="none" w:sz="0" w:space="0" w:color="auto"/>
        <w:right w:val="none" w:sz="0" w:space="0" w:color="auto"/>
      </w:divBdr>
    </w:div>
    <w:div w:id="1428118661">
      <w:bodyDiv w:val="1"/>
      <w:marLeft w:val="0"/>
      <w:marRight w:val="0"/>
      <w:marTop w:val="0"/>
      <w:marBottom w:val="0"/>
      <w:divBdr>
        <w:top w:val="none" w:sz="0" w:space="0" w:color="auto"/>
        <w:left w:val="none" w:sz="0" w:space="0" w:color="auto"/>
        <w:bottom w:val="none" w:sz="0" w:space="0" w:color="auto"/>
        <w:right w:val="none" w:sz="0" w:space="0" w:color="auto"/>
      </w:divBdr>
    </w:div>
    <w:div w:id="1464688556">
      <w:bodyDiv w:val="1"/>
      <w:marLeft w:val="0"/>
      <w:marRight w:val="0"/>
      <w:marTop w:val="0"/>
      <w:marBottom w:val="0"/>
      <w:divBdr>
        <w:top w:val="none" w:sz="0" w:space="0" w:color="auto"/>
        <w:left w:val="none" w:sz="0" w:space="0" w:color="auto"/>
        <w:bottom w:val="none" w:sz="0" w:space="0" w:color="auto"/>
        <w:right w:val="none" w:sz="0" w:space="0" w:color="auto"/>
      </w:divBdr>
      <w:divsChild>
        <w:div w:id="1997302114">
          <w:marLeft w:val="0"/>
          <w:marRight w:val="0"/>
          <w:marTop w:val="0"/>
          <w:marBottom w:val="0"/>
          <w:divBdr>
            <w:top w:val="none" w:sz="0" w:space="0" w:color="auto"/>
            <w:left w:val="none" w:sz="0" w:space="0" w:color="auto"/>
            <w:bottom w:val="none" w:sz="0" w:space="0" w:color="auto"/>
            <w:right w:val="none" w:sz="0" w:space="0" w:color="auto"/>
          </w:divBdr>
        </w:div>
        <w:div w:id="2004046144">
          <w:marLeft w:val="0"/>
          <w:marRight w:val="0"/>
          <w:marTop w:val="0"/>
          <w:marBottom w:val="0"/>
          <w:divBdr>
            <w:top w:val="none" w:sz="0" w:space="0" w:color="auto"/>
            <w:left w:val="none" w:sz="0" w:space="0" w:color="auto"/>
            <w:bottom w:val="none" w:sz="0" w:space="0" w:color="auto"/>
            <w:right w:val="none" w:sz="0" w:space="0" w:color="auto"/>
          </w:divBdr>
        </w:div>
        <w:div w:id="636304749">
          <w:marLeft w:val="0"/>
          <w:marRight w:val="0"/>
          <w:marTop w:val="0"/>
          <w:marBottom w:val="0"/>
          <w:divBdr>
            <w:top w:val="none" w:sz="0" w:space="0" w:color="auto"/>
            <w:left w:val="none" w:sz="0" w:space="0" w:color="auto"/>
            <w:bottom w:val="none" w:sz="0" w:space="0" w:color="auto"/>
            <w:right w:val="none" w:sz="0" w:space="0" w:color="auto"/>
          </w:divBdr>
        </w:div>
        <w:div w:id="615449758">
          <w:marLeft w:val="0"/>
          <w:marRight w:val="0"/>
          <w:marTop w:val="0"/>
          <w:marBottom w:val="0"/>
          <w:divBdr>
            <w:top w:val="none" w:sz="0" w:space="0" w:color="auto"/>
            <w:left w:val="none" w:sz="0" w:space="0" w:color="auto"/>
            <w:bottom w:val="none" w:sz="0" w:space="0" w:color="auto"/>
            <w:right w:val="none" w:sz="0" w:space="0" w:color="auto"/>
          </w:divBdr>
        </w:div>
        <w:div w:id="477888587">
          <w:marLeft w:val="0"/>
          <w:marRight w:val="0"/>
          <w:marTop w:val="0"/>
          <w:marBottom w:val="0"/>
          <w:divBdr>
            <w:top w:val="none" w:sz="0" w:space="0" w:color="auto"/>
            <w:left w:val="none" w:sz="0" w:space="0" w:color="auto"/>
            <w:bottom w:val="none" w:sz="0" w:space="0" w:color="auto"/>
            <w:right w:val="none" w:sz="0" w:space="0" w:color="auto"/>
          </w:divBdr>
        </w:div>
        <w:div w:id="1033533753">
          <w:marLeft w:val="0"/>
          <w:marRight w:val="0"/>
          <w:marTop w:val="0"/>
          <w:marBottom w:val="0"/>
          <w:divBdr>
            <w:top w:val="none" w:sz="0" w:space="0" w:color="auto"/>
            <w:left w:val="none" w:sz="0" w:space="0" w:color="auto"/>
            <w:bottom w:val="none" w:sz="0" w:space="0" w:color="auto"/>
            <w:right w:val="none" w:sz="0" w:space="0" w:color="auto"/>
          </w:divBdr>
        </w:div>
        <w:div w:id="976567677">
          <w:marLeft w:val="0"/>
          <w:marRight w:val="0"/>
          <w:marTop w:val="0"/>
          <w:marBottom w:val="0"/>
          <w:divBdr>
            <w:top w:val="none" w:sz="0" w:space="0" w:color="auto"/>
            <w:left w:val="none" w:sz="0" w:space="0" w:color="auto"/>
            <w:bottom w:val="none" w:sz="0" w:space="0" w:color="auto"/>
            <w:right w:val="none" w:sz="0" w:space="0" w:color="auto"/>
          </w:divBdr>
        </w:div>
        <w:div w:id="133790387">
          <w:marLeft w:val="0"/>
          <w:marRight w:val="0"/>
          <w:marTop w:val="0"/>
          <w:marBottom w:val="0"/>
          <w:divBdr>
            <w:top w:val="none" w:sz="0" w:space="0" w:color="auto"/>
            <w:left w:val="none" w:sz="0" w:space="0" w:color="auto"/>
            <w:bottom w:val="none" w:sz="0" w:space="0" w:color="auto"/>
            <w:right w:val="none" w:sz="0" w:space="0" w:color="auto"/>
          </w:divBdr>
        </w:div>
      </w:divsChild>
    </w:div>
    <w:div w:id="1474980300">
      <w:bodyDiv w:val="1"/>
      <w:marLeft w:val="0"/>
      <w:marRight w:val="0"/>
      <w:marTop w:val="0"/>
      <w:marBottom w:val="0"/>
      <w:divBdr>
        <w:top w:val="none" w:sz="0" w:space="0" w:color="auto"/>
        <w:left w:val="none" w:sz="0" w:space="0" w:color="auto"/>
        <w:bottom w:val="none" w:sz="0" w:space="0" w:color="auto"/>
        <w:right w:val="none" w:sz="0" w:space="0" w:color="auto"/>
      </w:divBdr>
    </w:div>
    <w:div w:id="1513102387">
      <w:bodyDiv w:val="1"/>
      <w:marLeft w:val="0"/>
      <w:marRight w:val="0"/>
      <w:marTop w:val="0"/>
      <w:marBottom w:val="0"/>
      <w:divBdr>
        <w:top w:val="none" w:sz="0" w:space="0" w:color="auto"/>
        <w:left w:val="none" w:sz="0" w:space="0" w:color="auto"/>
        <w:bottom w:val="none" w:sz="0" w:space="0" w:color="auto"/>
        <w:right w:val="none" w:sz="0" w:space="0" w:color="auto"/>
      </w:divBdr>
    </w:div>
    <w:div w:id="1651910289">
      <w:bodyDiv w:val="1"/>
      <w:marLeft w:val="0"/>
      <w:marRight w:val="0"/>
      <w:marTop w:val="0"/>
      <w:marBottom w:val="0"/>
      <w:divBdr>
        <w:top w:val="none" w:sz="0" w:space="0" w:color="auto"/>
        <w:left w:val="none" w:sz="0" w:space="0" w:color="auto"/>
        <w:bottom w:val="none" w:sz="0" w:space="0" w:color="auto"/>
        <w:right w:val="none" w:sz="0" w:space="0" w:color="auto"/>
      </w:divBdr>
      <w:divsChild>
        <w:div w:id="1798907556">
          <w:marLeft w:val="0"/>
          <w:marRight w:val="0"/>
          <w:marTop w:val="0"/>
          <w:marBottom w:val="0"/>
          <w:divBdr>
            <w:top w:val="none" w:sz="0" w:space="0" w:color="auto"/>
            <w:left w:val="none" w:sz="0" w:space="0" w:color="auto"/>
            <w:bottom w:val="none" w:sz="0" w:space="0" w:color="auto"/>
            <w:right w:val="none" w:sz="0" w:space="0" w:color="auto"/>
          </w:divBdr>
        </w:div>
        <w:div w:id="1928691648">
          <w:marLeft w:val="0"/>
          <w:marRight w:val="0"/>
          <w:marTop w:val="0"/>
          <w:marBottom w:val="0"/>
          <w:divBdr>
            <w:top w:val="none" w:sz="0" w:space="0" w:color="auto"/>
            <w:left w:val="none" w:sz="0" w:space="0" w:color="auto"/>
            <w:bottom w:val="none" w:sz="0" w:space="0" w:color="auto"/>
            <w:right w:val="none" w:sz="0" w:space="0" w:color="auto"/>
          </w:divBdr>
        </w:div>
        <w:div w:id="470178134">
          <w:marLeft w:val="0"/>
          <w:marRight w:val="0"/>
          <w:marTop w:val="0"/>
          <w:marBottom w:val="0"/>
          <w:divBdr>
            <w:top w:val="none" w:sz="0" w:space="0" w:color="auto"/>
            <w:left w:val="none" w:sz="0" w:space="0" w:color="auto"/>
            <w:bottom w:val="none" w:sz="0" w:space="0" w:color="auto"/>
            <w:right w:val="none" w:sz="0" w:space="0" w:color="auto"/>
          </w:divBdr>
        </w:div>
        <w:div w:id="1224833710">
          <w:marLeft w:val="0"/>
          <w:marRight w:val="0"/>
          <w:marTop w:val="0"/>
          <w:marBottom w:val="0"/>
          <w:divBdr>
            <w:top w:val="none" w:sz="0" w:space="0" w:color="auto"/>
            <w:left w:val="none" w:sz="0" w:space="0" w:color="auto"/>
            <w:bottom w:val="none" w:sz="0" w:space="0" w:color="auto"/>
            <w:right w:val="none" w:sz="0" w:space="0" w:color="auto"/>
          </w:divBdr>
        </w:div>
        <w:div w:id="427819382">
          <w:marLeft w:val="0"/>
          <w:marRight w:val="0"/>
          <w:marTop w:val="0"/>
          <w:marBottom w:val="0"/>
          <w:divBdr>
            <w:top w:val="none" w:sz="0" w:space="0" w:color="auto"/>
            <w:left w:val="none" w:sz="0" w:space="0" w:color="auto"/>
            <w:bottom w:val="none" w:sz="0" w:space="0" w:color="auto"/>
            <w:right w:val="none" w:sz="0" w:space="0" w:color="auto"/>
          </w:divBdr>
        </w:div>
        <w:div w:id="177698688">
          <w:marLeft w:val="0"/>
          <w:marRight w:val="0"/>
          <w:marTop w:val="0"/>
          <w:marBottom w:val="0"/>
          <w:divBdr>
            <w:top w:val="none" w:sz="0" w:space="0" w:color="auto"/>
            <w:left w:val="none" w:sz="0" w:space="0" w:color="auto"/>
            <w:bottom w:val="none" w:sz="0" w:space="0" w:color="auto"/>
            <w:right w:val="none" w:sz="0" w:space="0" w:color="auto"/>
          </w:divBdr>
        </w:div>
        <w:div w:id="79182832">
          <w:marLeft w:val="0"/>
          <w:marRight w:val="0"/>
          <w:marTop w:val="0"/>
          <w:marBottom w:val="0"/>
          <w:divBdr>
            <w:top w:val="none" w:sz="0" w:space="0" w:color="auto"/>
            <w:left w:val="none" w:sz="0" w:space="0" w:color="auto"/>
            <w:bottom w:val="none" w:sz="0" w:space="0" w:color="auto"/>
            <w:right w:val="none" w:sz="0" w:space="0" w:color="auto"/>
          </w:divBdr>
        </w:div>
        <w:div w:id="2110928901">
          <w:marLeft w:val="0"/>
          <w:marRight w:val="0"/>
          <w:marTop w:val="0"/>
          <w:marBottom w:val="0"/>
          <w:divBdr>
            <w:top w:val="none" w:sz="0" w:space="0" w:color="auto"/>
            <w:left w:val="none" w:sz="0" w:space="0" w:color="auto"/>
            <w:bottom w:val="none" w:sz="0" w:space="0" w:color="auto"/>
            <w:right w:val="none" w:sz="0" w:space="0" w:color="auto"/>
          </w:divBdr>
        </w:div>
        <w:div w:id="723872279">
          <w:marLeft w:val="0"/>
          <w:marRight w:val="0"/>
          <w:marTop w:val="0"/>
          <w:marBottom w:val="0"/>
          <w:divBdr>
            <w:top w:val="none" w:sz="0" w:space="0" w:color="auto"/>
            <w:left w:val="none" w:sz="0" w:space="0" w:color="auto"/>
            <w:bottom w:val="none" w:sz="0" w:space="0" w:color="auto"/>
            <w:right w:val="none" w:sz="0" w:space="0" w:color="auto"/>
          </w:divBdr>
        </w:div>
        <w:div w:id="586038436">
          <w:marLeft w:val="0"/>
          <w:marRight w:val="0"/>
          <w:marTop w:val="0"/>
          <w:marBottom w:val="0"/>
          <w:divBdr>
            <w:top w:val="none" w:sz="0" w:space="0" w:color="auto"/>
            <w:left w:val="none" w:sz="0" w:space="0" w:color="auto"/>
            <w:bottom w:val="none" w:sz="0" w:space="0" w:color="auto"/>
            <w:right w:val="none" w:sz="0" w:space="0" w:color="auto"/>
          </w:divBdr>
        </w:div>
        <w:div w:id="1914244106">
          <w:marLeft w:val="0"/>
          <w:marRight w:val="0"/>
          <w:marTop w:val="0"/>
          <w:marBottom w:val="0"/>
          <w:divBdr>
            <w:top w:val="none" w:sz="0" w:space="0" w:color="auto"/>
            <w:left w:val="none" w:sz="0" w:space="0" w:color="auto"/>
            <w:bottom w:val="none" w:sz="0" w:space="0" w:color="auto"/>
            <w:right w:val="none" w:sz="0" w:space="0" w:color="auto"/>
          </w:divBdr>
        </w:div>
        <w:div w:id="1799030393">
          <w:marLeft w:val="0"/>
          <w:marRight w:val="0"/>
          <w:marTop w:val="0"/>
          <w:marBottom w:val="0"/>
          <w:divBdr>
            <w:top w:val="none" w:sz="0" w:space="0" w:color="auto"/>
            <w:left w:val="none" w:sz="0" w:space="0" w:color="auto"/>
            <w:bottom w:val="none" w:sz="0" w:space="0" w:color="auto"/>
            <w:right w:val="none" w:sz="0" w:space="0" w:color="auto"/>
          </w:divBdr>
        </w:div>
        <w:div w:id="1375152158">
          <w:marLeft w:val="0"/>
          <w:marRight w:val="0"/>
          <w:marTop w:val="0"/>
          <w:marBottom w:val="0"/>
          <w:divBdr>
            <w:top w:val="none" w:sz="0" w:space="0" w:color="auto"/>
            <w:left w:val="none" w:sz="0" w:space="0" w:color="auto"/>
            <w:bottom w:val="none" w:sz="0" w:space="0" w:color="auto"/>
            <w:right w:val="none" w:sz="0" w:space="0" w:color="auto"/>
          </w:divBdr>
        </w:div>
        <w:div w:id="372654043">
          <w:marLeft w:val="0"/>
          <w:marRight w:val="0"/>
          <w:marTop w:val="0"/>
          <w:marBottom w:val="0"/>
          <w:divBdr>
            <w:top w:val="none" w:sz="0" w:space="0" w:color="auto"/>
            <w:left w:val="none" w:sz="0" w:space="0" w:color="auto"/>
            <w:bottom w:val="none" w:sz="0" w:space="0" w:color="auto"/>
            <w:right w:val="none" w:sz="0" w:space="0" w:color="auto"/>
          </w:divBdr>
        </w:div>
        <w:div w:id="1525746075">
          <w:marLeft w:val="0"/>
          <w:marRight w:val="0"/>
          <w:marTop w:val="0"/>
          <w:marBottom w:val="0"/>
          <w:divBdr>
            <w:top w:val="none" w:sz="0" w:space="0" w:color="auto"/>
            <w:left w:val="none" w:sz="0" w:space="0" w:color="auto"/>
            <w:bottom w:val="none" w:sz="0" w:space="0" w:color="auto"/>
            <w:right w:val="none" w:sz="0" w:space="0" w:color="auto"/>
          </w:divBdr>
        </w:div>
        <w:div w:id="188446954">
          <w:marLeft w:val="0"/>
          <w:marRight w:val="0"/>
          <w:marTop w:val="0"/>
          <w:marBottom w:val="0"/>
          <w:divBdr>
            <w:top w:val="none" w:sz="0" w:space="0" w:color="auto"/>
            <w:left w:val="none" w:sz="0" w:space="0" w:color="auto"/>
            <w:bottom w:val="none" w:sz="0" w:space="0" w:color="auto"/>
            <w:right w:val="none" w:sz="0" w:space="0" w:color="auto"/>
          </w:divBdr>
        </w:div>
        <w:div w:id="1340308785">
          <w:marLeft w:val="0"/>
          <w:marRight w:val="0"/>
          <w:marTop w:val="0"/>
          <w:marBottom w:val="0"/>
          <w:divBdr>
            <w:top w:val="none" w:sz="0" w:space="0" w:color="auto"/>
            <w:left w:val="none" w:sz="0" w:space="0" w:color="auto"/>
            <w:bottom w:val="none" w:sz="0" w:space="0" w:color="auto"/>
            <w:right w:val="none" w:sz="0" w:space="0" w:color="auto"/>
          </w:divBdr>
        </w:div>
        <w:div w:id="1785072362">
          <w:marLeft w:val="0"/>
          <w:marRight w:val="0"/>
          <w:marTop w:val="0"/>
          <w:marBottom w:val="0"/>
          <w:divBdr>
            <w:top w:val="none" w:sz="0" w:space="0" w:color="auto"/>
            <w:left w:val="none" w:sz="0" w:space="0" w:color="auto"/>
            <w:bottom w:val="none" w:sz="0" w:space="0" w:color="auto"/>
            <w:right w:val="none" w:sz="0" w:space="0" w:color="auto"/>
          </w:divBdr>
        </w:div>
        <w:div w:id="972321401">
          <w:marLeft w:val="0"/>
          <w:marRight w:val="0"/>
          <w:marTop w:val="0"/>
          <w:marBottom w:val="0"/>
          <w:divBdr>
            <w:top w:val="none" w:sz="0" w:space="0" w:color="auto"/>
            <w:left w:val="none" w:sz="0" w:space="0" w:color="auto"/>
            <w:bottom w:val="none" w:sz="0" w:space="0" w:color="auto"/>
            <w:right w:val="none" w:sz="0" w:space="0" w:color="auto"/>
          </w:divBdr>
        </w:div>
        <w:div w:id="741827659">
          <w:marLeft w:val="0"/>
          <w:marRight w:val="0"/>
          <w:marTop w:val="0"/>
          <w:marBottom w:val="0"/>
          <w:divBdr>
            <w:top w:val="none" w:sz="0" w:space="0" w:color="auto"/>
            <w:left w:val="none" w:sz="0" w:space="0" w:color="auto"/>
            <w:bottom w:val="none" w:sz="0" w:space="0" w:color="auto"/>
            <w:right w:val="none" w:sz="0" w:space="0" w:color="auto"/>
          </w:divBdr>
        </w:div>
        <w:div w:id="1096748916">
          <w:marLeft w:val="0"/>
          <w:marRight w:val="0"/>
          <w:marTop w:val="0"/>
          <w:marBottom w:val="0"/>
          <w:divBdr>
            <w:top w:val="none" w:sz="0" w:space="0" w:color="auto"/>
            <w:left w:val="none" w:sz="0" w:space="0" w:color="auto"/>
            <w:bottom w:val="none" w:sz="0" w:space="0" w:color="auto"/>
            <w:right w:val="none" w:sz="0" w:space="0" w:color="auto"/>
          </w:divBdr>
        </w:div>
        <w:div w:id="1742753893">
          <w:marLeft w:val="0"/>
          <w:marRight w:val="0"/>
          <w:marTop w:val="0"/>
          <w:marBottom w:val="0"/>
          <w:divBdr>
            <w:top w:val="none" w:sz="0" w:space="0" w:color="auto"/>
            <w:left w:val="none" w:sz="0" w:space="0" w:color="auto"/>
            <w:bottom w:val="none" w:sz="0" w:space="0" w:color="auto"/>
            <w:right w:val="none" w:sz="0" w:space="0" w:color="auto"/>
          </w:divBdr>
        </w:div>
        <w:div w:id="1670257524">
          <w:marLeft w:val="0"/>
          <w:marRight w:val="0"/>
          <w:marTop w:val="0"/>
          <w:marBottom w:val="0"/>
          <w:divBdr>
            <w:top w:val="none" w:sz="0" w:space="0" w:color="auto"/>
            <w:left w:val="none" w:sz="0" w:space="0" w:color="auto"/>
            <w:bottom w:val="none" w:sz="0" w:space="0" w:color="auto"/>
            <w:right w:val="none" w:sz="0" w:space="0" w:color="auto"/>
          </w:divBdr>
        </w:div>
        <w:div w:id="839932558">
          <w:marLeft w:val="0"/>
          <w:marRight w:val="0"/>
          <w:marTop w:val="0"/>
          <w:marBottom w:val="0"/>
          <w:divBdr>
            <w:top w:val="none" w:sz="0" w:space="0" w:color="auto"/>
            <w:left w:val="none" w:sz="0" w:space="0" w:color="auto"/>
            <w:bottom w:val="none" w:sz="0" w:space="0" w:color="auto"/>
            <w:right w:val="none" w:sz="0" w:space="0" w:color="auto"/>
          </w:divBdr>
        </w:div>
        <w:div w:id="362245117">
          <w:marLeft w:val="0"/>
          <w:marRight w:val="0"/>
          <w:marTop w:val="0"/>
          <w:marBottom w:val="0"/>
          <w:divBdr>
            <w:top w:val="none" w:sz="0" w:space="0" w:color="auto"/>
            <w:left w:val="none" w:sz="0" w:space="0" w:color="auto"/>
            <w:bottom w:val="none" w:sz="0" w:space="0" w:color="auto"/>
            <w:right w:val="none" w:sz="0" w:space="0" w:color="auto"/>
          </w:divBdr>
        </w:div>
        <w:div w:id="1623264049">
          <w:marLeft w:val="0"/>
          <w:marRight w:val="0"/>
          <w:marTop w:val="0"/>
          <w:marBottom w:val="0"/>
          <w:divBdr>
            <w:top w:val="none" w:sz="0" w:space="0" w:color="auto"/>
            <w:left w:val="none" w:sz="0" w:space="0" w:color="auto"/>
            <w:bottom w:val="none" w:sz="0" w:space="0" w:color="auto"/>
            <w:right w:val="none" w:sz="0" w:space="0" w:color="auto"/>
          </w:divBdr>
        </w:div>
        <w:div w:id="1851597807">
          <w:marLeft w:val="0"/>
          <w:marRight w:val="0"/>
          <w:marTop w:val="0"/>
          <w:marBottom w:val="0"/>
          <w:divBdr>
            <w:top w:val="none" w:sz="0" w:space="0" w:color="auto"/>
            <w:left w:val="none" w:sz="0" w:space="0" w:color="auto"/>
            <w:bottom w:val="none" w:sz="0" w:space="0" w:color="auto"/>
            <w:right w:val="none" w:sz="0" w:space="0" w:color="auto"/>
          </w:divBdr>
        </w:div>
        <w:div w:id="567493592">
          <w:marLeft w:val="0"/>
          <w:marRight w:val="0"/>
          <w:marTop w:val="0"/>
          <w:marBottom w:val="0"/>
          <w:divBdr>
            <w:top w:val="none" w:sz="0" w:space="0" w:color="auto"/>
            <w:left w:val="none" w:sz="0" w:space="0" w:color="auto"/>
            <w:bottom w:val="none" w:sz="0" w:space="0" w:color="auto"/>
            <w:right w:val="none" w:sz="0" w:space="0" w:color="auto"/>
          </w:divBdr>
        </w:div>
        <w:div w:id="1070541128">
          <w:marLeft w:val="0"/>
          <w:marRight w:val="0"/>
          <w:marTop w:val="0"/>
          <w:marBottom w:val="0"/>
          <w:divBdr>
            <w:top w:val="none" w:sz="0" w:space="0" w:color="auto"/>
            <w:left w:val="none" w:sz="0" w:space="0" w:color="auto"/>
            <w:bottom w:val="none" w:sz="0" w:space="0" w:color="auto"/>
            <w:right w:val="none" w:sz="0" w:space="0" w:color="auto"/>
          </w:divBdr>
        </w:div>
        <w:div w:id="1058170918">
          <w:marLeft w:val="0"/>
          <w:marRight w:val="0"/>
          <w:marTop w:val="0"/>
          <w:marBottom w:val="0"/>
          <w:divBdr>
            <w:top w:val="none" w:sz="0" w:space="0" w:color="auto"/>
            <w:left w:val="none" w:sz="0" w:space="0" w:color="auto"/>
            <w:bottom w:val="none" w:sz="0" w:space="0" w:color="auto"/>
            <w:right w:val="none" w:sz="0" w:space="0" w:color="auto"/>
          </w:divBdr>
        </w:div>
        <w:div w:id="784812372">
          <w:marLeft w:val="0"/>
          <w:marRight w:val="0"/>
          <w:marTop w:val="0"/>
          <w:marBottom w:val="0"/>
          <w:divBdr>
            <w:top w:val="none" w:sz="0" w:space="0" w:color="auto"/>
            <w:left w:val="none" w:sz="0" w:space="0" w:color="auto"/>
            <w:bottom w:val="none" w:sz="0" w:space="0" w:color="auto"/>
            <w:right w:val="none" w:sz="0" w:space="0" w:color="auto"/>
          </w:divBdr>
        </w:div>
        <w:div w:id="721753065">
          <w:marLeft w:val="0"/>
          <w:marRight w:val="0"/>
          <w:marTop w:val="0"/>
          <w:marBottom w:val="0"/>
          <w:divBdr>
            <w:top w:val="none" w:sz="0" w:space="0" w:color="auto"/>
            <w:left w:val="none" w:sz="0" w:space="0" w:color="auto"/>
            <w:bottom w:val="none" w:sz="0" w:space="0" w:color="auto"/>
            <w:right w:val="none" w:sz="0" w:space="0" w:color="auto"/>
          </w:divBdr>
        </w:div>
      </w:divsChild>
    </w:div>
    <w:div w:id="1871718067">
      <w:bodyDiv w:val="1"/>
      <w:marLeft w:val="0"/>
      <w:marRight w:val="0"/>
      <w:marTop w:val="0"/>
      <w:marBottom w:val="0"/>
      <w:divBdr>
        <w:top w:val="none" w:sz="0" w:space="0" w:color="auto"/>
        <w:left w:val="none" w:sz="0" w:space="0" w:color="auto"/>
        <w:bottom w:val="none" w:sz="0" w:space="0" w:color="auto"/>
        <w:right w:val="none" w:sz="0" w:space="0" w:color="auto"/>
      </w:divBdr>
      <w:divsChild>
        <w:div w:id="1581863794">
          <w:marLeft w:val="0"/>
          <w:marRight w:val="0"/>
          <w:marTop w:val="0"/>
          <w:marBottom w:val="0"/>
          <w:divBdr>
            <w:top w:val="none" w:sz="0" w:space="0" w:color="auto"/>
            <w:left w:val="none" w:sz="0" w:space="0" w:color="auto"/>
            <w:bottom w:val="none" w:sz="0" w:space="0" w:color="auto"/>
            <w:right w:val="none" w:sz="0" w:space="0" w:color="auto"/>
          </w:divBdr>
          <w:divsChild>
            <w:div w:id="1720857883">
              <w:marLeft w:val="0"/>
              <w:marRight w:val="0"/>
              <w:marTop w:val="0"/>
              <w:marBottom w:val="0"/>
              <w:divBdr>
                <w:top w:val="none" w:sz="0" w:space="0" w:color="auto"/>
                <w:left w:val="none" w:sz="0" w:space="0" w:color="auto"/>
                <w:bottom w:val="none" w:sz="0" w:space="0" w:color="auto"/>
                <w:right w:val="none" w:sz="0" w:space="0" w:color="auto"/>
              </w:divBdr>
              <w:divsChild>
                <w:div w:id="8802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803C7-962A-4988-B89D-E7F6C846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4076</Words>
  <Characters>23237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IBFD Academic Council</vt:lpstr>
    </vt:vector>
  </TitlesOfParts>
  <Company>IBFD</Company>
  <LinksUpToDate>false</LinksUpToDate>
  <CharactersWithSpaces>27259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IBFD Academic Council</dc:title>
  <dc:creator>joaofelixpintonogueira@gmail.com</dc:creator>
  <cp:lastModifiedBy>Putri Anggia</cp:lastModifiedBy>
  <cp:revision>3</cp:revision>
  <cp:lastPrinted>2019-01-01T10:52:00Z</cp:lastPrinted>
  <dcterms:created xsi:type="dcterms:W3CDTF">2019-05-24T08:02:00Z</dcterms:created>
  <dcterms:modified xsi:type="dcterms:W3CDTF">2019-05-26T06:18:00Z</dcterms:modified>
</cp:coreProperties>
</file>