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5E83A" w14:textId="27BA3C90" w:rsidR="004123D7" w:rsidRDefault="004123D7" w:rsidP="004123D7">
      <w:pPr>
        <w:jc w:val="center"/>
        <w:rPr>
          <w:rFonts w:ascii="Cambria" w:hAnsi="Cambria" w:cs="Times New Roman"/>
          <w:b/>
          <w:sz w:val="30"/>
          <w:szCs w:val="30"/>
          <w:lang w:val="en-US"/>
        </w:rPr>
      </w:pPr>
      <w:r>
        <w:rPr>
          <w:rFonts w:ascii="Cambria" w:hAnsi="Cambria" w:cs="Times New Roman"/>
          <w:b/>
          <w:sz w:val="30"/>
          <w:szCs w:val="30"/>
          <w:lang w:val="en-US"/>
        </w:rPr>
        <w:t>PENEGAKAN HUKUM TINDAK PIDANA PENIPUAN MELALUI SARANA PANGGILAN SUARA DARI TELEPON SELULER</w:t>
      </w:r>
    </w:p>
    <w:p w14:paraId="41F2EEEB" w14:textId="697F56BF" w:rsidR="00CD5277" w:rsidRDefault="00CD5277" w:rsidP="00CD5277">
      <w:pPr>
        <w:jc w:val="both"/>
        <w:rPr>
          <w:rFonts w:ascii="Cambria" w:hAnsi="Cambria" w:cs="Times New Roman"/>
          <w:b/>
          <w:sz w:val="20"/>
          <w:szCs w:val="20"/>
          <w:vertAlign w:val="superscript"/>
          <w:lang w:val="en-US"/>
        </w:rPr>
      </w:pPr>
      <w:r>
        <w:rPr>
          <w:rFonts w:ascii="Cambria" w:hAnsi="Cambria" w:cs="Times New Roman"/>
          <w:b/>
          <w:sz w:val="20"/>
          <w:szCs w:val="20"/>
          <w:lang w:val="en-US"/>
        </w:rPr>
        <w:tab/>
      </w:r>
      <w:r w:rsidRPr="00CD5277">
        <w:rPr>
          <w:rFonts w:ascii="Cambria" w:hAnsi="Cambria" w:cs="Times New Roman"/>
          <w:b/>
          <w:sz w:val="20"/>
          <w:szCs w:val="20"/>
          <w:lang w:val="en-US"/>
        </w:rPr>
        <w:t xml:space="preserve">Indra </w:t>
      </w:r>
      <w:proofErr w:type="spellStart"/>
      <w:r w:rsidRPr="00CD5277">
        <w:rPr>
          <w:rFonts w:ascii="Cambria" w:hAnsi="Cambria" w:cs="Times New Roman"/>
          <w:b/>
          <w:sz w:val="20"/>
          <w:szCs w:val="20"/>
          <w:lang w:val="en-US"/>
        </w:rPr>
        <w:t>Hafit</w:t>
      </w:r>
      <w:proofErr w:type="spellEnd"/>
      <w:r w:rsidRPr="00CD5277">
        <w:rPr>
          <w:rFonts w:ascii="Cambria" w:hAnsi="Cambria" w:cs="Times New Roman"/>
          <w:b/>
          <w:sz w:val="20"/>
          <w:szCs w:val="20"/>
          <w:lang w:val="en-US"/>
        </w:rPr>
        <w:t xml:space="preserve"> Zahrulswendar</w:t>
      </w:r>
      <w:r w:rsidR="00930F17">
        <w:rPr>
          <w:rFonts w:ascii="Cambria" w:hAnsi="Cambria" w:cs="Times New Roman"/>
          <w:b/>
          <w:sz w:val="20"/>
          <w:szCs w:val="20"/>
          <w:vertAlign w:val="superscript"/>
          <w:lang w:val="en-US"/>
        </w:rPr>
        <w:t>1</w:t>
      </w:r>
      <w:r>
        <w:rPr>
          <w:rFonts w:ascii="Cambria" w:hAnsi="Cambria" w:cs="Times New Roman"/>
          <w:b/>
          <w:sz w:val="20"/>
          <w:szCs w:val="20"/>
          <w:lang w:val="en-US"/>
        </w:rPr>
        <w:t>, Andika Dwi Amrianto</w:t>
      </w:r>
      <w:r w:rsidR="00930F17">
        <w:rPr>
          <w:rFonts w:ascii="Cambria" w:hAnsi="Cambria" w:cs="Times New Roman"/>
          <w:b/>
          <w:sz w:val="20"/>
          <w:szCs w:val="20"/>
          <w:vertAlign w:val="superscript"/>
          <w:lang w:val="en-US"/>
        </w:rPr>
        <w:t>2</w:t>
      </w:r>
      <w:r>
        <w:rPr>
          <w:rFonts w:ascii="Cambria" w:hAnsi="Cambria" w:cs="Times New Roman"/>
          <w:b/>
          <w:sz w:val="20"/>
          <w:szCs w:val="20"/>
          <w:lang w:val="en-US"/>
        </w:rPr>
        <w:t>, Muhammad Anwar Ansori</w:t>
      </w:r>
      <w:r w:rsidR="00930F17">
        <w:rPr>
          <w:rFonts w:ascii="Cambria" w:hAnsi="Cambria" w:cs="Times New Roman"/>
          <w:b/>
          <w:sz w:val="20"/>
          <w:szCs w:val="20"/>
          <w:vertAlign w:val="superscript"/>
          <w:lang w:val="en-US"/>
        </w:rPr>
        <w:t>3</w:t>
      </w:r>
    </w:p>
    <w:p w14:paraId="552FD1E6" w14:textId="37851277" w:rsidR="00930F17" w:rsidRDefault="00AC3756" w:rsidP="00CD5277">
      <w:pPr>
        <w:jc w:val="both"/>
        <w:rPr>
          <w:rFonts w:ascii="Cambria" w:hAnsi="Cambria" w:cs="Times New Roman"/>
          <w:b/>
          <w:sz w:val="20"/>
          <w:szCs w:val="20"/>
          <w:lang w:val="en-US"/>
        </w:rPr>
      </w:pPr>
      <w:r>
        <w:rPr>
          <w:rFonts w:ascii="Cambria" w:hAnsi="Cambria" w:cs="Times New Roman"/>
          <w:b/>
          <w:sz w:val="20"/>
          <w:szCs w:val="20"/>
          <w:vertAlign w:val="superscript"/>
          <w:lang w:val="en-US"/>
        </w:rPr>
        <w:tab/>
        <w:t>1</w:t>
      </w:r>
      <w:r>
        <w:rPr>
          <w:rFonts w:ascii="Cambria" w:hAnsi="Cambria" w:cs="Times New Roman"/>
          <w:b/>
          <w:sz w:val="20"/>
          <w:szCs w:val="20"/>
          <w:lang w:val="en-US"/>
        </w:rPr>
        <w:t xml:space="preserve">Fakultas </w:t>
      </w:r>
      <w:proofErr w:type="spellStart"/>
      <w:r>
        <w:rPr>
          <w:rFonts w:ascii="Cambria" w:hAnsi="Cambria" w:cs="Times New Roman"/>
          <w:b/>
          <w:sz w:val="20"/>
          <w:szCs w:val="20"/>
          <w:lang w:val="en-US"/>
        </w:rPr>
        <w:t>Hukum</w:t>
      </w:r>
      <w:proofErr w:type="spellEnd"/>
      <w:r>
        <w:rPr>
          <w:rFonts w:ascii="Cambria" w:hAnsi="Cambria" w:cs="Times New Roman"/>
          <w:b/>
          <w:sz w:val="20"/>
          <w:szCs w:val="20"/>
          <w:lang w:val="en-US"/>
        </w:rPr>
        <w:t xml:space="preserve">, </w:t>
      </w:r>
      <w:proofErr w:type="spellStart"/>
      <w:r>
        <w:rPr>
          <w:rFonts w:ascii="Cambria" w:hAnsi="Cambria" w:cs="Times New Roman"/>
          <w:b/>
          <w:sz w:val="20"/>
          <w:szCs w:val="20"/>
          <w:lang w:val="en-US"/>
        </w:rPr>
        <w:t>Universitas</w:t>
      </w:r>
      <w:proofErr w:type="spellEnd"/>
      <w:r>
        <w:rPr>
          <w:rFonts w:ascii="Cambria" w:hAnsi="Cambria" w:cs="Times New Roman"/>
          <w:b/>
          <w:sz w:val="20"/>
          <w:szCs w:val="20"/>
          <w:lang w:val="en-US"/>
        </w:rPr>
        <w:t xml:space="preserve"> Islam Indonesia</w:t>
      </w:r>
    </w:p>
    <w:p w14:paraId="07223B79" w14:textId="086AD583" w:rsidR="00AC3756" w:rsidRDefault="00AC3756" w:rsidP="00CD5277">
      <w:pPr>
        <w:jc w:val="both"/>
        <w:rPr>
          <w:rFonts w:ascii="Cambria" w:hAnsi="Cambria" w:cs="Times New Roman"/>
          <w:b/>
          <w:sz w:val="20"/>
          <w:szCs w:val="20"/>
          <w:lang w:val="en-US"/>
        </w:rPr>
      </w:pPr>
      <w:r>
        <w:rPr>
          <w:rFonts w:ascii="Cambria" w:hAnsi="Cambria" w:cs="Times New Roman"/>
          <w:b/>
          <w:sz w:val="20"/>
          <w:szCs w:val="20"/>
          <w:lang w:val="en-US"/>
        </w:rPr>
        <w:tab/>
      </w:r>
      <w:r>
        <w:rPr>
          <w:rFonts w:ascii="Cambria" w:hAnsi="Cambria" w:cs="Times New Roman"/>
          <w:b/>
          <w:sz w:val="20"/>
          <w:szCs w:val="20"/>
          <w:vertAlign w:val="superscript"/>
          <w:lang w:val="en-US"/>
        </w:rPr>
        <w:t>2</w:t>
      </w:r>
      <w:r>
        <w:rPr>
          <w:rFonts w:ascii="Cambria" w:hAnsi="Cambria" w:cs="Times New Roman"/>
          <w:b/>
          <w:sz w:val="20"/>
          <w:szCs w:val="20"/>
          <w:lang w:val="en-US"/>
        </w:rPr>
        <w:t xml:space="preserve">Fakultas </w:t>
      </w:r>
      <w:proofErr w:type="spellStart"/>
      <w:r>
        <w:rPr>
          <w:rFonts w:ascii="Cambria" w:hAnsi="Cambria" w:cs="Times New Roman"/>
          <w:b/>
          <w:sz w:val="20"/>
          <w:szCs w:val="20"/>
          <w:lang w:val="en-US"/>
        </w:rPr>
        <w:t>Hukum</w:t>
      </w:r>
      <w:proofErr w:type="spellEnd"/>
      <w:r>
        <w:rPr>
          <w:rFonts w:ascii="Cambria" w:hAnsi="Cambria" w:cs="Times New Roman"/>
          <w:b/>
          <w:sz w:val="20"/>
          <w:szCs w:val="20"/>
          <w:lang w:val="en-US"/>
        </w:rPr>
        <w:t xml:space="preserve">, </w:t>
      </w:r>
      <w:proofErr w:type="spellStart"/>
      <w:r>
        <w:rPr>
          <w:rFonts w:ascii="Cambria" w:hAnsi="Cambria" w:cs="Times New Roman"/>
          <w:b/>
          <w:sz w:val="20"/>
          <w:szCs w:val="20"/>
          <w:lang w:val="en-US"/>
        </w:rPr>
        <w:t>Universitas</w:t>
      </w:r>
      <w:proofErr w:type="spellEnd"/>
      <w:r>
        <w:rPr>
          <w:rFonts w:ascii="Cambria" w:hAnsi="Cambria" w:cs="Times New Roman"/>
          <w:b/>
          <w:sz w:val="20"/>
          <w:szCs w:val="20"/>
          <w:lang w:val="en-US"/>
        </w:rPr>
        <w:t xml:space="preserve"> Muhammadiyah Yogyakarta</w:t>
      </w:r>
    </w:p>
    <w:p w14:paraId="058DC5F4" w14:textId="187F66E9" w:rsidR="00AC3756" w:rsidRPr="00AC3756" w:rsidRDefault="00AC3756" w:rsidP="00CD5277">
      <w:pPr>
        <w:jc w:val="both"/>
        <w:rPr>
          <w:rFonts w:ascii="Cambria" w:hAnsi="Cambria" w:cs="Times New Roman"/>
          <w:b/>
          <w:sz w:val="20"/>
          <w:szCs w:val="20"/>
          <w:lang w:val="en-US"/>
        </w:rPr>
      </w:pPr>
      <w:r>
        <w:rPr>
          <w:rFonts w:ascii="Cambria" w:hAnsi="Cambria" w:cs="Times New Roman"/>
          <w:b/>
          <w:sz w:val="20"/>
          <w:szCs w:val="20"/>
          <w:lang w:val="en-US"/>
        </w:rPr>
        <w:tab/>
      </w:r>
      <w:r>
        <w:rPr>
          <w:rFonts w:ascii="Cambria" w:hAnsi="Cambria" w:cs="Times New Roman"/>
          <w:b/>
          <w:sz w:val="20"/>
          <w:szCs w:val="20"/>
          <w:vertAlign w:val="superscript"/>
          <w:lang w:val="en-US"/>
        </w:rPr>
        <w:t>3</w:t>
      </w:r>
      <w:r>
        <w:rPr>
          <w:rFonts w:ascii="Cambria" w:hAnsi="Cambria" w:cs="Times New Roman"/>
          <w:b/>
          <w:sz w:val="20"/>
          <w:szCs w:val="20"/>
          <w:lang w:val="en-US"/>
        </w:rPr>
        <w:t xml:space="preserve">Fakultas </w:t>
      </w:r>
      <w:proofErr w:type="spellStart"/>
      <w:r>
        <w:rPr>
          <w:rFonts w:ascii="Cambria" w:hAnsi="Cambria" w:cs="Times New Roman"/>
          <w:b/>
          <w:sz w:val="20"/>
          <w:szCs w:val="20"/>
          <w:lang w:val="en-US"/>
        </w:rPr>
        <w:t>Hukum</w:t>
      </w:r>
      <w:proofErr w:type="spellEnd"/>
      <w:r>
        <w:rPr>
          <w:rFonts w:ascii="Cambria" w:hAnsi="Cambria" w:cs="Times New Roman"/>
          <w:b/>
          <w:sz w:val="20"/>
          <w:szCs w:val="20"/>
          <w:lang w:val="en-US"/>
        </w:rPr>
        <w:t xml:space="preserve">, </w:t>
      </w:r>
      <w:proofErr w:type="spellStart"/>
      <w:r>
        <w:rPr>
          <w:rFonts w:ascii="Cambria" w:hAnsi="Cambria" w:cs="Times New Roman"/>
          <w:b/>
          <w:sz w:val="20"/>
          <w:szCs w:val="20"/>
          <w:lang w:val="en-US"/>
        </w:rPr>
        <w:t>Universitas</w:t>
      </w:r>
      <w:proofErr w:type="spellEnd"/>
      <w:r>
        <w:rPr>
          <w:rFonts w:ascii="Cambria" w:hAnsi="Cambria" w:cs="Times New Roman"/>
          <w:b/>
          <w:sz w:val="20"/>
          <w:szCs w:val="20"/>
          <w:lang w:val="en-US"/>
        </w:rPr>
        <w:t xml:space="preserve"> Muhammadiyah Yogyakarta</w:t>
      </w:r>
    </w:p>
    <w:p w14:paraId="1A1BD71D" w14:textId="088C0C53" w:rsidR="00CD5277" w:rsidRDefault="00CD5277" w:rsidP="00CD5277">
      <w:pPr>
        <w:jc w:val="both"/>
        <w:rPr>
          <w:rFonts w:ascii="Cambria" w:hAnsi="Cambria" w:cs="Times New Roman"/>
          <w:b/>
          <w:sz w:val="20"/>
          <w:szCs w:val="20"/>
          <w:lang w:val="en-US"/>
        </w:rPr>
      </w:pPr>
      <w:r>
        <w:rPr>
          <w:rFonts w:ascii="Cambria" w:hAnsi="Cambria" w:cs="Times New Roman"/>
          <w:b/>
          <w:sz w:val="20"/>
          <w:szCs w:val="20"/>
          <w:lang w:val="en-US"/>
        </w:rPr>
        <w:tab/>
        <w:t xml:space="preserve">Program </w:t>
      </w:r>
      <w:proofErr w:type="spellStart"/>
      <w:r>
        <w:rPr>
          <w:rFonts w:ascii="Cambria" w:hAnsi="Cambria" w:cs="Times New Roman"/>
          <w:b/>
          <w:sz w:val="20"/>
          <w:szCs w:val="20"/>
          <w:lang w:val="en-US"/>
        </w:rPr>
        <w:t>Studi</w:t>
      </w:r>
      <w:proofErr w:type="spellEnd"/>
      <w:r>
        <w:rPr>
          <w:rFonts w:ascii="Cambria" w:hAnsi="Cambria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="Times New Roman"/>
          <w:b/>
          <w:sz w:val="20"/>
          <w:szCs w:val="20"/>
          <w:lang w:val="en-US"/>
        </w:rPr>
        <w:t>Hukum</w:t>
      </w:r>
      <w:proofErr w:type="spellEnd"/>
      <w:r>
        <w:rPr>
          <w:rFonts w:ascii="Cambria" w:hAnsi="Cambria" w:cs="Times New Roman"/>
          <w:b/>
          <w:sz w:val="20"/>
          <w:szCs w:val="20"/>
          <w:lang w:val="en-US"/>
        </w:rPr>
        <w:t xml:space="preserve">, </w:t>
      </w:r>
      <w:proofErr w:type="spellStart"/>
      <w:r>
        <w:rPr>
          <w:rFonts w:ascii="Cambria" w:hAnsi="Cambria" w:cs="Times New Roman"/>
          <w:b/>
          <w:sz w:val="20"/>
          <w:szCs w:val="20"/>
          <w:lang w:val="en-US"/>
        </w:rPr>
        <w:t>Fakultas</w:t>
      </w:r>
      <w:proofErr w:type="spellEnd"/>
      <w:r>
        <w:rPr>
          <w:rFonts w:ascii="Cambria" w:hAnsi="Cambria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="Times New Roman"/>
          <w:b/>
          <w:sz w:val="20"/>
          <w:szCs w:val="20"/>
          <w:lang w:val="en-US"/>
        </w:rPr>
        <w:t>Hukum</w:t>
      </w:r>
      <w:proofErr w:type="spellEnd"/>
      <w:r>
        <w:rPr>
          <w:rFonts w:ascii="Cambria" w:hAnsi="Cambria" w:cs="Times New Roman"/>
          <w:b/>
          <w:sz w:val="20"/>
          <w:szCs w:val="20"/>
          <w:lang w:val="en-US"/>
        </w:rPr>
        <w:t xml:space="preserve">, </w:t>
      </w:r>
      <w:proofErr w:type="spellStart"/>
      <w:r>
        <w:rPr>
          <w:rFonts w:ascii="Cambria" w:hAnsi="Cambria" w:cs="Times New Roman"/>
          <w:b/>
          <w:sz w:val="20"/>
          <w:szCs w:val="20"/>
          <w:lang w:val="en-US"/>
        </w:rPr>
        <w:t>Universitas</w:t>
      </w:r>
      <w:proofErr w:type="spellEnd"/>
      <w:r>
        <w:rPr>
          <w:rFonts w:ascii="Cambria" w:hAnsi="Cambria" w:cs="Times New Roman"/>
          <w:b/>
          <w:sz w:val="20"/>
          <w:szCs w:val="20"/>
          <w:lang w:val="en-US"/>
        </w:rPr>
        <w:t xml:space="preserve"> Muhammadiyah Yogyakarta</w:t>
      </w:r>
    </w:p>
    <w:p w14:paraId="7FC18611" w14:textId="2D6026FF" w:rsidR="00CD5277" w:rsidRDefault="00CD5277" w:rsidP="00CD5277">
      <w:pPr>
        <w:jc w:val="both"/>
        <w:rPr>
          <w:rFonts w:ascii="Cambria" w:hAnsi="Cambria" w:cs="Times New Roman"/>
          <w:b/>
          <w:sz w:val="20"/>
          <w:szCs w:val="20"/>
          <w:lang w:val="en-US"/>
        </w:rPr>
      </w:pPr>
      <w:r>
        <w:rPr>
          <w:rFonts w:ascii="Cambria" w:hAnsi="Cambria" w:cs="Times New Roman"/>
          <w:b/>
          <w:sz w:val="20"/>
          <w:szCs w:val="20"/>
          <w:lang w:val="en-US"/>
        </w:rPr>
        <w:tab/>
        <w:t xml:space="preserve">Email: </w:t>
      </w:r>
      <w:hyperlink r:id="rId8" w:history="1">
        <w:r w:rsidRPr="0048480A">
          <w:rPr>
            <w:rStyle w:val="Hyperlink"/>
            <w:rFonts w:ascii="Cambria" w:hAnsi="Cambria" w:cs="Times New Roman"/>
            <w:b/>
            <w:sz w:val="20"/>
            <w:szCs w:val="20"/>
            <w:lang w:val="en-US"/>
          </w:rPr>
          <w:t>indrahafitt@gmail.com</w:t>
        </w:r>
      </w:hyperlink>
      <w:r>
        <w:rPr>
          <w:rFonts w:ascii="Cambria" w:hAnsi="Cambria" w:cs="Times New Roman"/>
          <w:b/>
          <w:sz w:val="20"/>
          <w:szCs w:val="20"/>
          <w:lang w:val="en-US"/>
        </w:rPr>
        <w:t xml:space="preserve">; </w:t>
      </w:r>
      <w:hyperlink r:id="rId9" w:history="1">
        <w:r w:rsidRPr="0048480A">
          <w:rPr>
            <w:rStyle w:val="Hyperlink"/>
            <w:rFonts w:ascii="Cambria" w:hAnsi="Cambria" w:cs="Times New Roman"/>
            <w:b/>
            <w:sz w:val="20"/>
            <w:szCs w:val="20"/>
            <w:lang w:val="en-US"/>
          </w:rPr>
          <w:t>andikada99@gmail.com</w:t>
        </w:r>
      </w:hyperlink>
      <w:r>
        <w:rPr>
          <w:rFonts w:ascii="Cambria" w:hAnsi="Cambria" w:cs="Times New Roman"/>
          <w:b/>
          <w:sz w:val="20"/>
          <w:szCs w:val="20"/>
          <w:lang w:val="en-US"/>
        </w:rPr>
        <w:t xml:space="preserve">; </w:t>
      </w:r>
      <w:hyperlink r:id="rId10" w:history="1">
        <w:r w:rsidRPr="0048480A">
          <w:rPr>
            <w:rStyle w:val="Hyperlink"/>
            <w:rFonts w:ascii="Cambria" w:hAnsi="Cambria" w:cs="Times New Roman"/>
            <w:b/>
            <w:sz w:val="20"/>
            <w:szCs w:val="20"/>
            <w:lang w:val="en-US"/>
          </w:rPr>
          <w:t>muhammadanwarans@gmail.com</w:t>
        </w:r>
      </w:hyperlink>
    </w:p>
    <w:p w14:paraId="5F3CA04D" w14:textId="5CC4C4C6" w:rsidR="00CD5277" w:rsidRDefault="00CD5277" w:rsidP="00CD5277">
      <w:pPr>
        <w:jc w:val="both"/>
        <w:rPr>
          <w:rFonts w:ascii="Cambria" w:hAnsi="Cambria" w:cs="Times New Roman"/>
          <w:b/>
          <w:sz w:val="20"/>
          <w:szCs w:val="20"/>
          <w:lang w:val="en-US"/>
        </w:rPr>
      </w:pPr>
    </w:p>
    <w:p w14:paraId="03BDCC5B" w14:textId="7660A844" w:rsidR="00CD5277" w:rsidRDefault="00930F17" w:rsidP="00CD5277">
      <w:pPr>
        <w:jc w:val="center"/>
        <w:rPr>
          <w:rFonts w:ascii="Cambria" w:hAnsi="Cambria" w:cs="Times New Roman"/>
          <w:b/>
          <w:sz w:val="20"/>
          <w:szCs w:val="20"/>
          <w:lang w:val="en-US"/>
        </w:rPr>
      </w:pPr>
      <w:proofErr w:type="spellStart"/>
      <w:r>
        <w:rPr>
          <w:rFonts w:ascii="Cambria" w:hAnsi="Cambria" w:cs="Times New Roman"/>
          <w:b/>
          <w:sz w:val="20"/>
          <w:szCs w:val="20"/>
          <w:lang w:val="en-US"/>
        </w:rPr>
        <w:t>Abstrak</w:t>
      </w:r>
      <w:proofErr w:type="spellEnd"/>
    </w:p>
    <w:p w14:paraId="1F998CCE" w14:textId="57D78903" w:rsidR="00BA05F5" w:rsidRDefault="00930F17" w:rsidP="00BA05F5">
      <w:pPr>
        <w:ind w:left="786"/>
        <w:jc w:val="both"/>
        <w:rPr>
          <w:rFonts w:ascii="Cambria" w:hAnsi="Cambria" w:cs="Times New Roman"/>
          <w:bCs/>
          <w:i/>
          <w:iCs/>
          <w:sz w:val="20"/>
          <w:szCs w:val="20"/>
          <w:lang w:val="en-US"/>
        </w:rPr>
      </w:pPr>
      <w:bookmarkStart w:id="0" w:name="_GoBack"/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Seriring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dengan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terus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berkembangnya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zaman juga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mempengaruhi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kehidupan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masyarakat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.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Pengaruh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tersebut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dapat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berupa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perubahan-perubahan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dalam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sistem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kemasyarakatan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.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Perubahan-perubahan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yang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terjadi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ini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secara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tidak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langsung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juga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memaksa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hukum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agar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dapat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mengikuti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perkembangan-perkembangan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tersebut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agar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tetap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dapat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memberikan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pengayoman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serta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perlindungan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bagi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kesejahteraan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masyarakat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yang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memerlukan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adanya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jaminan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perlindungan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terhadap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hak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masyarakat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untuk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terus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hidup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dalam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kedamaian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.</w:t>
      </w:r>
      <w:r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Istilah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Cyber Law pada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saat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ini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sedang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marak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dan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mengemuka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dalam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kehidupan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sehari-hari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masyarakat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dalam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bahasa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Indonesia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menjadi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Hukum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Siber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.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Hukum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Siber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ini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adalah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kaidah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hukum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yang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mengatur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mengenai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tindakan-tindakan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kejahatan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yang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dilakukan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dengan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menggunakan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sarana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teknologi</w:t>
      </w:r>
      <w:proofErr w:type="spellEnd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30F17">
        <w:rPr>
          <w:rFonts w:ascii="Cambria" w:hAnsi="Cambria" w:cs="Times New Roman"/>
          <w:bCs/>
          <w:i/>
          <w:iCs/>
          <w:sz w:val="20"/>
          <w:szCs w:val="20"/>
          <w:lang w:val="en-US"/>
        </w:rPr>
        <w:t>informasi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.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  <w:lang w:val="en-US"/>
        </w:rPr>
        <w:t>Maka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  <w:lang w:val="en-US"/>
        </w:rPr>
        <w:t>dari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  <w:lang w:val="en-US"/>
        </w:rPr>
        <w:t>itu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penulis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mengambil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  <w:lang w:val="en-US"/>
        </w:rPr>
        <w:t>rumusan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  <w:lang w:val="en-US"/>
        </w:rPr>
        <w:t>masalah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(1)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Bagaimana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pengaturan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tindak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pidana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penipuan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melalui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sarana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panggilan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suara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dari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telepon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seluler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?</w:t>
      </w:r>
      <w:r w:rsid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,</w:t>
      </w:r>
      <w:proofErr w:type="gramEnd"/>
      <w:r w:rsid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(2)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Bagaimana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penegakan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hukum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tindak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pidana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penipuan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melalui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sarana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panggilan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suara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dari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telepon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seluler</w:t>
      </w:r>
      <w:proofErr w:type="spellEnd"/>
      <w:r w:rsidR="00AC3756" w:rsidRP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?</w:t>
      </w:r>
      <w:r w:rsid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. </w:t>
      </w:r>
      <w:proofErr w:type="spellStart"/>
      <w:r w:rsid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Penelitian</w:t>
      </w:r>
      <w:proofErr w:type="spellEnd"/>
      <w:r w:rsid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ini</w:t>
      </w:r>
      <w:proofErr w:type="spellEnd"/>
      <w:r w:rsid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menggunakan</w:t>
      </w:r>
      <w:proofErr w:type="spellEnd"/>
      <w:r w:rsid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metode</w:t>
      </w:r>
      <w:proofErr w:type="spellEnd"/>
      <w:r w:rsid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penelitian</w:t>
      </w:r>
      <w:proofErr w:type="spellEnd"/>
      <w:r w:rsidR="00AC3756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pendekatan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Normatif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adalah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pendekatan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masalah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dengan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melihat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menelaah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dan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menginterpretasikan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hal-hal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yang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bersifat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teoritis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yang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menyangkut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asas-asas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hokum yang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berupa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konsepsi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peraturan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perundang-undangan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pandangan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doktrin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huku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dan system hokum yang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berkaitan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, (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jenis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pendekatan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ini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menekankan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pada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diperolehnya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keterangan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berupa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naskah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h</w:t>
      </w:r>
      <w:r w:rsidR="006F185E">
        <w:rPr>
          <w:rFonts w:ascii="Cambria" w:hAnsi="Cambria" w:cs="Times New Roman"/>
          <w:bCs/>
          <w:i/>
          <w:iCs/>
          <w:sz w:val="20"/>
          <w:szCs w:val="20"/>
          <w:lang w:val="en-US"/>
        </w:rPr>
        <w:t>u</w:t>
      </w:r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kum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 xml:space="preserve"> yang </w:t>
      </w:r>
      <w:proofErr w:type="spellStart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berkaitan</w:t>
      </w:r>
      <w:proofErr w:type="spellEnd"/>
      <w:r w:rsidR="00BA05F5" w:rsidRPr="00BA05F5">
        <w:rPr>
          <w:rFonts w:ascii="Cambria" w:hAnsi="Cambria" w:cs="Times New Roman"/>
          <w:bCs/>
          <w:i/>
          <w:iCs/>
          <w:sz w:val="20"/>
          <w:szCs w:val="20"/>
          <w:lang w:val="en-US"/>
        </w:rPr>
        <w:t>.</w:t>
      </w:r>
    </w:p>
    <w:bookmarkEnd w:id="0"/>
    <w:p w14:paraId="3C829450" w14:textId="7880913C" w:rsidR="00BA05F5" w:rsidRDefault="00BA05F5" w:rsidP="00BA05F5">
      <w:pPr>
        <w:ind w:left="786"/>
        <w:jc w:val="both"/>
        <w:rPr>
          <w:rFonts w:ascii="Cambria" w:hAnsi="Cambria" w:cs="Times New Roman"/>
          <w:bCs/>
          <w:i/>
          <w:iCs/>
          <w:sz w:val="20"/>
          <w:szCs w:val="20"/>
          <w:lang w:val="en-US"/>
        </w:rPr>
      </w:pPr>
    </w:p>
    <w:p w14:paraId="77509245" w14:textId="10F95542" w:rsidR="00BA05F5" w:rsidRDefault="00BA05F5" w:rsidP="00BA05F5">
      <w:pPr>
        <w:ind w:left="786"/>
        <w:jc w:val="both"/>
        <w:rPr>
          <w:rFonts w:ascii="Cambria" w:hAnsi="Cambria" w:cs="Times New Roman"/>
          <w:bCs/>
          <w:sz w:val="20"/>
          <w:szCs w:val="20"/>
          <w:lang w:val="en-US"/>
        </w:rPr>
      </w:pPr>
      <w:r>
        <w:rPr>
          <w:rFonts w:ascii="Cambria" w:hAnsi="Cambria" w:cs="Times New Roman"/>
          <w:bCs/>
          <w:sz w:val="20"/>
          <w:szCs w:val="20"/>
          <w:lang w:val="en-US"/>
        </w:rPr>
        <w:t>Keywords</w:t>
      </w:r>
    </w:p>
    <w:p w14:paraId="484889E9" w14:textId="21DF8DAF" w:rsidR="00BA05F5" w:rsidRDefault="00BA05F5" w:rsidP="00BA05F5">
      <w:pPr>
        <w:ind w:left="786"/>
        <w:jc w:val="both"/>
        <w:rPr>
          <w:rFonts w:ascii="Cambria" w:hAnsi="Cambria" w:cs="Times New Roman"/>
          <w:bCs/>
          <w:sz w:val="20"/>
          <w:szCs w:val="20"/>
          <w:lang w:val="en-US"/>
        </w:rPr>
      </w:pPr>
    </w:p>
    <w:p w14:paraId="184B247B" w14:textId="43396C07" w:rsidR="00BA05F5" w:rsidRPr="008D1D23" w:rsidRDefault="008D1D23" w:rsidP="00BA05F5">
      <w:pPr>
        <w:ind w:left="786"/>
        <w:jc w:val="both"/>
        <w:rPr>
          <w:rFonts w:ascii="Cambria" w:hAnsi="Cambria" w:cs="Times New Roman"/>
          <w:bCs/>
          <w:i/>
          <w:iCs/>
          <w:sz w:val="18"/>
          <w:szCs w:val="18"/>
          <w:lang w:val="en-US"/>
        </w:rPr>
      </w:pPr>
      <w:proofErr w:type="spellStart"/>
      <w:r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>t</w:t>
      </w:r>
      <w:r w:rsidR="00BA05F5"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>indak</w:t>
      </w:r>
      <w:proofErr w:type="spellEnd"/>
      <w:r w:rsidR="00BA05F5"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>p</w:t>
      </w:r>
      <w:r w:rsidR="00BA05F5"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>idana</w:t>
      </w:r>
      <w:proofErr w:type="spellEnd"/>
      <w:r w:rsidR="00BA05F5"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>p</w:t>
      </w:r>
      <w:r w:rsidR="00BA05F5"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>enipuan</w:t>
      </w:r>
      <w:proofErr w:type="spellEnd"/>
      <w:r w:rsidR="00BA05F5"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 xml:space="preserve">; </w:t>
      </w:r>
      <w:proofErr w:type="spellStart"/>
      <w:r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>t</w:t>
      </w:r>
      <w:r w:rsidR="00BA05F5"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>elepon</w:t>
      </w:r>
      <w:proofErr w:type="spellEnd"/>
      <w:r w:rsidR="00BA05F5"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>s</w:t>
      </w:r>
      <w:r w:rsidR="00BA05F5"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>eluler</w:t>
      </w:r>
      <w:proofErr w:type="spellEnd"/>
      <w:r w:rsidR="00BA05F5"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 xml:space="preserve">; </w:t>
      </w:r>
      <w:proofErr w:type="spellStart"/>
      <w:r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>t</w:t>
      </w:r>
      <w:r w:rsidR="00BA05F5"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>ekonologi</w:t>
      </w:r>
      <w:proofErr w:type="spellEnd"/>
      <w:r w:rsidR="00BA05F5"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>i</w:t>
      </w:r>
      <w:r w:rsidR="00BA05F5" w:rsidRPr="008D1D23">
        <w:rPr>
          <w:rFonts w:ascii="Cambria" w:hAnsi="Cambria" w:cs="Times New Roman"/>
          <w:bCs/>
          <w:i/>
          <w:iCs/>
          <w:sz w:val="18"/>
          <w:szCs w:val="18"/>
          <w:lang w:val="en-US"/>
        </w:rPr>
        <w:t>nformasi</w:t>
      </w:r>
      <w:proofErr w:type="spellEnd"/>
    </w:p>
    <w:p w14:paraId="4E7455E5" w14:textId="2EF71159" w:rsidR="00AC3756" w:rsidRPr="00AC3756" w:rsidRDefault="00AC3756" w:rsidP="00AC3756">
      <w:pPr>
        <w:ind w:left="786"/>
        <w:rPr>
          <w:rFonts w:ascii="Cambria" w:hAnsi="Cambria" w:cs="Times New Roman"/>
          <w:bCs/>
          <w:i/>
          <w:iCs/>
          <w:sz w:val="20"/>
          <w:szCs w:val="20"/>
          <w:lang w:val="en-US"/>
        </w:rPr>
      </w:pPr>
    </w:p>
    <w:p w14:paraId="75243109" w14:textId="601022BB" w:rsidR="00930F17" w:rsidRPr="00930F17" w:rsidRDefault="00930F17" w:rsidP="00930F17">
      <w:pPr>
        <w:jc w:val="both"/>
        <w:rPr>
          <w:rFonts w:ascii="Cambria" w:hAnsi="Cambria" w:cs="Times New Roman"/>
          <w:bCs/>
          <w:i/>
          <w:iCs/>
          <w:sz w:val="20"/>
          <w:szCs w:val="20"/>
          <w:lang w:val="en-US"/>
        </w:rPr>
      </w:pPr>
    </w:p>
    <w:p w14:paraId="7505C890" w14:textId="77777777" w:rsidR="004123D7" w:rsidRPr="004123D7" w:rsidRDefault="004123D7" w:rsidP="004123D7">
      <w:pPr>
        <w:jc w:val="center"/>
        <w:rPr>
          <w:rFonts w:ascii="Cambria" w:hAnsi="Cambria" w:cs="Times New Roman"/>
          <w:b/>
          <w:sz w:val="30"/>
          <w:szCs w:val="30"/>
          <w:lang w:val="en-US"/>
        </w:rPr>
      </w:pPr>
    </w:p>
    <w:p w14:paraId="613A77C1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7A5DB445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757C689F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1F235B6D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39A09782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3B3CDF7E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003A3A72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4E06F35C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19B23F70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1CA4948D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69797943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2121E6A8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3E5722D3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3A9AA66D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52E88C27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74E4E0FF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77279020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486782DD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0F246F30" w14:textId="77777777" w:rsidR="003113C7" w:rsidRDefault="003113C7" w:rsidP="004123D7">
      <w:pPr>
        <w:jc w:val="center"/>
        <w:rPr>
          <w:rFonts w:ascii="Cambria" w:hAnsi="Cambria" w:cs="Times New Roman"/>
          <w:b/>
          <w:lang w:val="en-US"/>
        </w:rPr>
      </w:pPr>
    </w:p>
    <w:p w14:paraId="2B2F3764" w14:textId="77777777" w:rsidR="003113C7" w:rsidRDefault="003113C7" w:rsidP="00930F17">
      <w:pPr>
        <w:rPr>
          <w:rFonts w:ascii="Cambria" w:hAnsi="Cambria" w:cs="Times New Roman"/>
          <w:b/>
          <w:lang w:val="en-US"/>
        </w:rPr>
      </w:pPr>
    </w:p>
    <w:p w14:paraId="4C2CE29B" w14:textId="00A3E906" w:rsidR="0001777B" w:rsidRPr="00213DC1" w:rsidRDefault="0001777B" w:rsidP="004123D7">
      <w:pPr>
        <w:jc w:val="center"/>
        <w:rPr>
          <w:rFonts w:ascii="Cambria" w:hAnsi="Cambria" w:cs="Times New Roman"/>
          <w:b/>
          <w:lang w:val="en-US"/>
        </w:rPr>
      </w:pPr>
      <w:r w:rsidRPr="00213DC1">
        <w:rPr>
          <w:rFonts w:ascii="Cambria" w:hAnsi="Cambria" w:cs="Times New Roman"/>
          <w:b/>
          <w:lang w:val="en-US"/>
        </w:rPr>
        <w:lastRenderedPageBreak/>
        <w:t>BAB I</w:t>
      </w:r>
    </w:p>
    <w:p w14:paraId="70FE30C4" w14:textId="77777777" w:rsidR="0001777B" w:rsidRPr="00213DC1" w:rsidRDefault="0001777B" w:rsidP="004123D7">
      <w:pPr>
        <w:jc w:val="center"/>
        <w:rPr>
          <w:rFonts w:ascii="Cambria" w:hAnsi="Cambria" w:cs="Times New Roman"/>
          <w:b/>
          <w:lang w:val="en-US"/>
        </w:rPr>
      </w:pPr>
      <w:r w:rsidRPr="00213DC1">
        <w:rPr>
          <w:rFonts w:ascii="Cambria" w:hAnsi="Cambria" w:cs="Times New Roman"/>
          <w:b/>
          <w:lang w:val="en-US"/>
        </w:rPr>
        <w:t>PENDAHULUAN</w:t>
      </w:r>
    </w:p>
    <w:p w14:paraId="62A1D4F3" w14:textId="77777777" w:rsidR="00EC58B6" w:rsidRPr="00213DC1" w:rsidRDefault="00EC58B6" w:rsidP="004123D7">
      <w:pPr>
        <w:jc w:val="center"/>
        <w:rPr>
          <w:rFonts w:ascii="Cambria" w:hAnsi="Cambria" w:cs="Times New Roman"/>
          <w:b/>
          <w:lang w:val="en-US"/>
        </w:rPr>
      </w:pPr>
    </w:p>
    <w:p w14:paraId="757350F4" w14:textId="77777777" w:rsidR="0034462B" w:rsidRPr="00213DC1" w:rsidRDefault="0034462B" w:rsidP="004123D7">
      <w:pPr>
        <w:rPr>
          <w:rFonts w:ascii="Cambria" w:hAnsi="Cambria" w:cs="Times New Roman"/>
          <w:b/>
          <w:lang w:val="en-US"/>
        </w:rPr>
      </w:pPr>
    </w:p>
    <w:p w14:paraId="63F5A94F" w14:textId="77777777" w:rsidR="00EC58B6" w:rsidRPr="00213DC1" w:rsidRDefault="00EC58B6" w:rsidP="004123D7">
      <w:pPr>
        <w:pStyle w:val="ListParagraph"/>
        <w:numPr>
          <w:ilvl w:val="0"/>
          <w:numId w:val="1"/>
        </w:numPr>
        <w:ind w:left="426" w:hanging="426"/>
        <w:rPr>
          <w:rFonts w:ascii="Cambria" w:hAnsi="Cambria" w:cs="Times New Roman"/>
          <w:b/>
          <w:lang w:val="en-US"/>
        </w:rPr>
      </w:pPr>
      <w:proofErr w:type="spellStart"/>
      <w:r w:rsidRPr="00213DC1">
        <w:rPr>
          <w:rFonts w:ascii="Cambria" w:hAnsi="Cambria" w:cs="Times New Roman"/>
          <w:b/>
          <w:lang w:val="en-US"/>
        </w:rPr>
        <w:t>Latar</w:t>
      </w:r>
      <w:proofErr w:type="spellEnd"/>
      <w:r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Pr="00213DC1">
        <w:rPr>
          <w:rFonts w:ascii="Cambria" w:hAnsi="Cambria" w:cs="Times New Roman"/>
          <w:b/>
          <w:lang w:val="en-US"/>
        </w:rPr>
        <w:t>Belakang</w:t>
      </w:r>
      <w:proofErr w:type="spellEnd"/>
      <w:r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Pr="00213DC1">
        <w:rPr>
          <w:rFonts w:ascii="Cambria" w:hAnsi="Cambria" w:cs="Times New Roman"/>
          <w:b/>
          <w:lang w:val="en-US"/>
        </w:rPr>
        <w:t>Masalah</w:t>
      </w:r>
      <w:proofErr w:type="spellEnd"/>
    </w:p>
    <w:p w14:paraId="626D2186" w14:textId="77777777" w:rsidR="00EC58B6" w:rsidRPr="004123D7" w:rsidRDefault="00EC58B6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213DC1">
        <w:rPr>
          <w:rFonts w:ascii="Cambria" w:hAnsi="Cambria" w:cs="Times New Roman"/>
          <w:b/>
          <w:lang w:val="en-US"/>
        </w:rPr>
        <w:tab/>
      </w:r>
      <w:r w:rsidRPr="00213DC1">
        <w:rPr>
          <w:rFonts w:ascii="Cambria" w:hAnsi="Cambria" w:cs="Times New Roman"/>
          <w:b/>
          <w:lang w:val="en-US"/>
        </w:rPr>
        <w:tab/>
      </w:r>
      <w:bookmarkStart w:id="1" w:name="_Hlk77590433"/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Seriring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berkembangnya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zaman juga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mempengaruhi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kehidupan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Pengaruh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berupa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perubahan-perubahan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sistem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kemasyarakatan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Perubahan-perubahan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langsung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juga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memaksa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agar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mengikuti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perkembangan-perkembangan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agar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tetap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memberikan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pengayoman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serta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perlindungan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kesejahteraan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memerlukan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jaminan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perlindungan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terhadap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hidup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kedamaian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.</w:t>
      </w:r>
      <w:bookmarkEnd w:id="1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Perubahan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perlahan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maupun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cepat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membuat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perubahan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hampir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luput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pengamatan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biasa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ataupun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sangat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sulit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dipastikan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.</w:t>
      </w:r>
      <w:r w:rsidR="0099037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menciptakan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kontrol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sosial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="00990374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990374" w:rsidRPr="004123D7">
        <w:rPr>
          <w:rFonts w:ascii="Cambria" w:hAnsi="Cambria" w:cs="Times New Roman"/>
          <w:sz w:val="20"/>
          <w:szCs w:val="20"/>
          <w:lang w:val="en-US"/>
        </w:rPr>
        <w:t>selalu</w:t>
      </w:r>
      <w:proofErr w:type="spellEnd"/>
      <w:r w:rsidR="0099037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90374" w:rsidRPr="004123D7">
        <w:rPr>
          <w:rFonts w:ascii="Cambria" w:hAnsi="Cambria" w:cs="Times New Roman"/>
          <w:sz w:val="20"/>
          <w:szCs w:val="20"/>
          <w:lang w:val="en-US"/>
        </w:rPr>
        <w:t>mengalami</w:t>
      </w:r>
      <w:proofErr w:type="spellEnd"/>
      <w:r w:rsidR="0099037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90374" w:rsidRPr="004123D7">
        <w:rPr>
          <w:rFonts w:ascii="Cambria" w:hAnsi="Cambria" w:cs="Times New Roman"/>
          <w:sz w:val="20"/>
          <w:szCs w:val="20"/>
          <w:lang w:val="en-US"/>
        </w:rPr>
        <w:t>perubahan-perubahan</w:t>
      </w:r>
      <w:proofErr w:type="spellEnd"/>
      <w:r w:rsidR="0099037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90374" w:rsidRPr="004123D7">
        <w:rPr>
          <w:rFonts w:ascii="Cambria" w:hAnsi="Cambria" w:cs="Times New Roman"/>
          <w:sz w:val="20"/>
          <w:szCs w:val="20"/>
          <w:lang w:val="en-US"/>
        </w:rPr>
        <w:t>terhadap</w:t>
      </w:r>
      <w:proofErr w:type="spellEnd"/>
      <w:r w:rsidR="0099037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90374" w:rsidRPr="004123D7">
        <w:rPr>
          <w:rFonts w:ascii="Cambria" w:hAnsi="Cambria" w:cs="Times New Roman"/>
          <w:sz w:val="20"/>
          <w:szCs w:val="20"/>
          <w:lang w:val="en-US"/>
        </w:rPr>
        <w:t>perkembangan</w:t>
      </w:r>
      <w:proofErr w:type="spellEnd"/>
      <w:r w:rsidR="00990374" w:rsidRPr="004123D7">
        <w:rPr>
          <w:rFonts w:ascii="Cambria" w:hAnsi="Cambria" w:cs="Times New Roman"/>
          <w:sz w:val="20"/>
          <w:szCs w:val="20"/>
          <w:lang w:val="en-US"/>
        </w:rPr>
        <w:t xml:space="preserve"> zaman</w:t>
      </w:r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bukanlah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satu-satunya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kontrol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melainkan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diupayakan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agar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terakhir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memaksakan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kontrol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terhadap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kehidupan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masyrakat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.</w:t>
      </w:r>
      <w:r w:rsidR="00DA6CFB"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1"/>
      </w:r>
    </w:p>
    <w:p w14:paraId="0FAC0C1E" w14:textId="77777777" w:rsidR="00990374" w:rsidRPr="004123D7" w:rsidRDefault="00990374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Globalisasi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juga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dibersamai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peredaran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teknologi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seharusnya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membuat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kehidupan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lebih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mudah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menginisiasi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terbentuknya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pemahaman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kolektif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terkait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hubungan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tanggung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jawab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universal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penciptaan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dunia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beradab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layak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kenyataannya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globalisasi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juga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menciptakan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permasalahan-permasalahan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rumit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karena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mencakup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permasalahan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</w:t>
      </w:r>
      <w:r w:rsidR="00DA6CFB" w:rsidRPr="004123D7">
        <w:rPr>
          <w:rFonts w:ascii="Cambria" w:hAnsi="Cambria" w:cs="Times New Roman"/>
          <w:sz w:val="20"/>
          <w:szCs w:val="20"/>
          <w:lang w:val="en-US"/>
        </w:rPr>
        <w:t>konomi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ekologi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sosial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politik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. Pada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saat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sudah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melepaskan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diri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DA6CFB" w:rsidRPr="004123D7">
        <w:rPr>
          <w:rFonts w:ascii="Cambria" w:hAnsi="Cambria" w:cs="Times New Roman"/>
          <w:i/>
          <w:sz w:val="20"/>
          <w:szCs w:val="20"/>
          <w:lang w:val="en-US"/>
        </w:rPr>
        <w:t>smartphone</w:t>
      </w:r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karena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banyaknya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bantuan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diberikan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r w:rsidR="00DA6CFB" w:rsidRPr="004123D7">
        <w:rPr>
          <w:rFonts w:ascii="Cambria" w:hAnsi="Cambria" w:cs="Times New Roman"/>
          <w:i/>
          <w:sz w:val="20"/>
          <w:szCs w:val="20"/>
          <w:lang w:val="en-US"/>
        </w:rPr>
        <w:t>smartphone</w:t>
      </w:r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kehidupan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sehari-hari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tentu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saja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sisi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negatif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penggunaan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DA6CFB" w:rsidRPr="004123D7">
        <w:rPr>
          <w:rFonts w:ascii="Cambria" w:hAnsi="Cambria" w:cs="Times New Roman"/>
          <w:i/>
          <w:sz w:val="20"/>
          <w:szCs w:val="20"/>
          <w:lang w:val="en-US"/>
        </w:rPr>
        <w:t>smartphone</w:t>
      </w:r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terus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mengintai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contohnya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A6CFB"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="00DA6CF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B2203" w:rsidRPr="004123D7">
        <w:rPr>
          <w:rFonts w:ascii="Cambria" w:hAnsi="Cambria" w:cs="Times New Roman"/>
          <w:sz w:val="20"/>
          <w:szCs w:val="20"/>
          <w:lang w:val="en-US"/>
        </w:rPr>
        <w:t>pencurian</w:t>
      </w:r>
      <w:proofErr w:type="spellEnd"/>
      <w:r w:rsidR="00AB2203" w:rsidRPr="004123D7">
        <w:rPr>
          <w:rFonts w:ascii="Cambria" w:hAnsi="Cambria" w:cs="Times New Roman"/>
          <w:sz w:val="20"/>
          <w:szCs w:val="20"/>
          <w:lang w:val="en-US"/>
        </w:rPr>
        <w:t xml:space="preserve"> data-data </w:t>
      </w:r>
      <w:proofErr w:type="spellStart"/>
      <w:r w:rsidR="00AB2203" w:rsidRPr="004123D7">
        <w:rPr>
          <w:rFonts w:ascii="Cambria" w:hAnsi="Cambria" w:cs="Times New Roman"/>
          <w:sz w:val="20"/>
          <w:szCs w:val="20"/>
          <w:lang w:val="en-US"/>
        </w:rPr>
        <w:t>pribadi</w:t>
      </w:r>
      <w:proofErr w:type="spellEnd"/>
      <w:r w:rsidR="00AB2203" w:rsidRPr="004123D7">
        <w:rPr>
          <w:rFonts w:ascii="Cambria" w:hAnsi="Cambria" w:cs="Times New Roman"/>
          <w:sz w:val="20"/>
          <w:szCs w:val="20"/>
          <w:lang w:val="en-US"/>
        </w:rPr>
        <w:t xml:space="preserve"> dan yang paling </w:t>
      </w:r>
      <w:proofErr w:type="spellStart"/>
      <w:r w:rsidR="00AB2203" w:rsidRPr="004123D7">
        <w:rPr>
          <w:rFonts w:ascii="Cambria" w:hAnsi="Cambria" w:cs="Times New Roman"/>
          <w:sz w:val="20"/>
          <w:szCs w:val="20"/>
          <w:lang w:val="en-US"/>
        </w:rPr>
        <w:t>banyak</w:t>
      </w:r>
      <w:proofErr w:type="spellEnd"/>
      <w:r w:rsidR="00AB220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B2203"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="00AB220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B2203" w:rsidRPr="004123D7">
        <w:rPr>
          <w:rFonts w:ascii="Cambria" w:hAnsi="Cambria" w:cs="Times New Roman"/>
          <w:sz w:val="20"/>
          <w:szCs w:val="20"/>
          <w:lang w:val="en-US"/>
        </w:rPr>
        <w:t>saat</w:t>
      </w:r>
      <w:proofErr w:type="spellEnd"/>
      <w:r w:rsidR="00AB220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B2203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AB220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B2203"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="00AB220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B2203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AB2203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AB2203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AB220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B2203" w:rsidRPr="004123D7">
        <w:rPr>
          <w:rFonts w:ascii="Cambria" w:hAnsi="Cambria" w:cs="Times New Roman"/>
          <w:sz w:val="20"/>
          <w:szCs w:val="20"/>
          <w:lang w:val="en-US"/>
        </w:rPr>
        <w:t>melalui</w:t>
      </w:r>
      <w:proofErr w:type="spellEnd"/>
      <w:r w:rsidR="00AB220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AB2203" w:rsidRPr="004123D7">
        <w:rPr>
          <w:rFonts w:ascii="Cambria" w:hAnsi="Cambria" w:cs="Times New Roman"/>
          <w:i/>
          <w:sz w:val="20"/>
          <w:szCs w:val="20"/>
          <w:lang w:val="en-US"/>
        </w:rPr>
        <w:t>smartphone</w:t>
      </w:r>
      <w:r w:rsidR="00AB220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B2203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AB220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B2203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AB220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B2203"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AB2203" w:rsidRPr="004123D7">
        <w:rPr>
          <w:rFonts w:ascii="Cambria" w:hAnsi="Cambria" w:cs="Times New Roman"/>
          <w:sz w:val="20"/>
          <w:szCs w:val="20"/>
          <w:lang w:val="en-US"/>
        </w:rPr>
        <w:t>.</w:t>
      </w:r>
      <w:r w:rsidR="00AB2203"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2"/>
      </w:r>
    </w:p>
    <w:p w14:paraId="565986BB" w14:textId="2DE5B114" w:rsidR="00AB2203" w:rsidRPr="004123D7" w:rsidRDefault="00AB2203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bookmarkStart w:id="2" w:name="_Hlk77590477"/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Istilah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4123D7">
        <w:rPr>
          <w:rFonts w:ascii="Cambria" w:hAnsi="Cambria" w:cs="Times New Roman"/>
          <w:i/>
          <w:sz w:val="20"/>
          <w:szCs w:val="20"/>
          <w:lang w:val="en-US"/>
        </w:rPr>
        <w:t>Cyber Law</w:t>
      </w:r>
      <w:r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marak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mengemuka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kehidupan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sehari-hari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bahasa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Indonesia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Siber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Siber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kaidah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mengatur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mengenai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tindakan-tindakan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kejahatan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teknologi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bookmarkEnd w:id="2"/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Karena </w:t>
      </w:r>
      <w:r w:rsidRPr="004123D7">
        <w:rPr>
          <w:rFonts w:ascii="Cambria" w:hAnsi="Cambria" w:cs="Times New Roman"/>
          <w:i/>
          <w:sz w:val="20"/>
          <w:szCs w:val="20"/>
          <w:lang w:val="en-US"/>
        </w:rPr>
        <w:t>Cyber Law</w:t>
      </w:r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kaidah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baru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mengemuka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seiring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berkembangnya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zaman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maka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diperlukan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pula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kaidah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baru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mengakomodasi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serta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mengatur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tergolong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4123D7">
        <w:rPr>
          <w:rFonts w:ascii="Cambria" w:hAnsi="Cambria" w:cs="Times New Roman"/>
          <w:i/>
          <w:sz w:val="20"/>
          <w:szCs w:val="20"/>
          <w:lang w:val="en-US"/>
        </w:rPr>
        <w:t>Cyber Crime</w:t>
      </w:r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B01676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01676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B01676" w:rsidRPr="004123D7">
        <w:rPr>
          <w:rFonts w:ascii="Cambria" w:hAnsi="Cambria" w:cs="Times New Roman"/>
          <w:i/>
          <w:sz w:val="20"/>
          <w:szCs w:val="20"/>
          <w:lang w:val="en-US"/>
        </w:rPr>
        <w:t>Cyber Crime</w:t>
      </w:r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01676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01676"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01676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01676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01676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No. 11 </w:t>
      </w:r>
      <w:proofErr w:type="spellStart"/>
      <w:r w:rsidR="00B01676" w:rsidRPr="004123D7">
        <w:rPr>
          <w:rFonts w:ascii="Cambria" w:hAnsi="Cambria" w:cs="Times New Roman"/>
          <w:sz w:val="20"/>
          <w:szCs w:val="20"/>
          <w:lang w:val="en-US"/>
        </w:rPr>
        <w:t>Tahun</w:t>
      </w:r>
      <w:proofErr w:type="spellEnd"/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2008 </w:t>
      </w:r>
      <w:proofErr w:type="spellStart"/>
      <w:r w:rsidR="00B01676" w:rsidRPr="004123D7">
        <w:rPr>
          <w:rFonts w:ascii="Cambria" w:hAnsi="Cambria" w:cs="Times New Roman"/>
          <w:sz w:val="20"/>
          <w:szCs w:val="20"/>
          <w:lang w:val="en-US"/>
        </w:rPr>
        <w:t>tentang</w:t>
      </w:r>
      <w:proofErr w:type="spellEnd"/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01676"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B01676"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01676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B01676" w:rsidRPr="004123D7">
        <w:rPr>
          <w:rFonts w:ascii="Cambria" w:hAnsi="Cambria" w:cs="Times New Roman"/>
          <w:sz w:val="20"/>
          <w:szCs w:val="20"/>
          <w:lang w:val="en-US"/>
        </w:rPr>
        <w:t>kemudian</w:t>
      </w:r>
      <w:proofErr w:type="spellEnd"/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01676" w:rsidRPr="004123D7">
        <w:rPr>
          <w:rFonts w:ascii="Cambria" w:hAnsi="Cambria" w:cs="Times New Roman"/>
          <w:sz w:val="20"/>
          <w:szCs w:val="20"/>
          <w:lang w:val="en-US"/>
        </w:rPr>
        <w:t>dirubah</w:t>
      </w:r>
      <w:proofErr w:type="spellEnd"/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01676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01676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B01676" w:rsidRPr="004123D7">
        <w:rPr>
          <w:rFonts w:ascii="Cambria" w:hAnsi="Cambria" w:cs="Times New Roman"/>
          <w:sz w:val="20"/>
          <w:szCs w:val="20"/>
          <w:lang w:val="en-US"/>
        </w:rPr>
        <w:t xml:space="preserve"> No. </w:t>
      </w:r>
      <w:r w:rsidR="00FA260D" w:rsidRPr="004123D7">
        <w:rPr>
          <w:rFonts w:ascii="Cambria" w:hAnsi="Cambria" w:cs="Times New Roman"/>
          <w:sz w:val="20"/>
          <w:szCs w:val="20"/>
          <w:lang w:val="en-US"/>
        </w:rPr>
        <w:t xml:space="preserve">19 </w:t>
      </w:r>
      <w:proofErr w:type="spellStart"/>
      <w:r w:rsidR="00FA260D" w:rsidRPr="004123D7">
        <w:rPr>
          <w:rFonts w:ascii="Cambria" w:hAnsi="Cambria" w:cs="Times New Roman"/>
          <w:sz w:val="20"/>
          <w:szCs w:val="20"/>
          <w:lang w:val="en-US"/>
        </w:rPr>
        <w:t>Tahun</w:t>
      </w:r>
      <w:proofErr w:type="spellEnd"/>
      <w:r w:rsidR="00FA260D" w:rsidRPr="004123D7">
        <w:rPr>
          <w:rFonts w:ascii="Cambria" w:hAnsi="Cambria" w:cs="Times New Roman"/>
          <w:sz w:val="20"/>
          <w:szCs w:val="20"/>
          <w:lang w:val="en-US"/>
        </w:rPr>
        <w:t xml:space="preserve"> 2016 </w:t>
      </w:r>
      <w:proofErr w:type="spellStart"/>
      <w:r w:rsidR="00FA260D" w:rsidRPr="004123D7">
        <w:rPr>
          <w:rFonts w:ascii="Cambria" w:hAnsi="Cambria" w:cs="Times New Roman"/>
          <w:sz w:val="20"/>
          <w:szCs w:val="20"/>
          <w:lang w:val="en-US"/>
        </w:rPr>
        <w:t>tentang</w:t>
      </w:r>
      <w:proofErr w:type="spellEnd"/>
      <w:r w:rsidR="00FA260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A260D" w:rsidRPr="004123D7">
        <w:rPr>
          <w:rFonts w:ascii="Cambria" w:hAnsi="Cambria" w:cs="Times New Roman"/>
          <w:sz w:val="20"/>
          <w:szCs w:val="20"/>
          <w:lang w:val="en-US"/>
        </w:rPr>
        <w:t>Perubahan</w:t>
      </w:r>
      <w:proofErr w:type="spellEnd"/>
      <w:r w:rsidR="00FA260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A260D" w:rsidRPr="004123D7">
        <w:rPr>
          <w:rFonts w:ascii="Cambria" w:hAnsi="Cambria" w:cs="Times New Roman"/>
          <w:sz w:val="20"/>
          <w:szCs w:val="20"/>
          <w:lang w:val="en-US"/>
        </w:rPr>
        <w:t>Atas</w:t>
      </w:r>
      <w:proofErr w:type="spellEnd"/>
      <w:r w:rsidR="00FA260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A260D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FA260D" w:rsidRPr="004123D7">
        <w:rPr>
          <w:rFonts w:ascii="Cambria" w:hAnsi="Cambria" w:cs="Times New Roman"/>
          <w:sz w:val="20"/>
          <w:szCs w:val="20"/>
          <w:lang w:val="en-US"/>
        </w:rPr>
        <w:t xml:space="preserve"> No. 11 </w:t>
      </w:r>
      <w:proofErr w:type="spellStart"/>
      <w:r w:rsidR="00FA260D" w:rsidRPr="004123D7">
        <w:rPr>
          <w:rFonts w:ascii="Cambria" w:hAnsi="Cambria" w:cs="Times New Roman"/>
          <w:sz w:val="20"/>
          <w:szCs w:val="20"/>
          <w:lang w:val="en-US"/>
        </w:rPr>
        <w:t>Tahun</w:t>
      </w:r>
      <w:proofErr w:type="spellEnd"/>
      <w:r w:rsidR="00FA260D" w:rsidRPr="004123D7">
        <w:rPr>
          <w:rFonts w:ascii="Cambria" w:hAnsi="Cambria" w:cs="Times New Roman"/>
          <w:sz w:val="20"/>
          <w:szCs w:val="20"/>
          <w:lang w:val="en-US"/>
        </w:rPr>
        <w:t xml:space="preserve"> 2008 </w:t>
      </w:r>
      <w:proofErr w:type="spellStart"/>
      <w:r w:rsidR="00FA260D" w:rsidRPr="004123D7">
        <w:rPr>
          <w:rFonts w:ascii="Cambria" w:hAnsi="Cambria" w:cs="Times New Roman"/>
          <w:sz w:val="20"/>
          <w:szCs w:val="20"/>
          <w:lang w:val="en-US"/>
        </w:rPr>
        <w:t>tentang</w:t>
      </w:r>
      <w:proofErr w:type="spellEnd"/>
      <w:r w:rsidR="00FA260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A260D"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="00FA260D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FA260D"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="00FA260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A260D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FA260D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FA260D" w:rsidRPr="004123D7">
        <w:rPr>
          <w:rFonts w:ascii="Cambria" w:hAnsi="Cambria" w:cs="Times New Roman"/>
          <w:sz w:val="20"/>
          <w:szCs w:val="20"/>
          <w:lang w:val="en-US"/>
        </w:rPr>
        <w:t>kemudian</w:t>
      </w:r>
      <w:proofErr w:type="spellEnd"/>
      <w:r w:rsidR="00FA260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A260D" w:rsidRPr="004123D7">
        <w:rPr>
          <w:rFonts w:ascii="Cambria" w:hAnsi="Cambria" w:cs="Times New Roman"/>
          <w:sz w:val="20"/>
          <w:szCs w:val="20"/>
          <w:lang w:val="en-US"/>
        </w:rPr>
        <w:t>lebih</w:t>
      </w:r>
      <w:proofErr w:type="spellEnd"/>
      <w:r w:rsidR="00FA260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A260D" w:rsidRPr="004123D7">
        <w:rPr>
          <w:rFonts w:ascii="Cambria" w:hAnsi="Cambria" w:cs="Times New Roman"/>
          <w:sz w:val="20"/>
          <w:szCs w:val="20"/>
          <w:lang w:val="en-US"/>
        </w:rPr>
        <w:t>dikenal</w:t>
      </w:r>
      <w:proofErr w:type="spellEnd"/>
      <w:r w:rsidR="00FA260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A260D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FA260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A260D" w:rsidRPr="004123D7">
        <w:rPr>
          <w:rFonts w:ascii="Cambria" w:hAnsi="Cambria" w:cs="Times New Roman"/>
          <w:sz w:val="20"/>
          <w:szCs w:val="20"/>
          <w:lang w:val="en-US"/>
        </w:rPr>
        <w:t>istilah</w:t>
      </w:r>
      <w:proofErr w:type="spellEnd"/>
      <w:r w:rsidR="00FA260D" w:rsidRPr="004123D7">
        <w:rPr>
          <w:rFonts w:ascii="Cambria" w:hAnsi="Cambria" w:cs="Times New Roman"/>
          <w:sz w:val="20"/>
          <w:szCs w:val="20"/>
          <w:lang w:val="en-US"/>
        </w:rPr>
        <w:t xml:space="preserve"> UU ITE.</w:t>
      </w:r>
      <w:r w:rsidR="00B300DE"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3"/>
      </w:r>
    </w:p>
    <w:p w14:paraId="5FC7092E" w14:textId="4AD90866" w:rsidR="00B300DE" w:rsidRPr="004123D7" w:rsidRDefault="00B300DE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disebutkan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atas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8A1665" w:rsidRPr="004123D7">
        <w:rPr>
          <w:rFonts w:ascii="Cambria" w:hAnsi="Cambria" w:cs="Times New Roman"/>
          <w:i/>
          <w:sz w:val="20"/>
          <w:szCs w:val="20"/>
          <w:lang w:val="en-US"/>
        </w:rPr>
        <w:t>Cyber Crime</w:t>
      </w:r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marak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saat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8A1665" w:rsidRPr="004123D7">
        <w:rPr>
          <w:rFonts w:ascii="Cambria" w:hAnsi="Cambria" w:cs="Times New Roman"/>
          <w:i/>
          <w:sz w:val="20"/>
          <w:szCs w:val="20"/>
          <w:lang w:val="en-US"/>
        </w:rPr>
        <w:t>smartphone</w:t>
      </w:r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kejahatan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hanya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oleh orang-orang yang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memahami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serta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menguasai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teknologi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sedemikian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canggih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kemudian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digunakan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A1665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8A166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melakukan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membuat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korban yang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biasanya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memiliki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pehamaman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baik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terkait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teknologi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permintaan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pertanggungjawaban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semakin</w:t>
      </w:r>
      <w:proofErr w:type="spellEnd"/>
      <w:r w:rsidR="00BB7BC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B7BCB" w:rsidRPr="004123D7">
        <w:rPr>
          <w:rFonts w:ascii="Cambria" w:hAnsi="Cambria" w:cs="Times New Roman"/>
          <w:sz w:val="20"/>
          <w:szCs w:val="20"/>
          <w:lang w:val="en-US"/>
        </w:rPr>
        <w:t>sulit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E3260A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3260A" w:rsidRPr="004123D7">
        <w:rPr>
          <w:rFonts w:ascii="Cambria" w:hAnsi="Cambria" w:cs="Times New Roman"/>
          <w:sz w:val="20"/>
          <w:szCs w:val="20"/>
          <w:lang w:val="en-US"/>
        </w:rPr>
        <w:t>penulis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3260A" w:rsidRPr="004123D7">
        <w:rPr>
          <w:rFonts w:ascii="Cambria" w:hAnsi="Cambria" w:cs="Times New Roman"/>
          <w:sz w:val="20"/>
          <w:szCs w:val="20"/>
          <w:lang w:val="en-US"/>
        </w:rPr>
        <w:t>tertarik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3260A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3260A" w:rsidRPr="004123D7">
        <w:rPr>
          <w:rFonts w:ascii="Cambria" w:hAnsi="Cambria" w:cs="Times New Roman"/>
          <w:sz w:val="20"/>
          <w:szCs w:val="20"/>
          <w:lang w:val="en-US"/>
        </w:rPr>
        <w:t>melakukan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3260A" w:rsidRPr="004123D7">
        <w:rPr>
          <w:rFonts w:ascii="Cambria" w:hAnsi="Cambria" w:cs="Times New Roman"/>
          <w:sz w:val="20"/>
          <w:szCs w:val="20"/>
          <w:lang w:val="en-US"/>
        </w:rPr>
        <w:t>penelitian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3260A" w:rsidRPr="004123D7">
        <w:rPr>
          <w:rFonts w:ascii="Cambria" w:hAnsi="Cambria" w:cs="Times New Roman"/>
          <w:sz w:val="20"/>
          <w:szCs w:val="20"/>
          <w:lang w:val="en-US"/>
        </w:rPr>
        <w:t>terkait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3260A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3260A" w:rsidRPr="004123D7">
        <w:rPr>
          <w:rFonts w:ascii="Cambria" w:hAnsi="Cambria" w:cs="Times New Roman"/>
          <w:sz w:val="20"/>
          <w:szCs w:val="20"/>
          <w:lang w:val="en-US"/>
        </w:rPr>
        <w:t>penegakan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3260A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3260A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3260A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3260A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3260A" w:rsidRPr="004123D7">
        <w:rPr>
          <w:rFonts w:ascii="Cambria" w:hAnsi="Cambria" w:cs="Times New Roman"/>
          <w:sz w:val="20"/>
          <w:szCs w:val="20"/>
          <w:lang w:val="en-US"/>
        </w:rPr>
        <w:t>melalui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3260A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3260A"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E3260A"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03240A4C" w14:textId="77777777" w:rsidR="00E3260A" w:rsidRPr="004123D7" w:rsidRDefault="00E3260A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51A0DC7B" w14:textId="2337386C" w:rsidR="00E3260A" w:rsidRPr="00213DC1" w:rsidRDefault="00E3260A" w:rsidP="004123D7">
      <w:pPr>
        <w:pStyle w:val="ListParagraph"/>
        <w:ind w:left="426"/>
        <w:jc w:val="both"/>
        <w:rPr>
          <w:rFonts w:ascii="Cambria" w:hAnsi="Cambria" w:cs="Times New Roman"/>
          <w:lang w:val="en-US"/>
        </w:rPr>
      </w:pPr>
    </w:p>
    <w:p w14:paraId="187C43A1" w14:textId="45237C3A" w:rsidR="00E3260A" w:rsidRPr="004123D7" w:rsidRDefault="00E3260A" w:rsidP="004123D7">
      <w:pPr>
        <w:pStyle w:val="ListParagraph"/>
        <w:numPr>
          <w:ilvl w:val="0"/>
          <w:numId w:val="1"/>
        </w:numPr>
        <w:ind w:left="426" w:hanging="426"/>
        <w:jc w:val="both"/>
        <w:rPr>
          <w:rFonts w:ascii="Cambria" w:hAnsi="Cambria" w:cs="Times New Roman"/>
          <w:b/>
          <w:sz w:val="20"/>
          <w:szCs w:val="20"/>
          <w:lang w:val="en-US"/>
        </w:rPr>
      </w:pPr>
      <w:proofErr w:type="spellStart"/>
      <w:r w:rsidRPr="00213DC1">
        <w:rPr>
          <w:rFonts w:ascii="Cambria" w:hAnsi="Cambria" w:cs="Times New Roman"/>
          <w:b/>
          <w:lang w:val="en-US"/>
        </w:rPr>
        <w:t>Rumusan</w:t>
      </w:r>
      <w:proofErr w:type="spellEnd"/>
      <w:r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Pr="00213DC1">
        <w:rPr>
          <w:rFonts w:ascii="Cambria" w:hAnsi="Cambria" w:cs="Times New Roman"/>
          <w:b/>
          <w:lang w:val="en-US"/>
        </w:rPr>
        <w:t>Masalah</w:t>
      </w:r>
      <w:proofErr w:type="spellEnd"/>
    </w:p>
    <w:p w14:paraId="7D618CF1" w14:textId="2B3028A6" w:rsidR="00E3260A" w:rsidRPr="004123D7" w:rsidRDefault="00E3260A" w:rsidP="004123D7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bookmarkStart w:id="3" w:name="_Hlk77590758"/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Bagaimana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pengaturan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melalui</w:t>
      </w:r>
      <w:proofErr w:type="spellEnd"/>
      <w:r w:rsidR="00087AA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87AA5"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="00087AA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87AA5"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="00087AA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87AA5"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="00087AA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87AA5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?</w:t>
      </w:r>
    </w:p>
    <w:p w14:paraId="3E734C27" w14:textId="7085B334" w:rsidR="00AC3756" w:rsidRDefault="00E3260A" w:rsidP="00AC3756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bookmarkStart w:id="4" w:name="_Hlk77590785"/>
      <w:bookmarkEnd w:id="3"/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Bagaimana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penegakan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melalui</w:t>
      </w:r>
      <w:proofErr w:type="spellEnd"/>
      <w:r w:rsidR="00087AA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87AA5"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="00087AA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87AA5"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="00087AA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87AA5"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="00087AA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87AA5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?</w:t>
      </w:r>
    </w:p>
    <w:p w14:paraId="5438C6C7" w14:textId="77777777" w:rsidR="00AB0858" w:rsidRDefault="00AB0858" w:rsidP="00AB0858">
      <w:pPr>
        <w:pStyle w:val="ListParagraph"/>
        <w:ind w:left="786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734B7ED4" w14:textId="59F3FA1B" w:rsidR="00AC3756" w:rsidRPr="00AB0858" w:rsidRDefault="00AB0858" w:rsidP="00AB0858">
      <w:pPr>
        <w:pStyle w:val="ListParagraph"/>
        <w:numPr>
          <w:ilvl w:val="0"/>
          <w:numId w:val="1"/>
        </w:numPr>
        <w:ind w:left="426" w:hanging="426"/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>
        <w:rPr>
          <w:rFonts w:ascii="Cambria" w:hAnsi="Cambria" w:cs="Times New Roman"/>
          <w:b/>
          <w:bCs/>
          <w:sz w:val="20"/>
          <w:szCs w:val="20"/>
          <w:lang w:val="en-US"/>
        </w:rPr>
        <w:t>Metode</w:t>
      </w:r>
      <w:proofErr w:type="spellEnd"/>
      <w:r>
        <w:rPr>
          <w:rFonts w:ascii="Cambria" w:hAnsi="Cambria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="Times New Roman"/>
          <w:b/>
          <w:bCs/>
          <w:sz w:val="20"/>
          <w:szCs w:val="20"/>
          <w:lang w:val="en-US"/>
        </w:rPr>
        <w:t>Penelitian</w:t>
      </w:r>
      <w:proofErr w:type="spellEnd"/>
    </w:p>
    <w:p w14:paraId="7FCECE46" w14:textId="3B3BF815" w:rsidR="00AB0858" w:rsidRPr="00AB0858" w:rsidRDefault="00AB0858" w:rsidP="00AB0858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>
        <w:rPr>
          <w:rFonts w:ascii="Cambria" w:hAnsi="Cambria" w:cs="Times New Roman"/>
          <w:sz w:val="20"/>
          <w:szCs w:val="20"/>
          <w:lang w:val="en-US"/>
        </w:rPr>
        <w:t>Penulis</w:t>
      </w:r>
      <w:proofErr w:type="spellEnd"/>
      <w:r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  <w:lang w:val="en-US"/>
        </w:rPr>
        <w:t>pendekatan</w:t>
      </w:r>
      <w:proofErr w:type="spellEnd"/>
      <w:r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  <w:lang w:val="en-US"/>
        </w:rPr>
        <w:t>Normatif</w:t>
      </w:r>
      <w:proofErr w:type="spellEnd"/>
      <w:r>
        <w:rPr>
          <w:rFonts w:ascii="Cambria" w:hAnsi="Cambria" w:cs="Times New Roman"/>
          <w:sz w:val="20"/>
          <w:szCs w:val="20"/>
          <w:lang w:val="en-US"/>
        </w:rPr>
        <w:t xml:space="preserve">, </w:t>
      </w:r>
      <w:bookmarkStart w:id="5" w:name="_Hlk77592071"/>
      <w:proofErr w:type="spellStart"/>
      <w:r>
        <w:rPr>
          <w:rFonts w:ascii="Cambria" w:hAnsi="Cambria" w:cs="Times New Roman"/>
          <w:sz w:val="20"/>
          <w:szCs w:val="20"/>
          <w:lang w:val="en-US"/>
        </w:rPr>
        <w:t>pendekat</w:t>
      </w:r>
      <w:r w:rsidR="00BA05F5">
        <w:rPr>
          <w:rFonts w:ascii="Cambria" w:hAnsi="Cambria" w:cs="Times New Roman"/>
          <w:sz w:val="20"/>
          <w:szCs w:val="20"/>
          <w:lang w:val="en-US"/>
        </w:rPr>
        <w:t>an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Normatif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pendekatan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masalah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melihat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menelaah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menginterpretasikan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hal-hal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bersifat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teoritis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menyangkut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asas-asas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hokum yang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berupa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konsepsi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peraturan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perundang-undangan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pandangan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doktrin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huku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dan system hokum yang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berkaitan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>, (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jenis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pendekatan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menekankan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diperolehnya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keterangan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berupa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naskah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 xml:space="preserve"> hokum yang </w:t>
      </w:r>
      <w:proofErr w:type="spellStart"/>
      <w:r w:rsidR="00BA05F5">
        <w:rPr>
          <w:rFonts w:ascii="Cambria" w:hAnsi="Cambria" w:cs="Times New Roman"/>
          <w:sz w:val="20"/>
          <w:szCs w:val="20"/>
          <w:lang w:val="en-US"/>
        </w:rPr>
        <w:t>berkaitan</w:t>
      </w:r>
      <w:proofErr w:type="spellEnd"/>
      <w:r w:rsidR="00BA05F5">
        <w:rPr>
          <w:rFonts w:ascii="Cambria" w:hAnsi="Cambria" w:cs="Times New Roman"/>
          <w:sz w:val="20"/>
          <w:szCs w:val="20"/>
          <w:lang w:val="en-US"/>
        </w:rPr>
        <w:t>.</w:t>
      </w:r>
      <w:bookmarkEnd w:id="5"/>
      <w:r w:rsidR="00BA05F5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4"/>
      </w:r>
    </w:p>
    <w:bookmarkEnd w:id="4"/>
    <w:p w14:paraId="439297BD" w14:textId="77777777" w:rsidR="0001777B" w:rsidRPr="00213DC1" w:rsidRDefault="0001777B" w:rsidP="004123D7">
      <w:pPr>
        <w:jc w:val="center"/>
        <w:rPr>
          <w:rFonts w:ascii="Cambria" w:hAnsi="Cambria" w:cs="Times New Roman"/>
          <w:b/>
          <w:lang w:val="en-US"/>
        </w:rPr>
      </w:pPr>
    </w:p>
    <w:p w14:paraId="69D40566" w14:textId="18ABC5E7" w:rsidR="00E3260A" w:rsidRPr="00213DC1" w:rsidRDefault="00E3260A" w:rsidP="004123D7">
      <w:pPr>
        <w:rPr>
          <w:rFonts w:ascii="Cambria" w:hAnsi="Cambria" w:cs="Times New Roman"/>
          <w:b/>
          <w:lang w:val="en-US"/>
        </w:rPr>
      </w:pPr>
      <w:r w:rsidRPr="00213DC1">
        <w:rPr>
          <w:rFonts w:ascii="Cambria" w:hAnsi="Cambria" w:cs="Times New Roman"/>
          <w:b/>
          <w:lang w:val="en-US"/>
        </w:rPr>
        <w:br w:type="page"/>
      </w:r>
    </w:p>
    <w:p w14:paraId="10D3DC8E" w14:textId="74A17731" w:rsidR="0001777B" w:rsidRPr="00213DC1" w:rsidRDefault="00E3260A" w:rsidP="004123D7">
      <w:pPr>
        <w:jc w:val="center"/>
        <w:rPr>
          <w:rFonts w:ascii="Cambria" w:hAnsi="Cambria" w:cs="Times New Roman"/>
          <w:b/>
          <w:lang w:val="en-US"/>
        </w:rPr>
      </w:pPr>
      <w:r w:rsidRPr="00213DC1">
        <w:rPr>
          <w:rFonts w:ascii="Cambria" w:hAnsi="Cambria" w:cs="Times New Roman"/>
          <w:b/>
          <w:lang w:val="en-US"/>
        </w:rPr>
        <w:lastRenderedPageBreak/>
        <w:t>BAB II</w:t>
      </w:r>
    </w:p>
    <w:p w14:paraId="7166854A" w14:textId="0B515AD6" w:rsidR="00E3260A" w:rsidRPr="00213DC1" w:rsidRDefault="00E3260A" w:rsidP="004123D7">
      <w:pPr>
        <w:jc w:val="center"/>
        <w:rPr>
          <w:rFonts w:ascii="Cambria" w:hAnsi="Cambria" w:cs="Times New Roman"/>
          <w:b/>
          <w:lang w:val="en-US"/>
        </w:rPr>
      </w:pPr>
      <w:r w:rsidRPr="00213DC1">
        <w:rPr>
          <w:rFonts w:ascii="Cambria" w:hAnsi="Cambria" w:cs="Times New Roman"/>
          <w:b/>
          <w:lang w:val="en-US"/>
        </w:rPr>
        <w:t>PEMBAHASAN</w:t>
      </w:r>
    </w:p>
    <w:p w14:paraId="4B167365" w14:textId="60649CB3" w:rsidR="00E3260A" w:rsidRPr="00213DC1" w:rsidRDefault="00E3260A" w:rsidP="004123D7">
      <w:pPr>
        <w:jc w:val="center"/>
        <w:rPr>
          <w:rFonts w:ascii="Cambria" w:hAnsi="Cambria" w:cs="Times New Roman"/>
          <w:b/>
          <w:lang w:val="en-US"/>
        </w:rPr>
      </w:pPr>
    </w:p>
    <w:p w14:paraId="0EDC5D37" w14:textId="77777777" w:rsidR="00E3260A" w:rsidRPr="00213DC1" w:rsidRDefault="00E3260A" w:rsidP="004123D7">
      <w:pPr>
        <w:jc w:val="center"/>
        <w:rPr>
          <w:rFonts w:ascii="Cambria" w:hAnsi="Cambria" w:cs="Times New Roman"/>
          <w:b/>
          <w:lang w:val="en-US"/>
        </w:rPr>
      </w:pPr>
    </w:p>
    <w:p w14:paraId="733D676A" w14:textId="2DCA4E92" w:rsidR="00E3260A" w:rsidRPr="00213DC1" w:rsidRDefault="00E3260A" w:rsidP="004123D7">
      <w:pPr>
        <w:pStyle w:val="ListParagraph"/>
        <w:numPr>
          <w:ilvl w:val="0"/>
          <w:numId w:val="3"/>
        </w:numPr>
        <w:ind w:left="426" w:hanging="426"/>
        <w:jc w:val="both"/>
        <w:rPr>
          <w:rFonts w:ascii="Cambria" w:hAnsi="Cambria" w:cs="Times New Roman"/>
          <w:b/>
          <w:lang w:val="en-US"/>
        </w:rPr>
      </w:pPr>
      <w:proofErr w:type="spellStart"/>
      <w:r w:rsidRPr="00213DC1">
        <w:rPr>
          <w:rFonts w:ascii="Cambria" w:hAnsi="Cambria" w:cs="Times New Roman"/>
          <w:b/>
          <w:lang w:val="en-US"/>
        </w:rPr>
        <w:t>Pengaturan</w:t>
      </w:r>
      <w:proofErr w:type="spellEnd"/>
      <w:r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Pr="00213DC1">
        <w:rPr>
          <w:rFonts w:ascii="Cambria" w:hAnsi="Cambria" w:cs="Times New Roman"/>
          <w:b/>
          <w:lang w:val="en-US"/>
        </w:rPr>
        <w:t>Tindak</w:t>
      </w:r>
      <w:proofErr w:type="spellEnd"/>
      <w:r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Pr="00213DC1">
        <w:rPr>
          <w:rFonts w:ascii="Cambria" w:hAnsi="Cambria" w:cs="Times New Roman"/>
          <w:b/>
          <w:lang w:val="en-US"/>
        </w:rPr>
        <w:t>Pidana</w:t>
      </w:r>
      <w:proofErr w:type="spellEnd"/>
      <w:r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Pr="00213DC1">
        <w:rPr>
          <w:rFonts w:ascii="Cambria" w:hAnsi="Cambria" w:cs="Times New Roman"/>
          <w:b/>
          <w:lang w:val="en-US"/>
        </w:rPr>
        <w:t>Penipuan</w:t>
      </w:r>
      <w:proofErr w:type="spellEnd"/>
      <w:r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Pr="00213DC1">
        <w:rPr>
          <w:rFonts w:ascii="Cambria" w:hAnsi="Cambria" w:cs="Times New Roman"/>
          <w:b/>
          <w:lang w:val="en-US"/>
        </w:rPr>
        <w:t>Melalui</w:t>
      </w:r>
      <w:proofErr w:type="spellEnd"/>
      <w:r w:rsidR="008317C7"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="008317C7" w:rsidRPr="00213DC1">
        <w:rPr>
          <w:rFonts w:ascii="Cambria" w:hAnsi="Cambria" w:cs="Times New Roman"/>
          <w:b/>
          <w:lang w:val="en-US"/>
        </w:rPr>
        <w:t>Sarana</w:t>
      </w:r>
      <w:proofErr w:type="spellEnd"/>
      <w:r w:rsidR="008317C7"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="008317C7" w:rsidRPr="00213DC1">
        <w:rPr>
          <w:rFonts w:ascii="Cambria" w:hAnsi="Cambria" w:cs="Times New Roman"/>
          <w:b/>
          <w:lang w:val="en-US"/>
        </w:rPr>
        <w:t>Panggilan</w:t>
      </w:r>
      <w:proofErr w:type="spellEnd"/>
      <w:r w:rsidR="008317C7"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="008317C7" w:rsidRPr="00213DC1">
        <w:rPr>
          <w:rFonts w:ascii="Cambria" w:hAnsi="Cambria" w:cs="Times New Roman"/>
          <w:b/>
          <w:lang w:val="en-US"/>
        </w:rPr>
        <w:t>Suara</w:t>
      </w:r>
      <w:proofErr w:type="spellEnd"/>
      <w:r w:rsidR="008317C7"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="008317C7" w:rsidRPr="00213DC1">
        <w:rPr>
          <w:rFonts w:ascii="Cambria" w:hAnsi="Cambria" w:cs="Times New Roman"/>
          <w:b/>
          <w:lang w:val="en-US"/>
        </w:rPr>
        <w:t>dari</w:t>
      </w:r>
      <w:proofErr w:type="spellEnd"/>
      <w:r w:rsidR="008317C7"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Pr="00213DC1">
        <w:rPr>
          <w:rFonts w:ascii="Cambria" w:hAnsi="Cambria" w:cs="Times New Roman"/>
          <w:b/>
          <w:lang w:val="en-US"/>
        </w:rPr>
        <w:t>Telepon</w:t>
      </w:r>
      <w:proofErr w:type="spellEnd"/>
      <w:r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Pr="00213DC1">
        <w:rPr>
          <w:rFonts w:ascii="Cambria" w:hAnsi="Cambria" w:cs="Times New Roman"/>
          <w:b/>
          <w:lang w:val="en-US"/>
        </w:rPr>
        <w:t>Seluler</w:t>
      </w:r>
      <w:proofErr w:type="spellEnd"/>
    </w:p>
    <w:p w14:paraId="5CDADF96" w14:textId="6BBE9589" w:rsidR="006C7280" w:rsidRPr="004123D7" w:rsidRDefault="00534B3C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213DC1">
        <w:rPr>
          <w:rFonts w:ascii="Cambria" w:hAnsi="Cambria" w:cs="Times New Roman"/>
          <w:b/>
          <w:lang w:val="en-US"/>
        </w:rPr>
        <w:tab/>
      </w:r>
      <w:r w:rsidRPr="00213DC1">
        <w:rPr>
          <w:rFonts w:ascii="Cambria" w:hAnsi="Cambria" w:cs="Times New Roman"/>
          <w:b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khusus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No. 11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Tahun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2008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tentang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lebih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dikenal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UU ITE.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khusus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378 Kitab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berbunyi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berikut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>:</w:t>
      </w:r>
      <w:r w:rsidR="001072A7"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5"/>
      </w:r>
    </w:p>
    <w:p w14:paraId="1786AB29" w14:textId="0742FAE9" w:rsidR="006C7280" w:rsidRPr="004123D7" w:rsidRDefault="000B1D7E" w:rsidP="004123D7">
      <w:pPr>
        <w:pStyle w:val="ListParagraph"/>
        <w:ind w:left="1418" w:hanging="992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  <w:t>“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Barang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siapa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maksud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menguntungkan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sendiri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 lain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melawan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memakai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nama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palsu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martabat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palsu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tipu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muslihat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ataupun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rangkaian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kebohongan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menggerakkan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 lain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menyerahkan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barang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sesuatu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kepadanya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supaya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memberi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hutang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maupun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menghapuskan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piutang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diancam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karena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penjara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paling lama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empat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tahun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”</w:t>
      </w:r>
    </w:p>
    <w:p w14:paraId="0D34A5B7" w14:textId="2FA079CA" w:rsidR="006C7280" w:rsidRPr="004123D7" w:rsidRDefault="006C7280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meskipun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khusus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1D7E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0B1D7E" w:rsidRPr="004123D7">
        <w:rPr>
          <w:rFonts w:ascii="Cambria" w:hAnsi="Cambria" w:cs="Times New Roman"/>
          <w:sz w:val="20"/>
          <w:szCs w:val="20"/>
          <w:lang w:val="en-US"/>
        </w:rPr>
        <w:t xml:space="preserve"> UU ITE,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mengakibatkan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kerugian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terhadap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melalui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(1)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berbunyi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berikut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:</w:t>
      </w:r>
      <w:r w:rsidR="001072A7"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6"/>
      </w:r>
    </w:p>
    <w:p w14:paraId="428E4F4F" w14:textId="3A6CF640" w:rsidR="006C7280" w:rsidRPr="004123D7" w:rsidRDefault="006C7280" w:rsidP="004123D7">
      <w:pPr>
        <w:pStyle w:val="ListParagraph"/>
        <w:ind w:left="1418" w:hanging="992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  <w:t>“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Setiap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sengaja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tanpa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menyebarkan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berita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bohong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menyesatkan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mengakibatkan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kerugian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”</w:t>
      </w:r>
    </w:p>
    <w:p w14:paraId="5F0F24E6" w14:textId="7B1F8BAF" w:rsidR="006C7280" w:rsidRPr="004123D7" w:rsidRDefault="006C7280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Pelanggaran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terhadap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ketentuan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(1) UU ITE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diancam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penjara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maksimal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1072A7" w:rsidRPr="004123D7">
        <w:rPr>
          <w:rFonts w:ascii="Cambria" w:hAnsi="Cambria" w:cs="Times New Roman"/>
          <w:sz w:val="20"/>
          <w:szCs w:val="20"/>
          <w:lang w:val="en-US"/>
        </w:rPr>
        <w:t>6 (</w:t>
      </w:r>
      <w:proofErr w:type="spell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enam</w:t>
      </w:r>
      <w:proofErr w:type="spell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) </w:t>
      </w:r>
      <w:proofErr w:type="spell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tahun</w:t>
      </w:r>
      <w:proofErr w:type="spell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 dan/</w:t>
      </w:r>
      <w:proofErr w:type="spell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denda</w:t>
      </w:r>
      <w:proofErr w:type="spell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maksimal</w:t>
      </w:r>
      <w:proofErr w:type="spell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Rp</w:t>
      </w:r>
      <w:proofErr w:type="spell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gram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1.000.000.000,-</w:t>
      </w:r>
      <w:proofErr w:type="gram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 (</w:t>
      </w:r>
      <w:proofErr w:type="spell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satu</w:t>
      </w:r>
      <w:proofErr w:type="spell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miliar</w:t>
      </w:r>
      <w:proofErr w:type="spell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 rupiah) </w:t>
      </w:r>
      <w:proofErr w:type="spell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sesuai</w:t>
      </w:r>
      <w:proofErr w:type="spell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ketentuan</w:t>
      </w:r>
      <w:proofErr w:type="spell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 45 </w:t>
      </w:r>
      <w:proofErr w:type="spellStart"/>
      <w:r w:rsidR="001072A7"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="001072A7" w:rsidRPr="004123D7">
        <w:rPr>
          <w:rFonts w:ascii="Cambria" w:hAnsi="Cambria" w:cs="Times New Roman"/>
          <w:sz w:val="20"/>
          <w:szCs w:val="20"/>
          <w:lang w:val="en-US"/>
        </w:rPr>
        <w:t xml:space="preserve"> (2) UU ITE.</w:t>
      </w:r>
      <w:r w:rsidR="001072A7"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7"/>
      </w:r>
    </w:p>
    <w:p w14:paraId="043EB602" w14:textId="012FD41D" w:rsidR="001072A7" w:rsidRPr="004123D7" w:rsidRDefault="001072A7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Berdasarkan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rumusan-rumusan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378 Kitab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(1) UU ITE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kita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ketahui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kedua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mengatur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berbeda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yaitu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berita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bohong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mengakibatkan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kerugian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22E90E5D" w14:textId="61D8D79B" w:rsidR="00323520" w:rsidRPr="004123D7" w:rsidRDefault="00323520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56D44823" w14:textId="77777777" w:rsidR="00323520" w:rsidRPr="00213DC1" w:rsidRDefault="00323520" w:rsidP="004123D7">
      <w:pPr>
        <w:pStyle w:val="ListParagraph"/>
        <w:ind w:left="426"/>
        <w:jc w:val="both"/>
        <w:rPr>
          <w:rFonts w:ascii="Cambria" w:hAnsi="Cambria" w:cs="Times New Roman"/>
          <w:lang w:val="en-US"/>
        </w:rPr>
      </w:pPr>
    </w:p>
    <w:p w14:paraId="2A604732" w14:textId="495F6550" w:rsidR="00E96B5F" w:rsidRPr="00213DC1" w:rsidRDefault="00E96B5F" w:rsidP="004123D7">
      <w:pPr>
        <w:pStyle w:val="ListParagraph"/>
        <w:ind w:left="426"/>
        <w:jc w:val="both"/>
        <w:rPr>
          <w:rFonts w:ascii="Cambria" w:hAnsi="Cambria" w:cs="Times New Roman"/>
          <w:lang w:val="en-US"/>
        </w:rPr>
      </w:pPr>
    </w:p>
    <w:p w14:paraId="5E373A93" w14:textId="7E8A5DF8" w:rsidR="00E96B5F" w:rsidRPr="00213DC1" w:rsidRDefault="00E96B5F" w:rsidP="004123D7">
      <w:pPr>
        <w:pStyle w:val="ListParagraph"/>
        <w:numPr>
          <w:ilvl w:val="0"/>
          <w:numId w:val="3"/>
        </w:numPr>
        <w:ind w:left="426" w:hanging="426"/>
        <w:jc w:val="both"/>
        <w:rPr>
          <w:rFonts w:ascii="Cambria" w:hAnsi="Cambria" w:cs="Times New Roman"/>
          <w:lang w:val="en-US"/>
        </w:rPr>
      </w:pPr>
      <w:proofErr w:type="spellStart"/>
      <w:r w:rsidRPr="00213DC1">
        <w:rPr>
          <w:rFonts w:ascii="Cambria" w:hAnsi="Cambria" w:cs="Times New Roman"/>
          <w:b/>
          <w:lang w:val="en-US"/>
        </w:rPr>
        <w:t>Penegakan</w:t>
      </w:r>
      <w:proofErr w:type="spellEnd"/>
      <w:r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Pr="00213DC1">
        <w:rPr>
          <w:rFonts w:ascii="Cambria" w:hAnsi="Cambria" w:cs="Times New Roman"/>
          <w:b/>
          <w:lang w:val="en-US"/>
        </w:rPr>
        <w:t>Hukum</w:t>
      </w:r>
      <w:proofErr w:type="spellEnd"/>
      <w:r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Pr="00213DC1">
        <w:rPr>
          <w:rFonts w:ascii="Cambria" w:hAnsi="Cambria" w:cs="Times New Roman"/>
          <w:b/>
          <w:lang w:val="en-US"/>
        </w:rPr>
        <w:t>Tindak</w:t>
      </w:r>
      <w:proofErr w:type="spellEnd"/>
      <w:r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Pr="00213DC1">
        <w:rPr>
          <w:rFonts w:ascii="Cambria" w:hAnsi="Cambria" w:cs="Times New Roman"/>
          <w:b/>
          <w:lang w:val="en-US"/>
        </w:rPr>
        <w:t>Pidana</w:t>
      </w:r>
      <w:proofErr w:type="spellEnd"/>
      <w:r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Pr="00213DC1">
        <w:rPr>
          <w:rFonts w:ascii="Cambria" w:hAnsi="Cambria" w:cs="Times New Roman"/>
          <w:b/>
          <w:lang w:val="en-US"/>
        </w:rPr>
        <w:t>Penipuan</w:t>
      </w:r>
      <w:proofErr w:type="spellEnd"/>
      <w:r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Pr="00213DC1">
        <w:rPr>
          <w:rFonts w:ascii="Cambria" w:hAnsi="Cambria" w:cs="Times New Roman"/>
          <w:b/>
          <w:lang w:val="en-US"/>
        </w:rPr>
        <w:t>Melalui</w:t>
      </w:r>
      <w:proofErr w:type="spellEnd"/>
      <w:r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="008317C7" w:rsidRPr="00213DC1">
        <w:rPr>
          <w:rFonts w:ascii="Cambria" w:hAnsi="Cambria" w:cs="Times New Roman"/>
          <w:b/>
          <w:lang w:val="en-US"/>
        </w:rPr>
        <w:t>Sarana</w:t>
      </w:r>
      <w:proofErr w:type="spellEnd"/>
      <w:r w:rsidR="008317C7"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="008317C7" w:rsidRPr="00213DC1">
        <w:rPr>
          <w:rFonts w:ascii="Cambria" w:hAnsi="Cambria" w:cs="Times New Roman"/>
          <w:b/>
          <w:lang w:val="en-US"/>
        </w:rPr>
        <w:t>Panggilan</w:t>
      </w:r>
      <w:proofErr w:type="spellEnd"/>
      <w:r w:rsidR="008317C7"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="008317C7" w:rsidRPr="00213DC1">
        <w:rPr>
          <w:rFonts w:ascii="Cambria" w:hAnsi="Cambria" w:cs="Times New Roman"/>
          <w:b/>
          <w:lang w:val="en-US"/>
        </w:rPr>
        <w:t>Suara</w:t>
      </w:r>
      <w:proofErr w:type="spellEnd"/>
      <w:r w:rsidR="008317C7"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="008317C7" w:rsidRPr="00213DC1">
        <w:rPr>
          <w:rFonts w:ascii="Cambria" w:hAnsi="Cambria" w:cs="Times New Roman"/>
          <w:b/>
          <w:lang w:val="en-US"/>
        </w:rPr>
        <w:t>dari</w:t>
      </w:r>
      <w:proofErr w:type="spellEnd"/>
      <w:r w:rsidR="008317C7"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Pr="00213DC1">
        <w:rPr>
          <w:rFonts w:ascii="Cambria" w:hAnsi="Cambria" w:cs="Times New Roman"/>
          <w:b/>
          <w:lang w:val="en-US"/>
        </w:rPr>
        <w:t>Telepon</w:t>
      </w:r>
      <w:proofErr w:type="spellEnd"/>
      <w:r w:rsidRPr="00213DC1">
        <w:rPr>
          <w:rFonts w:ascii="Cambria" w:hAnsi="Cambria" w:cs="Times New Roman"/>
          <w:b/>
          <w:lang w:val="en-US"/>
        </w:rPr>
        <w:t xml:space="preserve"> </w:t>
      </w:r>
      <w:proofErr w:type="spellStart"/>
      <w:r w:rsidRPr="00213DC1">
        <w:rPr>
          <w:rFonts w:ascii="Cambria" w:hAnsi="Cambria" w:cs="Times New Roman"/>
          <w:b/>
          <w:lang w:val="en-US"/>
        </w:rPr>
        <w:t>Seluler</w:t>
      </w:r>
      <w:proofErr w:type="spellEnd"/>
      <w:r w:rsidR="004F0ECA" w:rsidRPr="00213DC1">
        <w:rPr>
          <w:rFonts w:ascii="Cambria" w:hAnsi="Cambria" w:cs="Times New Roman"/>
          <w:lang w:val="en-US"/>
        </w:rPr>
        <w:tab/>
      </w:r>
    </w:p>
    <w:p w14:paraId="2A1E73A9" w14:textId="6FFBB7F3" w:rsidR="00B03A70" w:rsidRPr="004123D7" w:rsidRDefault="00E96B5F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213DC1">
        <w:rPr>
          <w:rFonts w:ascii="Cambria" w:hAnsi="Cambria" w:cs="Times New Roman"/>
          <w:lang w:val="en-US"/>
        </w:rPr>
        <w:tab/>
      </w:r>
      <w:r w:rsidRPr="00213DC1">
        <w:rPr>
          <w:rFonts w:ascii="Cambria" w:hAnsi="Cambria" w:cs="Times New Roman"/>
          <w:lang w:val="en-US"/>
        </w:rPr>
        <w:tab/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didalamnya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mengatur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tentang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pelanggaran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dan juga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kejahatan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terkait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hal-hal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serta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kepentingan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umum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>. Hal-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hal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tindakan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serta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kepentingan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umum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kemudian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diancam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sanksi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hukuman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Peraturan-peraturan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ataupun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kebijakan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wajib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memperhatikan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apa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hak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dan korban.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Jika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dikaitkan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bidang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teknologi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maka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memiliki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fungsi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mengatur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pelanggaran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ataupun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kejahatan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dikategorikan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pelaksanaannya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. Kitab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digunakan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sejak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Indonesia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merdeka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belum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mengatur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mengenai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bidang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teknologi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perkembangannya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luar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Kitab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pemberlakuannya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mengikuti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sz w:val="20"/>
          <w:szCs w:val="20"/>
          <w:lang w:val="en-US"/>
        </w:rPr>
        <w:t>asas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i/>
          <w:sz w:val="20"/>
          <w:szCs w:val="20"/>
          <w:lang w:val="en-US"/>
        </w:rPr>
        <w:t>lex</w:t>
      </w:r>
      <w:proofErr w:type="spellEnd"/>
      <w:r w:rsidR="00DD197A" w:rsidRPr="004123D7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i/>
          <w:sz w:val="20"/>
          <w:szCs w:val="20"/>
          <w:lang w:val="en-US"/>
        </w:rPr>
        <w:t>specialis</w:t>
      </w:r>
      <w:proofErr w:type="spellEnd"/>
      <w:r w:rsidR="00DD197A" w:rsidRPr="004123D7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i/>
          <w:sz w:val="20"/>
          <w:szCs w:val="20"/>
          <w:lang w:val="en-US"/>
        </w:rPr>
        <w:t>derogat</w:t>
      </w:r>
      <w:proofErr w:type="spellEnd"/>
      <w:r w:rsidR="00DD197A" w:rsidRPr="004123D7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i/>
          <w:sz w:val="20"/>
          <w:szCs w:val="20"/>
          <w:lang w:val="en-US"/>
        </w:rPr>
        <w:t>legi</w:t>
      </w:r>
      <w:proofErr w:type="spellEnd"/>
      <w:r w:rsidR="00DD197A" w:rsidRPr="004123D7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DD197A" w:rsidRPr="004123D7">
        <w:rPr>
          <w:rFonts w:ascii="Cambria" w:hAnsi="Cambria" w:cs="Times New Roman"/>
          <w:i/>
          <w:sz w:val="20"/>
          <w:szCs w:val="20"/>
          <w:lang w:val="en-US"/>
        </w:rPr>
        <w:t>generali</w:t>
      </w:r>
      <w:proofErr w:type="spellEnd"/>
      <w:r w:rsidR="00DD197A" w:rsidRPr="004123D7">
        <w:rPr>
          <w:rFonts w:ascii="Cambria" w:hAnsi="Cambria" w:cs="Times New Roman"/>
          <w:sz w:val="20"/>
          <w:szCs w:val="20"/>
          <w:lang w:val="en-US"/>
        </w:rPr>
        <w:t>.</w:t>
      </w:r>
      <w:r w:rsidR="00DD197A"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8"/>
      </w:r>
    </w:p>
    <w:p w14:paraId="26CCCE67" w14:textId="55DBA736" w:rsidR="00DD197A" w:rsidRPr="004123D7" w:rsidRDefault="00DD197A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Pemerintah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Indonesia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kemudian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mengeluarkan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kebijakan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upaya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menanggulangi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pelaksanaannya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melalui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dasar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yang di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dalamnya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tentang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4E3CD8" w:rsidRPr="004123D7">
        <w:rPr>
          <w:rFonts w:ascii="Cambria" w:hAnsi="Cambria" w:cs="Times New Roman"/>
          <w:i/>
          <w:sz w:val="20"/>
          <w:szCs w:val="20"/>
          <w:lang w:val="en-US"/>
        </w:rPr>
        <w:t>cybercrime</w:t>
      </w:r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intinya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memiliki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karakteristik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unsur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tertentu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spesifik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terkait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ranah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pemidanaan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4E3CD8" w:rsidRPr="004123D7">
        <w:rPr>
          <w:rFonts w:ascii="Cambria" w:hAnsi="Cambria" w:cs="Times New Roman"/>
          <w:sz w:val="20"/>
          <w:szCs w:val="20"/>
          <w:lang w:val="en-US"/>
        </w:rPr>
        <w:t>pelaksanaannya</w:t>
      </w:r>
      <w:proofErr w:type="spellEnd"/>
      <w:r w:rsidR="004E3CD8" w:rsidRPr="004123D7">
        <w:rPr>
          <w:rFonts w:ascii="Cambria" w:hAnsi="Cambria" w:cs="Times New Roman"/>
          <w:sz w:val="20"/>
          <w:szCs w:val="20"/>
          <w:lang w:val="en-US"/>
        </w:rPr>
        <w:t>.</w:t>
      </w:r>
      <w:r w:rsidR="004E3CD8"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9"/>
      </w:r>
    </w:p>
    <w:p w14:paraId="66AAA4B2" w14:textId="394A0F54" w:rsidR="004E3CD8" w:rsidRPr="004123D7" w:rsidRDefault="004E3CD8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lastRenderedPageBreak/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Asas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fundamental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yaitu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asas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legalitas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juga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terkandung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hal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dilihat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ketentuan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54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(1) yang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menjelaskan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“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mulai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berlaku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tanggal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diundangkan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” yang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berarti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segala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ketentuan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hanya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digunakan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setelah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tanggal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diundangkan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ditetapkannya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Asas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legalitas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asas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bersifat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umum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asas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dasarnya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mengharuskan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suatu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dikategorikan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terlebih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dahulu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peraturan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perundang-undangan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memiliki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bentuk</w:t>
      </w:r>
      <w:proofErr w:type="spellEnd"/>
      <w:r w:rsidR="000136C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136CA" w:rsidRPr="004123D7">
        <w:rPr>
          <w:rFonts w:ascii="Cambria" w:hAnsi="Cambria" w:cs="Times New Roman"/>
          <w:sz w:val="20"/>
          <w:szCs w:val="20"/>
          <w:lang w:val="en-US"/>
        </w:rPr>
        <w:t>tertulis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Jika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suatu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subjek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setelah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dilakukannya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suatu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peraturan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perundang-undangan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maka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subjek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barulah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dikategorikan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dikenakan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sanksi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05B8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6305B8" w:rsidRPr="004123D7">
        <w:rPr>
          <w:rFonts w:ascii="Cambria" w:hAnsi="Cambria" w:cs="Times New Roman"/>
          <w:sz w:val="20"/>
          <w:szCs w:val="20"/>
          <w:lang w:val="en-US"/>
        </w:rPr>
        <w:t>.</w:t>
      </w:r>
      <w:r w:rsidR="006305B8"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10"/>
      </w:r>
    </w:p>
    <w:p w14:paraId="693ADD3F" w14:textId="3BB6B858" w:rsidR="006305B8" w:rsidRPr="004123D7" w:rsidRDefault="006305B8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subjek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tertentu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dikategorikan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memiliki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unsur-unsur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485F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1448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485F" w:rsidRPr="004123D7">
        <w:rPr>
          <w:rFonts w:ascii="Cambria" w:hAnsi="Cambria" w:cs="Times New Roman"/>
          <w:sz w:val="20"/>
          <w:szCs w:val="20"/>
          <w:lang w:val="en-US"/>
        </w:rPr>
        <w:t>memenuhi</w:t>
      </w:r>
      <w:proofErr w:type="spellEnd"/>
      <w:r w:rsidR="001448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485F" w:rsidRPr="004123D7">
        <w:rPr>
          <w:rFonts w:ascii="Cambria" w:hAnsi="Cambria" w:cs="Times New Roman"/>
          <w:sz w:val="20"/>
          <w:szCs w:val="20"/>
          <w:lang w:val="en-US"/>
        </w:rPr>
        <w:t>syarat-syarat</w:t>
      </w:r>
      <w:proofErr w:type="spellEnd"/>
      <w:r w:rsidR="001448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485F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1448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485F" w:rsidRPr="004123D7">
        <w:rPr>
          <w:rFonts w:ascii="Cambria" w:hAnsi="Cambria" w:cs="Times New Roman"/>
          <w:sz w:val="20"/>
          <w:szCs w:val="20"/>
          <w:lang w:val="en-US"/>
        </w:rPr>
        <w:t>berikut</w:t>
      </w:r>
      <w:proofErr w:type="spellEnd"/>
      <w:r w:rsidR="0014485F" w:rsidRPr="004123D7">
        <w:rPr>
          <w:rFonts w:ascii="Cambria" w:hAnsi="Cambria" w:cs="Times New Roman"/>
          <w:sz w:val="20"/>
          <w:szCs w:val="20"/>
          <w:lang w:val="en-US"/>
        </w:rPr>
        <w:t>:</w:t>
      </w:r>
      <w:r w:rsidR="0014485F"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11"/>
      </w:r>
    </w:p>
    <w:p w14:paraId="6BCAEEC5" w14:textId="16BFE493" w:rsidR="0014485F" w:rsidRPr="004123D7" w:rsidRDefault="0014485F" w:rsidP="004123D7">
      <w:pPr>
        <w:pStyle w:val="ListParagraph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Harus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seseorang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ataupun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sekelompok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orang;</w:t>
      </w:r>
    </w:p>
    <w:p w14:paraId="5AB0A2F5" w14:textId="281C694C" w:rsidR="0014485F" w:rsidRPr="004123D7" w:rsidRDefault="0014485F" w:rsidP="004123D7">
      <w:pPr>
        <w:pStyle w:val="ListParagraph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harus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sesuai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peraturan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perundang-undangan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harus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kesalahan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harus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dipertanggungjawabkan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;</w:t>
      </w:r>
    </w:p>
    <w:p w14:paraId="65005E07" w14:textId="17AD958C" w:rsidR="0014485F" w:rsidRPr="004123D7" w:rsidRDefault="0014485F" w:rsidP="004123D7">
      <w:pPr>
        <w:pStyle w:val="ListParagraph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harus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pertanggungjawaban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kesalahan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;</w:t>
      </w:r>
    </w:p>
    <w:p w14:paraId="59AF250A" w14:textId="4DBA25AE" w:rsidR="00C96DCD" w:rsidRPr="004123D7" w:rsidRDefault="0014485F" w:rsidP="004123D7">
      <w:pPr>
        <w:pStyle w:val="ListParagraph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harus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diancamkan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terhadap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;</w:t>
      </w:r>
    </w:p>
    <w:p w14:paraId="79446730" w14:textId="44CC9130" w:rsidR="00C96DCD" w:rsidRPr="004123D7" w:rsidRDefault="00C96DCD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asas-asas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lain yang juga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bidang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teknologi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selain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asas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legalitas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yaitu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asas-asas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umum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juga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sampai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9 Kitab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pemberlakuan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asas-asas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umum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kenyataannya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semudah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dibayangkan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karena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ataupun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komputer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ataupun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komputer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lintas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negara dan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ruang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maya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(virtual)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sangat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sulit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dikaitkan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asas-asas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umum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hanya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berkaitan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konvensional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walaupun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sulit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asas-asas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umum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terkandung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Kitab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tetap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digunakan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patokan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penanganan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pelaksanaannya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>.</w:t>
      </w:r>
      <w:r w:rsidR="006237B5"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12"/>
      </w:r>
    </w:p>
    <w:p w14:paraId="24B7BD6E" w14:textId="7A328D55" w:rsidR="004F0ECA" w:rsidRPr="004123D7" w:rsidRDefault="00B03A70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merupakan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marak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sekali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kehidupan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bermasyarakat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tak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jarang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harus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mengalami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kerugian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sedikit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akibat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Seiring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berkembangnya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zaman,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pula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perubahan-perubahan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menuju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ke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arah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yang modern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berkembangnya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internet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serta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teknologi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begitu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cepat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dikatakan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setiap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orang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saat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sudah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benar-benar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dilepaskan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kecanggihan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teknologi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walaupun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setiap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orang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sudah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terbiasa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internet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melalui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E96B5F" w:rsidRPr="004123D7">
        <w:rPr>
          <w:rFonts w:ascii="Cambria" w:hAnsi="Cambria" w:cs="Times New Roman"/>
          <w:i/>
          <w:sz w:val="20"/>
          <w:szCs w:val="20"/>
          <w:lang w:val="en-US"/>
        </w:rPr>
        <w:t>smartphone</w:t>
      </w:r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merupakan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perangkat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terdekat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sering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digunakan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mengakses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internet,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senyatanya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masih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banyak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orang-orang yang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sangat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rentan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akibat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kecanggihan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teknologi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perangkat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selulernya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96B5F" w:rsidRPr="004123D7">
        <w:rPr>
          <w:rFonts w:ascii="Cambria" w:hAnsi="Cambria" w:cs="Times New Roman"/>
          <w:sz w:val="20"/>
          <w:szCs w:val="20"/>
          <w:lang w:val="en-US"/>
        </w:rPr>
        <w:t>sendiri</w:t>
      </w:r>
      <w:proofErr w:type="spellEnd"/>
      <w:r w:rsidR="00E96B5F"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44F92061" w14:textId="5DAD66FA" w:rsidR="00E96B5F" w:rsidRPr="004123D7" w:rsidRDefault="00E96B5F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menarik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ketika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dikategorikan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378 Kitab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ataukah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berita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bohong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mengakibatkan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kerugian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BC04B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902FB3" w:rsidRPr="004123D7">
        <w:rPr>
          <w:rFonts w:ascii="Cambria" w:hAnsi="Cambria" w:cs="Times New Roman"/>
          <w:sz w:val="20"/>
          <w:szCs w:val="20"/>
          <w:lang w:val="en-US"/>
        </w:rPr>
        <w:t xml:space="preserve">yang </w:t>
      </w:r>
      <w:proofErr w:type="spellStart"/>
      <w:r w:rsidR="00902FB3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902FB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02FB3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902FB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02FB3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902FB3"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="00902FB3"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="00902FB3" w:rsidRPr="004123D7">
        <w:rPr>
          <w:rFonts w:ascii="Cambria" w:hAnsi="Cambria" w:cs="Times New Roman"/>
          <w:sz w:val="20"/>
          <w:szCs w:val="20"/>
          <w:lang w:val="en-US"/>
        </w:rPr>
        <w:t xml:space="preserve"> (1) </w:t>
      </w:r>
      <w:proofErr w:type="spellStart"/>
      <w:r w:rsidR="00902FB3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902FB3" w:rsidRPr="004123D7">
        <w:rPr>
          <w:rFonts w:ascii="Cambria" w:hAnsi="Cambria" w:cs="Times New Roman"/>
          <w:sz w:val="20"/>
          <w:szCs w:val="20"/>
          <w:lang w:val="en-US"/>
        </w:rPr>
        <w:t xml:space="preserve"> ITE</w:t>
      </w:r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. Hal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mengakibatkan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ketidakpastian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bagi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korban yang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berupaya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mencari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keadilan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setelah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36F6C"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B36F6C"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04DB2E2A" w14:textId="3107FEE1" w:rsidR="00B36F6C" w:rsidRPr="004123D7" w:rsidRDefault="00B36F6C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Sebelum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membahas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mengenai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penegakan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sebaiknya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kita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mengetahui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salah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modus operandi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marak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melalui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Modus operandi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menghubungi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korban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sudah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ditarget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kemudian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bertanya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apakah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mengenal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kemudian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menjelaskan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pekerjaannya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pada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umumnya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menyasar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instansi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pemerintah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kepolisian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ataupun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instansi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swasta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membiarkan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menebak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siapakah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berbicara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menebak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siapa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lastRenderedPageBreak/>
        <w:t>berbicara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dengannya</w:t>
      </w:r>
      <w:proofErr w:type="spellEnd"/>
      <w:r w:rsidR="007D4F94" w:rsidRPr="004123D7">
        <w:rPr>
          <w:rFonts w:ascii="Cambria" w:hAnsi="Cambria" w:cs="Times New Roman"/>
          <w:sz w:val="20"/>
          <w:szCs w:val="20"/>
          <w:lang w:val="en-US"/>
        </w:rPr>
        <w:t>,</w:t>
      </w:r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kemudian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mengikuti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arus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dan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berbicara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seakan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mengenal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baik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korban.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kemudian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memancing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percakapan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menuju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ke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arah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permintaan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bantuan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ataupun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membujuk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ikut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berinvestasi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Beberapa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kasus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menarik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dana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nomor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rekening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bank dan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ada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pula yang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menarik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dana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pulsa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. Hal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hanya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C96D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96DCD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C96D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96DCD"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="00C96D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96DCD"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sangat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sulit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mendapatkan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bukti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tertulis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upaya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membujuk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ataupun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membohongi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menyerahkan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sesuatu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F5CCC" w:rsidRPr="004123D7">
        <w:rPr>
          <w:rFonts w:ascii="Cambria" w:hAnsi="Cambria" w:cs="Times New Roman"/>
          <w:sz w:val="20"/>
          <w:szCs w:val="20"/>
          <w:lang w:val="en-US"/>
        </w:rPr>
        <w:t>barang</w:t>
      </w:r>
      <w:proofErr w:type="spellEnd"/>
      <w:r w:rsidR="009F5CCC"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0C2ABF36" w14:textId="5077EF0B" w:rsidR="009F5CCC" w:rsidRPr="004123D7" w:rsidRDefault="009F5CCC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  <w:t xml:space="preserve">Salah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mencoba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melaporkan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melalui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Kepolisian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Daerah Istimewa</w:t>
      </w:r>
      <w:r w:rsidR="00AF6798" w:rsidRPr="004123D7">
        <w:rPr>
          <w:rFonts w:ascii="Cambria" w:hAnsi="Cambria" w:cs="Times New Roman"/>
          <w:sz w:val="20"/>
          <w:szCs w:val="20"/>
          <w:lang w:val="en-US"/>
        </w:rPr>
        <w:t xml:space="preserve"> Yogyakarta</w:t>
      </w:r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laporan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9A069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A0697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dikembangkan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lebih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lanjut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. Pada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awalnya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mencoba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mengajukan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laporan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Direktorat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Reserse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Kriminal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Khusus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Kepolisian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Daerah Istimewa Yogyakarta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laporan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ditolak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="009A0697" w:rsidRPr="004123D7">
        <w:rPr>
          <w:rFonts w:ascii="Cambria" w:hAnsi="Cambria" w:cs="Times New Roman"/>
          <w:sz w:val="20"/>
          <w:szCs w:val="20"/>
          <w:lang w:val="en-US"/>
        </w:rPr>
        <w:t>petugas</w:t>
      </w:r>
      <w:proofErr w:type="spellEnd"/>
      <w:r w:rsidR="009A069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A0697" w:rsidRPr="004123D7">
        <w:rPr>
          <w:rFonts w:ascii="Cambria" w:hAnsi="Cambria" w:cs="Times New Roman"/>
          <w:sz w:val="20"/>
          <w:szCs w:val="20"/>
          <w:lang w:val="en-US"/>
        </w:rPr>
        <w:t>ke</w:t>
      </w:r>
      <w:r w:rsidR="00CF62FA" w:rsidRPr="004123D7">
        <w:rPr>
          <w:rFonts w:ascii="Cambria" w:hAnsi="Cambria" w:cs="Times New Roman"/>
          <w:sz w:val="20"/>
          <w:szCs w:val="20"/>
          <w:lang w:val="en-US"/>
        </w:rPr>
        <w:t>polisi</w:t>
      </w:r>
      <w:r w:rsidR="009A0697" w:rsidRPr="004123D7">
        <w:rPr>
          <w:rFonts w:ascii="Cambria" w:hAnsi="Cambria" w:cs="Times New Roman"/>
          <w:sz w:val="20"/>
          <w:szCs w:val="20"/>
          <w:lang w:val="en-US"/>
        </w:rPr>
        <w:t>an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bertugas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kemudian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diarahkan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mengajukan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laporan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Direktorat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Reserse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Kriminal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Umum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Kepolisian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Daerah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Daerah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Istimewa Yogyakarta. Setelah korban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mengajukan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laporan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Reserse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Kriminal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Umum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ternyata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anggota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kepolisian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bertugas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juga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menolak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laporan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karena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mereka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merasa</w:t>
      </w:r>
      <w:proofErr w:type="spellEnd"/>
      <w:r w:rsidR="00CF62F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F62FA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wewenang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Reserse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Kriminal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Khusus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laporan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kembali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ditolak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anggota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kepolisian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bertugas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Reserse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Kriminal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Umum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. Hal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tentunya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mengakibatkan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ketidakpastian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bagi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korban yang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berupaya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mencari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35C8" w:rsidRPr="004123D7">
        <w:rPr>
          <w:rFonts w:ascii="Cambria" w:hAnsi="Cambria" w:cs="Times New Roman"/>
          <w:sz w:val="20"/>
          <w:szCs w:val="20"/>
          <w:lang w:val="en-US"/>
        </w:rPr>
        <w:t>keadilan</w:t>
      </w:r>
      <w:proofErr w:type="spellEnd"/>
      <w:r w:rsidR="00DE35C8"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7BD3EE9B" w14:textId="046383C8" w:rsidR="00DE35C8" w:rsidRPr="004123D7" w:rsidRDefault="00DE35C8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mengetahui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klasifikasi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perlu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dipahami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unsur-unsur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terdapat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378 Kitab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(1) UU ITE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378 Kitab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mensyaratkan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unsur-unsur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45FCD" w:rsidRPr="004123D7">
        <w:rPr>
          <w:rFonts w:ascii="Cambria" w:hAnsi="Cambria" w:cs="Times New Roman"/>
          <w:sz w:val="20"/>
          <w:szCs w:val="20"/>
          <w:lang w:val="en-US"/>
        </w:rPr>
        <w:t>berikut</w:t>
      </w:r>
      <w:proofErr w:type="spellEnd"/>
      <w:r w:rsidR="00D45FCD" w:rsidRPr="004123D7">
        <w:rPr>
          <w:rFonts w:ascii="Cambria" w:hAnsi="Cambria" w:cs="Times New Roman"/>
          <w:sz w:val="20"/>
          <w:szCs w:val="20"/>
          <w:lang w:val="en-US"/>
        </w:rPr>
        <w:t>:</w:t>
      </w:r>
    </w:p>
    <w:p w14:paraId="78C33F15" w14:textId="5389DEAC" w:rsidR="00D45FCD" w:rsidRPr="004123D7" w:rsidRDefault="00D45FCD" w:rsidP="004123D7">
      <w:pPr>
        <w:pStyle w:val="ListParagraph"/>
        <w:numPr>
          <w:ilvl w:val="0"/>
          <w:numId w:val="4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Maksud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menguntungkan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melawan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hak</w:t>
      </w:r>
      <w:proofErr w:type="spellEnd"/>
      <w:r w:rsidR="008933D1" w:rsidRPr="004123D7">
        <w:rPr>
          <w:rFonts w:ascii="Cambria" w:hAnsi="Cambria" w:cs="Times New Roman"/>
          <w:sz w:val="20"/>
          <w:szCs w:val="20"/>
          <w:lang w:val="en-US"/>
        </w:rPr>
        <w:t>;</w:t>
      </w:r>
    </w:p>
    <w:p w14:paraId="35F64B54" w14:textId="6B30615F" w:rsidR="00D45FCD" w:rsidRPr="004123D7" w:rsidRDefault="00D45FCD" w:rsidP="004123D7">
      <w:pPr>
        <w:pStyle w:val="ListParagraph"/>
        <w:numPr>
          <w:ilvl w:val="0"/>
          <w:numId w:val="4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Mempergunakan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nama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palsu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sifat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palsu</w:t>
      </w:r>
      <w:proofErr w:type="spellEnd"/>
      <w:r w:rsidR="008933D1" w:rsidRPr="004123D7">
        <w:rPr>
          <w:rFonts w:ascii="Cambria" w:hAnsi="Cambria" w:cs="Times New Roman"/>
          <w:sz w:val="20"/>
          <w:szCs w:val="20"/>
          <w:lang w:val="en-US"/>
        </w:rPr>
        <w:t>;</w:t>
      </w:r>
    </w:p>
    <w:p w14:paraId="31A1B86A" w14:textId="3A146123" w:rsidR="00D45FCD" w:rsidRPr="004123D7" w:rsidRDefault="00D45FCD" w:rsidP="004123D7">
      <w:pPr>
        <w:pStyle w:val="ListParagraph"/>
        <w:numPr>
          <w:ilvl w:val="0"/>
          <w:numId w:val="4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Tipu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muslihat</w:t>
      </w:r>
      <w:proofErr w:type="spellEnd"/>
      <w:r w:rsidR="008933D1" w:rsidRPr="004123D7">
        <w:rPr>
          <w:rFonts w:ascii="Cambria" w:hAnsi="Cambria" w:cs="Times New Roman"/>
          <w:sz w:val="20"/>
          <w:szCs w:val="20"/>
          <w:lang w:val="en-US"/>
        </w:rPr>
        <w:t>;</w:t>
      </w:r>
    </w:p>
    <w:p w14:paraId="78E221C8" w14:textId="3ADF5DA6" w:rsidR="00D45FCD" w:rsidRPr="004123D7" w:rsidRDefault="00D45FCD" w:rsidP="004123D7">
      <w:pPr>
        <w:pStyle w:val="ListParagraph"/>
        <w:numPr>
          <w:ilvl w:val="0"/>
          <w:numId w:val="4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Susunan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kata-kata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bohong</w:t>
      </w:r>
      <w:proofErr w:type="spellEnd"/>
      <w:r w:rsidR="008933D1" w:rsidRPr="004123D7">
        <w:rPr>
          <w:rFonts w:ascii="Cambria" w:hAnsi="Cambria" w:cs="Times New Roman"/>
          <w:sz w:val="20"/>
          <w:szCs w:val="20"/>
          <w:lang w:val="en-US"/>
        </w:rPr>
        <w:t>;</w:t>
      </w:r>
    </w:p>
    <w:p w14:paraId="3BC11C10" w14:textId="26186C4B" w:rsidR="00D45FCD" w:rsidRPr="004123D7" w:rsidRDefault="00D45FCD" w:rsidP="004123D7">
      <w:pPr>
        <w:pStyle w:val="ListParagraph"/>
        <w:numPr>
          <w:ilvl w:val="0"/>
          <w:numId w:val="4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Menggerakkan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menyerahkan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benda</w:t>
      </w:r>
      <w:proofErr w:type="spellEnd"/>
      <w:r w:rsidR="008933D1" w:rsidRPr="004123D7">
        <w:rPr>
          <w:rFonts w:ascii="Cambria" w:hAnsi="Cambria" w:cs="Times New Roman"/>
          <w:sz w:val="20"/>
          <w:szCs w:val="20"/>
          <w:lang w:val="en-US"/>
        </w:rPr>
        <w:t>;</w:t>
      </w:r>
    </w:p>
    <w:p w14:paraId="6B710252" w14:textId="478130CB" w:rsidR="00D45FCD" w:rsidRPr="004123D7" w:rsidRDefault="00D45FCD" w:rsidP="004123D7">
      <w:pPr>
        <w:pStyle w:val="ListParagraph"/>
        <w:numPr>
          <w:ilvl w:val="0"/>
          <w:numId w:val="4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Menggerakkan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mengadakan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perjanjian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hutang</w:t>
      </w:r>
      <w:proofErr w:type="spellEnd"/>
      <w:r w:rsidR="008933D1"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767A148C" w14:textId="7A9502CF" w:rsidR="00D45FCD" w:rsidRPr="004123D7" w:rsidRDefault="00D45FCD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Sedangkan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(1) UU ITE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mensyaratkan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unsur-unsur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berikut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:</w:t>
      </w:r>
    </w:p>
    <w:p w14:paraId="4199B8CF" w14:textId="079CAD47" w:rsidR="00D45FCD" w:rsidRPr="004123D7" w:rsidRDefault="00D45FCD" w:rsidP="004123D7">
      <w:pPr>
        <w:pStyle w:val="ListParagraph"/>
        <w:numPr>
          <w:ilvl w:val="0"/>
          <w:numId w:val="5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Kesalahan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: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sengaja</w:t>
      </w:r>
      <w:proofErr w:type="spellEnd"/>
      <w:r w:rsidR="008933D1" w:rsidRPr="004123D7">
        <w:rPr>
          <w:rFonts w:ascii="Cambria" w:hAnsi="Cambria" w:cs="Times New Roman"/>
          <w:sz w:val="20"/>
          <w:szCs w:val="20"/>
          <w:lang w:val="en-US"/>
        </w:rPr>
        <w:t>;</w:t>
      </w:r>
    </w:p>
    <w:p w14:paraId="6BD9FECF" w14:textId="209AAB5D" w:rsidR="008933D1" w:rsidRPr="004123D7" w:rsidRDefault="008933D1" w:rsidP="004123D7">
      <w:pPr>
        <w:pStyle w:val="ListParagraph"/>
        <w:numPr>
          <w:ilvl w:val="0"/>
          <w:numId w:val="5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Melawan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: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tanpa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;</w:t>
      </w:r>
    </w:p>
    <w:p w14:paraId="68ACD3CB" w14:textId="39FB188C" w:rsidR="008933D1" w:rsidRPr="004123D7" w:rsidRDefault="008933D1" w:rsidP="004123D7">
      <w:pPr>
        <w:pStyle w:val="ListParagraph"/>
        <w:numPr>
          <w:ilvl w:val="0"/>
          <w:numId w:val="5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: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menyebarkan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;</w:t>
      </w:r>
    </w:p>
    <w:p w14:paraId="70E97744" w14:textId="7625E88C" w:rsidR="008933D1" w:rsidRPr="004123D7" w:rsidRDefault="008933D1" w:rsidP="004123D7">
      <w:pPr>
        <w:pStyle w:val="ListParagraph"/>
        <w:numPr>
          <w:ilvl w:val="0"/>
          <w:numId w:val="5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Objek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: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berita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bohong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menyesatkan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;</w:t>
      </w:r>
    </w:p>
    <w:p w14:paraId="275728B0" w14:textId="11239A5E" w:rsidR="008933D1" w:rsidRPr="004123D7" w:rsidRDefault="008933D1" w:rsidP="004123D7">
      <w:pPr>
        <w:pStyle w:val="ListParagraph"/>
        <w:numPr>
          <w:ilvl w:val="0"/>
          <w:numId w:val="5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Akibat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konstitutif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: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mengakibatkan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kerugian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1DE5C5E4" w14:textId="7379112B" w:rsidR="000B1A0D" w:rsidRPr="004123D7" w:rsidRDefault="000B1A0D" w:rsidP="004123D7">
      <w:pPr>
        <w:ind w:left="426" w:hanging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="009B5FAE"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Jika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meninjau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dasarnya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acuan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digunakan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UU ITE,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selain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karena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digunakan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termasuk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penjelasan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1 </w:t>
      </w:r>
      <w:proofErr w:type="spellStart"/>
      <w:r w:rsidR="00F768CA" w:rsidRPr="004123D7">
        <w:rPr>
          <w:rFonts w:ascii="Cambria" w:hAnsi="Cambria" w:cs="Times New Roman"/>
          <w:sz w:val="20"/>
          <w:szCs w:val="20"/>
          <w:lang w:val="en-US"/>
        </w:rPr>
        <w:t>angka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2 UU ITE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digunakan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komputer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dan/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media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termasuk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bagian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dan juga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berdasarkan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asas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i/>
          <w:sz w:val="20"/>
          <w:szCs w:val="20"/>
          <w:lang w:val="en-US"/>
        </w:rPr>
        <w:t>lex</w:t>
      </w:r>
      <w:proofErr w:type="spellEnd"/>
      <w:r w:rsidR="00243793" w:rsidRPr="004123D7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i/>
          <w:sz w:val="20"/>
          <w:szCs w:val="20"/>
          <w:lang w:val="en-US"/>
        </w:rPr>
        <w:t>specialis</w:t>
      </w:r>
      <w:proofErr w:type="spellEnd"/>
      <w:r w:rsidR="00243793" w:rsidRPr="004123D7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i/>
          <w:sz w:val="20"/>
          <w:szCs w:val="20"/>
          <w:lang w:val="en-US"/>
        </w:rPr>
        <w:t>derogat</w:t>
      </w:r>
      <w:proofErr w:type="spellEnd"/>
      <w:r w:rsidR="00243793" w:rsidRPr="004123D7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i/>
          <w:sz w:val="20"/>
          <w:szCs w:val="20"/>
          <w:lang w:val="en-US"/>
        </w:rPr>
        <w:t>legi</w:t>
      </w:r>
      <w:proofErr w:type="spellEnd"/>
      <w:r w:rsidR="00243793" w:rsidRPr="004123D7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i/>
          <w:sz w:val="20"/>
          <w:szCs w:val="20"/>
          <w:lang w:val="en-US"/>
        </w:rPr>
        <w:t>generali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maka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UU ITE yang</w:t>
      </w:r>
      <w:r w:rsidR="003454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45441" w:rsidRPr="004123D7">
        <w:rPr>
          <w:rFonts w:ascii="Cambria" w:hAnsi="Cambria" w:cs="Times New Roman"/>
          <w:sz w:val="20"/>
          <w:szCs w:val="20"/>
          <w:lang w:val="en-US"/>
        </w:rPr>
        <w:t>semestinya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3793" w:rsidRPr="004123D7">
        <w:rPr>
          <w:rFonts w:ascii="Cambria" w:hAnsi="Cambria" w:cs="Times New Roman"/>
          <w:sz w:val="20"/>
          <w:szCs w:val="20"/>
          <w:lang w:val="en-US"/>
        </w:rPr>
        <w:t>dipergunakan</w:t>
      </w:r>
      <w:proofErr w:type="spellEnd"/>
      <w:r w:rsidR="00243793"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3054C7D2" w14:textId="77A45194" w:rsidR="00345441" w:rsidRPr="004123D7" w:rsidRDefault="009B5FAE" w:rsidP="004123D7">
      <w:pPr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="00251FB1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251FB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51FB1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251FB1"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="00251FB1"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="00251FB1" w:rsidRPr="004123D7">
        <w:rPr>
          <w:rFonts w:ascii="Cambria" w:hAnsi="Cambria" w:cs="Times New Roman"/>
          <w:sz w:val="20"/>
          <w:szCs w:val="20"/>
          <w:lang w:val="en-US"/>
        </w:rPr>
        <w:t xml:space="preserve"> (1) UU ITE </w:t>
      </w:r>
      <w:proofErr w:type="spellStart"/>
      <w:r w:rsidR="00251FB1" w:rsidRPr="004123D7">
        <w:rPr>
          <w:rFonts w:ascii="Cambria" w:hAnsi="Cambria" w:cs="Times New Roman"/>
          <w:sz w:val="20"/>
          <w:szCs w:val="20"/>
          <w:lang w:val="en-US"/>
        </w:rPr>
        <w:t>dijelaskan</w:t>
      </w:r>
      <w:proofErr w:type="spellEnd"/>
      <w:r w:rsidR="00251FB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51FB1"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="00251FB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4123D7">
        <w:rPr>
          <w:rFonts w:ascii="Cambria" w:hAnsi="Cambria" w:cs="Times New Roman"/>
          <w:sz w:val="20"/>
          <w:szCs w:val="20"/>
          <w:lang w:val="en-US"/>
        </w:rPr>
        <w:t xml:space="preserve">salah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unsurnya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penyebaran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berita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bohong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Berita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bohong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berita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sama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sekali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dibuktikan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kebenarannya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berita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disampaikan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6237B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237B5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memiliki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kesesuaian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fakta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sedangkan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frasa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menyesatkan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memiliki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arti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membuat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orang-orang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beranggapan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salah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ataupun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keliru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Pada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dasarnya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semua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unsur-unsur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(1) UU ITE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haruslah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terpenuhi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permasalahan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unsur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mengakibatkan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kerugian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Unsur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mengakibatkan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kerugian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pengganjal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upaya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kepolisian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menjerat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melalui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metode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karena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bukanlah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seorang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melainkan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seseorang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dikenal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34ADB4DD" w14:textId="092C8D6D" w:rsidR="00F768CA" w:rsidRPr="004123D7" w:rsidRDefault="009B5FAE" w:rsidP="004123D7">
      <w:pPr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diskusi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bidang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Pusat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Penelitian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Sekretariat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Jenderal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Badan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Keahlian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Dewan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Perwakilan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Rakyat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Republik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Indonesia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mengenai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“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Penerapan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(1)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Mengenai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”, I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Nyoman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Ngurah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Suwarnatha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memberikan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pandangan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>:</w:t>
      </w:r>
    </w:p>
    <w:p w14:paraId="6F2226F9" w14:textId="687E6895" w:rsidR="009B5FAE" w:rsidRPr="004123D7" w:rsidRDefault="00F768CA" w:rsidP="004123D7">
      <w:pPr>
        <w:ind w:left="1418" w:hanging="992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="009B5FAE" w:rsidRPr="004123D7">
        <w:rPr>
          <w:rFonts w:ascii="Cambria" w:hAnsi="Cambria" w:cs="Times New Roman"/>
          <w:sz w:val="20"/>
          <w:szCs w:val="20"/>
          <w:lang w:val="en-US"/>
        </w:rPr>
        <w:t>“</w:t>
      </w:r>
      <w:proofErr w:type="spellStart"/>
      <w:r w:rsidR="009B5FAE"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="009B5FA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B5FAE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9B5FA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B5FAE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9B5FAE"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="009B5FAE"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="009B5FAE" w:rsidRPr="004123D7">
        <w:rPr>
          <w:rFonts w:ascii="Cambria" w:hAnsi="Cambria" w:cs="Times New Roman"/>
          <w:sz w:val="20"/>
          <w:szCs w:val="20"/>
          <w:lang w:val="en-US"/>
        </w:rPr>
        <w:t xml:space="preserve"> (1) UU ITE, </w:t>
      </w:r>
      <w:proofErr w:type="spellStart"/>
      <w:r w:rsidR="009B5FAE" w:rsidRPr="004123D7">
        <w:rPr>
          <w:rFonts w:ascii="Cambria" w:hAnsi="Cambria" w:cs="Times New Roman"/>
          <w:sz w:val="20"/>
          <w:szCs w:val="20"/>
          <w:lang w:val="en-US"/>
        </w:rPr>
        <w:t>tanpa</w:t>
      </w:r>
      <w:proofErr w:type="spellEnd"/>
      <w:r w:rsidR="009B5FA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B5FAE" w:rsidRPr="004123D7">
        <w:rPr>
          <w:rFonts w:ascii="Cambria" w:hAnsi="Cambria" w:cs="Times New Roman"/>
          <w:sz w:val="20"/>
          <w:szCs w:val="20"/>
          <w:lang w:val="en-US"/>
        </w:rPr>
        <w:t>ada</w:t>
      </w:r>
      <w:proofErr w:type="spellEnd"/>
      <w:r w:rsidR="009B5FA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B5FAE" w:rsidRPr="004123D7">
        <w:rPr>
          <w:rFonts w:ascii="Cambria" w:hAnsi="Cambria" w:cs="Times New Roman"/>
          <w:sz w:val="20"/>
          <w:szCs w:val="20"/>
          <w:lang w:val="en-US"/>
        </w:rPr>
        <w:t>penjelasan</w:t>
      </w:r>
      <w:proofErr w:type="spellEnd"/>
      <w:r w:rsidR="009B5FA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B5FAE" w:rsidRPr="004123D7">
        <w:rPr>
          <w:rFonts w:ascii="Cambria" w:hAnsi="Cambria" w:cs="Times New Roman"/>
          <w:sz w:val="20"/>
          <w:szCs w:val="20"/>
          <w:lang w:val="en-US"/>
        </w:rPr>
        <w:t>siapa</w:t>
      </w:r>
      <w:proofErr w:type="spellEnd"/>
      <w:r w:rsidR="009B5FA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B5FAE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9B5FA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B5FAE" w:rsidRPr="004123D7">
        <w:rPr>
          <w:rFonts w:ascii="Cambria" w:hAnsi="Cambria" w:cs="Times New Roman"/>
          <w:sz w:val="20"/>
          <w:szCs w:val="20"/>
          <w:lang w:val="en-US"/>
        </w:rPr>
        <w:t>apa</w:t>
      </w:r>
      <w:proofErr w:type="spellEnd"/>
      <w:r w:rsidR="009B5FAE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9B5FAE"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="009B5FA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B5FAE" w:rsidRPr="004123D7">
        <w:rPr>
          <w:rFonts w:ascii="Cambria" w:hAnsi="Cambria" w:cs="Times New Roman"/>
          <w:sz w:val="20"/>
          <w:szCs w:val="20"/>
          <w:lang w:val="en-US"/>
        </w:rPr>
        <w:t>kategori</w:t>
      </w:r>
      <w:proofErr w:type="spellEnd"/>
      <w:r w:rsidR="009B5FA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B5FAE"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="009B5FA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kata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(1)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menggiring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opini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aparat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penegak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penafsiran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sistematis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mengacu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lain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yaitu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No. 8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Tahun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1999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lastRenderedPageBreak/>
        <w:t>tentang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Perlindungan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Apakah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penggunaan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Perlindungan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menjelaskan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apa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dimaksud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(1) UU ITE?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Berdasarkan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ketentuan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1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angka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Perlindungan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dijelaskan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setiap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pemakai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barang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dan/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jasa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tersedia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kepentingan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sendiri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keluarga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orang lain,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maupun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makhluk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hidup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lain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diperdagangkan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berdasarkan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Perlindungan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diterapkan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kasus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jika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pihak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memenuhi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kualifikasi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membutuhkan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perlindungan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Pihak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pemakai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terakhir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(end-user)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barang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dan/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jasa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lagi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diperdagangkan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”.</w:t>
      </w:r>
    </w:p>
    <w:p w14:paraId="547F149D" w14:textId="0BF2C05B" w:rsidR="00F768CA" w:rsidRPr="004123D7" w:rsidRDefault="00F768CA" w:rsidP="004123D7">
      <w:pPr>
        <w:ind w:left="1418" w:hanging="992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Lebih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lanjut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I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Nyoman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Ngurah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Suwarnatha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menjelaskan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:</w:t>
      </w:r>
    </w:p>
    <w:p w14:paraId="7ACA0992" w14:textId="2D5355C2" w:rsidR="00F768CA" w:rsidRPr="004123D7" w:rsidRDefault="00F768CA" w:rsidP="004123D7">
      <w:pPr>
        <w:ind w:left="1418" w:hanging="992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  <w:t>“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(1) UU ITE,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mempunyai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makna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lebih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luas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Perlindungan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(1) UU ITE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merupakan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semua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pihak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pengguna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jasa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berdasarkan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ketentuan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1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angka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 UU ITE,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komputer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jaringan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komputer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, dan/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media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lainnya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semua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orang yang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menerima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akibat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perbuatan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komputer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jaringan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komputer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>, dan/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media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lainnya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kata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(1) oleh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perumus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seharusnya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diberikan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penjelasan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siapa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dimaksud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, agar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terdapat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parameter yang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jelas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bagi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aparat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penegak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penerapan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 xml:space="preserve"> (1) UU ITE </w:t>
      </w:r>
      <w:proofErr w:type="spellStart"/>
      <w:r w:rsidR="000D1EF9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0D1EF9" w:rsidRPr="004123D7">
        <w:rPr>
          <w:rFonts w:ascii="Cambria" w:hAnsi="Cambria" w:cs="Times New Roman"/>
          <w:sz w:val="20"/>
          <w:szCs w:val="20"/>
          <w:lang w:val="en-US"/>
        </w:rPr>
        <w:t>.”</w:t>
      </w:r>
    </w:p>
    <w:p w14:paraId="0B1F0090" w14:textId="6BB67A3F" w:rsidR="004C7380" w:rsidRPr="004123D7" w:rsidRDefault="004C7380" w:rsidP="004123D7">
      <w:pPr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="008511B2"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pengaturan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tentang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diakuinya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bukti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media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serta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perluasan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yurisdiksi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ITE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senyatanya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masih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memunculkan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ketidakpastian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para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penegak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mengaplikasikan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norma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menjerat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Contohnya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dilihat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Pengadilan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Negeri Malang No. 572/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Pid.B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/2017/</w:t>
      </w:r>
      <w:proofErr w:type="spellStart"/>
      <w:proofErr w:type="gramStart"/>
      <w:r w:rsidRPr="004123D7">
        <w:rPr>
          <w:rFonts w:ascii="Cambria" w:hAnsi="Cambria" w:cs="Times New Roman"/>
          <w:sz w:val="20"/>
          <w:szCs w:val="20"/>
          <w:lang w:val="en-US"/>
        </w:rPr>
        <w:t>PN.Mlg</w:t>
      </w:r>
      <w:proofErr w:type="spellEnd"/>
      <w:proofErr w:type="gram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Pengadilan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Negeri Bantul</w:t>
      </w:r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No. 168/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Pid.B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>/2015/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PN.Btl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Jika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menelisik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kedua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maka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terlihat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perbedaan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penerapan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norma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digunakan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menjerat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melakukan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media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walaupun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termasuk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termasuk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media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tetap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pertimbangan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. Pada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Pengadilan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Negeri Malang No. 572/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Pid.B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>/2017/</w:t>
      </w:r>
      <w:proofErr w:type="spellStart"/>
      <w:proofErr w:type="gram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PN.Mlg</w:t>
      </w:r>
      <w:proofErr w:type="spellEnd"/>
      <w:proofErr w:type="gram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, Hakim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memutus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terdakwa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bersalah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sah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meyakinkan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bersalah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melakukan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konvensional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sebagaimana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diancam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378 Kitab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sesuai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dakwaan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Penuntut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Umum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Sedangkan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Pengadilan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Negeri Bantul No. 168/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Pid.B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>/2015/</w:t>
      </w:r>
      <w:proofErr w:type="spellStart"/>
      <w:proofErr w:type="gram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PN.Btl</w:t>
      </w:r>
      <w:proofErr w:type="spellEnd"/>
      <w:proofErr w:type="gram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, Hakim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memutus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terdakwa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bersalah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sah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meyakinkan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DE561A" w:rsidRPr="004123D7">
        <w:rPr>
          <w:rFonts w:ascii="Cambria" w:hAnsi="Cambria" w:cs="Times New Roman"/>
          <w:sz w:val="20"/>
          <w:szCs w:val="20"/>
          <w:lang w:val="en-US"/>
        </w:rPr>
        <w:t>bersalah</w:t>
      </w:r>
      <w:proofErr w:type="spellEnd"/>
      <w:r w:rsidR="00DE561A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melakukan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sebagaimana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(1) jo.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45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(2)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Terdapat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dua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dua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norma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berbeda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padahal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kedua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E5E1B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EE5E1B" w:rsidRPr="004123D7">
        <w:rPr>
          <w:rFonts w:ascii="Cambria" w:hAnsi="Cambria" w:cs="Times New Roman"/>
          <w:sz w:val="20"/>
          <w:szCs w:val="20"/>
          <w:lang w:val="en-US"/>
        </w:rPr>
        <w:t>.</w:t>
      </w:r>
      <w:r w:rsidR="00EE5E1B"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13"/>
      </w:r>
      <w:r w:rsidR="00EE5E1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</w:p>
    <w:p w14:paraId="6733B7B4" w14:textId="7F5638F1" w:rsidR="00C84C43" w:rsidRPr="004123D7" w:rsidRDefault="00C84C43" w:rsidP="004123D7">
      <w:pPr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Jika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melihat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kedua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kasus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atas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kedua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terdakwa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melakukan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didakwakan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terhadap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diri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mereka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salah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satunya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norma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378 Kitab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dan yang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lainnya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(1) jo.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45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(2)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="00A87D54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87D54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AF3347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Contoh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kasus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dikatakan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disparitas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sederhana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dikatakan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perbedaan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diberikan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oleh Hakim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kasus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identik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2AFC" w:rsidRPr="004123D7">
        <w:rPr>
          <w:rFonts w:ascii="Cambria" w:hAnsi="Cambria" w:cs="Times New Roman"/>
          <w:sz w:val="20"/>
          <w:szCs w:val="20"/>
          <w:lang w:val="en-US"/>
        </w:rPr>
        <w:t>serupa</w:t>
      </w:r>
      <w:proofErr w:type="spellEnd"/>
      <w:r w:rsidR="00162AFC"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29D37C46" w14:textId="3B56F770" w:rsidR="00162AFC" w:rsidRPr="004123D7" w:rsidRDefault="00162AFC" w:rsidP="004123D7">
      <w:pPr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Muladi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menjelaskan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disparitas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sendiri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Hal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demikian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karena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sistem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dianut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Indonesia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memberikan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kebebasan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Hakim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memilih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jenis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sesuai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apa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dikehendakinya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.</w:t>
      </w:r>
      <w:r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14"/>
      </w:r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Contohnya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dilihat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kasus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dimana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salah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Hakim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378 Kitab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menjerat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Hakim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lainnya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(1)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125F46C0" w14:textId="1ED4711E" w:rsidR="00162AFC" w:rsidRPr="004123D7" w:rsidRDefault="00162AFC" w:rsidP="004123D7">
      <w:pPr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Disparitas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dikenakan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beberapa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faktor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jika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dilihat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perspektif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yuridis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dibagi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beberapa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faktor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yaitu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kemandirian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dimiliki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r w:rsidRPr="004123D7">
        <w:rPr>
          <w:rFonts w:ascii="Cambria" w:hAnsi="Cambria" w:cs="Times New Roman"/>
          <w:sz w:val="20"/>
          <w:szCs w:val="20"/>
          <w:lang w:val="en-US"/>
        </w:rPr>
        <w:lastRenderedPageBreak/>
        <w:t xml:space="preserve">Hakim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berdasarkan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peraturan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perundang-undangan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Kemandirian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dimiliki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Hakim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dili</w:t>
      </w:r>
      <w:r w:rsidR="00140952" w:rsidRPr="004123D7">
        <w:rPr>
          <w:rFonts w:ascii="Cambria" w:hAnsi="Cambria" w:cs="Times New Roman"/>
          <w:sz w:val="20"/>
          <w:szCs w:val="20"/>
          <w:lang w:val="en-US"/>
        </w:rPr>
        <w:t>hat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Dasar Negara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Republik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Indonesia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tahun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1945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serta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asas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kebebasan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Hakim yang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diberikan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jaminan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sepenuhnya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dijelaskan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1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No. 48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Tahun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2009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tentang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Kekuasaan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Kehakiman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Kemudian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juga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dilihat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teori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140952" w:rsidRPr="004123D7">
        <w:rPr>
          <w:rFonts w:ascii="Cambria" w:hAnsi="Cambria" w:cs="Times New Roman"/>
          <w:i/>
          <w:sz w:val="20"/>
          <w:szCs w:val="20"/>
          <w:lang w:val="en-US"/>
        </w:rPr>
        <w:t>ratio decidendi</w:t>
      </w:r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teori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140952" w:rsidRPr="004123D7">
        <w:rPr>
          <w:rFonts w:ascii="Cambria" w:hAnsi="Cambria" w:cs="Times New Roman"/>
          <w:i/>
          <w:sz w:val="20"/>
          <w:szCs w:val="20"/>
          <w:lang w:val="en-US"/>
        </w:rPr>
        <w:t>dissenting opinion</w:t>
      </w:r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, dan </w:t>
      </w:r>
      <w:proofErr w:type="spellStart"/>
      <w:r w:rsidR="00140952" w:rsidRPr="004123D7">
        <w:rPr>
          <w:rFonts w:ascii="Cambria" w:hAnsi="Cambria" w:cs="Times New Roman"/>
          <w:sz w:val="20"/>
          <w:szCs w:val="20"/>
          <w:lang w:val="en-US"/>
        </w:rPr>
        <w:t>doktrin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140952" w:rsidRPr="004123D7">
        <w:rPr>
          <w:rFonts w:ascii="Cambria" w:hAnsi="Cambria" w:cs="Times New Roman"/>
          <w:i/>
          <w:sz w:val="20"/>
          <w:szCs w:val="20"/>
          <w:lang w:val="en-US"/>
        </w:rPr>
        <w:t xml:space="preserve">res judicata pro </w:t>
      </w:r>
      <w:proofErr w:type="spellStart"/>
      <w:r w:rsidR="00140952" w:rsidRPr="004123D7">
        <w:rPr>
          <w:rFonts w:ascii="Cambria" w:hAnsi="Cambria" w:cs="Times New Roman"/>
          <w:i/>
          <w:sz w:val="20"/>
          <w:szCs w:val="20"/>
          <w:lang w:val="en-US"/>
        </w:rPr>
        <w:t>veritae</w:t>
      </w:r>
      <w:proofErr w:type="spellEnd"/>
      <w:r w:rsidR="00140952" w:rsidRPr="004123D7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140952" w:rsidRPr="004123D7">
        <w:rPr>
          <w:rFonts w:ascii="Cambria" w:hAnsi="Cambria" w:cs="Times New Roman"/>
          <w:i/>
          <w:sz w:val="20"/>
          <w:szCs w:val="20"/>
          <w:lang w:val="en-US"/>
        </w:rPr>
        <w:t>habetur</w:t>
      </w:r>
      <w:proofErr w:type="spellEnd"/>
      <w:r w:rsidR="00140952" w:rsidRPr="004123D7">
        <w:rPr>
          <w:rFonts w:ascii="Cambria" w:hAnsi="Cambria" w:cs="Times New Roman"/>
          <w:sz w:val="20"/>
          <w:szCs w:val="20"/>
          <w:lang w:val="en-US"/>
        </w:rPr>
        <w:t>.</w:t>
      </w:r>
      <w:r w:rsidR="00140952"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15"/>
      </w:r>
    </w:p>
    <w:p w14:paraId="57044046" w14:textId="6278F8EC" w:rsidR="00140952" w:rsidRPr="004123D7" w:rsidRDefault="00140952" w:rsidP="004123D7">
      <w:pPr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Teori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4123D7">
        <w:rPr>
          <w:rFonts w:ascii="Cambria" w:hAnsi="Cambria" w:cs="Times New Roman"/>
          <w:i/>
          <w:sz w:val="20"/>
          <w:szCs w:val="20"/>
          <w:lang w:val="en-US"/>
        </w:rPr>
        <w:t>ratio decidendi</w:t>
      </w:r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menjelaskan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pertimbangan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dimiliki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Hakim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sampai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keputusan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Dewan Hakim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didasarkan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fakta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materi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selain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daripada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teori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4123D7">
        <w:rPr>
          <w:rFonts w:ascii="Cambria" w:hAnsi="Cambria" w:cs="Times New Roman"/>
          <w:i/>
          <w:sz w:val="20"/>
          <w:szCs w:val="20"/>
          <w:lang w:val="en-US"/>
        </w:rPr>
        <w:t>ratio decidendi</w:t>
      </w:r>
      <w:r w:rsidRPr="004123D7">
        <w:rPr>
          <w:rFonts w:ascii="Cambria" w:hAnsi="Cambria" w:cs="Times New Roman"/>
          <w:sz w:val="20"/>
          <w:szCs w:val="20"/>
          <w:lang w:val="en-US"/>
        </w:rPr>
        <w:t xml:space="preserve"> juga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salah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patok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ukur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penilaian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terhadap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mutu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dijatuhkan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Hakim.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Mutu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dijatuhkan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oleh Hakim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harus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diukur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dinilai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karena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Hakim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harus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dimuat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alasan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serta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pertimbangan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sifatnya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yuridis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selain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itu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Hakim juga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harus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memuat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peraturan-peraturan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memiliki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keterkaitan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perkara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Teori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C87B02" w:rsidRPr="004123D7">
        <w:rPr>
          <w:rFonts w:ascii="Cambria" w:hAnsi="Cambria" w:cs="Times New Roman"/>
          <w:i/>
          <w:sz w:val="20"/>
          <w:szCs w:val="20"/>
          <w:lang w:val="en-US"/>
        </w:rPr>
        <w:t>ratio decidendi</w:t>
      </w:r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memiliki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tujuan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sumber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referensi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bagi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Hakim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menyusun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alasan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argumentasi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kemudian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dimuat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87B02" w:rsidRPr="004123D7">
        <w:rPr>
          <w:rFonts w:ascii="Cambria" w:hAnsi="Cambria" w:cs="Times New Roman"/>
          <w:sz w:val="20"/>
          <w:szCs w:val="20"/>
          <w:lang w:val="en-US"/>
        </w:rPr>
        <w:t>perkara</w:t>
      </w:r>
      <w:proofErr w:type="spellEnd"/>
      <w:r w:rsidR="00C87B02" w:rsidRPr="004123D7">
        <w:rPr>
          <w:rFonts w:ascii="Cambria" w:hAnsi="Cambria" w:cs="Times New Roman"/>
          <w:sz w:val="20"/>
          <w:szCs w:val="20"/>
          <w:lang w:val="en-US"/>
        </w:rPr>
        <w:t>.</w:t>
      </w:r>
      <w:r w:rsidR="00C87B02"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16"/>
      </w:r>
    </w:p>
    <w:p w14:paraId="55F25E42" w14:textId="0E73A554" w:rsidR="00C87B02" w:rsidRPr="004123D7" w:rsidRDefault="00C87B02" w:rsidP="004123D7">
      <w:pPr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Teori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4123D7">
        <w:rPr>
          <w:rFonts w:ascii="Cambria" w:hAnsi="Cambria" w:cs="Times New Roman"/>
          <w:i/>
          <w:sz w:val="20"/>
          <w:szCs w:val="20"/>
          <w:lang w:val="en-US"/>
        </w:rPr>
        <w:t>dissenting opinion</w:t>
      </w:r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teori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menjelaskan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perbedaan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pandangan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terhadap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amar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perkara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namun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demikian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perbedaan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pandangan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pemahaman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dianggap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wajar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Perbedaan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dimungkinkan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karena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konsekuensi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pelaksanaan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sidang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pengadilan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jumlah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hakim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ganjil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demikian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maka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perbedaan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pandangan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Majelis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Hakim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berjumlah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ganjil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sangat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mungkin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musyawarah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pengambilan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nantinya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juga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dituliskan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. Hal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dijelaskan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No. 48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Tahun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2009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tentang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Kekuasaan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Kehakiman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menjelaskan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jika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perbedaan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pendapat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pengambilan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maka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perbedaan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pendapat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tetap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dituliskan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dilampirkan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satu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kesatuan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terpisahkan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B348B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0B348B" w:rsidRPr="004123D7">
        <w:rPr>
          <w:rFonts w:ascii="Cambria" w:hAnsi="Cambria" w:cs="Times New Roman"/>
          <w:sz w:val="20"/>
          <w:szCs w:val="20"/>
          <w:lang w:val="en-US"/>
        </w:rPr>
        <w:t>.</w:t>
      </w:r>
      <w:r w:rsidR="000B348B"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17"/>
      </w:r>
    </w:p>
    <w:p w14:paraId="059A3095" w14:textId="4F0DAF24" w:rsidR="000B348B" w:rsidRPr="004123D7" w:rsidRDefault="000B348B" w:rsidP="004123D7">
      <w:pPr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Selanjutnya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doktrin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4123D7">
        <w:rPr>
          <w:rFonts w:ascii="Cambria" w:hAnsi="Cambria" w:cs="Times New Roman"/>
          <w:i/>
          <w:sz w:val="20"/>
          <w:szCs w:val="20"/>
          <w:lang w:val="en-US"/>
        </w:rPr>
        <w:t xml:space="preserve">res judicata pro </w:t>
      </w:r>
      <w:proofErr w:type="spellStart"/>
      <w:r w:rsidRPr="004123D7">
        <w:rPr>
          <w:rFonts w:ascii="Cambria" w:hAnsi="Cambria" w:cs="Times New Roman"/>
          <w:i/>
          <w:sz w:val="20"/>
          <w:szCs w:val="20"/>
          <w:lang w:val="en-US"/>
        </w:rPr>
        <w:t>veritae</w:t>
      </w:r>
      <w:proofErr w:type="spellEnd"/>
      <w:r w:rsidRPr="004123D7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i/>
          <w:sz w:val="20"/>
          <w:szCs w:val="20"/>
          <w:lang w:val="en-US"/>
        </w:rPr>
        <w:t>habetur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kata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bahasa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latin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yaitu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4123D7">
        <w:rPr>
          <w:rFonts w:ascii="Cambria" w:hAnsi="Cambria" w:cs="Times New Roman"/>
          <w:i/>
          <w:sz w:val="20"/>
          <w:szCs w:val="20"/>
          <w:lang w:val="en-US"/>
        </w:rPr>
        <w:t xml:space="preserve">res </w:t>
      </w:r>
      <w:proofErr w:type="spellStart"/>
      <w:r w:rsidRPr="004123D7">
        <w:rPr>
          <w:rFonts w:ascii="Cambria" w:hAnsi="Cambria" w:cs="Times New Roman"/>
          <w:i/>
          <w:sz w:val="20"/>
          <w:szCs w:val="20"/>
          <w:lang w:val="en-US"/>
        </w:rPr>
        <w:t>ludicata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memiliki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pengertian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sesuatu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sudah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diputuskan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r w:rsidRPr="004123D7">
        <w:rPr>
          <w:rFonts w:ascii="Cambria" w:hAnsi="Cambria" w:cs="Times New Roman"/>
          <w:i/>
          <w:sz w:val="20"/>
          <w:szCs w:val="20"/>
          <w:lang w:val="en-US"/>
        </w:rPr>
        <w:t xml:space="preserve">Black’s Law </w:t>
      </w:r>
      <w:proofErr w:type="spellStart"/>
      <w:r w:rsidRPr="004123D7">
        <w:rPr>
          <w:rFonts w:ascii="Cambria" w:hAnsi="Cambria" w:cs="Times New Roman"/>
          <w:i/>
          <w:sz w:val="20"/>
          <w:szCs w:val="20"/>
          <w:lang w:val="en-US"/>
        </w:rPr>
        <w:t>Dictionarys</w:t>
      </w:r>
      <w:proofErr w:type="spellEnd"/>
      <w:r w:rsidRPr="004123D7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Pr="004123D7">
        <w:rPr>
          <w:rFonts w:ascii="Cambria" w:hAnsi="Cambria" w:cs="Times New Roman"/>
          <w:sz w:val="20"/>
          <w:szCs w:val="20"/>
          <w:lang w:val="en-US"/>
        </w:rPr>
        <w:t xml:space="preserve">juga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memberikan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pengertian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4123D7">
        <w:rPr>
          <w:rFonts w:ascii="Cambria" w:hAnsi="Cambria" w:cs="Times New Roman"/>
          <w:i/>
          <w:sz w:val="20"/>
          <w:szCs w:val="20"/>
          <w:lang w:val="en-US"/>
        </w:rPr>
        <w:t>res judicata</w:t>
      </w:r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diputuskan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perkara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dasarnya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diselesakan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diberikannya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nilai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pengadilan-pengadilan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disertai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yurisdiksi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juga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berkompeten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Doktrin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sangat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penting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diimplementasikan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sistem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peradilan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agar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memberikan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kestabilan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standar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serta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mampu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menciptakan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landasan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maupun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persepsi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sama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Hal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menciptakan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kepastian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memperkecil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kemungkinan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terjadinya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disparitas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.</w:t>
      </w:r>
      <w:r w:rsidRPr="004123D7">
        <w:rPr>
          <w:rStyle w:val="FootnoteReference"/>
          <w:rFonts w:ascii="Cambria" w:hAnsi="Cambria" w:cs="Times New Roman"/>
          <w:sz w:val="20"/>
          <w:szCs w:val="20"/>
          <w:lang w:val="en-US"/>
        </w:rPr>
        <w:footnoteReference w:id="18"/>
      </w:r>
    </w:p>
    <w:p w14:paraId="5B04CB3F" w14:textId="134E4DAA" w:rsidR="001832D5" w:rsidRPr="004123D7" w:rsidRDefault="001832D5" w:rsidP="004123D7">
      <w:pPr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Selain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faktor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disparitas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putusan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perkara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media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banyak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sekali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faktor-faktor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juga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penghambat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penyelesaian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perkara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media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terkhusus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Hambatan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berikut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:</w:t>
      </w:r>
    </w:p>
    <w:p w14:paraId="64BFE5D0" w14:textId="77777777" w:rsidR="00303208" w:rsidRPr="004123D7" w:rsidRDefault="001832D5" w:rsidP="004123D7">
      <w:pPr>
        <w:pStyle w:val="ListParagraph"/>
        <w:numPr>
          <w:ilvl w:val="0"/>
          <w:numId w:val="7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Hambatan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pertama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dihadapi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pihak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kepolisian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laporan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harus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memenuhi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unsur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Jika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kembali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menelisik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unsur-unsur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378 Kitab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(1)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maka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pelaksanaannya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maka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unsur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kedua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terpenuhi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Unsur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378 Kitab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dasarnya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terpenuhi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penggunaan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media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pelaksanaan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mengharuskan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penggunaan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(1)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menjerat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unsur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(1)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terpenuhi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karena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bukanlah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seorang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. Hal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mengakibatkan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ketidakpastian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banyak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penyidik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saling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melempar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korban yang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mencoba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melaporkan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303208" w:rsidRPr="004123D7">
        <w:rPr>
          <w:rFonts w:ascii="Cambria" w:hAnsi="Cambria" w:cs="Times New Roman"/>
          <w:sz w:val="20"/>
          <w:szCs w:val="20"/>
          <w:lang w:val="en-US"/>
        </w:rPr>
        <w:t>dialaminya</w:t>
      </w:r>
      <w:proofErr w:type="spellEnd"/>
      <w:r w:rsidR="00303208"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5F1D0F80" w14:textId="77777777" w:rsidR="00AE5421" w:rsidRPr="004123D7" w:rsidRDefault="00303208" w:rsidP="004123D7">
      <w:pPr>
        <w:pStyle w:val="ListParagraph"/>
        <w:numPr>
          <w:ilvl w:val="0"/>
          <w:numId w:val="7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Hambatan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selanjutnya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kurangnya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bukti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media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yaitu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sangat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sulit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mendapatkan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bukti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fisik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lastRenderedPageBreak/>
        <w:t>dengan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modus operandi yang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hanya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tentu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meninggalkan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bukti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fisik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upaya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melaporkan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sarananya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maka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korban dan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penyidik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menerima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laporan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pun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kesulitan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menindaklanjuti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laporan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E5421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AE5421" w:rsidRPr="004123D7">
        <w:rPr>
          <w:rFonts w:ascii="Cambria" w:hAnsi="Cambria" w:cs="Times New Roman"/>
          <w:sz w:val="20"/>
          <w:szCs w:val="20"/>
          <w:lang w:val="en-US"/>
        </w:rPr>
        <w:t xml:space="preserve"> korban.</w:t>
      </w:r>
    </w:p>
    <w:p w14:paraId="1E60CC33" w14:textId="77777777" w:rsidR="00C63BD8" w:rsidRPr="004123D7" w:rsidRDefault="00427B9A" w:rsidP="004123D7">
      <w:pPr>
        <w:pStyle w:val="ListParagraph"/>
        <w:numPr>
          <w:ilvl w:val="0"/>
          <w:numId w:val="7"/>
        </w:numPr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Hambatan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berikutnya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bisa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memberikan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kesaksian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laporan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korban.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membuat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kemungkinan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mendukung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sangat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kecil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karena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biasanya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dua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arah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langsung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antara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dan korban,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sangat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jarang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disengaja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muncul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tiba-tiba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langsung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diperdengarkan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oleh korban </w:t>
      </w:r>
      <w:proofErr w:type="spellStart"/>
      <w:r w:rsidR="00C63BD8" w:rsidRPr="004123D7">
        <w:rPr>
          <w:rFonts w:ascii="Cambria" w:hAnsi="Cambria" w:cs="Times New Roman"/>
          <w:sz w:val="20"/>
          <w:szCs w:val="20"/>
          <w:lang w:val="en-US"/>
        </w:rPr>
        <w:t>kepada</w:t>
      </w:r>
      <w:proofErr w:type="spellEnd"/>
      <w:r w:rsidR="00C63BD8" w:rsidRPr="004123D7">
        <w:rPr>
          <w:rFonts w:ascii="Cambria" w:hAnsi="Cambria" w:cs="Times New Roman"/>
          <w:sz w:val="20"/>
          <w:szCs w:val="20"/>
          <w:lang w:val="en-US"/>
        </w:rPr>
        <w:t xml:space="preserve"> orang lain.</w:t>
      </w:r>
    </w:p>
    <w:p w14:paraId="07C2DA19" w14:textId="77777777" w:rsidR="00B5303D" w:rsidRPr="004123D7" w:rsidRDefault="00C63BD8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Hambatan-hambatan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disebutkan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membuat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kasus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semakin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sulit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dilanjutkan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proses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penyelidikan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karena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pemeriksaan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korban pun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memberikan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kemudahan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sama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sekali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penyidik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juga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berusaha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membantu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korban.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hambatan-hambatan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dijelaskan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atas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pula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membuat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kasus-kasus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serupa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harus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berakhir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korban yang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terpaksa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mengikhlaskan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kerugian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dialaminya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tanpa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bisa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berbuat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lebih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jauh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walaupun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terkadang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kerugian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141841" w:rsidRPr="004123D7">
        <w:rPr>
          <w:rFonts w:ascii="Cambria" w:hAnsi="Cambria" w:cs="Times New Roman"/>
          <w:sz w:val="20"/>
          <w:szCs w:val="20"/>
          <w:lang w:val="en-US"/>
        </w:rPr>
        <w:t>dialami</w:t>
      </w:r>
      <w:proofErr w:type="spellEnd"/>
      <w:r w:rsidR="00141841" w:rsidRPr="004123D7">
        <w:rPr>
          <w:rFonts w:ascii="Cambria" w:hAnsi="Cambria" w:cs="Times New Roman"/>
          <w:sz w:val="20"/>
          <w:szCs w:val="20"/>
          <w:lang w:val="en-US"/>
        </w:rPr>
        <w:t xml:space="preserve"> oleh korban </w:t>
      </w:r>
      <w:proofErr w:type="spellStart"/>
      <w:r w:rsidR="00B5303D" w:rsidRPr="004123D7">
        <w:rPr>
          <w:rFonts w:ascii="Cambria" w:hAnsi="Cambria" w:cs="Times New Roman"/>
          <w:sz w:val="20"/>
          <w:szCs w:val="20"/>
          <w:lang w:val="en-US"/>
        </w:rPr>
        <w:t>nominalnya</w:t>
      </w:r>
      <w:proofErr w:type="spellEnd"/>
      <w:r w:rsidR="00B5303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5303D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B5303D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5303D" w:rsidRPr="004123D7">
        <w:rPr>
          <w:rFonts w:ascii="Cambria" w:hAnsi="Cambria" w:cs="Times New Roman"/>
          <w:sz w:val="20"/>
          <w:szCs w:val="20"/>
          <w:lang w:val="en-US"/>
        </w:rPr>
        <w:t>sedikit</w:t>
      </w:r>
      <w:proofErr w:type="spellEnd"/>
      <w:r w:rsidR="00B5303D"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79932749" w14:textId="4CB8FF1D" w:rsidR="00B5303D" w:rsidRPr="004123D7" w:rsidRDefault="00B5303D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Berdasarkan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hambatan-hambatan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pula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penulis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mencoba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memberikan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beberapa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solusi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agar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mudah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terperdaya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mencoba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memanfaatkan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mendapatkan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keuntungan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Solusi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dijabarkan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berikut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:</w:t>
      </w:r>
    </w:p>
    <w:p w14:paraId="701FC6FC" w14:textId="77777777" w:rsidR="00B5303D" w:rsidRPr="004123D7" w:rsidRDefault="00B5303D" w:rsidP="004123D7">
      <w:pPr>
        <w:pStyle w:val="ListParagraph"/>
        <w:ind w:left="426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3E0636F1" w14:textId="1F80E7FE" w:rsidR="001832D5" w:rsidRPr="004123D7" w:rsidRDefault="00B5303D" w:rsidP="004123D7">
      <w:pPr>
        <w:pStyle w:val="ListParagraph"/>
        <w:numPr>
          <w:ilvl w:val="0"/>
          <w:numId w:val="9"/>
        </w:numPr>
        <w:ind w:left="1843" w:hanging="397"/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Pemahaman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mendasar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“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gampang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”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kondisi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B37AE"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="009B37A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9B37AE" w:rsidRPr="004123D7">
        <w:rPr>
          <w:rFonts w:ascii="Cambria" w:hAnsi="Cambria" w:cs="Times New Roman"/>
          <w:sz w:val="20"/>
          <w:szCs w:val="20"/>
          <w:lang w:val="en-US"/>
        </w:rPr>
        <w:t>apapun</w:t>
      </w:r>
      <w:proofErr w:type="spellEnd"/>
    </w:p>
    <w:p w14:paraId="676F0319" w14:textId="2F50CE4C" w:rsidR="00B5303D" w:rsidRPr="004123D7" w:rsidRDefault="00B5303D" w:rsidP="004123D7">
      <w:pPr>
        <w:pStyle w:val="ListParagraph"/>
        <w:ind w:left="1843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r w:rsidRPr="004123D7">
        <w:rPr>
          <w:rFonts w:ascii="Cambria" w:hAnsi="Cambria" w:cs="Times New Roman"/>
          <w:sz w:val="20"/>
          <w:szCs w:val="20"/>
          <w:lang w:val="en-US"/>
        </w:rPr>
        <w:tab/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proteksi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paling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utama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yang paling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kuat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menghadapi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upaya-upaya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pola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pikir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sendiri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Masyarakat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perlu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menanamkan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pola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pikir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4123D7">
        <w:rPr>
          <w:rFonts w:ascii="Cambria" w:hAnsi="Cambria" w:cs="Times New Roman"/>
          <w:i/>
          <w:sz w:val="20"/>
          <w:szCs w:val="20"/>
          <w:lang w:val="en-US"/>
        </w:rPr>
        <w:t>mindset</w:t>
      </w:r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sama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sekali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jalan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pintas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mendapatkan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banyak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waktu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singkat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pola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pikir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membuat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rasa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curiga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mudah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muncul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orang-orang,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entah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asing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keluarga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sekalipun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mencoba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menawarkan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cara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cepat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mudah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menghasilkan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</w:t>
      </w:r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banyak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. Karena modus paling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banyak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digunakan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membujuk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berinvestasi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membantu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menghasilkan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uang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banyak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waktu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singkat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. Pola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pikir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tentunya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membantu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agar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terhindar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bujukan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pelaku-pelaku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sendiri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ditekan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hanya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bermodalkan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pola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pikir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tepat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dimiliki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="00E64AB2"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="00E64AB2"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0844E552" w14:textId="4A07027A" w:rsidR="00E64AB2" w:rsidRPr="004123D7" w:rsidRDefault="00E64AB2" w:rsidP="004123D7">
      <w:pPr>
        <w:pStyle w:val="ListParagraph"/>
        <w:numPr>
          <w:ilvl w:val="0"/>
          <w:numId w:val="9"/>
        </w:numPr>
        <w:ind w:left="1843" w:hanging="397"/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Selalu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waspada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terhadap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nomor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dikenal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terdaftar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kontak</w:t>
      </w:r>
      <w:proofErr w:type="spellEnd"/>
    </w:p>
    <w:p w14:paraId="09F6E1BF" w14:textId="58D145DA" w:rsidR="009B37AE" w:rsidRPr="004123D7" w:rsidRDefault="009B37AE" w:rsidP="004123D7">
      <w:pPr>
        <w:pStyle w:val="ListParagraph"/>
        <w:ind w:left="1843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 xml:space="preserve">Kita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mengetahui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sering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sekali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pemberitaan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data-data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ataupun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data-data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pribadi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dicuri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orang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diketahui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selain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data-data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pribadi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kemudian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tersebar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ataupun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dijual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kepada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orang-orang yang juga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memiliki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agenda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tertentu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berlebihan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kita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menganggap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nomor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ponsel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pribadi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kita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miliki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juga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dimiliki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orang lain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sewenang-wenang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maka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perlu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dimunculkan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rasa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curiga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nomor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asing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mencoba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menghubungi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nomor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ponsel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pribadi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kita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>.</w:t>
      </w:r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Tindakan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tepat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mengangkat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nomor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dikenal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sangat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penting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diangkat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maka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tentunya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lawan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bicara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mencoba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cara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lain,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mungkin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pesan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singkat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mencoba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menghubungi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kita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, dan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terdapat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rasa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bersalah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karena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mengangkat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maka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j</w:t>
      </w:r>
      <w:r w:rsidRPr="004123D7">
        <w:rPr>
          <w:rFonts w:ascii="Cambria" w:hAnsi="Cambria" w:cs="Times New Roman"/>
          <w:sz w:val="20"/>
          <w:szCs w:val="20"/>
          <w:lang w:val="en-US"/>
        </w:rPr>
        <w:t>angan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mudah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menaruh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rasa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percaya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kepada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siapapun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lawan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bicara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kita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sampai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kita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bisa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membuktikan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benar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benar-benar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dikenal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Rasa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curiga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waspada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selalu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dimunculkan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berbicara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orang yang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dikenal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lastRenderedPageBreak/>
        <w:t>akan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mencegah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seseorang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sengaja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memberitahukan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hal-hal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pribadi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digunakan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C7B95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1C7B95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C35DB" w:rsidRPr="004123D7">
        <w:rPr>
          <w:rFonts w:ascii="Cambria" w:hAnsi="Cambria" w:cs="Times New Roman"/>
          <w:sz w:val="20"/>
          <w:szCs w:val="20"/>
          <w:lang w:val="en-US"/>
        </w:rPr>
        <w:t>mandapatkan</w:t>
      </w:r>
      <w:proofErr w:type="spellEnd"/>
      <w:r w:rsidR="000C35D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C35DB" w:rsidRPr="004123D7">
        <w:rPr>
          <w:rFonts w:ascii="Cambria" w:hAnsi="Cambria" w:cs="Times New Roman"/>
          <w:sz w:val="20"/>
          <w:szCs w:val="20"/>
          <w:lang w:val="en-US"/>
        </w:rPr>
        <w:t>keuntungan</w:t>
      </w:r>
      <w:proofErr w:type="spellEnd"/>
      <w:r w:rsidR="000C35D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0C35DB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0C35DB" w:rsidRPr="004123D7">
        <w:rPr>
          <w:rFonts w:ascii="Cambria" w:hAnsi="Cambria" w:cs="Times New Roman"/>
          <w:sz w:val="20"/>
          <w:szCs w:val="20"/>
          <w:lang w:val="en-US"/>
        </w:rPr>
        <w:t xml:space="preserve"> korban.</w:t>
      </w:r>
    </w:p>
    <w:p w14:paraId="6F71B1D5" w14:textId="649696A5" w:rsidR="000C35DB" w:rsidRPr="004123D7" w:rsidRDefault="000C35DB" w:rsidP="004123D7">
      <w:pPr>
        <w:pStyle w:val="ListParagraph"/>
        <w:numPr>
          <w:ilvl w:val="0"/>
          <w:numId w:val="9"/>
        </w:numPr>
        <w:ind w:left="1843" w:hanging="397"/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Pengupayaan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selalu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tertulis</w:t>
      </w:r>
      <w:proofErr w:type="spellEnd"/>
    </w:p>
    <w:p w14:paraId="001E2E55" w14:textId="3D17E9AD" w:rsidR="000C35DB" w:rsidRPr="004123D7" w:rsidRDefault="000C35DB" w:rsidP="004123D7">
      <w:pPr>
        <w:pStyle w:val="ListParagraph"/>
        <w:ind w:left="1843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t xml:space="preserve">Masih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banyak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mengetahui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seberapa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pentingnya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transaksi-transaksi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kehidupan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sehari-hari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tertulis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melalui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percakapan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media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sosial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lebih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parah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melalui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4123D7">
        <w:rPr>
          <w:rFonts w:ascii="Cambria" w:hAnsi="Cambria" w:cs="Times New Roman"/>
          <w:i/>
          <w:sz w:val="20"/>
          <w:szCs w:val="20"/>
          <w:lang w:val="en-US"/>
        </w:rPr>
        <w:t>voice note</w:t>
      </w:r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Perlu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diberikan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pemahaman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kepada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dasarnya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perkembangan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zaman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membuat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segala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manusia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dipermudah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bantuan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kecanggihan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teknologi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kecanggihan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teknologi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membawa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dampak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positif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saja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juga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selalu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dibarengi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dampak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negatif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sederhana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kesepakatan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jual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beli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ataupun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sewa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menyewa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sebaiknya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sebatas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kesepakatan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melalui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chat </w:t>
      </w:r>
      <w:proofErr w:type="spellStart"/>
      <w:r w:rsidR="00F42F5B" w:rsidRPr="004123D7">
        <w:rPr>
          <w:rFonts w:ascii="Cambria" w:hAnsi="Cambria" w:cs="Times New Roman"/>
          <w:i/>
          <w:sz w:val="20"/>
          <w:szCs w:val="20"/>
          <w:lang w:val="en-US"/>
        </w:rPr>
        <w:t>Whatsapp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pesan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media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sosial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saja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karena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hal-hal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diinginkan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bentuk-bentuk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kesepakatan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F6624B" w:rsidRPr="004123D7">
        <w:rPr>
          <w:rFonts w:ascii="Cambria" w:hAnsi="Cambria" w:cs="Times New Roman"/>
          <w:sz w:val="20"/>
          <w:szCs w:val="20"/>
          <w:lang w:val="en-US"/>
        </w:rPr>
        <w:t xml:space="preserve">yang </w:t>
      </w:r>
      <w:proofErr w:type="spellStart"/>
      <w:r w:rsidR="00F6624B" w:rsidRPr="004123D7">
        <w:rPr>
          <w:rFonts w:ascii="Cambria" w:hAnsi="Cambria" w:cs="Times New Roman"/>
          <w:sz w:val="20"/>
          <w:szCs w:val="20"/>
          <w:lang w:val="en-US"/>
        </w:rPr>
        <w:t>disebutkan</w:t>
      </w:r>
      <w:proofErr w:type="spellEnd"/>
      <w:r w:rsidR="00F6624B"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="00F6624B" w:rsidRPr="004123D7">
        <w:rPr>
          <w:rFonts w:ascii="Cambria" w:hAnsi="Cambria" w:cs="Times New Roman"/>
          <w:sz w:val="20"/>
          <w:szCs w:val="20"/>
          <w:lang w:val="en-US"/>
        </w:rPr>
        <w:t>atas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belum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tentu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membantu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pihak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merasa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dirugikan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mempersulit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pihak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kepolisian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pelaksanaan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penyidikan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hal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alangkah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baiknya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segala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bentuk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diupayakan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terhadap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korban agar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dituangkan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bentuk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tertulis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upaya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pemaksaan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terhadap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bentuk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tertulis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membuat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berpikir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dua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kali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memperpanjang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obrolan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akhirnya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membuat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terhindar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Segala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bentuk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diupayakan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bentuk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tertulis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juga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bukti-bukti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dijadikan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sebagai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dasar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laporan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laporan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penyidikan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lebih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lanjut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E303E" w:rsidRPr="004123D7">
        <w:rPr>
          <w:rFonts w:ascii="Cambria" w:hAnsi="Cambria" w:cs="Times New Roman"/>
          <w:sz w:val="20"/>
          <w:szCs w:val="20"/>
          <w:lang w:val="en-US"/>
        </w:rPr>
        <w:t>mempermudah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pihak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kepolisian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mengusut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kasus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F42F5B" w:rsidRPr="004123D7">
        <w:rPr>
          <w:rFonts w:ascii="Cambria" w:hAnsi="Cambria" w:cs="Times New Roman"/>
          <w:sz w:val="20"/>
          <w:szCs w:val="20"/>
          <w:lang w:val="en-US"/>
        </w:rPr>
        <w:t>dialami</w:t>
      </w:r>
      <w:proofErr w:type="spellEnd"/>
      <w:r w:rsidR="00F42F5B" w:rsidRPr="004123D7">
        <w:rPr>
          <w:rFonts w:ascii="Cambria" w:hAnsi="Cambria" w:cs="Times New Roman"/>
          <w:sz w:val="20"/>
          <w:szCs w:val="20"/>
          <w:lang w:val="en-US"/>
        </w:rPr>
        <w:t xml:space="preserve"> oleh korban</w:t>
      </w:r>
      <w:r w:rsidR="00FE303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E303E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FE303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E303E" w:rsidRPr="004123D7">
        <w:rPr>
          <w:rFonts w:ascii="Cambria" w:hAnsi="Cambria" w:cs="Times New Roman"/>
          <w:sz w:val="20"/>
          <w:szCs w:val="20"/>
          <w:lang w:val="en-US"/>
        </w:rPr>
        <w:t>bukti-bukti</w:t>
      </w:r>
      <w:proofErr w:type="spellEnd"/>
      <w:r w:rsidR="00FE303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E303E" w:rsidRPr="004123D7">
        <w:rPr>
          <w:rFonts w:ascii="Cambria" w:hAnsi="Cambria" w:cs="Times New Roman"/>
          <w:sz w:val="20"/>
          <w:szCs w:val="20"/>
          <w:lang w:val="en-US"/>
        </w:rPr>
        <w:t>awal</w:t>
      </w:r>
      <w:proofErr w:type="spellEnd"/>
      <w:r w:rsidR="00FE303E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FE303E"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="00FE303E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FE303E" w:rsidRPr="004123D7">
        <w:rPr>
          <w:rFonts w:ascii="Cambria" w:hAnsi="Cambria" w:cs="Times New Roman"/>
          <w:sz w:val="20"/>
          <w:szCs w:val="20"/>
          <w:lang w:val="en-US"/>
        </w:rPr>
        <w:t>diserahkan</w:t>
      </w:r>
      <w:proofErr w:type="spellEnd"/>
      <w:r w:rsidR="00FE303E" w:rsidRPr="004123D7">
        <w:rPr>
          <w:rFonts w:ascii="Cambria" w:hAnsi="Cambria" w:cs="Times New Roman"/>
          <w:sz w:val="20"/>
          <w:szCs w:val="20"/>
          <w:lang w:val="en-US"/>
        </w:rPr>
        <w:t xml:space="preserve"> oleh korban</w:t>
      </w:r>
      <w:r w:rsidR="00F42F5B"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2A460F7C" w14:textId="2DDA941B" w:rsidR="00F42F5B" w:rsidRPr="004123D7" w:rsidRDefault="00FE303E" w:rsidP="004123D7">
      <w:pPr>
        <w:pStyle w:val="ListParagraph"/>
        <w:numPr>
          <w:ilvl w:val="0"/>
          <w:numId w:val="9"/>
        </w:numPr>
        <w:ind w:left="1843" w:hanging="425"/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Selalu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berkonsultasi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terdekat</w:t>
      </w:r>
      <w:proofErr w:type="spellEnd"/>
    </w:p>
    <w:p w14:paraId="35709AF6" w14:textId="03810BC5" w:rsidR="008317C7" w:rsidRPr="004123D7" w:rsidRDefault="00FE303E" w:rsidP="004123D7">
      <w:pPr>
        <w:pStyle w:val="ListParagraph"/>
        <w:ind w:left="1843"/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semua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memiliki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pemikiran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selalu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objektif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mengolah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permasalahan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dialami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sendiri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diperlukan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 lain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memberikan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mengenai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bagaimana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sebaiknya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sendiri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mengalami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permasalahan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Begitu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pula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seseorang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berusaha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ditipu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awal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sasaran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mengetahui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nomor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dikenal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berupaya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maka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sebaiknya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ingin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dijawab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keberadaan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terdekat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Keberadaan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seseorang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di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sekitar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tentunya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memancing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perhatian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orang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terdekat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mengetahui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jalannya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percakapan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antara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kerabat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ataupun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teman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lawan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bicara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diketahui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kerabat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ataupun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teman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. Akan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lebih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baik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apabila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percakapan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hanya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didengarkan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sasaran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melainkan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bersama-sama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orang lain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resiko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seseorang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melakukan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tindakan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ceroboh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melakukan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tindakan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mengekspos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diri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sendiri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317C7" w:rsidRPr="004123D7">
        <w:rPr>
          <w:rFonts w:ascii="Cambria" w:hAnsi="Cambria" w:cs="Times New Roman"/>
          <w:sz w:val="20"/>
          <w:szCs w:val="20"/>
          <w:lang w:val="en-US"/>
        </w:rPr>
        <w:t>diminimalisir</w:t>
      </w:r>
      <w:proofErr w:type="spellEnd"/>
      <w:r w:rsidR="008317C7"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08AD2ED4" w14:textId="77777777" w:rsidR="008317C7" w:rsidRPr="004123D7" w:rsidRDefault="008317C7" w:rsidP="004123D7">
      <w:pPr>
        <w:rPr>
          <w:rFonts w:ascii="Cambria" w:hAnsi="Cambria" w:cs="Times New Roman"/>
          <w:sz w:val="20"/>
          <w:szCs w:val="20"/>
          <w:lang w:val="en-US"/>
        </w:rPr>
      </w:pPr>
      <w:r w:rsidRPr="004123D7">
        <w:rPr>
          <w:rFonts w:ascii="Cambria" w:hAnsi="Cambria" w:cs="Times New Roman"/>
          <w:sz w:val="20"/>
          <w:szCs w:val="20"/>
          <w:lang w:val="en-US"/>
        </w:rPr>
        <w:br w:type="page"/>
      </w:r>
    </w:p>
    <w:p w14:paraId="124F33C0" w14:textId="3DDA086E" w:rsidR="00FE303E" w:rsidRPr="00213DC1" w:rsidRDefault="008317C7" w:rsidP="004123D7">
      <w:pPr>
        <w:pStyle w:val="ListParagraph"/>
        <w:ind w:left="0"/>
        <w:jc w:val="center"/>
        <w:rPr>
          <w:rFonts w:ascii="Cambria" w:hAnsi="Cambria" w:cs="Times New Roman"/>
          <w:b/>
          <w:lang w:val="en-US"/>
        </w:rPr>
      </w:pPr>
      <w:r w:rsidRPr="00213DC1">
        <w:rPr>
          <w:rFonts w:ascii="Cambria" w:hAnsi="Cambria" w:cs="Times New Roman"/>
          <w:b/>
          <w:lang w:val="en-US"/>
        </w:rPr>
        <w:lastRenderedPageBreak/>
        <w:t>BAB III</w:t>
      </w:r>
    </w:p>
    <w:p w14:paraId="70822A9E" w14:textId="7CA14E69" w:rsidR="008317C7" w:rsidRPr="00213DC1" w:rsidRDefault="008317C7" w:rsidP="004123D7">
      <w:pPr>
        <w:pStyle w:val="ListParagraph"/>
        <w:ind w:left="0"/>
        <w:jc w:val="center"/>
        <w:rPr>
          <w:rFonts w:ascii="Cambria" w:hAnsi="Cambria" w:cs="Times New Roman"/>
          <w:b/>
          <w:lang w:val="en-US"/>
        </w:rPr>
      </w:pPr>
      <w:r w:rsidRPr="00213DC1">
        <w:rPr>
          <w:rFonts w:ascii="Cambria" w:hAnsi="Cambria" w:cs="Times New Roman"/>
          <w:b/>
          <w:lang w:val="en-US"/>
        </w:rPr>
        <w:t>PENUTUP</w:t>
      </w:r>
    </w:p>
    <w:p w14:paraId="534A19EB" w14:textId="2DCB4DE5" w:rsidR="008317C7" w:rsidRPr="00213DC1" w:rsidRDefault="008317C7" w:rsidP="004123D7">
      <w:pPr>
        <w:pStyle w:val="ListParagraph"/>
        <w:ind w:left="0"/>
        <w:jc w:val="center"/>
        <w:rPr>
          <w:rFonts w:ascii="Cambria" w:hAnsi="Cambria" w:cs="Times New Roman"/>
          <w:b/>
          <w:lang w:val="en-US"/>
        </w:rPr>
      </w:pPr>
    </w:p>
    <w:p w14:paraId="6B782587" w14:textId="44C309E2" w:rsidR="008317C7" w:rsidRPr="004123D7" w:rsidRDefault="008317C7" w:rsidP="004123D7">
      <w:pPr>
        <w:pStyle w:val="ListParagraph"/>
        <w:numPr>
          <w:ilvl w:val="1"/>
          <w:numId w:val="7"/>
        </w:numPr>
        <w:ind w:left="567" w:hanging="567"/>
        <w:rPr>
          <w:rFonts w:ascii="Cambria" w:hAnsi="Cambria" w:cs="Times New Roman"/>
          <w:b/>
          <w:sz w:val="20"/>
          <w:szCs w:val="20"/>
          <w:lang w:val="en-US"/>
        </w:rPr>
      </w:pPr>
      <w:r w:rsidRPr="00213DC1">
        <w:rPr>
          <w:rFonts w:ascii="Cambria" w:hAnsi="Cambria" w:cs="Times New Roman"/>
          <w:b/>
          <w:lang w:val="en-US"/>
        </w:rPr>
        <w:t>Kesimpulan</w:t>
      </w:r>
    </w:p>
    <w:p w14:paraId="52148F14" w14:textId="7AE1A493" w:rsidR="008317C7" w:rsidRPr="004123D7" w:rsidRDefault="008317C7" w:rsidP="004123D7">
      <w:pPr>
        <w:pStyle w:val="ListParagraph"/>
        <w:numPr>
          <w:ilvl w:val="2"/>
          <w:numId w:val="7"/>
        </w:numPr>
        <w:ind w:left="1276" w:hanging="709"/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khusus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No. 11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Tahun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2008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tentang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Informasi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lebih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dikenal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UU ITE.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khusus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378 Kitab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Undang-Undang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tetapi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meskipun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secara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khusus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UU ITE,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mengakibatkan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kerugian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terhadap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konsumen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melalui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elektronik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diatur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(1).</w:t>
      </w:r>
    </w:p>
    <w:p w14:paraId="27C9334F" w14:textId="0E41338F" w:rsidR="008317C7" w:rsidRPr="004123D7" w:rsidRDefault="008317C7" w:rsidP="004123D7">
      <w:pPr>
        <w:pStyle w:val="ListParagraph"/>
        <w:numPr>
          <w:ilvl w:val="2"/>
          <w:numId w:val="7"/>
        </w:numPr>
        <w:ind w:left="1276" w:hanging="709"/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Penegakan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belum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sepenuhnya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ditegakkan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Hal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dikarenakan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terpenuhinya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masing-masing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unsur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378 KUHP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28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ayat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(1) UU ITE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dasarnya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terjadi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kekosongan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sangat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merugikan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yang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menderita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kerugian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sedikit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Selain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itu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juga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terdapat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hambatan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penegakan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bukti-bukti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kurang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serta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saksi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membantu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memberikan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keterangan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tambahan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Solusi-solusi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mencegah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terjadinya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menggunakan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pemahaman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mendasar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bagi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bahwa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ada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“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uang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gampang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”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kondisi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apapun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selalu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waspada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terhadap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nomor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dikenal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atau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terdaftar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kontak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pengupayaan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transaksi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selalu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dalam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bentuk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tertulis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, dan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selalu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berkonsultasi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 xml:space="preserve"> orang </w:t>
      </w:r>
      <w:proofErr w:type="spellStart"/>
      <w:r w:rsidR="00633366" w:rsidRPr="004123D7">
        <w:rPr>
          <w:rFonts w:ascii="Cambria" w:hAnsi="Cambria" w:cs="Times New Roman"/>
          <w:sz w:val="20"/>
          <w:szCs w:val="20"/>
          <w:lang w:val="en-US"/>
        </w:rPr>
        <w:t>terdekat</w:t>
      </w:r>
      <w:proofErr w:type="spellEnd"/>
      <w:r w:rsidR="00633366"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7663B3A9" w14:textId="2F30A20F" w:rsidR="00633366" w:rsidRPr="004123D7" w:rsidRDefault="00633366" w:rsidP="004123D7">
      <w:pPr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77C5F3CF" w14:textId="6D9AC984" w:rsidR="00633366" w:rsidRPr="004123D7" w:rsidRDefault="00633366" w:rsidP="004123D7">
      <w:pPr>
        <w:pStyle w:val="ListParagraph"/>
        <w:numPr>
          <w:ilvl w:val="1"/>
          <w:numId w:val="7"/>
        </w:numPr>
        <w:ind w:left="567" w:hanging="567"/>
        <w:jc w:val="both"/>
        <w:rPr>
          <w:rFonts w:ascii="Cambria" w:hAnsi="Cambria" w:cs="Times New Roman"/>
          <w:b/>
          <w:sz w:val="20"/>
          <w:szCs w:val="20"/>
          <w:lang w:val="en-US"/>
        </w:rPr>
      </w:pPr>
      <w:r w:rsidRPr="00213DC1">
        <w:rPr>
          <w:rFonts w:ascii="Cambria" w:hAnsi="Cambria" w:cs="Times New Roman"/>
          <w:b/>
          <w:lang w:val="en-US"/>
        </w:rPr>
        <w:t>Saran</w:t>
      </w:r>
    </w:p>
    <w:p w14:paraId="6631C549" w14:textId="78F505F1" w:rsidR="00633366" w:rsidRPr="004123D7" w:rsidRDefault="00633366" w:rsidP="004123D7">
      <w:pPr>
        <w:pStyle w:val="ListParagraph"/>
        <w:ind w:left="567"/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Pengaturan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melalui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pada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dasarnya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memberikan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celah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sangat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besar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lolos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jerat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karena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adanya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kekosongan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Solusi-solusi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diberikan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oleh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penulis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sebenarnya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belum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memberikan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perlindungan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penuh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awam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terhadap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kecanggihan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teknologi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diperlukan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aturan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baru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mengakomodasi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seperti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sehingga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terlindungi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dengan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baik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perlu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bergantung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kepada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interpretasi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masing-masing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aparat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penegak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terhadap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pasal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apa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digunakan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menjerat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pelaku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penipuan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dilakukan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melalui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sarana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panggilan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suara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telepon</w:t>
      </w:r>
      <w:proofErr w:type="spellEnd"/>
      <w:r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4123D7">
        <w:rPr>
          <w:rFonts w:ascii="Cambria" w:hAnsi="Cambria" w:cs="Times New Roman"/>
          <w:sz w:val="20"/>
          <w:szCs w:val="20"/>
          <w:lang w:val="en-US"/>
        </w:rPr>
        <w:t>seluler</w:t>
      </w:r>
      <w:proofErr w:type="spellEnd"/>
      <w:r w:rsidR="00A92C0B" w:rsidRPr="004123D7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A92C0B" w:rsidRPr="004123D7">
        <w:rPr>
          <w:rFonts w:ascii="Cambria" w:hAnsi="Cambria" w:cs="Times New Roman"/>
          <w:sz w:val="20"/>
          <w:szCs w:val="20"/>
          <w:lang w:val="en-US"/>
        </w:rPr>
        <w:t>serta</w:t>
      </w:r>
      <w:proofErr w:type="spellEnd"/>
      <w:r w:rsidR="00A92C0B" w:rsidRPr="004123D7">
        <w:rPr>
          <w:rFonts w:ascii="Cambria" w:hAnsi="Cambria" w:cs="Times New Roman"/>
          <w:sz w:val="20"/>
          <w:szCs w:val="20"/>
          <w:lang w:val="en-US"/>
        </w:rPr>
        <w:t xml:space="preserve"> yang paling </w:t>
      </w:r>
      <w:proofErr w:type="spellStart"/>
      <w:r w:rsidR="00A92C0B" w:rsidRPr="004123D7">
        <w:rPr>
          <w:rFonts w:ascii="Cambria" w:hAnsi="Cambria" w:cs="Times New Roman"/>
          <w:sz w:val="20"/>
          <w:szCs w:val="20"/>
          <w:lang w:val="en-US"/>
        </w:rPr>
        <w:t>utama</w:t>
      </w:r>
      <w:proofErr w:type="spellEnd"/>
      <w:r w:rsidR="00A92C0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92C0B" w:rsidRPr="004123D7">
        <w:rPr>
          <w:rFonts w:ascii="Cambria" w:hAnsi="Cambria" w:cs="Times New Roman"/>
          <w:sz w:val="20"/>
          <w:szCs w:val="20"/>
          <w:lang w:val="en-US"/>
        </w:rPr>
        <w:t>adalah</w:t>
      </w:r>
      <w:proofErr w:type="spellEnd"/>
      <w:r w:rsidR="00A92C0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92C0B" w:rsidRPr="004123D7">
        <w:rPr>
          <w:rFonts w:ascii="Cambria" w:hAnsi="Cambria" w:cs="Times New Roman"/>
          <w:sz w:val="20"/>
          <w:szCs w:val="20"/>
          <w:lang w:val="en-US"/>
        </w:rPr>
        <w:t>dapat</w:t>
      </w:r>
      <w:proofErr w:type="spellEnd"/>
      <w:r w:rsidR="00A92C0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92C0B" w:rsidRPr="004123D7">
        <w:rPr>
          <w:rFonts w:ascii="Cambria" w:hAnsi="Cambria" w:cs="Times New Roman"/>
          <w:sz w:val="20"/>
          <w:szCs w:val="20"/>
          <w:lang w:val="en-US"/>
        </w:rPr>
        <w:t>memberikan</w:t>
      </w:r>
      <w:proofErr w:type="spellEnd"/>
      <w:r w:rsidR="00A92C0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92C0B" w:rsidRPr="004123D7">
        <w:rPr>
          <w:rFonts w:ascii="Cambria" w:hAnsi="Cambria" w:cs="Times New Roman"/>
          <w:sz w:val="20"/>
          <w:szCs w:val="20"/>
          <w:lang w:val="en-US"/>
        </w:rPr>
        <w:t>kepastian</w:t>
      </w:r>
      <w:proofErr w:type="spellEnd"/>
      <w:r w:rsidR="00A92C0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92C0B" w:rsidRPr="004123D7">
        <w:rPr>
          <w:rFonts w:ascii="Cambria" w:hAnsi="Cambria" w:cs="Times New Roman"/>
          <w:sz w:val="20"/>
          <w:szCs w:val="20"/>
          <w:lang w:val="en-US"/>
        </w:rPr>
        <w:t>hukum</w:t>
      </w:r>
      <w:proofErr w:type="spellEnd"/>
      <w:r w:rsidR="00A92C0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92C0B" w:rsidRPr="004123D7">
        <w:rPr>
          <w:rFonts w:ascii="Cambria" w:hAnsi="Cambria" w:cs="Times New Roman"/>
          <w:sz w:val="20"/>
          <w:szCs w:val="20"/>
          <w:lang w:val="en-US"/>
        </w:rPr>
        <w:t>bagi</w:t>
      </w:r>
      <w:proofErr w:type="spellEnd"/>
      <w:r w:rsidR="00A92C0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92C0B" w:rsidRPr="004123D7">
        <w:rPr>
          <w:rFonts w:ascii="Cambria" w:hAnsi="Cambria" w:cs="Times New Roman"/>
          <w:sz w:val="20"/>
          <w:szCs w:val="20"/>
          <w:lang w:val="en-US"/>
        </w:rPr>
        <w:t>masyarakat</w:t>
      </w:r>
      <w:proofErr w:type="spellEnd"/>
      <w:r w:rsidR="00A92C0B" w:rsidRPr="004123D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="00A92C0B" w:rsidRPr="004123D7">
        <w:rPr>
          <w:rFonts w:ascii="Cambria" w:hAnsi="Cambria" w:cs="Times New Roman"/>
          <w:sz w:val="20"/>
          <w:szCs w:val="20"/>
          <w:lang w:val="en-US"/>
        </w:rPr>
        <w:t>telah</w:t>
      </w:r>
      <w:proofErr w:type="spellEnd"/>
      <w:r w:rsidR="00A92C0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92C0B" w:rsidRPr="004123D7">
        <w:rPr>
          <w:rFonts w:ascii="Cambria" w:hAnsi="Cambria" w:cs="Times New Roman"/>
          <w:sz w:val="20"/>
          <w:szCs w:val="20"/>
          <w:lang w:val="en-US"/>
        </w:rPr>
        <w:t>menjadi</w:t>
      </w:r>
      <w:proofErr w:type="spellEnd"/>
      <w:r w:rsidR="00A92C0B" w:rsidRPr="004123D7">
        <w:rPr>
          <w:rFonts w:ascii="Cambria" w:hAnsi="Cambria" w:cs="Times New Roman"/>
          <w:sz w:val="20"/>
          <w:szCs w:val="20"/>
          <w:lang w:val="en-US"/>
        </w:rPr>
        <w:t xml:space="preserve"> korban </w:t>
      </w:r>
      <w:proofErr w:type="spellStart"/>
      <w:r w:rsidR="00A92C0B" w:rsidRPr="004123D7">
        <w:rPr>
          <w:rFonts w:ascii="Cambria" w:hAnsi="Cambria" w:cs="Times New Roman"/>
          <w:sz w:val="20"/>
          <w:szCs w:val="20"/>
          <w:lang w:val="en-US"/>
        </w:rPr>
        <w:t>dari</w:t>
      </w:r>
      <w:proofErr w:type="spellEnd"/>
      <w:r w:rsidR="00A92C0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92C0B" w:rsidRPr="004123D7">
        <w:rPr>
          <w:rFonts w:ascii="Cambria" w:hAnsi="Cambria" w:cs="Times New Roman"/>
          <w:sz w:val="20"/>
          <w:szCs w:val="20"/>
          <w:lang w:val="en-US"/>
        </w:rPr>
        <w:t>tindak</w:t>
      </w:r>
      <w:proofErr w:type="spellEnd"/>
      <w:r w:rsidR="00A92C0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92C0B" w:rsidRPr="004123D7">
        <w:rPr>
          <w:rFonts w:ascii="Cambria" w:hAnsi="Cambria" w:cs="Times New Roman"/>
          <w:sz w:val="20"/>
          <w:szCs w:val="20"/>
          <w:lang w:val="en-US"/>
        </w:rPr>
        <w:t>pidana</w:t>
      </w:r>
      <w:proofErr w:type="spellEnd"/>
      <w:r w:rsidR="00A92C0B" w:rsidRPr="004123D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A92C0B" w:rsidRPr="004123D7">
        <w:rPr>
          <w:rFonts w:ascii="Cambria" w:hAnsi="Cambria" w:cs="Times New Roman"/>
          <w:sz w:val="20"/>
          <w:szCs w:val="20"/>
          <w:lang w:val="en-US"/>
        </w:rPr>
        <w:t>tersebut</w:t>
      </w:r>
      <w:proofErr w:type="spellEnd"/>
      <w:r w:rsidR="00A92C0B" w:rsidRPr="004123D7">
        <w:rPr>
          <w:rFonts w:ascii="Cambria" w:hAnsi="Cambria" w:cs="Times New Roman"/>
          <w:sz w:val="20"/>
          <w:szCs w:val="20"/>
          <w:lang w:val="en-US"/>
        </w:rPr>
        <w:t>.</w:t>
      </w:r>
    </w:p>
    <w:p w14:paraId="6AF1F4AC" w14:textId="5F4449B7" w:rsidR="00A92C0B" w:rsidRPr="004123D7" w:rsidRDefault="00A92C0B" w:rsidP="004123D7">
      <w:pPr>
        <w:pStyle w:val="ListParagraph"/>
        <w:ind w:left="567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59CCEC96" w14:textId="259D210B" w:rsidR="00A92C0B" w:rsidRPr="00213DC1" w:rsidRDefault="00A92C0B" w:rsidP="004123D7">
      <w:pPr>
        <w:rPr>
          <w:rFonts w:ascii="Cambria" w:hAnsi="Cambria" w:cs="Times New Roman"/>
          <w:lang w:val="en-US"/>
        </w:rPr>
      </w:pPr>
      <w:r w:rsidRPr="00213DC1">
        <w:rPr>
          <w:rFonts w:ascii="Cambria" w:hAnsi="Cambria" w:cs="Times New Roman"/>
          <w:lang w:val="en-US"/>
        </w:rPr>
        <w:br w:type="page"/>
      </w:r>
    </w:p>
    <w:p w14:paraId="180961B7" w14:textId="28F01AE4" w:rsidR="00A92C0B" w:rsidRPr="00213DC1" w:rsidRDefault="00A92C0B" w:rsidP="004123D7">
      <w:pPr>
        <w:pStyle w:val="ListParagraph"/>
        <w:ind w:left="0"/>
        <w:jc w:val="center"/>
        <w:rPr>
          <w:rFonts w:ascii="Cambria" w:hAnsi="Cambria" w:cs="Times New Roman"/>
          <w:b/>
          <w:lang w:val="en-US"/>
        </w:rPr>
      </w:pPr>
      <w:r w:rsidRPr="00213DC1">
        <w:rPr>
          <w:rFonts w:ascii="Cambria" w:hAnsi="Cambria" w:cs="Times New Roman"/>
          <w:b/>
          <w:lang w:val="en-US"/>
        </w:rPr>
        <w:lastRenderedPageBreak/>
        <w:t>DAFTAR PUSTAKA</w:t>
      </w:r>
    </w:p>
    <w:p w14:paraId="3F58FFD8" w14:textId="545BDD41" w:rsidR="009B5FAE" w:rsidRPr="00213DC1" w:rsidRDefault="009B5FAE" w:rsidP="004123D7">
      <w:pPr>
        <w:jc w:val="both"/>
        <w:rPr>
          <w:rFonts w:ascii="Cambria" w:hAnsi="Cambria" w:cs="Times New Roman"/>
          <w:lang w:val="en-US"/>
        </w:rPr>
      </w:pPr>
      <w:r w:rsidRPr="00213DC1">
        <w:rPr>
          <w:rFonts w:ascii="Cambria" w:hAnsi="Cambria" w:cs="Times New Roman"/>
          <w:lang w:val="en-US"/>
        </w:rPr>
        <w:tab/>
      </w:r>
    </w:p>
    <w:p w14:paraId="4A573F05" w14:textId="77777777" w:rsidR="005E2381" w:rsidRPr="00213DC1" w:rsidRDefault="005E2381" w:rsidP="004123D7">
      <w:pPr>
        <w:pStyle w:val="ListParagraph"/>
        <w:ind w:left="1806"/>
        <w:jc w:val="both"/>
        <w:rPr>
          <w:rFonts w:ascii="Cambria" w:hAnsi="Cambria" w:cs="Times New Roman"/>
          <w:lang w:val="en-US"/>
        </w:rPr>
      </w:pPr>
    </w:p>
    <w:p w14:paraId="053873EA" w14:textId="5B872A75" w:rsidR="00D45FCD" w:rsidRPr="004123D7" w:rsidRDefault="005E2381" w:rsidP="004123D7">
      <w:pPr>
        <w:pStyle w:val="ListParagraph"/>
        <w:ind w:left="0"/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213DC1">
        <w:rPr>
          <w:rFonts w:ascii="Cambria" w:hAnsi="Cambria" w:cs="Times New Roman"/>
          <w:b/>
          <w:lang w:val="en-US"/>
        </w:rPr>
        <w:t>Buku</w:t>
      </w:r>
      <w:proofErr w:type="spellEnd"/>
      <w:r w:rsidR="00D45FCD" w:rsidRPr="00213DC1">
        <w:rPr>
          <w:rFonts w:ascii="Cambria" w:hAnsi="Cambria" w:cs="Times New Roman"/>
          <w:lang w:val="en-US"/>
        </w:rPr>
        <w:tab/>
      </w:r>
      <w:r w:rsidR="00D45FCD" w:rsidRPr="004123D7">
        <w:rPr>
          <w:rFonts w:ascii="Cambria" w:hAnsi="Cambria" w:cs="Times New Roman"/>
          <w:sz w:val="20"/>
          <w:szCs w:val="20"/>
          <w:lang w:val="en-US"/>
        </w:rPr>
        <w:tab/>
      </w:r>
    </w:p>
    <w:p w14:paraId="28F0D149" w14:textId="1A84956B" w:rsidR="005E2381" w:rsidRPr="004123D7" w:rsidRDefault="005E2381" w:rsidP="004123D7">
      <w:pPr>
        <w:pStyle w:val="FootnoteText"/>
        <w:ind w:left="720" w:hanging="720"/>
        <w:jc w:val="both"/>
        <w:rPr>
          <w:rFonts w:ascii="Cambria" w:hAnsi="Cambria" w:cs="Times New Roman"/>
        </w:rPr>
      </w:pPr>
      <w:r w:rsidRPr="004123D7">
        <w:rPr>
          <w:rFonts w:ascii="Cambria" w:hAnsi="Cambria" w:cs="Times New Roman"/>
        </w:rPr>
        <w:t xml:space="preserve">O. C. </w:t>
      </w:r>
      <w:proofErr w:type="spellStart"/>
      <w:r w:rsidRPr="004123D7">
        <w:rPr>
          <w:rFonts w:ascii="Cambria" w:hAnsi="Cambria" w:cs="Times New Roman"/>
        </w:rPr>
        <w:t>Kaligis</w:t>
      </w:r>
      <w:proofErr w:type="spellEnd"/>
      <w:r w:rsidRPr="004123D7">
        <w:rPr>
          <w:rFonts w:ascii="Cambria" w:hAnsi="Cambria" w:cs="Times New Roman"/>
        </w:rPr>
        <w:t xml:space="preserve">, 2012, </w:t>
      </w:r>
      <w:proofErr w:type="spellStart"/>
      <w:r w:rsidRPr="004123D7">
        <w:rPr>
          <w:rFonts w:ascii="Cambria" w:hAnsi="Cambria" w:cs="Times New Roman"/>
          <w:i/>
        </w:rPr>
        <w:t>Penerapan</w:t>
      </w:r>
      <w:proofErr w:type="spellEnd"/>
      <w:r w:rsidRPr="004123D7">
        <w:rPr>
          <w:rFonts w:ascii="Cambria" w:hAnsi="Cambria" w:cs="Times New Roman"/>
          <w:i/>
        </w:rPr>
        <w:t xml:space="preserve"> </w:t>
      </w:r>
      <w:proofErr w:type="spellStart"/>
      <w:r w:rsidRPr="004123D7">
        <w:rPr>
          <w:rFonts w:ascii="Cambria" w:hAnsi="Cambria" w:cs="Times New Roman"/>
          <w:i/>
        </w:rPr>
        <w:t>Undang-Undang</w:t>
      </w:r>
      <w:proofErr w:type="spellEnd"/>
      <w:r w:rsidRPr="004123D7">
        <w:rPr>
          <w:rFonts w:ascii="Cambria" w:hAnsi="Cambria" w:cs="Times New Roman"/>
          <w:i/>
        </w:rPr>
        <w:t xml:space="preserve"> </w:t>
      </w:r>
      <w:proofErr w:type="spellStart"/>
      <w:r w:rsidRPr="004123D7">
        <w:rPr>
          <w:rFonts w:ascii="Cambria" w:hAnsi="Cambria" w:cs="Times New Roman"/>
          <w:i/>
        </w:rPr>
        <w:t>Nomor</w:t>
      </w:r>
      <w:proofErr w:type="spellEnd"/>
      <w:r w:rsidRPr="004123D7">
        <w:rPr>
          <w:rFonts w:ascii="Cambria" w:hAnsi="Cambria" w:cs="Times New Roman"/>
          <w:i/>
        </w:rPr>
        <w:t xml:space="preserve"> 11 </w:t>
      </w:r>
      <w:proofErr w:type="spellStart"/>
      <w:r w:rsidRPr="004123D7">
        <w:rPr>
          <w:rFonts w:ascii="Cambria" w:hAnsi="Cambria" w:cs="Times New Roman"/>
          <w:i/>
        </w:rPr>
        <w:t>Tahun</w:t>
      </w:r>
      <w:proofErr w:type="spellEnd"/>
      <w:r w:rsidRPr="004123D7">
        <w:rPr>
          <w:rFonts w:ascii="Cambria" w:hAnsi="Cambria" w:cs="Times New Roman"/>
          <w:i/>
        </w:rPr>
        <w:t xml:space="preserve"> 2008 </w:t>
      </w:r>
      <w:proofErr w:type="spellStart"/>
      <w:r w:rsidRPr="004123D7">
        <w:rPr>
          <w:rFonts w:ascii="Cambria" w:hAnsi="Cambria" w:cs="Times New Roman"/>
          <w:i/>
        </w:rPr>
        <w:t>Tentang</w:t>
      </w:r>
      <w:proofErr w:type="spellEnd"/>
      <w:r w:rsidRPr="004123D7">
        <w:rPr>
          <w:rFonts w:ascii="Cambria" w:hAnsi="Cambria" w:cs="Times New Roman"/>
          <w:i/>
        </w:rPr>
        <w:t xml:space="preserve"> </w:t>
      </w:r>
      <w:proofErr w:type="spellStart"/>
      <w:r w:rsidRPr="004123D7">
        <w:rPr>
          <w:rFonts w:ascii="Cambria" w:hAnsi="Cambria" w:cs="Times New Roman"/>
          <w:i/>
        </w:rPr>
        <w:t>Informasi</w:t>
      </w:r>
      <w:proofErr w:type="spellEnd"/>
      <w:r w:rsidRPr="004123D7">
        <w:rPr>
          <w:rFonts w:ascii="Cambria" w:hAnsi="Cambria" w:cs="Times New Roman"/>
          <w:i/>
        </w:rPr>
        <w:t xml:space="preserve"> dan </w:t>
      </w:r>
      <w:proofErr w:type="spellStart"/>
      <w:r w:rsidRPr="004123D7">
        <w:rPr>
          <w:rFonts w:ascii="Cambria" w:hAnsi="Cambria" w:cs="Times New Roman"/>
          <w:i/>
        </w:rPr>
        <w:t>Transaksi</w:t>
      </w:r>
      <w:proofErr w:type="spellEnd"/>
      <w:r w:rsidRPr="004123D7">
        <w:rPr>
          <w:rFonts w:ascii="Cambria" w:hAnsi="Cambria" w:cs="Times New Roman"/>
          <w:i/>
        </w:rPr>
        <w:t xml:space="preserve"> </w:t>
      </w:r>
      <w:proofErr w:type="spellStart"/>
      <w:r w:rsidRPr="004123D7">
        <w:rPr>
          <w:rFonts w:ascii="Cambria" w:hAnsi="Cambria" w:cs="Times New Roman"/>
          <w:i/>
        </w:rPr>
        <w:t>Elektronik</w:t>
      </w:r>
      <w:proofErr w:type="spellEnd"/>
      <w:r w:rsidRPr="004123D7">
        <w:rPr>
          <w:rFonts w:ascii="Cambria" w:hAnsi="Cambria" w:cs="Times New Roman"/>
          <w:i/>
        </w:rPr>
        <w:t xml:space="preserve"> </w:t>
      </w:r>
      <w:proofErr w:type="spellStart"/>
      <w:r w:rsidRPr="004123D7">
        <w:rPr>
          <w:rFonts w:ascii="Cambria" w:hAnsi="Cambria" w:cs="Times New Roman"/>
          <w:i/>
        </w:rPr>
        <w:t>dalam</w:t>
      </w:r>
      <w:proofErr w:type="spellEnd"/>
      <w:r w:rsidRPr="004123D7">
        <w:rPr>
          <w:rFonts w:ascii="Cambria" w:hAnsi="Cambria" w:cs="Times New Roman"/>
          <w:i/>
        </w:rPr>
        <w:t xml:space="preserve"> </w:t>
      </w:r>
      <w:proofErr w:type="spellStart"/>
      <w:r w:rsidRPr="004123D7">
        <w:rPr>
          <w:rFonts w:ascii="Cambria" w:hAnsi="Cambria" w:cs="Times New Roman"/>
          <w:i/>
        </w:rPr>
        <w:t>Prakteknya</w:t>
      </w:r>
      <w:proofErr w:type="spellEnd"/>
      <w:r w:rsidRPr="004123D7">
        <w:rPr>
          <w:rFonts w:ascii="Cambria" w:hAnsi="Cambria" w:cs="Times New Roman"/>
        </w:rPr>
        <w:t xml:space="preserve">, Jakarta: </w:t>
      </w:r>
      <w:proofErr w:type="spellStart"/>
      <w:r w:rsidRPr="004123D7">
        <w:rPr>
          <w:rFonts w:ascii="Cambria" w:hAnsi="Cambria" w:cs="Times New Roman"/>
        </w:rPr>
        <w:t>Yarsif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Watampone</w:t>
      </w:r>
      <w:proofErr w:type="spellEnd"/>
      <w:r w:rsidRPr="004123D7">
        <w:rPr>
          <w:rFonts w:ascii="Cambria" w:hAnsi="Cambria" w:cs="Times New Roman"/>
        </w:rPr>
        <w:t>.</w:t>
      </w:r>
    </w:p>
    <w:p w14:paraId="6369B36F" w14:textId="2764A75E" w:rsidR="005E2381" w:rsidRPr="004123D7" w:rsidRDefault="005E2381" w:rsidP="004123D7">
      <w:pPr>
        <w:pStyle w:val="FootnoteText"/>
        <w:rPr>
          <w:rFonts w:ascii="Cambria" w:hAnsi="Cambria" w:cs="Times New Roman"/>
        </w:rPr>
      </w:pPr>
      <w:r w:rsidRPr="004123D7">
        <w:rPr>
          <w:rFonts w:ascii="Cambria" w:hAnsi="Cambria" w:cs="Times New Roman"/>
        </w:rPr>
        <w:t xml:space="preserve">Widodo, 2013, </w:t>
      </w:r>
      <w:proofErr w:type="spellStart"/>
      <w:r w:rsidRPr="004123D7">
        <w:rPr>
          <w:rFonts w:ascii="Cambria" w:hAnsi="Cambria" w:cs="Times New Roman"/>
          <w:i/>
        </w:rPr>
        <w:t>Aspek</w:t>
      </w:r>
      <w:proofErr w:type="spellEnd"/>
      <w:r w:rsidRPr="004123D7">
        <w:rPr>
          <w:rFonts w:ascii="Cambria" w:hAnsi="Cambria" w:cs="Times New Roman"/>
          <w:i/>
        </w:rPr>
        <w:t xml:space="preserve"> </w:t>
      </w:r>
      <w:proofErr w:type="spellStart"/>
      <w:r w:rsidRPr="004123D7">
        <w:rPr>
          <w:rFonts w:ascii="Cambria" w:hAnsi="Cambria" w:cs="Times New Roman"/>
          <w:i/>
        </w:rPr>
        <w:t>Hukum</w:t>
      </w:r>
      <w:proofErr w:type="spellEnd"/>
      <w:r w:rsidRPr="004123D7">
        <w:rPr>
          <w:rFonts w:ascii="Cambria" w:hAnsi="Cambria" w:cs="Times New Roman"/>
          <w:i/>
        </w:rPr>
        <w:t xml:space="preserve"> </w:t>
      </w:r>
      <w:proofErr w:type="spellStart"/>
      <w:r w:rsidRPr="004123D7">
        <w:rPr>
          <w:rFonts w:ascii="Cambria" w:hAnsi="Cambria" w:cs="Times New Roman"/>
          <w:i/>
        </w:rPr>
        <w:t>Pidana</w:t>
      </w:r>
      <w:proofErr w:type="spellEnd"/>
      <w:r w:rsidRPr="004123D7">
        <w:rPr>
          <w:rFonts w:ascii="Cambria" w:hAnsi="Cambria" w:cs="Times New Roman"/>
          <w:i/>
        </w:rPr>
        <w:t xml:space="preserve"> </w:t>
      </w:r>
      <w:proofErr w:type="spellStart"/>
      <w:r w:rsidRPr="004123D7">
        <w:rPr>
          <w:rFonts w:ascii="Cambria" w:hAnsi="Cambria" w:cs="Times New Roman"/>
          <w:i/>
        </w:rPr>
        <w:t>Kejahatan</w:t>
      </w:r>
      <w:proofErr w:type="spellEnd"/>
      <w:r w:rsidRPr="004123D7">
        <w:rPr>
          <w:rFonts w:ascii="Cambria" w:hAnsi="Cambria" w:cs="Times New Roman"/>
          <w:i/>
        </w:rPr>
        <w:t xml:space="preserve"> </w:t>
      </w:r>
      <w:proofErr w:type="spellStart"/>
      <w:r w:rsidRPr="004123D7">
        <w:rPr>
          <w:rFonts w:ascii="Cambria" w:hAnsi="Cambria" w:cs="Times New Roman"/>
          <w:i/>
        </w:rPr>
        <w:t>Mayantara</w:t>
      </w:r>
      <w:proofErr w:type="spellEnd"/>
      <w:r w:rsidRPr="004123D7">
        <w:rPr>
          <w:rFonts w:ascii="Cambria" w:hAnsi="Cambria" w:cs="Times New Roman"/>
        </w:rPr>
        <w:t xml:space="preserve">, Yogyakarta: </w:t>
      </w:r>
      <w:proofErr w:type="spellStart"/>
      <w:r w:rsidRPr="004123D7">
        <w:rPr>
          <w:rFonts w:ascii="Cambria" w:hAnsi="Cambria" w:cs="Times New Roman"/>
        </w:rPr>
        <w:t>Aswaja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Pressindo</w:t>
      </w:r>
      <w:proofErr w:type="spellEnd"/>
      <w:r w:rsidRPr="004123D7">
        <w:rPr>
          <w:rFonts w:ascii="Cambria" w:hAnsi="Cambria" w:cs="Times New Roman"/>
        </w:rPr>
        <w:t>.</w:t>
      </w:r>
    </w:p>
    <w:p w14:paraId="0A4D99F8" w14:textId="3E0DD475" w:rsidR="006F185E" w:rsidRPr="006F185E" w:rsidRDefault="006F185E" w:rsidP="006F185E">
      <w:pPr>
        <w:pStyle w:val="FootnoteText"/>
        <w:ind w:left="709" w:hanging="709"/>
        <w:jc w:val="both"/>
        <w:rPr>
          <w:rFonts w:ascii="Cambria" w:hAnsi="Cambria" w:cs="Times New Roman"/>
          <w:b/>
          <w:sz w:val="24"/>
          <w:szCs w:val="24"/>
        </w:rPr>
      </w:pPr>
      <w:proofErr w:type="spellStart"/>
      <w:r w:rsidRPr="006F185E">
        <w:rPr>
          <w:rFonts w:ascii="Cambria" w:hAnsi="Cambria"/>
        </w:rPr>
        <w:t>Soerjono</w:t>
      </w:r>
      <w:proofErr w:type="spellEnd"/>
      <w:r w:rsidRPr="006F185E">
        <w:rPr>
          <w:rFonts w:ascii="Cambria" w:hAnsi="Cambria"/>
        </w:rPr>
        <w:t xml:space="preserve"> </w:t>
      </w:r>
      <w:proofErr w:type="spellStart"/>
      <w:r w:rsidRPr="006F185E">
        <w:rPr>
          <w:rFonts w:ascii="Cambria" w:hAnsi="Cambria"/>
        </w:rPr>
        <w:t>Soekanto</w:t>
      </w:r>
      <w:proofErr w:type="spellEnd"/>
      <w:r w:rsidRPr="006F185E">
        <w:rPr>
          <w:rFonts w:ascii="Cambria" w:hAnsi="Cambria"/>
        </w:rPr>
        <w:t xml:space="preserve"> dan Sri </w:t>
      </w:r>
      <w:proofErr w:type="spellStart"/>
      <w:r w:rsidRPr="006F185E">
        <w:rPr>
          <w:rFonts w:ascii="Cambria" w:hAnsi="Cambria"/>
        </w:rPr>
        <w:t>Mamudji</w:t>
      </w:r>
      <w:proofErr w:type="spellEnd"/>
      <w:r w:rsidRPr="006F185E">
        <w:rPr>
          <w:rFonts w:ascii="Cambria" w:hAnsi="Cambria"/>
        </w:rPr>
        <w:t xml:space="preserve">. 1958. </w:t>
      </w:r>
      <w:proofErr w:type="spellStart"/>
      <w:r w:rsidRPr="006F185E">
        <w:rPr>
          <w:rFonts w:ascii="Cambria" w:hAnsi="Cambria"/>
        </w:rPr>
        <w:t>Penelitian</w:t>
      </w:r>
      <w:proofErr w:type="spellEnd"/>
      <w:r w:rsidRPr="006F185E">
        <w:rPr>
          <w:rFonts w:ascii="Cambria" w:hAnsi="Cambria"/>
        </w:rPr>
        <w:t xml:space="preserve"> </w:t>
      </w:r>
      <w:proofErr w:type="spellStart"/>
      <w:r w:rsidRPr="006F185E">
        <w:rPr>
          <w:rFonts w:ascii="Cambria" w:hAnsi="Cambria"/>
        </w:rPr>
        <w:t>Hukum</w:t>
      </w:r>
      <w:proofErr w:type="spellEnd"/>
      <w:r w:rsidRPr="006F185E">
        <w:rPr>
          <w:rFonts w:ascii="Cambria" w:hAnsi="Cambria"/>
        </w:rPr>
        <w:t xml:space="preserve"> </w:t>
      </w:r>
      <w:proofErr w:type="spellStart"/>
      <w:r w:rsidRPr="006F185E">
        <w:rPr>
          <w:rFonts w:ascii="Cambria" w:hAnsi="Cambria"/>
        </w:rPr>
        <w:t>Normatif</w:t>
      </w:r>
      <w:proofErr w:type="spellEnd"/>
      <w:r w:rsidRPr="006F185E">
        <w:rPr>
          <w:rFonts w:ascii="Cambria" w:hAnsi="Cambria"/>
        </w:rPr>
        <w:t xml:space="preserve"> </w:t>
      </w:r>
      <w:proofErr w:type="spellStart"/>
      <w:r w:rsidRPr="006F185E">
        <w:rPr>
          <w:rFonts w:ascii="Cambria" w:hAnsi="Cambria"/>
        </w:rPr>
        <w:t>Suatu</w:t>
      </w:r>
      <w:proofErr w:type="spellEnd"/>
      <w:r w:rsidRPr="006F185E">
        <w:rPr>
          <w:rFonts w:ascii="Cambria" w:hAnsi="Cambria"/>
        </w:rPr>
        <w:t xml:space="preserve"> </w:t>
      </w:r>
      <w:proofErr w:type="spellStart"/>
      <w:r w:rsidRPr="006F185E">
        <w:rPr>
          <w:rFonts w:ascii="Cambria" w:hAnsi="Cambria"/>
        </w:rPr>
        <w:t>Tinjauan</w:t>
      </w:r>
      <w:proofErr w:type="spellEnd"/>
      <w:r w:rsidRPr="006F185E">
        <w:rPr>
          <w:rFonts w:ascii="Cambria" w:hAnsi="Cambria"/>
        </w:rPr>
        <w:t xml:space="preserve"> </w:t>
      </w:r>
      <w:proofErr w:type="spellStart"/>
      <w:r w:rsidRPr="006F185E">
        <w:rPr>
          <w:rFonts w:ascii="Cambria" w:hAnsi="Cambria"/>
        </w:rPr>
        <w:t>Singkat</w:t>
      </w:r>
      <w:proofErr w:type="spellEnd"/>
      <w:r w:rsidRPr="006F185E">
        <w:rPr>
          <w:rFonts w:ascii="Cambria" w:hAnsi="Cambria"/>
        </w:rPr>
        <w:t xml:space="preserve">. </w:t>
      </w:r>
      <w:proofErr w:type="spellStart"/>
      <w:r w:rsidRPr="006F185E">
        <w:rPr>
          <w:rFonts w:ascii="Cambria" w:hAnsi="Cambria"/>
        </w:rPr>
        <w:t>Rajawali</w:t>
      </w:r>
      <w:proofErr w:type="spellEnd"/>
      <w:r w:rsidRPr="006F185E">
        <w:rPr>
          <w:rFonts w:ascii="Cambria" w:hAnsi="Cambria"/>
        </w:rPr>
        <w:t xml:space="preserve"> Pers. Jakarta.</w:t>
      </w:r>
    </w:p>
    <w:p w14:paraId="5BCAFDDF" w14:textId="24CB5501" w:rsidR="005E2381" w:rsidRPr="004123D7" w:rsidRDefault="005E2381" w:rsidP="004123D7">
      <w:pPr>
        <w:pStyle w:val="ListParagraph"/>
        <w:ind w:left="0"/>
        <w:jc w:val="both"/>
        <w:rPr>
          <w:rFonts w:ascii="Cambria" w:hAnsi="Cambria" w:cs="Times New Roman"/>
          <w:b/>
          <w:sz w:val="20"/>
          <w:szCs w:val="20"/>
          <w:lang w:val="en-US"/>
        </w:rPr>
      </w:pPr>
      <w:proofErr w:type="spellStart"/>
      <w:r w:rsidRPr="00213DC1">
        <w:rPr>
          <w:rFonts w:ascii="Cambria" w:hAnsi="Cambria" w:cs="Times New Roman"/>
          <w:b/>
          <w:lang w:val="en-US"/>
        </w:rPr>
        <w:t>Jurnal</w:t>
      </w:r>
      <w:proofErr w:type="spellEnd"/>
    </w:p>
    <w:p w14:paraId="30B9B62D" w14:textId="426E35A4" w:rsidR="005E2381" w:rsidRPr="004123D7" w:rsidRDefault="005E2381" w:rsidP="004123D7">
      <w:pPr>
        <w:pStyle w:val="FootnoteText"/>
        <w:ind w:left="720" w:hanging="720"/>
        <w:rPr>
          <w:rFonts w:ascii="Cambria" w:hAnsi="Cambria" w:cs="Times New Roman"/>
        </w:rPr>
      </w:pPr>
      <w:proofErr w:type="spellStart"/>
      <w:r w:rsidRPr="004123D7">
        <w:rPr>
          <w:rFonts w:ascii="Cambria" w:hAnsi="Cambria" w:cs="Times New Roman"/>
        </w:rPr>
        <w:t>Angga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Dito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Ganesha</w:t>
      </w:r>
      <w:proofErr w:type="spellEnd"/>
      <w:r w:rsidRPr="004123D7">
        <w:rPr>
          <w:rFonts w:ascii="Cambria" w:hAnsi="Cambria" w:cs="Times New Roman"/>
        </w:rPr>
        <w:t>, “</w:t>
      </w:r>
      <w:proofErr w:type="spellStart"/>
      <w:r w:rsidRPr="004123D7">
        <w:rPr>
          <w:rFonts w:ascii="Cambria" w:hAnsi="Cambria" w:cs="Times New Roman"/>
        </w:rPr>
        <w:t>Kebijakan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Hukum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Pidana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Tindak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Pidana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Penipuan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dalam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Pembelian</w:t>
      </w:r>
      <w:proofErr w:type="spellEnd"/>
      <w:r w:rsidRPr="004123D7">
        <w:rPr>
          <w:rFonts w:ascii="Cambria" w:hAnsi="Cambria" w:cs="Times New Roman"/>
        </w:rPr>
        <w:t xml:space="preserve"> </w:t>
      </w:r>
      <w:r w:rsidRPr="004123D7">
        <w:rPr>
          <w:rFonts w:ascii="Cambria" w:hAnsi="Cambria" w:cs="Times New Roman"/>
        </w:rPr>
        <w:tab/>
      </w:r>
      <w:proofErr w:type="spellStart"/>
      <w:r w:rsidRPr="004123D7">
        <w:rPr>
          <w:rFonts w:ascii="Cambria" w:hAnsi="Cambria" w:cs="Times New Roman"/>
        </w:rPr>
        <w:t>Barang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Secara</w:t>
      </w:r>
      <w:proofErr w:type="spellEnd"/>
      <w:r w:rsidRPr="004123D7">
        <w:rPr>
          <w:rFonts w:ascii="Cambria" w:hAnsi="Cambria" w:cs="Times New Roman"/>
        </w:rPr>
        <w:t xml:space="preserve"> Online”, </w:t>
      </w:r>
      <w:proofErr w:type="spellStart"/>
      <w:r w:rsidRPr="004123D7">
        <w:rPr>
          <w:rFonts w:ascii="Cambria" w:hAnsi="Cambria" w:cs="Times New Roman"/>
          <w:i/>
        </w:rPr>
        <w:t>Diponegoro</w:t>
      </w:r>
      <w:proofErr w:type="spellEnd"/>
      <w:r w:rsidRPr="004123D7">
        <w:rPr>
          <w:rFonts w:ascii="Cambria" w:hAnsi="Cambria" w:cs="Times New Roman"/>
          <w:i/>
        </w:rPr>
        <w:t xml:space="preserve"> Law Journal</w:t>
      </w:r>
      <w:r w:rsidRPr="004123D7">
        <w:rPr>
          <w:rFonts w:ascii="Cambria" w:hAnsi="Cambria" w:cs="Times New Roman"/>
        </w:rPr>
        <w:t>, Vol. 6 No. 2 (2017).</w:t>
      </w:r>
    </w:p>
    <w:p w14:paraId="190CBEFB" w14:textId="69CFED1C" w:rsidR="005E2381" w:rsidRPr="004123D7" w:rsidRDefault="005E2381" w:rsidP="004123D7">
      <w:pPr>
        <w:pStyle w:val="FootnoteText"/>
        <w:ind w:left="720" w:hanging="720"/>
        <w:jc w:val="both"/>
        <w:rPr>
          <w:rFonts w:ascii="Cambria" w:hAnsi="Cambria" w:cs="Times New Roman"/>
        </w:rPr>
      </w:pPr>
      <w:r w:rsidRPr="004123D7">
        <w:rPr>
          <w:rFonts w:ascii="Cambria" w:hAnsi="Cambria" w:cs="Times New Roman"/>
        </w:rPr>
        <w:t xml:space="preserve">H.M. </w:t>
      </w:r>
      <w:proofErr w:type="spellStart"/>
      <w:r w:rsidRPr="004123D7">
        <w:rPr>
          <w:rFonts w:ascii="Cambria" w:hAnsi="Cambria" w:cs="Times New Roman"/>
        </w:rPr>
        <w:t>Siregar</w:t>
      </w:r>
      <w:proofErr w:type="spellEnd"/>
      <w:r w:rsidRPr="004123D7">
        <w:rPr>
          <w:rFonts w:ascii="Cambria" w:hAnsi="Cambria" w:cs="Times New Roman"/>
        </w:rPr>
        <w:t>, “</w:t>
      </w:r>
      <w:proofErr w:type="spellStart"/>
      <w:r w:rsidRPr="004123D7">
        <w:rPr>
          <w:rFonts w:ascii="Cambria" w:hAnsi="Cambria" w:cs="Times New Roman"/>
        </w:rPr>
        <w:t>Analisis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Disparitas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Putusan</w:t>
      </w:r>
      <w:proofErr w:type="spellEnd"/>
      <w:r w:rsidRPr="004123D7">
        <w:rPr>
          <w:rFonts w:ascii="Cambria" w:hAnsi="Cambria" w:cs="Times New Roman"/>
        </w:rPr>
        <w:t xml:space="preserve"> Hakim </w:t>
      </w:r>
      <w:proofErr w:type="spellStart"/>
      <w:r w:rsidRPr="004123D7">
        <w:rPr>
          <w:rFonts w:ascii="Cambria" w:hAnsi="Cambria" w:cs="Times New Roman"/>
        </w:rPr>
        <w:t>dalam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Penjatuhan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Pidana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Terhadap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Tindak</w:t>
      </w:r>
      <w:proofErr w:type="spellEnd"/>
      <w:r w:rsidRPr="004123D7">
        <w:rPr>
          <w:rFonts w:ascii="Cambria" w:hAnsi="Cambria" w:cs="Times New Roman"/>
        </w:rPr>
        <w:t xml:space="preserve"> </w:t>
      </w:r>
      <w:r w:rsidRPr="004123D7">
        <w:rPr>
          <w:rFonts w:ascii="Cambria" w:hAnsi="Cambria" w:cs="Times New Roman"/>
        </w:rPr>
        <w:tab/>
      </w:r>
      <w:proofErr w:type="spellStart"/>
      <w:r w:rsidRPr="004123D7">
        <w:rPr>
          <w:rFonts w:ascii="Cambria" w:hAnsi="Cambria" w:cs="Times New Roman"/>
        </w:rPr>
        <w:t>Pidana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Perjudian</w:t>
      </w:r>
      <w:proofErr w:type="spellEnd"/>
      <w:r w:rsidRPr="004123D7">
        <w:rPr>
          <w:rFonts w:ascii="Cambria" w:hAnsi="Cambria" w:cs="Times New Roman"/>
        </w:rPr>
        <w:t xml:space="preserve">”, </w:t>
      </w:r>
      <w:proofErr w:type="spellStart"/>
      <w:r w:rsidRPr="004123D7">
        <w:rPr>
          <w:rFonts w:ascii="Cambria" w:hAnsi="Cambria" w:cs="Times New Roman"/>
          <w:i/>
        </w:rPr>
        <w:t>Pranata</w:t>
      </w:r>
      <w:proofErr w:type="spellEnd"/>
      <w:r w:rsidRPr="004123D7">
        <w:rPr>
          <w:rFonts w:ascii="Cambria" w:hAnsi="Cambria" w:cs="Times New Roman"/>
          <w:i/>
        </w:rPr>
        <w:t xml:space="preserve"> </w:t>
      </w:r>
      <w:proofErr w:type="spellStart"/>
      <w:r w:rsidRPr="004123D7">
        <w:rPr>
          <w:rFonts w:ascii="Cambria" w:hAnsi="Cambria" w:cs="Times New Roman"/>
          <w:i/>
        </w:rPr>
        <w:t>Hukum</w:t>
      </w:r>
      <w:proofErr w:type="spellEnd"/>
      <w:r w:rsidRPr="004123D7">
        <w:rPr>
          <w:rFonts w:ascii="Cambria" w:hAnsi="Cambria" w:cs="Times New Roman"/>
        </w:rPr>
        <w:t>, Vol. 9 No. 1 (2014).</w:t>
      </w:r>
    </w:p>
    <w:p w14:paraId="6C362899" w14:textId="663A1C78" w:rsidR="00604CFF" w:rsidRPr="004123D7" w:rsidRDefault="00604CFF" w:rsidP="004123D7">
      <w:pPr>
        <w:pStyle w:val="FootnoteText"/>
        <w:jc w:val="both"/>
        <w:rPr>
          <w:rFonts w:ascii="Cambria" w:hAnsi="Cambria" w:cs="Times New Roman"/>
        </w:rPr>
      </w:pPr>
      <w:proofErr w:type="spellStart"/>
      <w:r w:rsidRPr="004123D7">
        <w:rPr>
          <w:rFonts w:ascii="Cambria" w:hAnsi="Cambria" w:cs="Times New Roman"/>
        </w:rPr>
        <w:t>Ika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Pomounda</w:t>
      </w:r>
      <w:proofErr w:type="spellEnd"/>
      <w:r w:rsidRPr="004123D7">
        <w:rPr>
          <w:rFonts w:ascii="Cambria" w:hAnsi="Cambria" w:cs="Times New Roman"/>
        </w:rPr>
        <w:t>, “</w:t>
      </w:r>
      <w:proofErr w:type="spellStart"/>
      <w:r w:rsidRPr="004123D7">
        <w:rPr>
          <w:rFonts w:ascii="Cambria" w:hAnsi="Cambria" w:cs="Times New Roman"/>
        </w:rPr>
        <w:t>Perlindungan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Hukum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Bagi</w:t>
      </w:r>
      <w:proofErr w:type="spellEnd"/>
      <w:r w:rsidRPr="004123D7">
        <w:rPr>
          <w:rFonts w:ascii="Cambria" w:hAnsi="Cambria" w:cs="Times New Roman"/>
        </w:rPr>
        <w:t xml:space="preserve"> Korban </w:t>
      </w:r>
      <w:proofErr w:type="spellStart"/>
      <w:r w:rsidRPr="004123D7">
        <w:rPr>
          <w:rFonts w:ascii="Cambria" w:hAnsi="Cambria" w:cs="Times New Roman"/>
        </w:rPr>
        <w:t>Penipuan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Melalui</w:t>
      </w:r>
      <w:proofErr w:type="spellEnd"/>
      <w:r w:rsidRPr="004123D7">
        <w:rPr>
          <w:rFonts w:ascii="Cambria" w:hAnsi="Cambria" w:cs="Times New Roman"/>
        </w:rPr>
        <w:t xml:space="preserve"> Media </w:t>
      </w:r>
      <w:proofErr w:type="spellStart"/>
      <w:r w:rsidRPr="004123D7">
        <w:rPr>
          <w:rFonts w:ascii="Cambria" w:hAnsi="Cambria" w:cs="Times New Roman"/>
        </w:rPr>
        <w:t>Elektronik</w:t>
      </w:r>
      <w:proofErr w:type="spellEnd"/>
      <w:r w:rsidRPr="004123D7">
        <w:rPr>
          <w:rFonts w:ascii="Cambria" w:hAnsi="Cambria" w:cs="Times New Roman"/>
        </w:rPr>
        <w:t xml:space="preserve"> (</w:t>
      </w:r>
      <w:proofErr w:type="spellStart"/>
      <w:r w:rsidRPr="004123D7">
        <w:rPr>
          <w:rFonts w:ascii="Cambria" w:hAnsi="Cambria" w:cs="Times New Roman"/>
        </w:rPr>
        <w:t>Suatu</w:t>
      </w:r>
      <w:proofErr w:type="spellEnd"/>
      <w:r w:rsidRPr="004123D7">
        <w:rPr>
          <w:rFonts w:ascii="Cambria" w:hAnsi="Cambria" w:cs="Times New Roman"/>
        </w:rPr>
        <w:t xml:space="preserve"> </w:t>
      </w:r>
      <w:r w:rsidR="005E2381" w:rsidRPr="004123D7">
        <w:rPr>
          <w:rFonts w:ascii="Cambria" w:hAnsi="Cambria" w:cs="Times New Roman"/>
        </w:rPr>
        <w:tab/>
      </w:r>
      <w:proofErr w:type="spellStart"/>
      <w:r w:rsidRPr="004123D7">
        <w:rPr>
          <w:rFonts w:ascii="Cambria" w:hAnsi="Cambria" w:cs="Times New Roman"/>
        </w:rPr>
        <w:t>Pendekatan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Viktimologi</w:t>
      </w:r>
      <w:proofErr w:type="spellEnd"/>
      <w:r w:rsidRPr="004123D7">
        <w:rPr>
          <w:rFonts w:ascii="Cambria" w:hAnsi="Cambria" w:cs="Times New Roman"/>
        </w:rPr>
        <w:t xml:space="preserve">), </w:t>
      </w:r>
      <w:r w:rsidRPr="004123D7">
        <w:rPr>
          <w:rFonts w:ascii="Cambria" w:hAnsi="Cambria" w:cs="Times New Roman"/>
          <w:i/>
        </w:rPr>
        <w:t>Legal Opinion</w:t>
      </w:r>
      <w:r w:rsidRPr="004123D7">
        <w:rPr>
          <w:rFonts w:ascii="Cambria" w:hAnsi="Cambria" w:cs="Times New Roman"/>
        </w:rPr>
        <w:t xml:space="preserve"> Vol. 3 No. 4 (2015)</w:t>
      </w:r>
      <w:r w:rsidR="005E2381" w:rsidRPr="004123D7">
        <w:rPr>
          <w:rFonts w:ascii="Cambria" w:hAnsi="Cambria" w:cs="Times New Roman"/>
        </w:rPr>
        <w:t>.</w:t>
      </w:r>
    </w:p>
    <w:p w14:paraId="1988167D" w14:textId="7691E768" w:rsidR="005E2381" w:rsidRPr="004123D7" w:rsidRDefault="005E2381" w:rsidP="004123D7">
      <w:pPr>
        <w:pStyle w:val="FootnoteText"/>
        <w:jc w:val="both"/>
        <w:rPr>
          <w:rFonts w:ascii="Cambria" w:hAnsi="Cambria" w:cs="Times New Roman"/>
          <w:lang w:val="en-US"/>
        </w:rPr>
      </w:pPr>
      <w:r w:rsidRPr="004123D7">
        <w:rPr>
          <w:rFonts w:ascii="Cambria" w:hAnsi="Cambria" w:cs="Times New Roman"/>
        </w:rPr>
        <w:t>Kelly, “</w:t>
      </w:r>
      <w:proofErr w:type="spellStart"/>
      <w:r w:rsidRPr="004123D7">
        <w:rPr>
          <w:rFonts w:ascii="Cambria" w:hAnsi="Cambria" w:cs="Times New Roman"/>
        </w:rPr>
        <w:t>Upaya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Yuridis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Memperkecil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Disparitas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Putusan</w:t>
      </w:r>
      <w:proofErr w:type="spellEnd"/>
      <w:r w:rsidRPr="004123D7">
        <w:rPr>
          <w:rFonts w:ascii="Cambria" w:hAnsi="Cambria" w:cs="Times New Roman"/>
        </w:rPr>
        <w:t xml:space="preserve">”, </w:t>
      </w:r>
      <w:proofErr w:type="spellStart"/>
      <w:r w:rsidRPr="004123D7">
        <w:rPr>
          <w:rFonts w:ascii="Cambria" w:hAnsi="Cambria" w:cs="Times New Roman"/>
          <w:i/>
        </w:rPr>
        <w:t>Jurnal</w:t>
      </w:r>
      <w:proofErr w:type="spellEnd"/>
      <w:r w:rsidRPr="004123D7">
        <w:rPr>
          <w:rFonts w:ascii="Cambria" w:hAnsi="Cambria" w:cs="Times New Roman"/>
          <w:i/>
        </w:rPr>
        <w:t xml:space="preserve"> </w:t>
      </w:r>
      <w:proofErr w:type="spellStart"/>
      <w:r w:rsidRPr="004123D7">
        <w:rPr>
          <w:rFonts w:ascii="Cambria" w:hAnsi="Cambria" w:cs="Times New Roman"/>
          <w:i/>
        </w:rPr>
        <w:t>Hukum</w:t>
      </w:r>
      <w:proofErr w:type="spellEnd"/>
      <w:r w:rsidRPr="004123D7">
        <w:rPr>
          <w:rFonts w:ascii="Cambria" w:hAnsi="Cambria" w:cs="Times New Roman"/>
          <w:i/>
        </w:rPr>
        <w:t xml:space="preserve"> </w:t>
      </w:r>
      <w:proofErr w:type="spellStart"/>
      <w:r w:rsidRPr="004123D7">
        <w:rPr>
          <w:rFonts w:ascii="Cambria" w:hAnsi="Cambria" w:cs="Times New Roman"/>
          <w:i/>
        </w:rPr>
        <w:t>Adigama</w:t>
      </w:r>
      <w:proofErr w:type="spellEnd"/>
      <w:r w:rsidRPr="004123D7">
        <w:rPr>
          <w:rFonts w:ascii="Cambria" w:hAnsi="Cambria" w:cs="Times New Roman"/>
        </w:rPr>
        <w:t>, Vol.</w:t>
      </w:r>
      <w:r w:rsidR="00C34904" w:rsidRPr="004123D7">
        <w:rPr>
          <w:rFonts w:ascii="Cambria" w:hAnsi="Cambria" w:cs="Times New Roman"/>
        </w:rPr>
        <w:t xml:space="preserve"> 3 </w:t>
      </w:r>
      <w:r w:rsidRPr="004123D7">
        <w:rPr>
          <w:rFonts w:ascii="Cambria" w:hAnsi="Cambria" w:cs="Times New Roman"/>
        </w:rPr>
        <w:t>No.</w:t>
      </w:r>
      <w:r w:rsidR="00C34904" w:rsidRPr="004123D7">
        <w:rPr>
          <w:rFonts w:ascii="Cambria" w:hAnsi="Cambria" w:cs="Times New Roman"/>
        </w:rPr>
        <w:t xml:space="preserve"> 2</w:t>
      </w:r>
      <w:r w:rsidRPr="004123D7">
        <w:rPr>
          <w:rFonts w:ascii="Cambria" w:hAnsi="Cambria" w:cs="Times New Roman"/>
        </w:rPr>
        <w:t xml:space="preserve"> (</w:t>
      </w:r>
      <w:r w:rsidR="00C34904" w:rsidRPr="004123D7">
        <w:rPr>
          <w:rFonts w:ascii="Cambria" w:hAnsi="Cambria" w:cs="Times New Roman"/>
        </w:rPr>
        <w:t>2020</w:t>
      </w:r>
      <w:r w:rsidRPr="004123D7">
        <w:rPr>
          <w:rFonts w:ascii="Cambria" w:hAnsi="Cambria" w:cs="Times New Roman"/>
        </w:rPr>
        <w:t>).</w:t>
      </w:r>
    </w:p>
    <w:p w14:paraId="2C006A9C" w14:textId="4068264B" w:rsidR="005E2381" w:rsidRPr="004123D7" w:rsidRDefault="005E2381" w:rsidP="004123D7">
      <w:pPr>
        <w:pStyle w:val="FootnoteText"/>
        <w:ind w:left="720" w:hanging="720"/>
        <w:jc w:val="both"/>
        <w:rPr>
          <w:rFonts w:ascii="Cambria" w:hAnsi="Cambria" w:cs="Times New Roman"/>
        </w:rPr>
      </w:pPr>
      <w:proofErr w:type="spellStart"/>
      <w:r w:rsidRPr="004123D7">
        <w:rPr>
          <w:rFonts w:ascii="Cambria" w:hAnsi="Cambria" w:cs="Times New Roman"/>
        </w:rPr>
        <w:t>Raditya</w:t>
      </w:r>
      <w:proofErr w:type="spellEnd"/>
      <w:r w:rsidRPr="004123D7">
        <w:rPr>
          <w:rFonts w:ascii="Cambria" w:hAnsi="Cambria" w:cs="Times New Roman"/>
        </w:rPr>
        <w:t xml:space="preserve"> Sri </w:t>
      </w:r>
      <w:proofErr w:type="spellStart"/>
      <w:r w:rsidRPr="004123D7">
        <w:rPr>
          <w:rFonts w:ascii="Cambria" w:hAnsi="Cambria" w:cs="Times New Roman"/>
        </w:rPr>
        <w:t>Krisnha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Wardhana</w:t>
      </w:r>
      <w:proofErr w:type="spellEnd"/>
      <w:r w:rsidRPr="004123D7">
        <w:rPr>
          <w:rFonts w:ascii="Cambria" w:hAnsi="Cambria" w:cs="Times New Roman"/>
        </w:rPr>
        <w:t>, “</w:t>
      </w:r>
      <w:proofErr w:type="spellStart"/>
      <w:r w:rsidRPr="004123D7">
        <w:rPr>
          <w:rFonts w:ascii="Cambria" w:hAnsi="Cambria" w:cs="Times New Roman"/>
        </w:rPr>
        <w:t>Kebijakan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Hukum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Pidana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Dalam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Menanggulangi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Tindak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Pidana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Penipuan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Melalui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Sarana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Elektronik</w:t>
      </w:r>
      <w:proofErr w:type="spellEnd"/>
      <w:r w:rsidRPr="004123D7">
        <w:rPr>
          <w:rFonts w:ascii="Cambria" w:hAnsi="Cambria" w:cs="Times New Roman"/>
        </w:rPr>
        <w:t xml:space="preserve">”, </w:t>
      </w:r>
      <w:proofErr w:type="spellStart"/>
      <w:r w:rsidRPr="004123D7">
        <w:rPr>
          <w:rFonts w:ascii="Cambria" w:hAnsi="Cambria" w:cs="Times New Roman"/>
          <w:i/>
        </w:rPr>
        <w:t>Jurnal</w:t>
      </w:r>
      <w:proofErr w:type="spellEnd"/>
      <w:r w:rsidRPr="004123D7">
        <w:rPr>
          <w:rFonts w:ascii="Cambria" w:hAnsi="Cambria" w:cs="Times New Roman"/>
          <w:i/>
        </w:rPr>
        <w:t xml:space="preserve"> </w:t>
      </w:r>
      <w:proofErr w:type="spellStart"/>
      <w:r w:rsidRPr="004123D7">
        <w:rPr>
          <w:rFonts w:ascii="Cambria" w:hAnsi="Cambria" w:cs="Times New Roman"/>
          <w:i/>
        </w:rPr>
        <w:t>Ilmiah</w:t>
      </w:r>
      <w:proofErr w:type="spellEnd"/>
      <w:r w:rsidRPr="004123D7">
        <w:rPr>
          <w:rFonts w:ascii="Cambria" w:hAnsi="Cambria" w:cs="Times New Roman"/>
          <w:i/>
        </w:rPr>
        <w:t xml:space="preserve"> Dunia </w:t>
      </w:r>
      <w:proofErr w:type="spellStart"/>
      <w:r w:rsidRPr="004123D7">
        <w:rPr>
          <w:rFonts w:ascii="Cambria" w:hAnsi="Cambria" w:cs="Times New Roman"/>
          <w:i/>
        </w:rPr>
        <w:t>Hukum</w:t>
      </w:r>
      <w:proofErr w:type="spellEnd"/>
      <w:r w:rsidRPr="004123D7">
        <w:rPr>
          <w:rFonts w:ascii="Cambria" w:hAnsi="Cambria" w:cs="Times New Roman"/>
        </w:rPr>
        <w:t xml:space="preserve">, Vol. 5 No. </w:t>
      </w:r>
      <w:r w:rsidRPr="004123D7">
        <w:rPr>
          <w:rFonts w:ascii="Cambria" w:hAnsi="Cambria" w:cs="Times New Roman"/>
        </w:rPr>
        <w:tab/>
        <w:t>2 (</w:t>
      </w:r>
      <w:r w:rsidR="00C34904" w:rsidRPr="004123D7">
        <w:rPr>
          <w:rFonts w:ascii="Cambria" w:hAnsi="Cambria" w:cs="Times New Roman"/>
        </w:rPr>
        <w:t>2021</w:t>
      </w:r>
      <w:r w:rsidRPr="004123D7">
        <w:rPr>
          <w:rFonts w:ascii="Cambria" w:hAnsi="Cambria" w:cs="Times New Roman"/>
        </w:rPr>
        <w:t>)</w:t>
      </w:r>
      <w:r w:rsidR="00487659" w:rsidRPr="004123D7">
        <w:rPr>
          <w:rFonts w:ascii="Cambria" w:hAnsi="Cambria" w:cs="Times New Roman"/>
        </w:rPr>
        <w:t>.</w:t>
      </w:r>
    </w:p>
    <w:p w14:paraId="0DE57D12" w14:textId="1A4411B6" w:rsidR="005E2381" w:rsidRPr="004123D7" w:rsidRDefault="005E2381" w:rsidP="004123D7">
      <w:pPr>
        <w:pStyle w:val="FootnoteText"/>
        <w:ind w:left="720" w:hanging="720"/>
        <w:jc w:val="both"/>
        <w:rPr>
          <w:rFonts w:ascii="Cambria" w:hAnsi="Cambria" w:cs="Times New Roman"/>
        </w:rPr>
      </w:pPr>
      <w:r w:rsidRPr="004123D7">
        <w:rPr>
          <w:rFonts w:ascii="Cambria" w:hAnsi="Cambria" w:cs="Times New Roman"/>
        </w:rPr>
        <w:t xml:space="preserve">Tata </w:t>
      </w:r>
      <w:proofErr w:type="spellStart"/>
      <w:r w:rsidRPr="004123D7">
        <w:rPr>
          <w:rFonts w:ascii="Cambria" w:hAnsi="Cambria" w:cs="Times New Roman"/>
        </w:rPr>
        <w:t>Wijayanta</w:t>
      </w:r>
      <w:proofErr w:type="spellEnd"/>
      <w:r w:rsidRPr="004123D7">
        <w:rPr>
          <w:rFonts w:ascii="Cambria" w:hAnsi="Cambria" w:cs="Times New Roman"/>
        </w:rPr>
        <w:t xml:space="preserve"> dan </w:t>
      </w:r>
      <w:proofErr w:type="spellStart"/>
      <w:r w:rsidRPr="004123D7">
        <w:rPr>
          <w:rFonts w:ascii="Cambria" w:hAnsi="Cambria" w:cs="Times New Roman"/>
        </w:rPr>
        <w:t>Hery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Firmansyah</w:t>
      </w:r>
      <w:proofErr w:type="spellEnd"/>
      <w:r w:rsidRPr="004123D7">
        <w:rPr>
          <w:rFonts w:ascii="Cambria" w:hAnsi="Cambria" w:cs="Times New Roman"/>
        </w:rPr>
        <w:t>, “</w:t>
      </w:r>
      <w:proofErr w:type="spellStart"/>
      <w:r w:rsidRPr="004123D7">
        <w:rPr>
          <w:rFonts w:ascii="Cambria" w:hAnsi="Cambria" w:cs="Times New Roman"/>
        </w:rPr>
        <w:t>Perbedaan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Pendapat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dalam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Putusan-Putusan</w:t>
      </w:r>
      <w:proofErr w:type="spellEnd"/>
      <w:r w:rsidRPr="004123D7">
        <w:rPr>
          <w:rFonts w:ascii="Cambria" w:hAnsi="Cambria" w:cs="Times New Roman"/>
        </w:rPr>
        <w:t xml:space="preserve"> di </w:t>
      </w:r>
      <w:proofErr w:type="spellStart"/>
      <w:r w:rsidRPr="004123D7">
        <w:rPr>
          <w:rFonts w:ascii="Cambria" w:hAnsi="Cambria" w:cs="Times New Roman"/>
        </w:rPr>
        <w:t>Pengadilan</w:t>
      </w:r>
      <w:proofErr w:type="spellEnd"/>
      <w:r w:rsidRPr="004123D7">
        <w:rPr>
          <w:rFonts w:ascii="Cambria" w:hAnsi="Cambria" w:cs="Times New Roman"/>
        </w:rPr>
        <w:t xml:space="preserve"> Negeri Yogyakarta dan </w:t>
      </w:r>
      <w:proofErr w:type="spellStart"/>
      <w:r w:rsidRPr="004123D7">
        <w:rPr>
          <w:rFonts w:ascii="Cambria" w:hAnsi="Cambria" w:cs="Times New Roman"/>
        </w:rPr>
        <w:t>Pengadilan</w:t>
      </w:r>
      <w:proofErr w:type="spellEnd"/>
      <w:r w:rsidRPr="004123D7">
        <w:rPr>
          <w:rFonts w:ascii="Cambria" w:hAnsi="Cambria" w:cs="Times New Roman"/>
        </w:rPr>
        <w:t xml:space="preserve"> Negeri </w:t>
      </w:r>
      <w:proofErr w:type="spellStart"/>
      <w:r w:rsidRPr="004123D7">
        <w:rPr>
          <w:rFonts w:ascii="Cambria" w:hAnsi="Cambria" w:cs="Times New Roman"/>
        </w:rPr>
        <w:t>Sleman</w:t>
      </w:r>
      <w:proofErr w:type="spellEnd"/>
      <w:r w:rsidRPr="004123D7">
        <w:rPr>
          <w:rFonts w:ascii="Cambria" w:hAnsi="Cambria" w:cs="Times New Roman"/>
        </w:rPr>
        <w:t xml:space="preserve">”, </w:t>
      </w:r>
      <w:proofErr w:type="spellStart"/>
      <w:r w:rsidRPr="004123D7">
        <w:rPr>
          <w:rFonts w:ascii="Cambria" w:hAnsi="Cambria" w:cs="Times New Roman"/>
          <w:i/>
        </w:rPr>
        <w:t>Mimbar</w:t>
      </w:r>
      <w:proofErr w:type="spellEnd"/>
      <w:r w:rsidRPr="004123D7">
        <w:rPr>
          <w:rFonts w:ascii="Cambria" w:hAnsi="Cambria" w:cs="Times New Roman"/>
          <w:i/>
        </w:rPr>
        <w:t xml:space="preserve"> </w:t>
      </w:r>
      <w:proofErr w:type="spellStart"/>
      <w:r w:rsidRPr="004123D7">
        <w:rPr>
          <w:rFonts w:ascii="Cambria" w:hAnsi="Cambria" w:cs="Times New Roman"/>
          <w:i/>
        </w:rPr>
        <w:t>Hukum</w:t>
      </w:r>
      <w:proofErr w:type="spellEnd"/>
      <w:r w:rsidRPr="004123D7">
        <w:rPr>
          <w:rFonts w:ascii="Cambria" w:hAnsi="Cambria" w:cs="Times New Roman"/>
        </w:rPr>
        <w:t>, Vol. 23 No. 1 (2011)</w:t>
      </w:r>
      <w:r w:rsidR="00487659" w:rsidRPr="004123D7">
        <w:rPr>
          <w:rFonts w:ascii="Cambria" w:hAnsi="Cambria" w:cs="Times New Roman"/>
        </w:rPr>
        <w:t>.</w:t>
      </w:r>
    </w:p>
    <w:p w14:paraId="28F7E1D0" w14:textId="489EBC1B" w:rsidR="005E2381" w:rsidRPr="00213DC1" w:rsidRDefault="005E2381" w:rsidP="004123D7">
      <w:pPr>
        <w:pStyle w:val="FootnoteText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0CA345F5" w14:textId="4469F885" w:rsidR="005E2381" w:rsidRPr="00213DC1" w:rsidRDefault="005E2381" w:rsidP="004123D7">
      <w:pPr>
        <w:pStyle w:val="FootnoteText"/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proofErr w:type="spellStart"/>
      <w:r w:rsidRPr="00213DC1">
        <w:rPr>
          <w:rFonts w:ascii="Cambria" w:hAnsi="Cambria" w:cs="Times New Roman"/>
          <w:b/>
          <w:sz w:val="24"/>
          <w:szCs w:val="24"/>
          <w:lang w:val="en-US"/>
        </w:rPr>
        <w:t>Skripsi</w:t>
      </w:r>
      <w:proofErr w:type="spellEnd"/>
    </w:p>
    <w:p w14:paraId="62105C61" w14:textId="59E09263" w:rsidR="005E2381" w:rsidRPr="004123D7" w:rsidRDefault="005E2381" w:rsidP="004123D7">
      <w:pPr>
        <w:pStyle w:val="FootnoteText"/>
        <w:jc w:val="both"/>
        <w:rPr>
          <w:rFonts w:ascii="Cambria" w:hAnsi="Cambria" w:cs="Times New Roman"/>
        </w:rPr>
      </w:pPr>
      <w:r w:rsidRPr="004123D7">
        <w:rPr>
          <w:rFonts w:ascii="Cambria" w:hAnsi="Cambria" w:cs="Times New Roman"/>
        </w:rPr>
        <w:t xml:space="preserve">Emi </w:t>
      </w:r>
      <w:proofErr w:type="spellStart"/>
      <w:r w:rsidRPr="004123D7">
        <w:rPr>
          <w:rFonts w:ascii="Cambria" w:hAnsi="Cambria" w:cs="Times New Roman"/>
        </w:rPr>
        <w:t>Ebi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Rohmatin</w:t>
      </w:r>
      <w:proofErr w:type="spellEnd"/>
      <w:r w:rsidRPr="004123D7">
        <w:rPr>
          <w:rFonts w:ascii="Cambria" w:hAnsi="Cambria" w:cs="Times New Roman"/>
        </w:rPr>
        <w:t>, “</w:t>
      </w:r>
      <w:r w:rsidRPr="004123D7">
        <w:rPr>
          <w:rFonts w:ascii="Cambria" w:hAnsi="Cambria" w:cs="Times New Roman"/>
          <w:i/>
        </w:rPr>
        <w:t>Ratio Decidendi</w:t>
      </w:r>
      <w:r w:rsidRPr="004123D7">
        <w:rPr>
          <w:rFonts w:ascii="Cambria" w:hAnsi="Cambria" w:cs="Times New Roman"/>
        </w:rPr>
        <w:t xml:space="preserve"> Hakim </w:t>
      </w:r>
      <w:proofErr w:type="spellStart"/>
      <w:r w:rsidRPr="004123D7">
        <w:rPr>
          <w:rFonts w:ascii="Cambria" w:hAnsi="Cambria" w:cs="Times New Roman"/>
        </w:rPr>
        <w:t>Pengadilan</w:t>
      </w:r>
      <w:proofErr w:type="spellEnd"/>
      <w:r w:rsidRPr="004123D7">
        <w:rPr>
          <w:rFonts w:ascii="Cambria" w:hAnsi="Cambria" w:cs="Times New Roman"/>
        </w:rPr>
        <w:t xml:space="preserve"> Agama Malang </w:t>
      </w:r>
      <w:proofErr w:type="spellStart"/>
      <w:r w:rsidRPr="004123D7">
        <w:rPr>
          <w:rFonts w:ascii="Cambria" w:hAnsi="Cambria" w:cs="Times New Roman"/>
        </w:rPr>
        <w:t>dalam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Putusan</w:t>
      </w:r>
      <w:proofErr w:type="spellEnd"/>
      <w:r w:rsidRPr="004123D7">
        <w:rPr>
          <w:rFonts w:ascii="Cambria" w:hAnsi="Cambria" w:cs="Times New Roman"/>
        </w:rPr>
        <w:t xml:space="preserve"> No. </w:t>
      </w:r>
      <w:r w:rsidRPr="004123D7">
        <w:rPr>
          <w:rFonts w:ascii="Cambria" w:hAnsi="Cambria" w:cs="Times New Roman"/>
        </w:rPr>
        <w:tab/>
        <w:t>2303/</w:t>
      </w:r>
      <w:proofErr w:type="spellStart"/>
      <w:r w:rsidRPr="004123D7">
        <w:rPr>
          <w:rFonts w:ascii="Cambria" w:hAnsi="Cambria" w:cs="Times New Roman"/>
        </w:rPr>
        <w:t>Pdt.G</w:t>
      </w:r>
      <w:proofErr w:type="spellEnd"/>
      <w:r w:rsidRPr="004123D7">
        <w:rPr>
          <w:rFonts w:ascii="Cambria" w:hAnsi="Cambria" w:cs="Times New Roman"/>
        </w:rPr>
        <w:t xml:space="preserve">/2015/PA </w:t>
      </w:r>
      <w:proofErr w:type="spellStart"/>
      <w:r w:rsidRPr="004123D7">
        <w:rPr>
          <w:rFonts w:ascii="Cambria" w:hAnsi="Cambria" w:cs="Times New Roman"/>
        </w:rPr>
        <w:t>Mlg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tentang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Lelang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Eksekusi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Hak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Tanggungan</w:t>
      </w:r>
      <w:proofErr w:type="spellEnd"/>
      <w:r w:rsidRPr="004123D7">
        <w:rPr>
          <w:rFonts w:ascii="Cambria" w:hAnsi="Cambria" w:cs="Times New Roman"/>
        </w:rPr>
        <w:t>”, (</w:t>
      </w:r>
      <w:proofErr w:type="spellStart"/>
      <w:r w:rsidRPr="004123D7">
        <w:rPr>
          <w:rFonts w:ascii="Cambria" w:hAnsi="Cambria" w:cs="Times New Roman"/>
        </w:rPr>
        <w:t>Skripsi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tidak</w:t>
      </w:r>
      <w:proofErr w:type="spellEnd"/>
      <w:r w:rsidRPr="004123D7">
        <w:rPr>
          <w:rFonts w:ascii="Cambria" w:hAnsi="Cambria" w:cs="Times New Roman"/>
        </w:rPr>
        <w:t xml:space="preserve"> </w:t>
      </w:r>
      <w:r w:rsidRPr="004123D7">
        <w:rPr>
          <w:rFonts w:ascii="Cambria" w:hAnsi="Cambria" w:cs="Times New Roman"/>
        </w:rPr>
        <w:tab/>
      </w:r>
      <w:proofErr w:type="spellStart"/>
      <w:r w:rsidRPr="004123D7">
        <w:rPr>
          <w:rFonts w:ascii="Cambria" w:hAnsi="Cambria" w:cs="Times New Roman"/>
        </w:rPr>
        <w:t>diterbitkan</w:t>
      </w:r>
      <w:proofErr w:type="spellEnd"/>
      <w:r w:rsidRPr="004123D7">
        <w:rPr>
          <w:rFonts w:ascii="Cambria" w:hAnsi="Cambria" w:cs="Times New Roman"/>
        </w:rPr>
        <w:t xml:space="preserve">, </w:t>
      </w:r>
      <w:proofErr w:type="spellStart"/>
      <w:r w:rsidRPr="004123D7">
        <w:rPr>
          <w:rFonts w:ascii="Cambria" w:hAnsi="Cambria" w:cs="Times New Roman"/>
        </w:rPr>
        <w:t>Fakultas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Hukum</w:t>
      </w:r>
      <w:proofErr w:type="spellEnd"/>
      <w:r w:rsidRPr="004123D7">
        <w:rPr>
          <w:rFonts w:ascii="Cambria" w:hAnsi="Cambria" w:cs="Times New Roman"/>
        </w:rPr>
        <w:t xml:space="preserve"> </w:t>
      </w:r>
      <w:proofErr w:type="spellStart"/>
      <w:r w:rsidRPr="004123D7">
        <w:rPr>
          <w:rFonts w:ascii="Cambria" w:hAnsi="Cambria" w:cs="Times New Roman"/>
        </w:rPr>
        <w:t>Universitas</w:t>
      </w:r>
      <w:proofErr w:type="spellEnd"/>
      <w:r w:rsidRPr="004123D7">
        <w:rPr>
          <w:rFonts w:ascii="Cambria" w:hAnsi="Cambria" w:cs="Times New Roman"/>
        </w:rPr>
        <w:t xml:space="preserve"> Islam Negeri Maulana Malik Ibrahim, 2018)</w:t>
      </w:r>
      <w:r w:rsidR="00487659" w:rsidRPr="004123D7">
        <w:rPr>
          <w:rFonts w:ascii="Cambria" w:hAnsi="Cambria" w:cs="Times New Roman"/>
        </w:rPr>
        <w:t>.</w:t>
      </w:r>
    </w:p>
    <w:p w14:paraId="2706BB8A" w14:textId="77777777" w:rsidR="005E2381" w:rsidRPr="00213DC1" w:rsidRDefault="005E2381" w:rsidP="004123D7">
      <w:pPr>
        <w:pStyle w:val="FootnoteText"/>
        <w:ind w:left="142" w:hanging="142"/>
        <w:jc w:val="both"/>
        <w:rPr>
          <w:rFonts w:ascii="Cambria" w:hAnsi="Cambria" w:cs="Times New Roman"/>
          <w:b/>
          <w:sz w:val="24"/>
          <w:szCs w:val="24"/>
          <w:lang w:val="en-US"/>
        </w:rPr>
      </w:pPr>
    </w:p>
    <w:p w14:paraId="5E6310CB" w14:textId="77777777" w:rsidR="005E2381" w:rsidRPr="00213DC1" w:rsidRDefault="005E2381" w:rsidP="004123D7">
      <w:pPr>
        <w:pStyle w:val="FootnoteText"/>
        <w:jc w:val="both"/>
        <w:rPr>
          <w:rFonts w:ascii="Cambria" w:hAnsi="Cambria" w:cs="Times New Roman"/>
          <w:sz w:val="24"/>
          <w:szCs w:val="24"/>
        </w:rPr>
      </w:pPr>
    </w:p>
    <w:p w14:paraId="11412855" w14:textId="0BB50A1E" w:rsidR="00604CFF" w:rsidRPr="00213DC1" w:rsidRDefault="00604CFF" w:rsidP="004123D7">
      <w:pPr>
        <w:pStyle w:val="FootnoteText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09CEA615" w14:textId="57C61DBD" w:rsidR="00604CFF" w:rsidRPr="00213DC1" w:rsidRDefault="00604CFF" w:rsidP="004123D7">
      <w:pPr>
        <w:pStyle w:val="FootnoteText"/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0DBC90B1" w14:textId="16078DC0" w:rsidR="00604CFF" w:rsidRPr="00213DC1" w:rsidRDefault="00604CFF" w:rsidP="004123D7">
      <w:pPr>
        <w:pStyle w:val="FootnoteText"/>
        <w:rPr>
          <w:rFonts w:ascii="Cambria" w:hAnsi="Cambria" w:cs="Times New Roman"/>
          <w:sz w:val="24"/>
          <w:szCs w:val="24"/>
          <w:lang w:val="en-US"/>
        </w:rPr>
      </w:pPr>
    </w:p>
    <w:p w14:paraId="16CF9260" w14:textId="342F3807" w:rsidR="005E2381" w:rsidRPr="00213DC1" w:rsidRDefault="005E2381" w:rsidP="004123D7">
      <w:pPr>
        <w:pStyle w:val="FootnoteText"/>
        <w:rPr>
          <w:rFonts w:ascii="Cambria" w:hAnsi="Cambria" w:cs="Times New Roman"/>
          <w:sz w:val="24"/>
          <w:szCs w:val="24"/>
          <w:lang w:val="en-US"/>
        </w:rPr>
      </w:pPr>
    </w:p>
    <w:p w14:paraId="49736D55" w14:textId="77777777" w:rsidR="00604CFF" w:rsidRPr="00213DC1" w:rsidRDefault="00604CFF" w:rsidP="004123D7">
      <w:pPr>
        <w:pStyle w:val="ListParagraph"/>
        <w:ind w:left="0"/>
        <w:rPr>
          <w:rFonts w:ascii="Cambria" w:hAnsi="Cambria" w:cs="Times New Roman"/>
          <w:lang w:val="en-US"/>
        </w:rPr>
      </w:pPr>
    </w:p>
    <w:sectPr w:rsidR="00604CFF" w:rsidRPr="00213DC1" w:rsidSect="002506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98BE7" w14:textId="77777777" w:rsidR="00BA7C73" w:rsidRDefault="00BA7C73" w:rsidP="00DA6CFB">
      <w:r>
        <w:separator/>
      </w:r>
    </w:p>
  </w:endnote>
  <w:endnote w:type="continuationSeparator" w:id="0">
    <w:p w14:paraId="0714B106" w14:textId="77777777" w:rsidR="00BA7C73" w:rsidRDefault="00BA7C73" w:rsidP="00DA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F7E2B" w14:textId="77777777" w:rsidR="00BA7C73" w:rsidRDefault="00BA7C73" w:rsidP="00DA6CFB">
      <w:r>
        <w:separator/>
      </w:r>
    </w:p>
  </w:footnote>
  <w:footnote w:type="continuationSeparator" w:id="0">
    <w:p w14:paraId="747127D9" w14:textId="77777777" w:rsidR="00BA7C73" w:rsidRDefault="00BA7C73" w:rsidP="00DA6CFB">
      <w:r>
        <w:continuationSeparator/>
      </w:r>
    </w:p>
  </w:footnote>
  <w:footnote w:id="1">
    <w:p w14:paraId="57B2502E" w14:textId="77777777" w:rsidR="00DA6CFB" w:rsidRPr="004123D7" w:rsidRDefault="00DA6CFB" w:rsidP="00DA6CFB">
      <w:pPr>
        <w:pStyle w:val="FootnoteText"/>
        <w:ind w:left="142" w:hanging="142"/>
        <w:jc w:val="both"/>
        <w:rPr>
          <w:rFonts w:ascii="Cambria" w:hAnsi="Cambria" w:cs="Times New Roman"/>
          <w:sz w:val="16"/>
          <w:szCs w:val="16"/>
          <w:lang w:val="en-US"/>
        </w:rPr>
      </w:pPr>
      <w:r w:rsidRPr="004123D7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Pr="004123D7">
        <w:rPr>
          <w:rFonts w:ascii="Cambria" w:hAnsi="Cambria" w:cs="Times New Roman"/>
          <w:sz w:val="16"/>
          <w:szCs w:val="16"/>
        </w:rPr>
        <w:t xml:space="preserve"> </w:t>
      </w:r>
      <w:r w:rsidRPr="004123D7">
        <w:rPr>
          <w:rFonts w:ascii="Cambria" w:hAnsi="Cambria" w:cs="Times New Roman"/>
          <w:sz w:val="16"/>
          <w:szCs w:val="16"/>
        </w:rPr>
        <w:tab/>
      </w:r>
      <w:proofErr w:type="spellStart"/>
      <w:r w:rsidRPr="004123D7">
        <w:rPr>
          <w:rFonts w:ascii="Cambria" w:hAnsi="Cambria" w:cs="Times New Roman"/>
          <w:sz w:val="16"/>
          <w:szCs w:val="16"/>
        </w:rPr>
        <w:t>Ika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Pomounda</w:t>
      </w:r>
      <w:proofErr w:type="spellEnd"/>
      <w:r w:rsidRPr="004123D7">
        <w:rPr>
          <w:rFonts w:ascii="Cambria" w:hAnsi="Cambria" w:cs="Times New Roman"/>
          <w:sz w:val="16"/>
          <w:szCs w:val="16"/>
        </w:rPr>
        <w:t>, “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Perlindungan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Hukum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Bagi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Korban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Penipuan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Melalui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Media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Elektronik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(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Suatu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Pendekatan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Viktimologi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), </w:t>
      </w:r>
      <w:r w:rsidRPr="004123D7">
        <w:rPr>
          <w:rFonts w:ascii="Cambria" w:hAnsi="Cambria" w:cs="Times New Roman"/>
          <w:i/>
          <w:sz w:val="16"/>
          <w:szCs w:val="16"/>
        </w:rPr>
        <w:t>Legal Opinion</w:t>
      </w:r>
      <w:r w:rsidRPr="004123D7">
        <w:rPr>
          <w:rFonts w:ascii="Cambria" w:hAnsi="Cambria" w:cs="Times New Roman"/>
          <w:sz w:val="16"/>
          <w:szCs w:val="16"/>
        </w:rPr>
        <w:t xml:space="preserve"> Vol. 3 No. 4 (2015),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hlm</w:t>
      </w:r>
      <w:proofErr w:type="spellEnd"/>
      <w:r w:rsidRPr="004123D7">
        <w:rPr>
          <w:rFonts w:ascii="Cambria" w:hAnsi="Cambria" w:cs="Times New Roman"/>
          <w:sz w:val="16"/>
          <w:szCs w:val="16"/>
        </w:rPr>
        <w:t>. 1.</w:t>
      </w:r>
    </w:p>
  </w:footnote>
  <w:footnote w:id="2">
    <w:p w14:paraId="6EBAD49E" w14:textId="77777777" w:rsidR="00AB2203" w:rsidRPr="004123D7" w:rsidRDefault="00AB2203" w:rsidP="00AB2203">
      <w:pPr>
        <w:pStyle w:val="FootnoteText"/>
        <w:ind w:left="142" w:hanging="142"/>
        <w:jc w:val="both"/>
        <w:rPr>
          <w:rFonts w:ascii="Cambria" w:hAnsi="Cambria" w:cs="Times New Roman"/>
          <w:sz w:val="16"/>
          <w:szCs w:val="16"/>
          <w:lang w:val="en-US"/>
        </w:rPr>
      </w:pPr>
      <w:r w:rsidRPr="004123D7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Pr="004123D7">
        <w:rPr>
          <w:rFonts w:ascii="Cambria" w:hAnsi="Cambria" w:cs="Times New Roman"/>
          <w:sz w:val="16"/>
          <w:szCs w:val="16"/>
        </w:rPr>
        <w:t xml:space="preserve"> </w:t>
      </w:r>
      <w:r w:rsidRPr="004123D7">
        <w:rPr>
          <w:rFonts w:ascii="Cambria" w:hAnsi="Cambria" w:cs="Times New Roman"/>
          <w:sz w:val="16"/>
          <w:szCs w:val="16"/>
        </w:rPr>
        <w:tab/>
        <w:t xml:space="preserve">O. C.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Kaligis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,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Penerapan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Undang-Undang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Nomor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11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Tahun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2008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Tentang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Informasi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dan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Transaksi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Elektronik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dalam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Prakteknya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, Jakarta: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Yarsif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Watampone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, 2012,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hlm</w:t>
      </w:r>
      <w:proofErr w:type="spellEnd"/>
      <w:r w:rsidRPr="004123D7">
        <w:rPr>
          <w:rFonts w:ascii="Cambria" w:hAnsi="Cambria" w:cs="Times New Roman"/>
          <w:sz w:val="16"/>
          <w:szCs w:val="16"/>
        </w:rPr>
        <w:t>. 1-3.</w:t>
      </w:r>
    </w:p>
  </w:footnote>
  <w:footnote w:id="3">
    <w:p w14:paraId="107B9E6C" w14:textId="2290F3CC" w:rsidR="00B300DE" w:rsidRPr="004123D7" w:rsidRDefault="00B300DE">
      <w:pPr>
        <w:pStyle w:val="FootnoteText"/>
        <w:rPr>
          <w:rFonts w:ascii="Cambria" w:hAnsi="Cambria" w:cs="Times New Roman"/>
          <w:sz w:val="16"/>
          <w:szCs w:val="16"/>
          <w:lang w:val="en-US"/>
        </w:rPr>
      </w:pPr>
      <w:r w:rsidRPr="004123D7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Ika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Pomounda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, </w:t>
      </w:r>
      <w:r w:rsidRPr="004123D7">
        <w:rPr>
          <w:rFonts w:ascii="Cambria" w:hAnsi="Cambria" w:cs="Times New Roman"/>
          <w:i/>
          <w:sz w:val="16"/>
          <w:szCs w:val="16"/>
        </w:rPr>
        <w:t>Op. Cit.</w:t>
      </w:r>
      <w:r w:rsidRPr="004123D7">
        <w:rPr>
          <w:rFonts w:ascii="Cambria" w:hAnsi="Cambria" w:cs="Times New Roman"/>
          <w:sz w:val="16"/>
          <w:szCs w:val="16"/>
        </w:rPr>
        <w:t xml:space="preserve">,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hlm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. 2. </w:t>
      </w:r>
    </w:p>
  </w:footnote>
  <w:footnote w:id="4">
    <w:p w14:paraId="06A90710" w14:textId="30FD3ADF" w:rsidR="00BA05F5" w:rsidRPr="00BA05F5" w:rsidRDefault="00BA05F5">
      <w:pPr>
        <w:pStyle w:val="FootnoteText"/>
        <w:rPr>
          <w:rFonts w:ascii="Cambria" w:hAnsi="Cambria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A05F5">
        <w:rPr>
          <w:rFonts w:ascii="Cambria" w:hAnsi="Cambria"/>
          <w:sz w:val="16"/>
          <w:szCs w:val="16"/>
        </w:rPr>
        <w:t>Soerjono</w:t>
      </w:r>
      <w:proofErr w:type="spellEnd"/>
      <w:r w:rsidRPr="00BA05F5">
        <w:rPr>
          <w:rFonts w:ascii="Cambria" w:hAnsi="Cambria"/>
          <w:sz w:val="16"/>
          <w:szCs w:val="16"/>
        </w:rPr>
        <w:t xml:space="preserve"> </w:t>
      </w:r>
      <w:proofErr w:type="spellStart"/>
      <w:r w:rsidRPr="00BA05F5">
        <w:rPr>
          <w:rFonts w:ascii="Cambria" w:hAnsi="Cambria"/>
          <w:sz w:val="16"/>
          <w:szCs w:val="16"/>
        </w:rPr>
        <w:t>Soekanto</w:t>
      </w:r>
      <w:proofErr w:type="spellEnd"/>
      <w:r w:rsidRPr="00BA05F5">
        <w:rPr>
          <w:rFonts w:ascii="Cambria" w:hAnsi="Cambria"/>
          <w:sz w:val="16"/>
          <w:szCs w:val="16"/>
        </w:rPr>
        <w:t xml:space="preserve"> dan Sri </w:t>
      </w:r>
      <w:proofErr w:type="spellStart"/>
      <w:r w:rsidRPr="00BA05F5">
        <w:rPr>
          <w:rFonts w:ascii="Cambria" w:hAnsi="Cambria"/>
          <w:sz w:val="16"/>
          <w:szCs w:val="16"/>
        </w:rPr>
        <w:t>Mamudji</w:t>
      </w:r>
      <w:proofErr w:type="spellEnd"/>
      <w:r w:rsidRPr="00BA05F5">
        <w:rPr>
          <w:rFonts w:ascii="Cambria" w:hAnsi="Cambria"/>
          <w:sz w:val="16"/>
          <w:szCs w:val="16"/>
        </w:rPr>
        <w:t xml:space="preserve">. 1958. </w:t>
      </w:r>
      <w:proofErr w:type="spellStart"/>
      <w:r w:rsidRPr="00BA05F5">
        <w:rPr>
          <w:rFonts w:ascii="Cambria" w:hAnsi="Cambria"/>
          <w:sz w:val="16"/>
          <w:szCs w:val="16"/>
        </w:rPr>
        <w:t>Penelitian</w:t>
      </w:r>
      <w:proofErr w:type="spellEnd"/>
      <w:r w:rsidRPr="00BA05F5">
        <w:rPr>
          <w:rFonts w:ascii="Cambria" w:hAnsi="Cambria"/>
          <w:sz w:val="16"/>
          <w:szCs w:val="16"/>
        </w:rPr>
        <w:t xml:space="preserve"> </w:t>
      </w:r>
      <w:proofErr w:type="spellStart"/>
      <w:r w:rsidRPr="00BA05F5">
        <w:rPr>
          <w:rFonts w:ascii="Cambria" w:hAnsi="Cambria"/>
          <w:sz w:val="16"/>
          <w:szCs w:val="16"/>
        </w:rPr>
        <w:t>Hukum</w:t>
      </w:r>
      <w:proofErr w:type="spellEnd"/>
      <w:r w:rsidRPr="00BA05F5">
        <w:rPr>
          <w:rFonts w:ascii="Cambria" w:hAnsi="Cambria"/>
          <w:sz w:val="16"/>
          <w:szCs w:val="16"/>
        </w:rPr>
        <w:t xml:space="preserve"> </w:t>
      </w:r>
      <w:proofErr w:type="spellStart"/>
      <w:r w:rsidRPr="00BA05F5">
        <w:rPr>
          <w:rFonts w:ascii="Cambria" w:hAnsi="Cambria"/>
          <w:sz w:val="16"/>
          <w:szCs w:val="16"/>
        </w:rPr>
        <w:t>Normatif</w:t>
      </w:r>
      <w:proofErr w:type="spellEnd"/>
      <w:r w:rsidRPr="00BA05F5">
        <w:rPr>
          <w:rFonts w:ascii="Cambria" w:hAnsi="Cambria"/>
          <w:sz w:val="16"/>
          <w:szCs w:val="16"/>
        </w:rPr>
        <w:t xml:space="preserve"> </w:t>
      </w:r>
      <w:proofErr w:type="spellStart"/>
      <w:r w:rsidRPr="00BA05F5">
        <w:rPr>
          <w:rFonts w:ascii="Cambria" w:hAnsi="Cambria"/>
          <w:sz w:val="16"/>
          <w:szCs w:val="16"/>
        </w:rPr>
        <w:t>Suatu</w:t>
      </w:r>
      <w:proofErr w:type="spellEnd"/>
      <w:r w:rsidRPr="00BA05F5">
        <w:rPr>
          <w:rFonts w:ascii="Cambria" w:hAnsi="Cambria"/>
          <w:sz w:val="16"/>
          <w:szCs w:val="16"/>
        </w:rPr>
        <w:t xml:space="preserve"> </w:t>
      </w:r>
      <w:proofErr w:type="spellStart"/>
      <w:r w:rsidRPr="00BA05F5">
        <w:rPr>
          <w:rFonts w:ascii="Cambria" w:hAnsi="Cambria"/>
          <w:sz w:val="16"/>
          <w:szCs w:val="16"/>
        </w:rPr>
        <w:t>Tinjauan</w:t>
      </w:r>
      <w:proofErr w:type="spellEnd"/>
      <w:r w:rsidRPr="00BA05F5">
        <w:rPr>
          <w:rFonts w:ascii="Cambria" w:hAnsi="Cambria"/>
          <w:sz w:val="16"/>
          <w:szCs w:val="16"/>
        </w:rPr>
        <w:t xml:space="preserve"> </w:t>
      </w:r>
      <w:proofErr w:type="spellStart"/>
      <w:r w:rsidRPr="00BA05F5">
        <w:rPr>
          <w:rFonts w:ascii="Cambria" w:hAnsi="Cambria"/>
          <w:sz w:val="16"/>
          <w:szCs w:val="16"/>
        </w:rPr>
        <w:t>Singkat</w:t>
      </w:r>
      <w:proofErr w:type="spellEnd"/>
      <w:r w:rsidRPr="00BA05F5">
        <w:rPr>
          <w:rFonts w:ascii="Cambria" w:hAnsi="Cambria"/>
          <w:sz w:val="16"/>
          <w:szCs w:val="16"/>
        </w:rPr>
        <w:t xml:space="preserve">. </w:t>
      </w:r>
      <w:proofErr w:type="spellStart"/>
      <w:r w:rsidRPr="00BA05F5">
        <w:rPr>
          <w:rFonts w:ascii="Cambria" w:hAnsi="Cambria"/>
          <w:sz w:val="16"/>
          <w:szCs w:val="16"/>
        </w:rPr>
        <w:t>Rajawali</w:t>
      </w:r>
      <w:proofErr w:type="spellEnd"/>
      <w:r w:rsidRPr="00BA05F5">
        <w:rPr>
          <w:rFonts w:ascii="Cambria" w:hAnsi="Cambria"/>
          <w:sz w:val="16"/>
          <w:szCs w:val="16"/>
        </w:rPr>
        <w:t xml:space="preserve"> Pers. Jakarta. Hlm.25</w:t>
      </w:r>
    </w:p>
  </w:footnote>
  <w:footnote w:id="5">
    <w:p w14:paraId="0165C00E" w14:textId="37859B66" w:rsidR="001072A7" w:rsidRPr="004123D7" w:rsidRDefault="001072A7">
      <w:pPr>
        <w:pStyle w:val="FootnoteText"/>
        <w:rPr>
          <w:rFonts w:ascii="Cambria" w:hAnsi="Cambria" w:cs="Times New Roman"/>
          <w:sz w:val="16"/>
          <w:szCs w:val="16"/>
        </w:rPr>
      </w:pPr>
      <w:r w:rsidRPr="00BA05F5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Pr="00BA05F5">
        <w:rPr>
          <w:rFonts w:ascii="Cambria" w:hAnsi="Cambria" w:cs="Times New Roman"/>
          <w:sz w:val="16"/>
          <w:szCs w:val="16"/>
        </w:rPr>
        <w:t xml:space="preserve"> </w:t>
      </w:r>
      <w:r w:rsidRPr="00BA05F5">
        <w:rPr>
          <w:rFonts w:ascii="Cambria" w:hAnsi="Cambria" w:cs="Times New Roman"/>
          <w:i/>
          <w:sz w:val="16"/>
          <w:szCs w:val="16"/>
        </w:rPr>
        <w:t>Ibid</w:t>
      </w:r>
      <w:r w:rsidRPr="00BA05F5">
        <w:rPr>
          <w:rFonts w:ascii="Cambria" w:hAnsi="Cambria" w:cs="Times New Roman"/>
          <w:sz w:val="16"/>
          <w:szCs w:val="16"/>
        </w:rPr>
        <w:t xml:space="preserve">., </w:t>
      </w:r>
      <w:proofErr w:type="spellStart"/>
      <w:r w:rsidRPr="00BA05F5">
        <w:rPr>
          <w:rFonts w:ascii="Cambria" w:hAnsi="Cambria" w:cs="Times New Roman"/>
          <w:sz w:val="16"/>
          <w:szCs w:val="16"/>
        </w:rPr>
        <w:t>hlm</w:t>
      </w:r>
      <w:proofErr w:type="spellEnd"/>
      <w:r w:rsidRPr="00BA05F5">
        <w:rPr>
          <w:rFonts w:ascii="Cambria" w:hAnsi="Cambria" w:cs="Times New Roman"/>
          <w:sz w:val="16"/>
          <w:szCs w:val="16"/>
        </w:rPr>
        <w:t>. 4</w:t>
      </w:r>
    </w:p>
  </w:footnote>
  <w:footnote w:id="6">
    <w:p w14:paraId="7E524BAF" w14:textId="362E6585" w:rsidR="001072A7" w:rsidRPr="004123D7" w:rsidRDefault="001072A7">
      <w:pPr>
        <w:pStyle w:val="FootnoteText"/>
        <w:rPr>
          <w:rFonts w:ascii="Cambria" w:hAnsi="Cambria" w:cs="Times New Roman"/>
          <w:sz w:val="16"/>
          <w:szCs w:val="16"/>
        </w:rPr>
      </w:pPr>
      <w:r w:rsidRPr="004123D7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Pr="004123D7">
        <w:rPr>
          <w:rFonts w:ascii="Cambria" w:hAnsi="Cambria" w:cs="Times New Roman"/>
          <w:sz w:val="16"/>
          <w:szCs w:val="16"/>
        </w:rPr>
        <w:t xml:space="preserve"> </w:t>
      </w:r>
      <w:r w:rsidRPr="004123D7">
        <w:rPr>
          <w:rFonts w:ascii="Cambria" w:hAnsi="Cambria" w:cs="Times New Roman"/>
          <w:i/>
          <w:sz w:val="16"/>
          <w:szCs w:val="16"/>
        </w:rPr>
        <w:t>Ibid</w:t>
      </w:r>
      <w:r w:rsidRPr="004123D7">
        <w:rPr>
          <w:rFonts w:ascii="Cambria" w:hAnsi="Cambria" w:cs="Times New Roman"/>
          <w:sz w:val="16"/>
          <w:szCs w:val="16"/>
        </w:rPr>
        <w:t>.</w:t>
      </w:r>
    </w:p>
  </w:footnote>
  <w:footnote w:id="7">
    <w:p w14:paraId="6F64B22E" w14:textId="23F14CE4" w:rsidR="001072A7" w:rsidRPr="004123D7" w:rsidRDefault="001072A7">
      <w:pPr>
        <w:pStyle w:val="FootnoteText"/>
        <w:rPr>
          <w:rFonts w:ascii="Cambria" w:hAnsi="Cambria" w:cs="Times New Roman"/>
          <w:sz w:val="16"/>
          <w:szCs w:val="16"/>
          <w:lang w:val="en-US"/>
        </w:rPr>
      </w:pPr>
      <w:r w:rsidRPr="004123D7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Pr="004123D7">
        <w:rPr>
          <w:rFonts w:ascii="Cambria" w:hAnsi="Cambria" w:cs="Times New Roman"/>
          <w:sz w:val="16"/>
          <w:szCs w:val="16"/>
        </w:rPr>
        <w:t xml:space="preserve"> </w:t>
      </w:r>
      <w:r w:rsidRPr="004123D7">
        <w:rPr>
          <w:rFonts w:ascii="Cambria" w:hAnsi="Cambria" w:cs="Times New Roman"/>
          <w:i/>
          <w:sz w:val="16"/>
          <w:szCs w:val="16"/>
        </w:rPr>
        <w:t>Ibid</w:t>
      </w:r>
      <w:r w:rsidRPr="004123D7">
        <w:rPr>
          <w:rFonts w:ascii="Cambria" w:hAnsi="Cambria" w:cs="Times New Roman"/>
          <w:sz w:val="16"/>
          <w:szCs w:val="16"/>
        </w:rPr>
        <w:t>.</w:t>
      </w:r>
    </w:p>
  </w:footnote>
  <w:footnote w:id="8">
    <w:p w14:paraId="121C33B0" w14:textId="495B82DC" w:rsidR="00DD197A" w:rsidRPr="004123D7" w:rsidRDefault="00DD197A" w:rsidP="00DD197A">
      <w:pPr>
        <w:pStyle w:val="FootnoteText"/>
        <w:ind w:left="142" w:hanging="142"/>
        <w:jc w:val="both"/>
        <w:rPr>
          <w:rFonts w:ascii="Cambria" w:hAnsi="Cambria" w:cs="Times New Roman"/>
          <w:sz w:val="16"/>
          <w:szCs w:val="16"/>
          <w:lang w:val="en-US"/>
        </w:rPr>
      </w:pPr>
      <w:r w:rsidRPr="004123D7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Raditya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Sri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Krisnha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Wardhana</w:t>
      </w:r>
      <w:proofErr w:type="spellEnd"/>
      <w:r w:rsidRPr="004123D7">
        <w:rPr>
          <w:rFonts w:ascii="Cambria" w:hAnsi="Cambria" w:cs="Times New Roman"/>
          <w:sz w:val="16"/>
          <w:szCs w:val="16"/>
        </w:rPr>
        <w:t>, “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Kebijakan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Hukum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Pidana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Dalam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Menanggulangi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Tindak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Pidana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Penipuan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Melalui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Sarana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Elektronik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”,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Jurnal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Ilmiah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Dunia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Hukum</w:t>
      </w:r>
      <w:proofErr w:type="spellEnd"/>
      <w:r w:rsidRPr="004123D7">
        <w:rPr>
          <w:rFonts w:ascii="Cambria" w:hAnsi="Cambria" w:cs="Times New Roman"/>
          <w:sz w:val="16"/>
          <w:szCs w:val="16"/>
        </w:rPr>
        <w:t>, Vol. 5 No. 2</w:t>
      </w:r>
      <w:r w:rsidR="00487659" w:rsidRPr="004123D7">
        <w:rPr>
          <w:rFonts w:ascii="Cambria" w:hAnsi="Cambria" w:cs="Times New Roman"/>
          <w:sz w:val="16"/>
          <w:szCs w:val="16"/>
        </w:rPr>
        <w:t xml:space="preserve"> (2021)</w:t>
      </w:r>
      <w:r w:rsidRPr="004123D7">
        <w:rPr>
          <w:rFonts w:ascii="Cambria" w:hAnsi="Cambria" w:cs="Times New Roman"/>
          <w:sz w:val="16"/>
          <w:szCs w:val="16"/>
        </w:rPr>
        <w:t xml:space="preserve">,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hlm</w:t>
      </w:r>
      <w:proofErr w:type="spellEnd"/>
      <w:r w:rsidRPr="004123D7">
        <w:rPr>
          <w:rFonts w:ascii="Cambria" w:hAnsi="Cambria" w:cs="Times New Roman"/>
          <w:sz w:val="16"/>
          <w:szCs w:val="16"/>
        </w:rPr>
        <w:t>. 11</w:t>
      </w:r>
      <w:r w:rsidR="004E3CD8" w:rsidRPr="004123D7">
        <w:rPr>
          <w:rFonts w:ascii="Cambria" w:hAnsi="Cambria" w:cs="Times New Roman"/>
          <w:sz w:val="16"/>
          <w:szCs w:val="16"/>
        </w:rPr>
        <w:t>5</w:t>
      </w:r>
      <w:r w:rsidRPr="004123D7">
        <w:rPr>
          <w:rFonts w:ascii="Cambria" w:hAnsi="Cambria" w:cs="Times New Roman"/>
          <w:sz w:val="16"/>
          <w:szCs w:val="16"/>
        </w:rPr>
        <w:t>.</w:t>
      </w:r>
    </w:p>
  </w:footnote>
  <w:footnote w:id="9">
    <w:p w14:paraId="10E4514F" w14:textId="42DDE377" w:rsidR="004E3CD8" w:rsidRPr="004123D7" w:rsidRDefault="004E3CD8">
      <w:pPr>
        <w:pStyle w:val="FootnoteText"/>
        <w:rPr>
          <w:rFonts w:ascii="Cambria" w:hAnsi="Cambria" w:cs="Times New Roman"/>
          <w:sz w:val="16"/>
          <w:szCs w:val="16"/>
          <w:lang w:val="en-US"/>
        </w:rPr>
      </w:pPr>
      <w:r w:rsidRPr="004123D7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Pr="004123D7">
        <w:rPr>
          <w:rFonts w:ascii="Cambria" w:hAnsi="Cambria" w:cs="Times New Roman"/>
          <w:sz w:val="16"/>
          <w:szCs w:val="16"/>
        </w:rPr>
        <w:t xml:space="preserve"> </w:t>
      </w:r>
      <w:r w:rsidRPr="004123D7">
        <w:rPr>
          <w:rFonts w:ascii="Cambria" w:hAnsi="Cambria" w:cs="Times New Roman"/>
          <w:i/>
          <w:sz w:val="16"/>
          <w:szCs w:val="16"/>
        </w:rPr>
        <w:t>Ibid</w:t>
      </w:r>
      <w:r w:rsidRPr="004123D7">
        <w:rPr>
          <w:rFonts w:ascii="Cambria" w:hAnsi="Cambria" w:cs="Times New Roman"/>
          <w:sz w:val="16"/>
          <w:szCs w:val="16"/>
        </w:rPr>
        <w:t>.</w:t>
      </w:r>
    </w:p>
  </w:footnote>
  <w:footnote w:id="10">
    <w:p w14:paraId="6BB67E6F" w14:textId="343A3D2F" w:rsidR="006305B8" w:rsidRPr="004123D7" w:rsidRDefault="006305B8">
      <w:pPr>
        <w:pStyle w:val="FootnoteText"/>
        <w:rPr>
          <w:rFonts w:ascii="Cambria" w:hAnsi="Cambria" w:cs="Times New Roman"/>
          <w:sz w:val="16"/>
          <w:szCs w:val="16"/>
          <w:lang w:val="en-US"/>
        </w:rPr>
      </w:pPr>
      <w:r w:rsidRPr="004123D7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Pr="004123D7">
        <w:rPr>
          <w:rFonts w:ascii="Cambria" w:hAnsi="Cambria" w:cs="Times New Roman"/>
          <w:sz w:val="16"/>
          <w:szCs w:val="16"/>
        </w:rPr>
        <w:t xml:space="preserve"> Widodo, 2013,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Aspek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Hukum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Pidana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Kejahatan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Mayantara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, Yogyakarta: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Aswaja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Pressindo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,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hlm</w:t>
      </w:r>
      <w:proofErr w:type="spellEnd"/>
      <w:r w:rsidRPr="004123D7">
        <w:rPr>
          <w:rFonts w:ascii="Cambria" w:hAnsi="Cambria" w:cs="Times New Roman"/>
          <w:sz w:val="16"/>
          <w:szCs w:val="16"/>
        </w:rPr>
        <w:t>. 20.</w:t>
      </w:r>
    </w:p>
  </w:footnote>
  <w:footnote w:id="11">
    <w:p w14:paraId="451127E3" w14:textId="063BB5B6" w:rsidR="0014485F" w:rsidRPr="004123D7" w:rsidRDefault="0014485F" w:rsidP="0014485F">
      <w:pPr>
        <w:pStyle w:val="FootnoteText"/>
        <w:ind w:left="284" w:hanging="284"/>
        <w:jc w:val="both"/>
        <w:rPr>
          <w:rFonts w:ascii="Cambria" w:hAnsi="Cambria" w:cs="Times New Roman"/>
          <w:sz w:val="16"/>
          <w:szCs w:val="16"/>
          <w:lang w:val="en-US"/>
        </w:rPr>
      </w:pPr>
      <w:r w:rsidRPr="004123D7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Pr="004123D7">
        <w:rPr>
          <w:rFonts w:ascii="Cambria" w:hAnsi="Cambria" w:cs="Times New Roman"/>
          <w:sz w:val="16"/>
          <w:szCs w:val="16"/>
        </w:rPr>
        <w:t xml:space="preserve"> </w:t>
      </w:r>
      <w:r w:rsidRPr="004123D7">
        <w:rPr>
          <w:rFonts w:ascii="Cambria" w:hAnsi="Cambria" w:cs="Times New Roman"/>
          <w:sz w:val="16"/>
          <w:szCs w:val="16"/>
        </w:rPr>
        <w:tab/>
      </w:r>
      <w:proofErr w:type="spellStart"/>
      <w:r w:rsidRPr="004123D7">
        <w:rPr>
          <w:rFonts w:ascii="Cambria" w:hAnsi="Cambria" w:cs="Times New Roman"/>
          <w:sz w:val="16"/>
          <w:szCs w:val="16"/>
        </w:rPr>
        <w:t>Angga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Dito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Ganesha</w:t>
      </w:r>
      <w:proofErr w:type="spellEnd"/>
      <w:r w:rsidRPr="004123D7">
        <w:rPr>
          <w:rFonts w:ascii="Cambria" w:hAnsi="Cambria" w:cs="Times New Roman"/>
          <w:sz w:val="16"/>
          <w:szCs w:val="16"/>
        </w:rPr>
        <w:t>, “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Kebijakan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Hukum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Pidana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Tindak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Pidana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Penipuan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dalam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Pembelian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Barang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Secara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Online”,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Diponegoro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Law Journal</w:t>
      </w:r>
      <w:r w:rsidRPr="004123D7">
        <w:rPr>
          <w:rFonts w:ascii="Cambria" w:hAnsi="Cambria" w:cs="Times New Roman"/>
          <w:sz w:val="16"/>
          <w:szCs w:val="16"/>
        </w:rPr>
        <w:t xml:space="preserve">, Vol. 6 No. 2 (2017),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hlm</w:t>
      </w:r>
      <w:proofErr w:type="spellEnd"/>
      <w:r w:rsidRPr="004123D7">
        <w:rPr>
          <w:rFonts w:ascii="Cambria" w:hAnsi="Cambria" w:cs="Times New Roman"/>
          <w:sz w:val="16"/>
          <w:szCs w:val="16"/>
        </w:rPr>
        <w:t>. 4.</w:t>
      </w:r>
    </w:p>
  </w:footnote>
  <w:footnote w:id="12">
    <w:p w14:paraId="76EAC1CA" w14:textId="1166E501" w:rsidR="006237B5" w:rsidRPr="004123D7" w:rsidRDefault="006237B5">
      <w:pPr>
        <w:pStyle w:val="FootnoteText"/>
        <w:rPr>
          <w:rFonts w:ascii="Cambria" w:hAnsi="Cambria" w:cs="Times New Roman"/>
          <w:sz w:val="16"/>
          <w:szCs w:val="16"/>
          <w:lang w:val="en-US"/>
        </w:rPr>
      </w:pPr>
      <w:r w:rsidRPr="004123D7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Raditya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Sri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Krisnha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Wardhana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, </w:t>
      </w:r>
      <w:r w:rsidRPr="004123D7">
        <w:rPr>
          <w:rFonts w:ascii="Cambria" w:hAnsi="Cambria" w:cs="Times New Roman"/>
          <w:i/>
          <w:sz w:val="16"/>
          <w:szCs w:val="16"/>
        </w:rPr>
        <w:t>Op. Cit</w:t>
      </w:r>
      <w:r w:rsidRPr="004123D7">
        <w:rPr>
          <w:rFonts w:ascii="Cambria" w:hAnsi="Cambria" w:cs="Times New Roman"/>
          <w:sz w:val="16"/>
          <w:szCs w:val="16"/>
        </w:rPr>
        <w:t xml:space="preserve">.,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hlm</w:t>
      </w:r>
      <w:proofErr w:type="spellEnd"/>
      <w:r w:rsidRPr="004123D7">
        <w:rPr>
          <w:rFonts w:ascii="Cambria" w:hAnsi="Cambria" w:cs="Times New Roman"/>
          <w:sz w:val="16"/>
          <w:szCs w:val="16"/>
        </w:rPr>
        <w:t>. 116.</w:t>
      </w:r>
    </w:p>
  </w:footnote>
  <w:footnote w:id="13">
    <w:p w14:paraId="78752476" w14:textId="66247200" w:rsidR="00EE5E1B" w:rsidRPr="004123D7" w:rsidRDefault="00EE5E1B" w:rsidP="00EE5E1B">
      <w:pPr>
        <w:pStyle w:val="FootnoteText"/>
        <w:ind w:left="142" w:hanging="142"/>
        <w:jc w:val="both"/>
        <w:rPr>
          <w:rFonts w:ascii="Cambria" w:hAnsi="Cambria" w:cs="Times New Roman"/>
          <w:sz w:val="16"/>
          <w:szCs w:val="16"/>
          <w:lang w:val="en-US"/>
        </w:rPr>
      </w:pPr>
      <w:r w:rsidRPr="004123D7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="00604CFF" w:rsidRPr="004123D7">
        <w:rPr>
          <w:rFonts w:ascii="Cambria" w:hAnsi="Cambria" w:cs="Times New Roman"/>
          <w:sz w:val="16"/>
          <w:szCs w:val="16"/>
        </w:rPr>
        <w:t xml:space="preserve"> </w:t>
      </w:r>
      <w:r w:rsidR="00604CFF" w:rsidRPr="004123D7">
        <w:rPr>
          <w:rFonts w:ascii="Cambria" w:hAnsi="Cambria" w:cs="Times New Roman"/>
          <w:i/>
          <w:sz w:val="16"/>
          <w:szCs w:val="16"/>
        </w:rPr>
        <w:t>Ibid</w:t>
      </w:r>
      <w:r w:rsidR="00604CFF" w:rsidRPr="004123D7">
        <w:rPr>
          <w:rFonts w:ascii="Cambria" w:hAnsi="Cambria" w:cs="Times New Roman"/>
          <w:sz w:val="16"/>
          <w:szCs w:val="16"/>
        </w:rPr>
        <w:t>.,</w:t>
      </w:r>
      <w:r w:rsidR="001B05E6"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="001B05E6" w:rsidRPr="004123D7">
        <w:rPr>
          <w:rFonts w:ascii="Cambria" w:hAnsi="Cambria" w:cs="Times New Roman"/>
          <w:sz w:val="16"/>
          <w:szCs w:val="16"/>
        </w:rPr>
        <w:t>hlm</w:t>
      </w:r>
      <w:proofErr w:type="spellEnd"/>
      <w:r w:rsidR="001B05E6" w:rsidRPr="004123D7">
        <w:rPr>
          <w:rFonts w:ascii="Cambria" w:hAnsi="Cambria" w:cs="Times New Roman"/>
          <w:sz w:val="16"/>
          <w:szCs w:val="16"/>
        </w:rPr>
        <w:t>. 114.</w:t>
      </w:r>
    </w:p>
  </w:footnote>
  <w:footnote w:id="14">
    <w:p w14:paraId="1D5EDEC0" w14:textId="1FBDDD4A" w:rsidR="00162AFC" w:rsidRPr="004123D7" w:rsidRDefault="00162AFC" w:rsidP="00487659">
      <w:pPr>
        <w:pStyle w:val="FootnoteText"/>
        <w:ind w:left="284" w:hanging="284"/>
        <w:jc w:val="both"/>
        <w:rPr>
          <w:rFonts w:ascii="Cambria" w:hAnsi="Cambria" w:cs="Times New Roman"/>
          <w:sz w:val="16"/>
          <w:szCs w:val="16"/>
          <w:lang w:val="en-US"/>
        </w:rPr>
      </w:pPr>
      <w:r w:rsidRPr="004123D7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Pr="004123D7">
        <w:rPr>
          <w:rFonts w:ascii="Cambria" w:hAnsi="Cambria" w:cs="Times New Roman"/>
          <w:sz w:val="16"/>
          <w:szCs w:val="16"/>
        </w:rPr>
        <w:t xml:space="preserve"> </w:t>
      </w:r>
      <w:r w:rsidR="00140952" w:rsidRPr="004123D7">
        <w:rPr>
          <w:rFonts w:ascii="Cambria" w:hAnsi="Cambria" w:cs="Times New Roman"/>
          <w:sz w:val="16"/>
          <w:szCs w:val="16"/>
        </w:rPr>
        <w:tab/>
      </w:r>
      <w:r w:rsidRPr="004123D7">
        <w:rPr>
          <w:rFonts w:ascii="Cambria" w:hAnsi="Cambria" w:cs="Times New Roman"/>
          <w:sz w:val="16"/>
          <w:szCs w:val="16"/>
        </w:rPr>
        <w:t>Kelly, “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Upaya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Yuridis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Memperkecil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Disparitas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Putusan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”,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Jurnal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Hukum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Adigama</w:t>
      </w:r>
      <w:proofErr w:type="spellEnd"/>
      <w:r w:rsidRPr="004123D7">
        <w:rPr>
          <w:rFonts w:ascii="Cambria" w:hAnsi="Cambria" w:cs="Times New Roman"/>
          <w:sz w:val="16"/>
          <w:szCs w:val="16"/>
        </w:rPr>
        <w:t>, Vol.</w:t>
      </w:r>
      <w:r w:rsidR="00C34904" w:rsidRPr="004123D7">
        <w:rPr>
          <w:rFonts w:ascii="Cambria" w:hAnsi="Cambria" w:cs="Times New Roman"/>
          <w:sz w:val="16"/>
          <w:szCs w:val="16"/>
        </w:rPr>
        <w:t xml:space="preserve"> 3</w:t>
      </w:r>
      <w:r w:rsidRPr="004123D7">
        <w:rPr>
          <w:rFonts w:ascii="Cambria" w:hAnsi="Cambria" w:cs="Times New Roman"/>
          <w:sz w:val="16"/>
          <w:szCs w:val="16"/>
        </w:rPr>
        <w:t xml:space="preserve"> No.</w:t>
      </w:r>
      <w:r w:rsidR="00C34904" w:rsidRPr="004123D7">
        <w:rPr>
          <w:rFonts w:ascii="Cambria" w:hAnsi="Cambria" w:cs="Times New Roman"/>
          <w:sz w:val="16"/>
          <w:szCs w:val="16"/>
        </w:rPr>
        <w:t>2</w:t>
      </w:r>
      <w:r w:rsidRPr="004123D7">
        <w:rPr>
          <w:rFonts w:ascii="Cambria" w:hAnsi="Cambria" w:cs="Times New Roman"/>
          <w:sz w:val="16"/>
          <w:szCs w:val="16"/>
        </w:rPr>
        <w:t xml:space="preserve"> (</w:t>
      </w:r>
      <w:r w:rsidR="00487659" w:rsidRPr="004123D7">
        <w:rPr>
          <w:rFonts w:ascii="Cambria" w:hAnsi="Cambria" w:cs="Times New Roman"/>
          <w:sz w:val="16"/>
          <w:szCs w:val="16"/>
        </w:rPr>
        <w:t>2020</w:t>
      </w:r>
      <w:r w:rsidRPr="004123D7">
        <w:rPr>
          <w:rFonts w:ascii="Cambria" w:hAnsi="Cambria" w:cs="Times New Roman"/>
          <w:sz w:val="16"/>
          <w:szCs w:val="16"/>
        </w:rPr>
        <w:t xml:space="preserve">),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hlm</w:t>
      </w:r>
      <w:proofErr w:type="spellEnd"/>
      <w:r w:rsidRPr="004123D7">
        <w:rPr>
          <w:rFonts w:ascii="Cambria" w:hAnsi="Cambria" w:cs="Times New Roman"/>
          <w:sz w:val="16"/>
          <w:szCs w:val="16"/>
        </w:rPr>
        <w:t>. 1128.</w:t>
      </w:r>
    </w:p>
  </w:footnote>
  <w:footnote w:id="15">
    <w:p w14:paraId="3C205F18" w14:textId="697E64F6" w:rsidR="00140952" w:rsidRPr="004123D7" w:rsidRDefault="00140952" w:rsidP="00140952">
      <w:pPr>
        <w:pStyle w:val="FootnoteText"/>
        <w:ind w:left="284" w:hanging="284"/>
        <w:jc w:val="both"/>
        <w:rPr>
          <w:rFonts w:ascii="Cambria" w:hAnsi="Cambria" w:cs="Times New Roman"/>
          <w:sz w:val="16"/>
          <w:szCs w:val="16"/>
          <w:lang w:val="en-US"/>
        </w:rPr>
      </w:pPr>
      <w:r w:rsidRPr="004123D7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Pr="004123D7">
        <w:rPr>
          <w:rFonts w:ascii="Cambria" w:hAnsi="Cambria" w:cs="Times New Roman"/>
          <w:sz w:val="16"/>
          <w:szCs w:val="16"/>
        </w:rPr>
        <w:t xml:space="preserve"> </w:t>
      </w:r>
      <w:r w:rsidRPr="004123D7">
        <w:rPr>
          <w:rFonts w:ascii="Cambria" w:hAnsi="Cambria" w:cs="Times New Roman"/>
          <w:sz w:val="16"/>
          <w:szCs w:val="16"/>
        </w:rPr>
        <w:tab/>
        <w:t xml:space="preserve">H.M.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Siregar</w:t>
      </w:r>
      <w:proofErr w:type="spellEnd"/>
      <w:r w:rsidRPr="004123D7">
        <w:rPr>
          <w:rFonts w:ascii="Cambria" w:hAnsi="Cambria" w:cs="Times New Roman"/>
          <w:sz w:val="16"/>
          <w:szCs w:val="16"/>
        </w:rPr>
        <w:t>, “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Analisis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Disparitas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Putusan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Hakim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dalam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Penjatuhan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Pidana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Terhadap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Tindak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Pidana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Perjudian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”,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Pranata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Hukum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, Vol. 9 No. 1 (2014),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hlm</w:t>
      </w:r>
      <w:proofErr w:type="spellEnd"/>
      <w:r w:rsidRPr="004123D7">
        <w:rPr>
          <w:rFonts w:ascii="Cambria" w:hAnsi="Cambria" w:cs="Times New Roman"/>
          <w:sz w:val="16"/>
          <w:szCs w:val="16"/>
        </w:rPr>
        <w:t>. 77</w:t>
      </w:r>
    </w:p>
  </w:footnote>
  <w:footnote w:id="16">
    <w:p w14:paraId="5EA51076" w14:textId="70680AF3" w:rsidR="00C87B02" w:rsidRPr="004123D7" w:rsidRDefault="00C87B02" w:rsidP="00C87B02">
      <w:pPr>
        <w:pStyle w:val="FootnoteText"/>
        <w:ind w:left="284" w:hanging="284"/>
        <w:jc w:val="both"/>
        <w:rPr>
          <w:rFonts w:ascii="Cambria" w:hAnsi="Cambria" w:cs="Times New Roman"/>
          <w:sz w:val="16"/>
          <w:szCs w:val="16"/>
          <w:lang w:val="en-US"/>
        </w:rPr>
      </w:pPr>
      <w:r w:rsidRPr="004123D7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Pr="004123D7">
        <w:rPr>
          <w:rFonts w:ascii="Cambria" w:hAnsi="Cambria" w:cs="Times New Roman"/>
          <w:sz w:val="16"/>
          <w:szCs w:val="16"/>
        </w:rPr>
        <w:t xml:space="preserve"> </w:t>
      </w:r>
      <w:r w:rsidRPr="004123D7">
        <w:rPr>
          <w:rFonts w:ascii="Cambria" w:hAnsi="Cambria" w:cs="Times New Roman"/>
          <w:sz w:val="16"/>
          <w:szCs w:val="16"/>
        </w:rPr>
        <w:tab/>
        <w:t xml:space="preserve">Emi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Ebi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Rohmatin</w:t>
      </w:r>
      <w:proofErr w:type="spellEnd"/>
      <w:r w:rsidRPr="004123D7">
        <w:rPr>
          <w:rFonts w:ascii="Cambria" w:hAnsi="Cambria" w:cs="Times New Roman"/>
          <w:sz w:val="16"/>
          <w:szCs w:val="16"/>
        </w:rPr>
        <w:t>, “</w:t>
      </w:r>
      <w:r w:rsidRPr="004123D7">
        <w:rPr>
          <w:rFonts w:ascii="Cambria" w:hAnsi="Cambria" w:cs="Times New Roman"/>
          <w:i/>
          <w:sz w:val="16"/>
          <w:szCs w:val="16"/>
        </w:rPr>
        <w:t>Ratio Decidendi</w:t>
      </w:r>
      <w:r w:rsidRPr="004123D7">
        <w:rPr>
          <w:rFonts w:ascii="Cambria" w:hAnsi="Cambria" w:cs="Times New Roman"/>
          <w:sz w:val="16"/>
          <w:szCs w:val="16"/>
        </w:rPr>
        <w:t xml:space="preserve"> Hakim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Pengadilan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Agama Malang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dalam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Putusan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No. 2303/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Pdt.G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/2015/PA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Mlg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tentang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Lelang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Eksekusi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Hak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Tanggungan</w:t>
      </w:r>
      <w:proofErr w:type="spellEnd"/>
      <w:r w:rsidRPr="004123D7">
        <w:rPr>
          <w:rFonts w:ascii="Cambria" w:hAnsi="Cambria" w:cs="Times New Roman"/>
          <w:sz w:val="16"/>
          <w:szCs w:val="16"/>
        </w:rPr>
        <w:t>”, (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Skripsi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tidak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diterbitkan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,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Fakultas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Hukum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Universitas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Islam Negeri Maulana Malik Ibrahim, 2018),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hlm</w:t>
      </w:r>
      <w:proofErr w:type="spellEnd"/>
      <w:r w:rsidRPr="004123D7">
        <w:rPr>
          <w:rFonts w:ascii="Cambria" w:hAnsi="Cambria" w:cs="Times New Roman"/>
          <w:sz w:val="16"/>
          <w:szCs w:val="16"/>
        </w:rPr>
        <w:t>. 28.</w:t>
      </w:r>
    </w:p>
  </w:footnote>
  <w:footnote w:id="17">
    <w:p w14:paraId="015C5CBA" w14:textId="1C1C8DAB" w:rsidR="000B348B" w:rsidRPr="004123D7" w:rsidRDefault="000B348B" w:rsidP="000B348B">
      <w:pPr>
        <w:pStyle w:val="FootnoteText"/>
        <w:ind w:left="284" w:hanging="284"/>
        <w:jc w:val="both"/>
        <w:rPr>
          <w:rFonts w:ascii="Cambria" w:hAnsi="Cambria" w:cs="Times New Roman"/>
          <w:sz w:val="16"/>
          <w:szCs w:val="16"/>
          <w:lang w:val="en-US"/>
        </w:rPr>
      </w:pPr>
      <w:r w:rsidRPr="004123D7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Pr="004123D7">
        <w:rPr>
          <w:rFonts w:ascii="Cambria" w:hAnsi="Cambria" w:cs="Times New Roman"/>
          <w:sz w:val="16"/>
          <w:szCs w:val="16"/>
        </w:rPr>
        <w:t xml:space="preserve"> </w:t>
      </w:r>
      <w:r w:rsidRPr="004123D7">
        <w:rPr>
          <w:rFonts w:ascii="Cambria" w:hAnsi="Cambria" w:cs="Times New Roman"/>
          <w:sz w:val="16"/>
          <w:szCs w:val="16"/>
        </w:rPr>
        <w:tab/>
        <w:t xml:space="preserve">Tata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Wijayanta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dan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Hery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Firmansyah</w:t>
      </w:r>
      <w:proofErr w:type="spellEnd"/>
      <w:r w:rsidRPr="004123D7">
        <w:rPr>
          <w:rFonts w:ascii="Cambria" w:hAnsi="Cambria" w:cs="Times New Roman"/>
          <w:sz w:val="16"/>
          <w:szCs w:val="16"/>
        </w:rPr>
        <w:t>, “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Perbedaan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Pendapat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dalam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Putusan-Putusan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di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Pengadilan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Negeri Yogyakarta dan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Pengadilan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 Negeri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Sleman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”,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Mimbar</w:t>
      </w:r>
      <w:proofErr w:type="spellEnd"/>
      <w:r w:rsidRPr="004123D7">
        <w:rPr>
          <w:rFonts w:ascii="Cambria" w:hAnsi="Cambria" w:cs="Times New Roman"/>
          <w:i/>
          <w:sz w:val="16"/>
          <w:szCs w:val="16"/>
        </w:rPr>
        <w:t xml:space="preserve"> </w:t>
      </w:r>
      <w:proofErr w:type="spellStart"/>
      <w:r w:rsidRPr="004123D7">
        <w:rPr>
          <w:rFonts w:ascii="Cambria" w:hAnsi="Cambria" w:cs="Times New Roman"/>
          <w:i/>
          <w:sz w:val="16"/>
          <w:szCs w:val="16"/>
        </w:rPr>
        <w:t>Hukum</w:t>
      </w:r>
      <w:proofErr w:type="spellEnd"/>
      <w:r w:rsidRPr="004123D7">
        <w:rPr>
          <w:rFonts w:ascii="Cambria" w:hAnsi="Cambria" w:cs="Times New Roman"/>
          <w:sz w:val="16"/>
          <w:szCs w:val="16"/>
        </w:rPr>
        <w:t xml:space="preserve">, Vol. 23 No. 1 (2011),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hlm</w:t>
      </w:r>
      <w:proofErr w:type="spellEnd"/>
      <w:r w:rsidRPr="004123D7">
        <w:rPr>
          <w:rFonts w:ascii="Cambria" w:hAnsi="Cambria" w:cs="Times New Roman"/>
          <w:sz w:val="16"/>
          <w:szCs w:val="16"/>
        </w:rPr>
        <w:t>. 41.</w:t>
      </w:r>
    </w:p>
  </w:footnote>
  <w:footnote w:id="18">
    <w:p w14:paraId="1CF8B8F6" w14:textId="13990D65" w:rsidR="000B348B" w:rsidRPr="000B348B" w:rsidRDefault="000B348B" w:rsidP="00412E51">
      <w:pPr>
        <w:pStyle w:val="FootnoteText"/>
        <w:ind w:left="284" w:hanging="284"/>
        <w:rPr>
          <w:rFonts w:ascii="Times New Roman" w:hAnsi="Times New Roman" w:cs="Times New Roman"/>
          <w:lang w:val="en-US"/>
        </w:rPr>
      </w:pPr>
      <w:r w:rsidRPr="004123D7">
        <w:rPr>
          <w:rStyle w:val="FootnoteReference"/>
          <w:rFonts w:ascii="Cambria" w:hAnsi="Cambria" w:cs="Times New Roman"/>
          <w:sz w:val="16"/>
          <w:szCs w:val="16"/>
        </w:rPr>
        <w:footnoteRef/>
      </w:r>
      <w:r w:rsidRPr="004123D7">
        <w:rPr>
          <w:rFonts w:ascii="Cambria" w:hAnsi="Cambria" w:cs="Times New Roman"/>
          <w:sz w:val="16"/>
          <w:szCs w:val="16"/>
        </w:rPr>
        <w:t xml:space="preserve"> </w:t>
      </w:r>
      <w:r w:rsidR="00412E51" w:rsidRPr="004123D7">
        <w:rPr>
          <w:rFonts w:ascii="Cambria" w:hAnsi="Cambria" w:cs="Times New Roman"/>
          <w:sz w:val="16"/>
          <w:szCs w:val="16"/>
        </w:rPr>
        <w:tab/>
      </w:r>
      <w:r w:rsidRPr="004123D7">
        <w:rPr>
          <w:rFonts w:ascii="Cambria" w:hAnsi="Cambria" w:cs="Times New Roman"/>
          <w:sz w:val="16"/>
          <w:szCs w:val="16"/>
        </w:rPr>
        <w:t xml:space="preserve">Kelly, </w:t>
      </w:r>
      <w:r w:rsidRPr="004123D7">
        <w:rPr>
          <w:rFonts w:ascii="Cambria" w:hAnsi="Cambria" w:cs="Times New Roman"/>
          <w:i/>
          <w:sz w:val="16"/>
          <w:szCs w:val="16"/>
        </w:rPr>
        <w:t>Op. Cit.</w:t>
      </w:r>
      <w:r w:rsidRPr="004123D7">
        <w:rPr>
          <w:rFonts w:ascii="Cambria" w:hAnsi="Cambria" w:cs="Times New Roman"/>
          <w:sz w:val="16"/>
          <w:szCs w:val="16"/>
        </w:rPr>
        <w:t xml:space="preserve">, </w:t>
      </w:r>
      <w:proofErr w:type="spellStart"/>
      <w:r w:rsidRPr="004123D7">
        <w:rPr>
          <w:rFonts w:ascii="Cambria" w:hAnsi="Cambria" w:cs="Times New Roman"/>
          <w:sz w:val="16"/>
          <w:szCs w:val="16"/>
        </w:rPr>
        <w:t>hlm</w:t>
      </w:r>
      <w:proofErr w:type="spellEnd"/>
      <w:r w:rsidRPr="004123D7">
        <w:rPr>
          <w:rFonts w:ascii="Cambria" w:hAnsi="Cambria" w:cs="Times New Roman"/>
          <w:sz w:val="16"/>
          <w:szCs w:val="16"/>
        </w:rPr>
        <w:t>. 1130.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0BB8"/>
    <w:multiLevelType w:val="hybridMultilevel"/>
    <w:tmpl w:val="32A2DB0A"/>
    <w:lvl w:ilvl="0" w:tplc="AA10DBEA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" w15:restartNumberingAfterBreak="0">
    <w:nsid w:val="07B37E56"/>
    <w:multiLevelType w:val="hybridMultilevel"/>
    <w:tmpl w:val="875665B0"/>
    <w:lvl w:ilvl="0" w:tplc="6DA0F3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CE582A"/>
    <w:multiLevelType w:val="hybridMultilevel"/>
    <w:tmpl w:val="8744C0DA"/>
    <w:lvl w:ilvl="0" w:tplc="4BCAD986">
      <w:start w:val="1"/>
      <w:numFmt w:val="lowerLetter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 w15:restartNumberingAfterBreak="0">
    <w:nsid w:val="0E004FF0"/>
    <w:multiLevelType w:val="hybridMultilevel"/>
    <w:tmpl w:val="1CE4DC22"/>
    <w:lvl w:ilvl="0" w:tplc="F850DE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8B41BA"/>
    <w:multiLevelType w:val="hybridMultilevel"/>
    <w:tmpl w:val="B05E869A"/>
    <w:lvl w:ilvl="0" w:tplc="F8569954">
      <w:start w:val="1"/>
      <w:numFmt w:val="lowerLetter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 w15:restartNumberingAfterBreak="0">
    <w:nsid w:val="14BE025A"/>
    <w:multiLevelType w:val="hybridMultilevel"/>
    <w:tmpl w:val="615A1332"/>
    <w:lvl w:ilvl="0" w:tplc="DE086E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B29B7"/>
    <w:multiLevelType w:val="hybridMultilevel"/>
    <w:tmpl w:val="DF5A345E"/>
    <w:lvl w:ilvl="0" w:tplc="8C82C2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6E47"/>
    <w:multiLevelType w:val="hybridMultilevel"/>
    <w:tmpl w:val="A258BC92"/>
    <w:lvl w:ilvl="0" w:tplc="1EFAC2F4">
      <w:start w:val="1"/>
      <w:numFmt w:val="lowerLetter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8" w15:restartNumberingAfterBreak="0">
    <w:nsid w:val="72E467F2"/>
    <w:multiLevelType w:val="multilevel"/>
    <w:tmpl w:val="0F326BC8"/>
    <w:lvl w:ilvl="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6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7B"/>
    <w:rsid w:val="000136CA"/>
    <w:rsid w:val="0001777B"/>
    <w:rsid w:val="00064B63"/>
    <w:rsid w:val="00067CAF"/>
    <w:rsid w:val="00071A0C"/>
    <w:rsid w:val="00087AA5"/>
    <w:rsid w:val="000B1A0D"/>
    <w:rsid w:val="000B1D7E"/>
    <w:rsid w:val="000B348B"/>
    <w:rsid w:val="000C35DB"/>
    <w:rsid w:val="000D05D0"/>
    <w:rsid w:val="000D1EF9"/>
    <w:rsid w:val="000D5559"/>
    <w:rsid w:val="001072A7"/>
    <w:rsid w:val="00140952"/>
    <w:rsid w:val="00141841"/>
    <w:rsid w:val="0014485F"/>
    <w:rsid w:val="00162AFC"/>
    <w:rsid w:val="001832D5"/>
    <w:rsid w:val="001B05E6"/>
    <w:rsid w:val="001C7B95"/>
    <w:rsid w:val="00202CE4"/>
    <w:rsid w:val="00213DC1"/>
    <w:rsid w:val="00243793"/>
    <w:rsid w:val="00250665"/>
    <w:rsid w:val="00251FB1"/>
    <w:rsid w:val="00252B5A"/>
    <w:rsid w:val="00303208"/>
    <w:rsid w:val="003113C7"/>
    <w:rsid w:val="00323520"/>
    <w:rsid w:val="0034462B"/>
    <w:rsid w:val="00345441"/>
    <w:rsid w:val="004058EA"/>
    <w:rsid w:val="004123D7"/>
    <w:rsid w:val="00412E51"/>
    <w:rsid w:val="00427B9A"/>
    <w:rsid w:val="00487659"/>
    <w:rsid w:val="00493C16"/>
    <w:rsid w:val="004A44C5"/>
    <w:rsid w:val="004C7380"/>
    <w:rsid w:val="004E3CD8"/>
    <w:rsid w:val="004F0ECA"/>
    <w:rsid w:val="00534B3C"/>
    <w:rsid w:val="00575701"/>
    <w:rsid w:val="005E2381"/>
    <w:rsid w:val="00604CFF"/>
    <w:rsid w:val="006237B5"/>
    <w:rsid w:val="006305B8"/>
    <w:rsid w:val="00633366"/>
    <w:rsid w:val="006524E3"/>
    <w:rsid w:val="006661E2"/>
    <w:rsid w:val="0066750A"/>
    <w:rsid w:val="006C7280"/>
    <w:rsid w:val="006F185E"/>
    <w:rsid w:val="00777DE7"/>
    <w:rsid w:val="007D4F94"/>
    <w:rsid w:val="008317C7"/>
    <w:rsid w:val="008511B2"/>
    <w:rsid w:val="008933D1"/>
    <w:rsid w:val="008A1665"/>
    <w:rsid w:val="008D1D23"/>
    <w:rsid w:val="00902FB3"/>
    <w:rsid w:val="00930F17"/>
    <w:rsid w:val="00933EEB"/>
    <w:rsid w:val="00990374"/>
    <w:rsid w:val="009A0697"/>
    <w:rsid w:val="009B37AE"/>
    <w:rsid w:val="009B5FAE"/>
    <w:rsid w:val="009E6886"/>
    <w:rsid w:val="009F5CCC"/>
    <w:rsid w:val="00A633EE"/>
    <w:rsid w:val="00A87D54"/>
    <w:rsid w:val="00A92C0B"/>
    <w:rsid w:val="00AB0858"/>
    <w:rsid w:val="00AB2203"/>
    <w:rsid w:val="00AC3756"/>
    <w:rsid w:val="00AE5421"/>
    <w:rsid w:val="00AF3347"/>
    <w:rsid w:val="00AF6798"/>
    <w:rsid w:val="00B01676"/>
    <w:rsid w:val="00B03A70"/>
    <w:rsid w:val="00B300DE"/>
    <w:rsid w:val="00B36F6C"/>
    <w:rsid w:val="00B5303D"/>
    <w:rsid w:val="00B96578"/>
    <w:rsid w:val="00BA05F5"/>
    <w:rsid w:val="00BA5507"/>
    <w:rsid w:val="00BA7C73"/>
    <w:rsid w:val="00BB7BCB"/>
    <w:rsid w:val="00BC04B8"/>
    <w:rsid w:val="00BC23C8"/>
    <w:rsid w:val="00C34904"/>
    <w:rsid w:val="00C63BD8"/>
    <w:rsid w:val="00C84C43"/>
    <w:rsid w:val="00C87B02"/>
    <w:rsid w:val="00C96DCD"/>
    <w:rsid w:val="00CD5277"/>
    <w:rsid w:val="00CF62FA"/>
    <w:rsid w:val="00D45D1D"/>
    <w:rsid w:val="00D45FCD"/>
    <w:rsid w:val="00D61F89"/>
    <w:rsid w:val="00D73D48"/>
    <w:rsid w:val="00DA6CFB"/>
    <w:rsid w:val="00DD197A"/>
    <w:rsid w:val="00DE35C8"/>
    <w:rsid w:val="00DE4155"/>
    <w:rsid w:val="00DE561A"/>
    <w:rsid w:val="00E021FC"/>
    <w:rsid w:val="00E3260A"/>
    <w:rsid w:val="00E64AB2"/>
    <w:rsid w:val="00E96B5F"/>
    <w:rsid w:val="00EA682D"/>
    <w:rsid w:val="00EC02DD"/>
    <w:rsid w:val="00EC58B6"/>
    <w:rsid w:val="00EE5E1B"/>
    <w:rsid w:val="00F42F5B"/>
    <w:rsid w:val="00F6624B"/>
    <w:rsid w:val="00F768CA"/>
    <w:rsid w:val="00FA260D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39BE"/>
  <w15:chartTrackingRefBased/>
  <w15:docId w15:val="{2BEE290F-B0F9-784F-8FEF-E3BDD4EB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8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A6C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6C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C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5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ahafit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uhammadanwara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ikada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18776B-E8BC-462E-B8D9-1055B283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5943</Words>
  <Characters>33879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Hafit Zahrulswendar</dc:creator>
  <cp:keywords/>
  <dc:description/>
  <cp:lastModifiedBy>Andika Dwi Amrianto</cp:lastModifiedBy>
  <cp:revision>21</cp:revision>
  <dcterms:created xsi:type="dcterms:W3CDTF">2021-05-03T06:03:00Z</dcterms:created>
  <dcterms:modified xsi:type="dcterms:W3CDTF">2021-07-19T06:27:00Z</dcterms:modified>
</cp:coreProperties>
</file>