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681"/>
        <w:tblW w:w="9328" w:type="dxa"/>
        <w:tblLayout w:type="fixed"/>
        <w:tblLook w:val="04A0" w:firstRow="1" w:lastRow="0" w:firstColumn="1" w:lastColumn="0" w:noHBand="0" w:noVBand="1"/>
      </w:tblPr>
      <w:tblGrid>
        <w:gridCol w:w="3060"/>
        <w:gridCol w:w="6268"/>
      </w:tblGrid>
      <w:tr w:rsidR="00E01C77" w:rsidRPr="00BC5DD1" w14:paraId="06809523" w14:textId="77777777" w:rsidTr="00072624">
        <w:trPr>
          <w:trHeight w:val="5670"/>
        </w:trPr>
        <w:tc>
          <w:tcPr>
            <w:tcW w:w="3060" w:type="dxa"/>
            <w:shd w:val="clear" w:color="auto" w:fill="auto"/>
          </w:tcPr>
          <w:p w14:paraId="7EF22F76" w14:textId="77777777" w:rsidR="00E01C77" w:rsidRPr="00BC5DD1" w:rsidRDefault="00E01C77" w:rsidP="00E01C77">
            <w:pPr>
              <w:spacing w:after="0" w:line="240" w:lineRule="auto"/>
              <w:ind w:right="567"/>
              <w:contextualSpacing/>
              <w:rPr>
                <w:rFonts w:ascii="Calibri" w:eastAsia="Calibri" w:hAnsi="Calibri" w:cs="Calibri"/>
                <w:bCs/>
                <w:sz w:val="28"/>
                <w:szCs w:val="28"/>
                <w:lang w:val="id-ID"/>
              </w:rPr>
            </w:pPr>
            <w:bookmarkStart w:id="0" w:name="_Toc471231410"/>
            <w:r w:rsidRPr="00BC5DD1">
              <w:rPr>
                <w:rFonts w:ascii="Calibri" w:eastAsia="Calibri" w:hAnsi="Calibri" w:cs="Calibri"/>
                <w:bCs/>
                <w:noProof/>
                <w:sz w:val="28"/>
                <w:szCs w:val="28"/>
                <w:lang w:val="id-ID" w:eastAsia="id-ID"/>
              </w:rPr>
              <w:drawing>
                <wp:inline distT="0" distB="0" distL="0" distR="0" wp14:anchorId="18165C0D" wp14:editId="2CD61246">
                  <wp:extent cx="126682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638175"/>
                          </a:xfrm>
                          <a:prstGeom prst="rect">
                            <a:avLst/>
                          </a:prstGeom>
                          <a:noFill/>
                        </pic:spPr>
                      </pic:pic>
                    </a:graphicData>
                  </a:graphic>
                </wp:inline>
              </w:drawing>
            </w:r>
          </w:p>
          <w:p w14:paraId="2C13B662" w14:textId="77777777" w:rsidR="0034113C" w:rsidRPr="00BC5DD1" w:rsidRDefault="0034113C" w:rsidP="00E01C77">
            <w:pPr>
              <w:spacing w:after="0" w:line="259" w:lineRule="auto"/>
              <w:rPr>
                <w:rFonts w:ascii="Calibri" w:eastAsia="Calibri" w:hAnsi="Calibri" w:cs="Calibri"/>
                <w:bCs/>
                <w:color w:val="000000"/>
              </w:rPr>
            </w:pPr>
          </w:p>
          <w:p w14:paraId="0B489277" w14:textId="77777777" w:rsidR="000E4EB1" w:rsidRPr="00BC5DD1" w:rsidRDefault="000E4EB1" w:rsidP="00E01C77">
            <w:pPr>
              <w:spacing w:after="0" w:line="259" w:lineRule="auto"/>
              <w:rPr>
                <w:rFonts w:eastAsia="Calibri" w:cstheme="minorHAnsi"/>
                <w:bCs/>
                <w:sz w:val="18"/>
                <w:szCs w:val="18"/>
              </w:rPr>
            </w:pPr>
            <w:proofErr w:type="spellStart"/>
            <w:r w:rsidRPr="00BC5DD1">
              <w:rPr>
                <w:rFonts w:eastAsia="Calibri" w:cstheme="minorHAnsi"/>
                <w:bCs/>
                <w:sz w:val="18"/>
                <w:szCs w:val="18"/>
              </w:rPr>
              <w:t>Jurnal</w:t>
            </w:r>
            <w:proofErr w:type="spellEnd"/>
            <w:r w:rsidRPr="00BC5DD1">
              <w:rPr>
                <w:rFonts w:eastAsia="Calibri" w:cstheme="minorHAnsi"/>
                <w:bCs/>
                <w:sz w:val="18"/>
                <w:szCs w:val="18"/>
              </w:rPr>
              <w:t xml:space="preserve"> Akuntansi </w:t>
            </w:r>
            <w:proofErr w:type="spellStart"/>
            <w:r w:rsidRPr="00BC5DD1">
              <w:rPr>
                <w:rFonts w:eastAsia="Calibri" w:cstheme="minorHAnsi"/>
                <w:bCs/>
                <w:sz w:val="18"/>
                <w:szCs w:val="18"/>
              </w:rPr>
              <w:t>Terapan</w:t>
            </w:r>
            <w:proofErr w:type="spellEnd"/>
            <w:r w:rsidRPr="00BC5DD1">
              <w:rPr>
                <w:rFonts w:eastAsia="Calibri" w:cstheme="minorHAnsi"/>
                <w:bCs/>
                <w:sz w:val="18"/>
                <w:szCs w:val="18"/>
              </w:rPr>
              <w:t xml:space="preserve"> Indonesia</w:t>
            </w:r>
          </w:p>
          <w:p w14:paraId="7A278FEE" w14:textId="54ACDB49" w:rsidR="000E00E0" w:rsidRPr="00BC5DD1" w:rsidRDefault="006B7388" w:rsidP="00E01C77">
            <w:pPr>
              <w:spacing w:after="0" w:line="259" w:lineRule="auto"/>
              <w:rPr>
                <w:rFonts w:eastAsia="Calibri" w:cstheme="minorHAnsi"/>
                <w:bCs/>
                <w:sz w:val="18"/>
                <w:szCs w:val="18"/>
              </w:rPr>
            </w:pPr>
            <w:r w:rsidRPr="00BC5DD1">
              <w:rPr>
                <w:rFonts w:eastAsia="Calibri" w:cstheme="minorHAnsi"/>
                <w:bCs/>
                <w:sz w:val="18"/>
                <w:szCs w:val="18"/>
              </w:rPr>
              <w:t xml:space="preserve">Vol </w:t>
            </w:r>
            <w:r w:rsidR="006032F9">
              <w:rPr>
                <w:rFonts w:eastAsia="Calibri" w:cstheme="minorHAnsi"/>
                <w:bCs/>
                <w:sz w:val="18"/>
                <w:szCs w:val="18"/>
              </w:rPr>
              <w:t>xxx</w:t>
            </w:r>
            <w:r w:rsidRPr="00BC5DD1">
              <w:rPr>
                <w:rFonts w:eastAsia="Calibri" w:cstheme="minorHAnsi"/>
                <w:bCs/>
                <w:sz w:val="18"/>
                <w:szCs w:val="18"/>
              </w:rPr>
              <w:t xml:space="preserve"> No </w:t>
            </w:r>
            <w:r w:rsidR="006032F9">
              <w:rPr>
                <w:rFonts w:eastAsia="Calibri" w:cstheme="minorHAnsi"/>
                <w:bCs/>
                <w:sz w:val="18"/>
                <w:szCs w:val="18"/>
              </w:rPr>
              <w:t xml:space="preserve">xxx </w:t>
            </w:r>
            <w:r w:rsidR="00A90BA2" w:rsidRPr="00BC5DD1">
              <w:rPr>
                <w:rFonts w:eastAsia="Calibri" w:cstheme="minorHAnsi"/>
                <w:bCs/>
                <w:sz w:val="18"/>
                <w:szCs w:val="18"/>
              </w:rPr>
              <w:t xml:space="preserve">Hal </w:t>
            </w:r>
            <w:r w:rsidR="00BF4990" w:rsidRPr="00BC5DD1">
              <w:rPr>
                <w:rFonts w:eastAsia="Calibri" w:cstheme="minorHAnsi"/>
                <w:bCs/>
                <w:sz w:val="18"/>
                <w:szCs w:val="18"/>
              </w:rPr>
              <w:t>Date Month</w:t>
            </w:r>
            <w:r w:rsidRPr="00BC5DD1">
              <w:rPr>
                <w:rFonts w:eastAsia="Calibri" w:cstheme="minorHAnsi"/>
                <w:bCs/>
                <w:sz w:val="18"/>
                <w:szCs w:val="18"/>
              </w:rPr>
              <w:t xml:space="preserve"> </w:t>
            </w:r>
            <w:r w:rsidR="00BF4990" w:rsidRPr="00BC5DD1">
              <w:rPr>
                <w:rFonts w:eastAsia="Calibri" w:cstheme="minorHAnsi"/>
                <w:bCs/>
                <w:sz w:val="18"/>
                <w:szCs w:val="18"/>
              </w:rPr>
              <w:t>Year</w:t>
            </w:r>
          </w:p>
          <w:p w14:paraId="5AC9A036" w14:textId="77777777" w:rsidR="00E01C77" w:rsidRPr="00BC5DD1" w:rsidRDefault="00E01C77" w:rsidP="00E01C77">
            <w:pPr>
              <w:spacing w:after="0" w:line="240" w:lineRule="auto"/>
              <w:ind w:right="33"/>
              <w:contextualSpacing/>
              <w:rPr>
                <w:rFonts w:ascii="Calibri" w:eastAsia="Calibri" w:hAnsi="Calibri" w:cs="Calibri"/>
                <w:bCs/>
                <w:sz w:val="20"/>
                <w:szCs w:val="20"/>
                <w:lang w:val="id-ID"/>
              </w:rPr>
            </w:pPr>
          </w:p>
        </w:tc>
        <w:tc>
          <w:tcPr>
            <w:tcW w:w="6268" w:type="dxa"/>
            <w:vMerge w:val="restart"/>
            <w:shd w:val="clear" w:color="auto" w:fill="auto"/>
          </w:tcPr>
          <w:p w14:paraId="0414101D" w14:textId="77777777" w:rsidR="0034113C" w:rsidRPr="00BC5DD1" w:rsidRDefault="0034113C" w:rsidP="006B7388">
            <w:pPr>
              <w:spacing w:after="0" w:line="240" w:lineRule="auto"/>
              <w:rPr>
                <w:rFonts w:ascii="Calibri Light" w:eastAsia="Calibri" w:hAnsi="Calibri Light" w:cs="Calibri Light"/>
                <w:bCs/>
              </w:rPr>
            </w:pPr>
            <w:r w:rsidRPr="00BC5DD1">
              <w:rPr>
                <w:rFonts w:ascii="Calibri Light" w:eastAsia="Calibri" w:hAnsi="Calibri Light" w:cs="Calibri Light"/>
                <w:bCs/>
              </w:rPr>
              <w:t>Article Type: Research Paper</w:t>
            </w:r>
          </w:p>
          <w:p w14:paraId="10BAC982" w14:textId="77777777" w:rsidR="0034113C" w:rsidRPr="00BC5DD1" w:rsidRDefault="0034113C" w:rsidP="006B7388">
            <w:pPr>
              <w:spacing w:after="0" w:line="240" w:lineRule="auto"/>
              <w:rPr>
                <w:rFonts w:ascii="Calibri Light" w:eastAsia="Calibri" w:hAnsi="Calibri Light" w:cs="Calibri Light"/>
                <w:bCs/>
              </w:rPr>
            </w:pPr>
          </w:p>
          <w:p w14:paraId="68D130B4" w14:textId="69F59AFE" w:rsidR="00E01C77" w:rsidRPr="00541F50" w:rsidRDefault="00207022" w:rsidP="00DF6EEE">
            <w:pPr>
              <w:spacing w:after="0" w:line="240" w:lineRule="auto"/>
              <w:rPr>
                <w:rFonts w:ascii="Calibri Light" w:eastAsia="Calibri" w:hAnsi="Calibri Light" w:cs="Calibri Light"/>
                <w:b/>
                <w:sz w:val="36"/>
                <w:szCs w:val="36"/>
              </w:rPr>
            </w:pPr>
            <w:bookmarkStart w:id="1" w:name="_Hlk92493499"/>
            <w:r>
              <w:rPr>
                <w:rFonts w:ascii="Calibri Light" w:eastAsia="Calibri" w:hAnsi="Calibri Light" w:cs="Calibri Light"/>
                <w:b/>
                <w:sz w:val="36"/>
                <w:szCs w:val="36"/>
              </w:rPr>
              <w:t xml:space="preserve">Comprehensive </w:t>
            </w:r>
            <w:r w:rsidR="00D0170F" w:rsidRPr="00D0170F">
              <w:rPr>
                <w:rFonts w:ascii="Calibri Light" w:eastAsia="Calibri" w:hAnsi="Calibri Light" w:cs="Calibri Light"/>
                <w:b/>
                <w:sz w:val="36"/>
                <w:szCs w:val="36"/>
              </w:rPr>
              <w:t xml:space="preserve">Model </w:t>
            </w:r>
            <w:r>
              <w:rPr>
                <w:rFonts w:ascii="Calibri Light" w:eastAsia="Calibri" w:hAnsi="Calibri Light" w:cs="Calibri Light"/>
                <w:b/>
                <w:sz w:val="36"/>
                <w:szCs w:val="36"/>
              </w:rPr>
              <w:t>of Bankruptcy and Forensic Accounting</w:t>
            </w:r>
          </w:p>
          <w:bookmarkEnd w:id="1"/>
          <w:p w14:paraId="3C46573C" w14:textId="77777777" w:rsidR="00E01C77" w:rsidRPr="00BC5DD1" w:rsidRDefault="00E01C77" w:rsidP="00E01C77">
            <w:pPr>
              <w:spacing w:after="0" w:line="240" w:lineRule="auto"/>
              <w:ind w:right="33"/>
              <w:rPr>
                <w:rFonts w:ascii="Calibri Light" w:eastAsia="Calibri" w:hAnsi="Calibri Light" w:cs="Calibri Light"/>
                <w:bCs/>
                <w:szCs w:val="28"/>
                <w:lang w:val="id-ID"/>
              </w:rPr>
            </w:pPr>
          </w:p>
          <w:p w14:paraId="718D7D93" w14:textId="4F58B3AC" w:rsidR="00BF4990" w:rsidRPr="00EA2566" w:rsidRDefault="00D0170F" w:rsidP="00D0170F">
            <w:pPr>
              <w:tabs>
                <w:tab w:val="left" w:pos="4680"/>
              </w:tabs>
              <w:spacing w:after="0" w:line="240" w:lineRule="auto"/>
              <w:ind w:right="33"/>
              <w:rPr>
                <w:rFonts w:ascii="Calibri Light" w:eastAsia="Calibri" w:hAnsi="Calibri Light" w:cs="Calibri Light"/>
                <w:bCs/>
                <w:szCs w:val="21"/>
                <w:shd w:val="clear" w:color="auto" w:fill="FFFFFF"/>
              </w:rPr>
            </w:pPr>
            <w:r w:rsidRPr="00D0170F">
              <w:rPr>
                <w:rFonts w:ascii="Calibri Light" w:eastAsia="Calibri" w:hAnsi="Calibri Light" w:cs="Calibri Light"/>
                <w:bCs/>
                <w:szCs w:val="21"/>
                <w:shd w:val="clear" w:color="auto" w:fill="FFFFFF"/>
              </w:rPr>
              <w:t>Eka Wirajuang Daurrohmah</w:t>
            </w:r>
            <w:r w:rsidR="00E01C77" w:rsidRPr="00BC5DD1">
              <w:rPr>
                <w:rFonts w:ascii="Calibri Light" w:eastAsia="Calibri" w:hAnsi="Calibri Light" w:cs="Calibri Light"/>
                <w:bCs/>
                <w:szCs w:val="21"/>
                <w:shd w:val="clear" w:color="auto" w:fill="FFFFFF"/>
              </w:rPr>
              <w:t>*</w:t>
            </w:r>
            <w:r w:rsidR="00E01C77" w:rsidRPr="00BC5DD1">
              <w:rPr>
                <w:rFonts w:ascii="Calibri Light" w:eastAsia="Calibri" w:hAnsi="Calibri Light" w:cs="Calibri Light"/>
                <w:bCs/>
                <w:szCs w:val="21"/>
                <w:shd w:val="clear" w:color="auto" w:fill="FFFFFF"/>
                <w:vertAlign w:val="superscript"/>
              </w:rPr>
              <w:t>1</w:t>
            </w:r>
            <w:r w:rsidR="00E01C77" w:rsidRPr="00BC5DD1">
              <w:rPr>
                <w:rFonts w:ascii="Calibri Light" w:eastAsia="Calibri" w:hAnsi="Calibri Light" w:cs="Calibri Light"/>
                <w:bCs/>
                <w:szCs w:val="21"/>
                <w:shd w:val="clear" w:color="auto" w:fill="FFFFFF"/>
              </w:rPr>
              <w:t xml:space="preserve">, </w:t>
            </w:r>
            <w:r w:rsidRPr="00D0170F">
              <w:rPr>
                <w:rFonts w:ascii="Calibri Light" w:eastAsia="Calibri" w:hAnsi="Calibri Light" w:cs="Calibri Light"/>
                <w:bCs/>
                <w:szCs w:val="21"/>
                <w:shd w:val="clear" w:color="auto" w:fill="FFFFFF"/>
              </w:rPr>
              <w:t>Ali Riza</w:t>
            </w:r>
            <w:r w:rsidR="00E01C77" w:rsidRPr="00BC5DD1">
              <w:rPr>
                <w:rFonts w:ascii="Calibri Light" w:eastAsia="Calibri" w:hAnsi="Calibri Light" w:cs="Calibri Light"/>
                <w:bCs/>
                <w:szCs w:val="21"/>
                <w:shd w:val="clear" w:color="auto" w:fill="FFFFFF"/>
                <w:vertAlign w:val="superscript"/>
              </w:rPr>
              <w:t>2</w:t>
            </w:r>
            <w:r w:rsidR="00BF4990" w:rsidRPr="00BC5DD1">
              <w:rPr>
                <w:rFonts w:ascii="Calibri Light" w:eastAsia="Calibri" w:hAnsi="Calibri Light" w:cs="Calibri Light"/>
                <w:bCs/>
                <w:szCs w:val="21"/>
                <w:shd w:val="clear" w:color="auto" w:fill="FFFFFF"/>
              </w:rPr>
              <w:t xml:space="preserve">, </w:t>
            </w:r>
            <w:proofErr w:type="spellStart"/>
            <w:r w:rsidRPr="00D0170F">
              <w:rPr>
                <w:rFonts w:ascii="Calibri Light" w:eastAsia="Calibri" w:hAnsi="Calibri Light" w:cs="Calibri Light"/>
                <w:bCs/>
                <w:szCs w:val="21"/>
                <w:shd w:val="clear" w:color="auto" w:fill="FFFFFF"/>
              </w:rPr>
              <w:t>Pesi</w:t>
            </w:r>
            <w:proofErr w:type="spellEnd"/>
            <w:r w:rsidRPr="00D0170F">
              <w:rPr>
                <w:rFonts w:ascii="Calibri Light" w:eastAsia="Calibri" w:hAnsi="Calibri Light" w:cs="Calibri Light"/>
                <w:bCs/>
                <w:szCs w:val="21"/>
                <w:shd w:val="clear" w:color="auto" w:fill="FFFFFF"/>
              </w:rPr>
              <w:t xml:space="preserve"> </w:t>
            </w:r>
            <w:proofErr w:type="spellStart"/>
            <w:r w:rsidRPr="00D0170F">
              <w:rPr>
                <w:rFonts w:ascii="Calibri Light" w:eastAsia="Calibri" w:hAnsi="Calibri Light" w:cs="Calibri Light"/>
                <w:bCs/>
                <w:szCs w:val="21"/>
                <w:shd w:val="clear" w:color="auto" w:fill="FFFFFF"/>
              </w:rPr>
              <w:t>Suryani</w:t>
            </w:r>
            <w:proofErr w:type="spellEnd"/>
            <w:r w:rsidRPr="00D0170F">
              <w:rPr>
                <w:rFonts w:ascii="Calibri Light" w:eastAsia="Calibri" w:hAnsi="Calibri Light" w:cs="Calibri Light"/>
                <w:bCs/>
                <w:szCs w:val="21"/>
                <w:shd w:val="clear" w:color="auto" w:fill="FFFFFF"/>
              </w:rPr>
              <w:t xml:space="preserve"> </w:t>
            </w:r>
            <w:r w:rsidR="00BF4990" w:rsidRPr="00BC5DD1">
              <w:rPr>
                <w:rFonts w:ascii="Calibri Light" w:eastAsia="Calibri" w:hAnsi="Calibri Light" w:cs="Calibri Light"/>
                <w:bCs/>
                <w:szCs w:val="21"/>
                <w:shd w:val="clear" w:color="auto" w:fill="FFFFFF"/>
                <w:vertAlign w:val="superscript"/>
              </w:rPr>
              <w:t>3</w:t>
            </w:r>
            <w:r w:rsidR="00EA2566">
              <w:rPr>
                <w:rFonts w:ascii="Calibri Light" w:eastAsia="Calibri" w:hAnsi="Calibri Light" w:cs="Calibri Light"/>
                <w:bCs/>
                <w:szCs w:val="21"/>
                <w:shd w:val="clear" w:color="auto" w:fill="FFFFFF"/>
              </w:rPr>
              <w:t xml:space="preserve">, </w:t>
            </w:r>
            <w:proofErr w:type="spellStart"/>
            <w:r w:rsidR="00EA2566">
              <w:rPr>
                <w:rFonts w:ascii="Calibri Light" w:eastAsia="Calibri" w:hAnsi="Calibri Light" w:cs="Calibri Light"/>
                <w:bCs/>
                <w:szCs w:val="21"/>
                <w:shd w:val="clear" w:color="auto" w:fill="FFFFFF"/>
              </w:rPr>
              <w:t>Dekar</w:t>
            </w:r>
            <w:proofErr w:type="spellEnd"/>
            <w:r w:rsidR="00EA2566">
              <w:rPr>
                <w:rFonts w:ascii="Calibri Light" w:eastAsia="Calibri" w:hAnsi="Calibri Light" w:cs="Calibri Light"/>
                <w:bCs/>
                <w:szCs w:val="21"/>
                <w:shd w:val="clear" w:color="auto" w:fill="FFFFFF"/>
              </w:rPr>
              <w:t xml:space="preserve"> Urumsah</w:t>
            </w:r>
            <w:r w:rsidR="00EA2566" w:rsidRPr="00EA2566">
              <w:rPr>
                <w:rFonts w:ascii="Calibri Light" w:eastAsia="Calibri" w:hAnsi="Calibri Light" w:cs="Calibri Light"/>
                <w:bCs/>
                <w:szCs w:val="21"/>
                <w:shd w:val="clear" w:color="auto" w:fill="FFFFFF"/>
                <w:vertAlign w:val="superscript"/>
              </w:rPr>
              <w:t>4</w:t>
            </w:r>
          </w:p>
          <w:p w14:paraId="5C175601" w14:textId="77777777" w:rsidR="00BF4990" w:rsidRPr="00BC5DD1" w:rsidRDefault="00BF4990" w:rsidP="00E01C77">
            <w:pPr>
              <w:spacing w:after="0" w:line="240" w:lineRule="auto"/>
              <w:jc w:val="both"/>
              <w:rPr>
                <w:rFonts w:ascii="Goudy Old Style" w:eastAsia="Calibri" w:hAnsi="Goudy Old Style" w:cs="Times New Roman"/>
                <w:bCs/>
                <w:iCs/>
                <w:sz w:val="20"/>
                <w:szCs w:val="20"/>
                <w:lang w:val="id-ID"/>
              </w:rPr>
            </w:pPr>
          </w:p>
          <w:p w14:paraId="064B49E5" w14:textId="77777777" w:rsidR="00641A3C" w:rsidRPr="00541F50" w:rsidRDefault="00E01C77" w:rsidP="00E01C77">
            <w:pPr>
              <w:spacing w:after="0" w:line="240" w:lineRule="auto"/>
              <w:jc w:val="both"/>
              <w:rPr>
                <w:rFonts w:ascii="Goudy Old Style" w:eastAsia="Times New Roman" w:hAnsi="Goudy Old Style" w:cs="Times New Roman"/>
                <w:b/>
                <w:i/>
                <w:color w:val="000000"/>
                <w:sz w:val="20"/>
                <w:szCs w:val="20"/>
                <w:lang w:val="id-ID"/>
              </w:rPr>
            </w:pPr>
            <w:r w:rsidRPr="00541F50">
              <w:rPr>
                <w:rFonts w:ascii="Goudy Old Style" w:eastAsia="Calibri" w:hAnsi="Goudy Old Style" w:cs="Times New Roman"/>
                <w:b/>
                <w:iCs/>
                <w:sz w:val="20"/>
                <w:szCs w:val="20"/>
                <w:lang w:val="id-ID"/>
              </w:rPr>
              <w:t>Abstract</w:t>
            </w:r>
            <w:bookmarkStart w:id="2" w:name="Text5"/>
            <w:r w:rsidRPr="00541F50">
              <w:rPr>
                <w:rFonts w:ascii="Goudy Old Style" w:eastAsia="Calibri" w:hAnsi="Goudy Old Style" w:cs="Times New Roman"/>
                <w:b/>
                <w:iCs/>
                <w:sz w:val="20"/>
                <w:szCs w:val="20"/>
                <w:lang w:val="id-ID"/>
              </w:rPr>
              <w:t>:</w:t>
            </w:r>
            <w:r w:rsidRPr="00541F50">
              <w:rPr>
                <w:rFonts w:ascii="Goudy Old Style" w:eastAsia="Calibri" w:hAnsi="Goudy Old Style" w:cs="Times New Roman"/>
                <w:b/>
                <w:iCs/>
                <w:sz w:val="20"/>
                <w:szCs w:val="20"/>
              </w:rPr>
              <w:t xml:space="preserve"> </w:t>
            </w:r>
            <w:r w:rsidRPr="00541F50">
              <w:rPr>
                <w:rFonts w:ascii="Goudy Old Style" w:eastAsia="Times New Roman" w:hAnsi="Goudy Old Style" w:cs="Times New Roman"/>
                <w:b/>
                <w:i/>
                <w:color w:val="000000"/>
                <w:sz w:val="20"/>
                <w:szCs w:val="20"/>
                <w:lang w:val="id-ID"/>
              </w:rPr>
              <w:t xml:space="preserve"> </w:t>
            </w:r>
          </w:p>
          <w:p w14:paraId="40A230E1" w14:textId="2A48ADF8" w:rsidR="00780862" w:rsidRPr="00780862" w:rsidRDefault="00204B18" w:rsidP="00204B18">
            <w:pPr>
              <w:autoSpaceDE w:val="0"/>
              <w:autoSpaceDN w:val="0"/>
              <w:adjustRightInd w:val="0"/>
              <w:spacing w:after="0" w:line="240" w:lineRule="auto"/>
              <w:jc w:val="both"/>
              <w:rPr>
                <w:rFonts w:ascii="Goudy Old Style" w:hAnsi="Goudy Old Style" w:cs="Arial"/>
                <w:bCs/>
                <w:i/>
                <w:sz w:val="20"/>
                <w:szCs w:val="20"/>
              </w:rPr>
            </w:pPr>
            <w:bookmarkStart w:id="3" w:name="_Hlk92390073"/>
            <w:bookmarkEnd w:id="2"/>
            <w:r w:rsidRPr="00204B18">
              <w:rPr>
                <w:rFonts w:ascii="Goudy Old Style" w:hAnsi="Goudy Old Style" w:cs="Arial"/>
                <w:bCs/>
                <w:i/>
                <w:sz w:val="20"/>
                <w:szCs w:val="20"/>
              </w:rPr>
              <w:t xml:space="preserve">Going concern is </w:t>
            </w:r>
            <w:r w:rsidR="00BB0D3D">
              <w:rPr>
                <w:rFonts w:ascii="Goudy Old Style" w:hAnsi="Goudy Old Style" w:cs="Arial"/>
                <w:bCs/>
                <w:i/>
                <w:sz w:val="20"/>
                <w:szCs w:val="20"/>
              </w:rPr>
              <w:t>an</w:t>
            </w:r>
            <w:r w:rsidR="00BB0D3D" w:rsidRPr="00204B18">
              <w:rPr>
                <w:rFonts w:ascii="Goudy Old Style" w:hAnsi="Goudy Old Style" w:cs="Arial"/>
                <w:bCs/>
                <w:i/>
                <w:sz w:val="20"/>
                <w:szCs w:val="20"/>
              </w:rPr>
              <w:t xml:space="preserve"> </w:t>
            </w:r>
            <w:r w:rsidRPr="00204B18">
              <w:rPr>
                <w:rFonts w:ascii="Goudy Old Style" w:hAnsi="Goudy Old Style" w:cs="Arial"/>
                <w:bCs/>
                <w:i/>
                <w:sz w:val="20"/>
                <w:szCs w:val="20"/>
              </w:rPr>
              <w:t>assumption of company establishment but some companies go bankrupt. Fraud can be a cause of bankruptcy, used to hide bankruptcy</w:t>
            </w:r>
            <w:r w:rsidR="00207022">
              <w:rPr>
                <w:rFonts w:ascii="Goudy Old Style" w:hAnsi="Goudy Old Style" w:cs="Arial"/>
                <w:bCs/>
                <w:i/>
                <w:sz w:val="20"/>
                <w:szCs w:val="20"/>
              </w:rPr>
              <w:t>,</w:t>
            </w:r>
            <w:r w:rsidRPr="00204B18">
              <w:rPr>
                <w:rFonts w:ascii="Goudy Old Style" w:hAnsi="Goudy Old Style" w:cs="Arial"/>
                <w:bCs/>
                <w:i/>
                <w:sz w:val="20"/>
                <w:szCs w:val="20"/>
              </w:rPr>
              <w:t xml:space="preserve"> and can occur </w:t>
            </w:r>
            <w:r w:rsidR="00207022">
              <w:rPr>
                <w:rFonts w:ascii="Goudy Old Style" w:hAnsi="Goudy Old Style" w:cs="Arial"/>
                <w:bCs/>
                <w:i/>
                <w:sz w:val="20"/>
                <w:szCs w:val="20"/>
              </w:rPr>
              <w:t xml:space="preserve">due to </w:t>
            </w:r>
            <w:r w:rsidRPr="00204B18">
              <w:rPr>
                <w:rFonts w:ascii="Goudy Old Style" w:hAnsi="Goudy Old Style" w:cs="Arial"/>
                <w:bCs/>
                <w:i/>
                <w:sz w:val="20"/>
                <w:szCs w:val="20"/>
              </w:rPr>
              <w:t xml:space="preserve">bankruptcy. Potential fraud can occur in every main activity of </w:t>
            </w:r>
            <w:r w:rsidR="00207022">
              <w:rPr>
                <w:rFonts w:ascii="Goudy Old Style" w:hAnsi="Goudy Old Style" w:cs="Arial"/>
                <w:bCs/>
                <w:i/>
                <w:sz w:val="20"/>
                <w:szCs w:val="20"/>
              </w:rPr>
              <w:t xml:space="preserve">a </w:t>
            </w:r>
            <w:r w:rsidRPr="00204B18">
              <w:rPr>
                <w:rFonts w:ascii="Goudy Old Style" w:hAnsi="Goudy Old Style" w:cs="Arial"/>
                <w:bCs/>
                <w:i/>
                <w:sz w:val="20"/>
                <w:szCs w:val="20"/>
              </w:rPr>
              <w:t xml:space="preserve">curator in resolving bankruptcy cases so the curator requires forensic accounting. The purpose of this study </w:t>
            </w:r>
            <w:r w:rsidR="00207022">
              <w:rPr>
                <w:rFonts w:ascii="Goudy Old Style" w:hAnsi="Goudy Old Style" w:cs="Arial"/>
                <w:bCs/>
                <w:i/>
                <w:sz w:val="20"/>
                <w:szCs w:val="20"/>
              </w:rPr>
              <w:t>wa</w:t>
            </w:r>
            <w:r w:rsidR="00207022" w:rsidRPr="00204B18">
              <w:rPr>
                <w:rFonts w:ascii="Goudy Old Style" w:hAnsi="Goudy Old Style" w:cs="Arial"/>
                <w:bCs/>
                <w:i/>
                <w:sz w:val="20"/>
                <w:szCs w:val="20"/>
              </w:rPr>
              <w:t xml:space="preserve">s </w:t>
            </w:r>
            <w:r w:rsidRPr="00204B18">
              <w:rPr>
                <w:rFonts w:ascii="Goudy Old Style" w:hAnsi="Goudy Old Style" w:cs="Arial"/>
                <w:bCs/>
                <w:i/>
                <w:sz w:val="20"/>
                <w:szCs w:val="20"/>
              </w:rPr>
              <w:t xml:space="preserve">to determine the importance of forensic accounting in bankruptcy cases resolved by </w:t>
            </w:r>
            <w:r w:rsidR="00207022">
              <w:rPr>
                <w:rFonts w:ascii="Goudy Old Style" w:hAnsi="Goudy Old Style" w:cs="Arial"/>
                <w:bCs/>
                <w:i/>
                <w:sz w:val="20"/>
                <w:szCs w:val="20"/>
              </w:rPr>
              <w:t xml:space="preserve">a </w:t>
            </w:r>
            <w:r w:rsidRPr="00204B18">
              <w:rPr>
                <w:rFonts w:ascii="Goudy Old Style" w:hAnsi="Goudy Old Style" w:cs="Arial"/>
                <w:bCs/>
                <w:i/>
                <w:sz w:val="20"/>
                <w:szCs w:val="20"/>
              </w:rPr>
              <w:t xml:space="preserve">curator. This study </w:t>
            </w:r>
            <w:r w:rsidR="00207022" w:rsidRPr="00204B18">
              <w:rPr>
                <w:rFonts w:ascii="Goudy Old Style" w:hAnsi="Goudy Old Style" w:cs="Arial"/>
                <w:bCs/>
                <w:i/>
                <w:sz w:val="20"/>
                <w:szCs w:val="20"/>
              </w:rPr>
              <w:t>use</w:t>
            </w:r>
            <w:r w:rsidR="00207022">
              <w:rPr>
                <w:rFonts w:ascii="Goudy Old Style" w:hAnsi="Goudy Old Style" w:cs="Arial"/>
                <w:bCs/>
                <w:i/>
                <w:sz w:val="20"/>
                <w:szCs w:val="20"/>
              </w:rPr>
              <w:t>d</w:t>
            </w:r>
            <w:r w:rsidR="00207022" w:rsidRPr="00204B18">
              <w:rPr>
                <w:rFonts w:ascii="Goudy Old Style" w:hAnsi="Goudy Old Style" w:cs="Arial"/>
                <w:bCs/>
                <w:i/>
                <w:sz w:val="20"/>
                <w:szCs w:val="20"/>
              </w:rPr>
              <w:t xml:space="preserve"> </w:t>
            </w:r>
            <w:r w:rsidRPr="00204B18">
              <w:rPr>
                <w:rFonts w:ascii="Goudy Old Style" w:hAnsi="Goudy Old Style" w:cs="Arial"/>
                <w:bCs/>
                <w:i/>
                <w:sz w:val="20"/>
                <w:szCs w:val="20"/>
              </w:rPr>
              <w:t xml:space="preserve">a qualitative approach with semi-structured interviews. The </w:t>
            </w:r>
            <w:r w:rsidR="00207022" w:rsidRPr="00204B18">
              <w:rPr>
                <w:rFonts w:ascii="Goudy Old Style" w:hAnsi="Goudy Old Style" w:cs="Arial"/>
                <w:bCs/>
                <w:i/>
                <w:sz w:val="20"/>
                <w:szCs w:val="20"/>
              </w:rPr>
              <w:t>respondent</w:t>
            </w:r>
            <w:r w:rsidR="00207022">
              <w:rPr>
                <w:rFonts w:ascii="Goudy Old Style" w:hAnsi="Goudy Old Style" w:cs="Arial"/>
                <w:bCs/>
                <w:i/>
                <w:sz w:val="20"/>
                <w:szCs w:val="20"/>
              </w:rPr>
              <w:t>s’</w:t>
            </w:r>
            <w:r w:rsidR="00207022" w:rsidRPr="00204B18">
              <w:rPr>
                <w:rFonts w:ascii="Goudy Old Style" w:hAnsi="Goudy Old Style" w:cs="Arial"/>
                <w:bCs/>
                <w:i/>
                <w:sz w:val="20"/>
                <w:szCs w:val="20"/>
              </w:rPr>
              <w:t xml:space="preserve"> </w:t>
            </w:r>
            <w:r w:rsidRPr="00204B18">
              <w:rPr>
                <w:rFonts w:ascii="Goudy Old Style" w:hAnsi="Goudy Old Style" w:cs="Arial"/>
                <w:bCs/>
                <w:i/>
                <w:sz w:val="20"/>
                <w:szCs w:val="20"/>
              </w:rPr>
              <w:t xml:space="preserve">criteria </w:t>
            </w:r>
            <w:r w:rsidR="00207022">
              <w:rPr>
                <w:rFonts w:ascii="Goudy Old Style" w:hAnsi="Goudy Old Style" w:cs="Arial"/>
                <w:bCs/>
                <w:i/>
                <w:sz w:val="20"/>
                <w:szCs w:val="20"/>
              </w:rPr>
              <w:t>we</w:t>
            </w:r>
            <w:r w:rsidR="00207022" w:rsidRPr="00204B18">
              <w:rPr>
                <w:rFonts w:ascii="Goudy Old Style" w:hAnsi="Goudy Old Style" w:cs="Arial"/>
                <w:bCs/>
                <w:i/>
                <w:sz w:val="20"/>
                <w:szCs w:val="20"/>
              </w:rPr>
              <w:t xml:space="preserve">re </w:t>
            </w:r>
            <w:r w:rsidRPr="00204B18">
              <w:rPr>
                <w:rFonts w:ascii="Goudy Old Style" w:hAnsi="Goudy Old Style" w:cs="Arial"/>
                <w:bCs/>
                <w:i/>
                <w:sz w:val="20"/>
                <w:szCs w:val="20"/>
              </w:rPr>
              <w:t xml:space="preserve">curators who </w:t>
            </w:r>
            <w:r w:rsidR="00207022" w:rsidRPr="00204B18">
              <w:rPr>
                <w:rFonts w:ascii="Goudy Old Style" w:hAnsi="Goudy Old Style" w:cs="Arial"/>
                <w:bCs/>
                <w:i/>
                <w:sz w:val="20"/>
                <w:szCs w:val="20"/>
              </w:rPr>
              <w:t>ha</w:t>
            </w:r>
            <w:r w:rsidR="00207022">
              <w:rPr>
                <w:rFonts w:ascii="Goudy Old Style" w:hAnsi="Goudy Old Style" w:cs="Arial"/>
                <w:bCs/>
                <w:i/>
                <w:sz w:val="20"/>
                <w:szCs w:val="20"/>
              </w:rPr>
              <w:t>d</w:t>
            </w:r>
            <w:r w:rsidR="00207022" w:rsidRPr="00204B18">
              <w:rPr>
                <w:rFonts w:ascii="Goudy Old Style" w:hAnsi="Goudy Old Style" w:cs="Arial"/>
                <w:bCs/>
                <w:i/>
                <w:sz w:val="20"/>
                <w:szCs w:val="20"/>
              </w:rPr>
              <w:t xml:space="preserve"> </w:t>
            </w:r>
            <w:r w:rsidRPr="00204B18">
              <w:rPr>
                <w:rFonts w:ascii="Goudy Old Style" w:hAnsi="Goudy Old Style" w:cs="Arial"/>
                <w:bCs/>
                <w:i/>
                <w:sz w:val="20"/>
                <w:szCs w:val="20"/>
              </w:rPr>
              <w:t xml:space="preserve">practiced for at least </w:t>
            </w:r>
            <w:r w:rsidR="00207022">
              <w:rPr>
                <w:rFonts w:ascii="Goudy Old Style" w:hAnsi="Goudy Old Style" w:cs="Arial"/>
                <w:bCs/>
                <w:i/>
                <w:sz w:val="20"/>
                <w:szCs w:val="20"/>
              </w:rPr>
              <w:t>three</w:t>
            </w:r>
            <w:r w:rsidR="00207022" w:rsidRPr="00204B18">
              <w:rPr>
                <w:rFonts w:ascii="Goudy Old Style" w:hAnsi="Goudy Old Style" w:cs="Arial"/>
                <w:bCs/>
                <w:i/>
                <w:sz w:val="20"/>
                <w:szCs w:val="20"/>
              </w:rPr>
              <w:t xml:space="preserve"> </w:t>
            </w:r>
            <w:r w:rsidRPr="00204B18">
              <w:rPr>
                <w:rFonts w:ascii="Goudy Old Style" w:hAnsi="Goudy Old Style" w:cs="Arial"/>
                <w:bCs/>
                <w:i/>
                <w:sz w:val="20"/>
                <w:szCs w:val="20"/>
              </w:rPr>
              <w:t xml:space="preserve">years and </w:t>
            </w:r>
            <w:r w:rsidR="00207022" w:rsidRPr="00204B18">
              <w:rPr>
                <w:rFonts w:ascii="Goudy Old Style" w:hAnsi="Goudy Old Style" w:cs="Arial"/>
                <w:bCs/>
                <w:i/>
                <w:sz w:val="20"/>
                <w:szCs w:val="20"/>
              </w:rPr>
              <w:t>ha</w:t>
            </w:r>
            <w:r w:rsidR="00207022">
              <w:rPr>
                <w:rFonts w:ascii="Goudy Old Style" w:hAnsi="Goudy Old Style" w:cs="Arial"/>
                <w:bCs/>
                <w:i/>
                <w:sz w:val="20"/>
                <w:szCs w:val="20"/>
              </w:rPr>
              <w:t>d</w:t>
            </w:r>
            <w:r w:rsidR="00AE5F31">
              <w:rPr>
                <w:rFonts w:ascii="Goudy Old Style" w:hAnsi="Goudy Old Style" w:cs="Arial"/>
                <w:bCs/>
                <w:i/>
                <w:sz w:val="20"/>
                <w:szCs w:val="20"/>
              </w:rPr>
              <w:t xml:space="preserve"> </w:t>
            </w:r>
            <w:r w:rsidR="00AE5F31" w:rsidRPr="00AE5F31">
              <w:rPr>
                <w:rFonts w:ascii="Goudy Old Style" w:hAnsi="Goudy Old Style" w:cs="Arial"/>
                <w:bCs/>
                <w:i/>
                <w:sz w:val="20"/>
                <w:szCs w:val="20"/>
              </w:rPr>
              <w:t>experiences in resolving</w:t>
            </w:r>
            <w:r w:rsidR="00AE5F31" w:rsidRPr="00AE5F31" w:rsidDel="00AE5F31">
              <w:rPr>
                <w:rFonts w:ascii="Goudy Old Style" w:hAnsi="Goudy Old Style" w:cs="Arial"/>
                <w:bCs/>
                <w:i/>
                <w:sz w:val="20"/>
                <w:szCs w:val="20"/>
              </w:rPr>
              <w:t xml:space="preserve"> </w:t>
            </w:r>
            <w:r w:rsidR="00AB286D" w:rsidRPr="00204B18">
              <w:rPr>
                <w:rFonts w:ascii="Goudy Old Style" w:hAnsi="Goudy Old Style" w:cs="Arial"/>
                <w:bCs/>
                <w:i/>
                <w:sz w:val="20"/>
                <w:szCs w:val="20"/>
              </w:rPr>
              <w:t>bankrup</w:t>
            </w:r>
            <w:r w:rsidR="00AB286D">
              <w:rPr>
                <w:rFonts w:ascii="Goudy Old Style" w:hAnsi="Goudy Old Style" w:cs="Arial"/>
                <w:bCs/>
                <w:i/>
                <w:sz w:val="20"/>
                <w:szCs w:val="20"/>
              </w:rPr>
              <w:t>tcy</w:t>
            </w:r>
            <w:r w:rsidR="00AB286D" w:rsidRPr="00204B18">
              <w:rPr>
                <w:rFonts w:ascii="Goudy Old Style" w:hAnsi="Goudy Old Style" w:cs="Arial"/>
                <w:bCs/>
                <w:i/>
                <w:sz w:val="20"/>
                <w:szCs w:val="20"/>
              </w:rPr>
              <w:t xml:space="preserve"> </w:t>
            </w:r>
            <w:r w:rsidRPr="00204B18">
              <w:rPr>
                <w:rFonts w:ascii="Goudy Old Style" w:hAnsi="Goudy Old Style" w:cs="Arial"/>
                <w:bCs/>
                <w:i/>
                <w:sz w:val="20"/>
                <w:szCs w:val="20"/>
              </w:rPr>
              <w:t xml:space="preserve">assets. The data analysis </w:t>
            </w:r>
            <w:r w:rsidR="00200A59">
              <w:rPr>
                <w:rFonts w:ascii="Goudy Old Style" w:hAnsi="Goudy Old Style" w:cs="Arial"/>
                <w:bCs/>
                <w:i/>
                <w:sz w:val="20"/>
                <w:szCs w:val="20"/>
              </w:rPr>
              <w:t>wa</w:t>
            </w:r>
            <w:r w:rsidR="00200A59" w:rsidRPr="00204B18">
              <w:rPr>
                <w:rFonts w:ascii="Goudy Old Style" w:hAnsi="Goudy Old Style" w:cs="Arial"/>
                <w:bCs/>
                <w:i/>
                <w:sz w:val="20"/>
                <w:szCs w:val="20"/>
              </w:rPr>
              <w:t xml:space="preserve">s </w:t>
            </w:r>
            <w:r w:rsidR="00200A59">
              <w:rPr>
                <w:rFonts w:ascii="Goudy Old Style" w:hAnsi="Goudy Old Style" w:cs="Arial"/>
                <w:bCs/>
                <w:i/>
                <w:sz w:val="20"/>
                <w:szCs w:val="20"/>
              </w:rPr>
              <w:t xml:space="preserve">a </w:t>
            </w:r>
            <w:r w:rsidRPr="00204B18">
              <w:rPr>
                <w:rFonts w:ascii="Goudy Old Style" w:hAnsi="Goudy Old Style" w:cs="Arial"/>
                <w:bCs/>
                <w:i/>
                <w:sz w:val="20"/>
                <w:szCs w:val="20"/>
              </w:rPr>
              <w:t>content analysis</w:t>
            </w:r>
            <w:r w:rsidR="00646662">
              <w:rPr>
                <w:rFonts w:ascii="Goudy Old Style" w:hAnsi="Goudy Old Style" w:cs="Arial"/>
                <w:bCs/>
                <w:i/>
                <w:sz w:val="20"/>
                <w:szCs w:val="20"/>
              </w:rPr>
              <w:t>, namely</w:t>
            </w:r>
            <w:r w:rsidRPr="00204B18">
              <w:rPr>
                <w:rFonts w:ascii="Goudy Old Style" w:hAnsi="Goudy Old Style" w:cs="Arial"/>
                <w:bCs/>
                <w:i/>
                <w:sz w:val="20"/>
                <w:szCs w:val="20"/>
              </w:rPr>
              <w:t xml:space="preserve"> </w:t>
            </w:r>
            <w:r w:rsidR="00200A59">
              <w:rPr>
                <w:rFonts w:ascii="Goudy Old Style" w:hAnsi="Goudy Old Style" w:cs="Arial"/>
                <w:bCs/>
                <w:i/>
                <w:sz w:val="20"/>
                <w:szCs w:val="20"/>
              </w:rPr>
              <w:t xml:space="preserve">a </w:t>
            </w:r>
            <w:r w:rsidRPr="00204B18">
              <w:rPr>
                <w:rFonts w:ascii="Goudy Old Style" w:hAnsi="Goudy Old Style" w:cs="Arial"/>
                <w:bCs/>
                <w:i/>
                <w:sz w:val="20"/>
                <w:szCs w:val="20"/>
              </w:rPr>
              <w:t>relational analysis</w:t>
            </w:r>
            <w:r w:rsidR="00646662">
              <w:rPr>
                <w:rFonts w:ascii="Goudy Old Style" w:hAnsi="Goudy Old Style" w:cs="Arial"/>
                <w:bCs/>
                <w:i/>
                <w:sz w:val="20"/>
                <w:szCs w:val="20"/>
              </w:rPr>
              <w:t>,</w:t>
            </w:r>
            <w:r w:rsidRPr="00204B18">
              <w:rPr>
                <w:rFonts w:ascii="Goudy Old Style" w:hAnsi="Goudy Old Style" w:cs="Arial"/>
                <w:bCs/>
                <w:i/>
                <w:sz w:val="20"/>
                <w:szCs w:val="20"/>
              </w:rPr>
              <w:t xml:space="preserve"> with software </w:t>
            </w:r>
            <w:proofErr w:type="spellStart"/>
            <w:r w:rsidRPr="00204B18">
              <w:rPr>
                <w:rFonts w:ascii="Goudy Old Style" w:hAnsi="Goudy Old Style" w:cs="Arial"/>
                <w:bCs/>
                <w:i/>
                <w:sz w:val="20"/>
                <w:szCs w:val="20"/>
              </w:rPr>
              <w:t>Nvivo</w:t>
            </w:r>
            <w:proofErr w:type="spellEnd"/>
            <w:r w:rsidRPr="00204B18">
              <w:rPr>
                <w:rFonts w:ascii="Goudy Old Style" w:hAnsi="Goudy Old Style" w:cs="Arial"/>
                <w:bCs/>
                <w:i/>
                <w:sz w:val="20"/>
                <w:szCs w:val="20"/>
              </w:rPr>
              <w:t xml:space="preserve"> 11. The results of this study </w:t>
            </w:r>
            <w:r w:rsidR="00200A59">
              <w:rPr>
                <w:rFonts w:ascii="Goudy Old Style" w:hAnsi="Goudy Old Style" w:cs="Arial"/>
                <w:bCs/>
                <w:i/>
                <w:sz w:val="20"/>
                <w:szCs w:val="20"/>
              </w:rPr>
              <w:t xml:space="preserve">showed that, </w:t>
            </w:r>
            <w:r w:rsidRPr="00204B18">
              <w:rPr>
                <w:rFonts w:ascii="Goudy Old Style" w:hAnsi="Goudy Old Style" w:cs="Arial"/>
                <w:bCs/>
                <w:i/>
                <w:sz w:val="20"/>
                <w:szCs w:val="20"/>
              </w:rPr>
              <w:t>in carrying out their duties</w:t>
            </w:r>
            <w:r w:rsidR="00200A59">
              <w:rPr>
                <w:rFonts w:ascii="Goudy Old Style" w:hAnsi="Goudy Old Style" w:cs="Arial"/>
                <w:bCs/>
                <w:i/>
                <w:sz w:val="20"/>
                <w:szCs w:val="20"/>
              </w:rPr>
              <w:t>,</w:t>
            </w:r>
            <w:r w:rsidRPr="00204B18">
              <w:rPr>
                <w:rFonts w:ascii="Goudy Old Style" w:hAnsi="Goudy Old Style" w:cs="Arial"/>
                <w:bCs/>
                <w:i/>
                <w:sz w:val="20"/>
                <w:szCs w:val="20"/>
              </w:rPr>
              <w:t xml:space="preserve"> there are obstacles that are commonly encountered</w:t>
            </w:r>
            <w:r w:rsidR="00200A59">
              <w:rPr>
                <w:rFonts w:ascii="Goudy Old Style" w:hAnsi="Goudy Old Style" w:cs="Arial"/>
                <w:bCs/>
                <w:i/>
                <w:sz w:val="20"/>
                <w:szCs w:val="20"/>
              </w:rPr>
              <w:t xml:space="preserve"> by </w:t>
            </w:r>
            <w:proofErr w:type="spellStart"/>
            <w:r w:rsidR="00200A59">
              <w:rPr>
                <w:rFonts w:ascii="Goudy Old Style" w:hAnsi="Goudy Old Style" w:cs="Arial"/>
                <w:bCs/>
                <w:i/>
                <w:sz w:val="20"/>
                <w:szCs w:val="20"/>
              </w:rPr>
              <w:t>currators</w:t>
            </w:r>
            <w:proofErr w:type="spellEnd"/>
            <w:r w:rsidRPr="00204B18">
              <w:rPr>
                <w:rFonts w:ascii="Goudy Old Style" w:hAnsi="Goudy Old Style" w:cs="Arial"/>
                <w:bCs/>
                <w:i/>
                <w:sz w:val="20"/>
                <w:szCs w:val="20"/>
              </w:rPr>
              <w:t xml:space="preserve">. Forensic accounting is important and </w:t>
            </w:r>
            <w:r w:rsidR="00200A59">
              <w:rPr>
                <w:rFonts w:ascii="Goudy Old Style" w:hAnsi="Goudy Old Style" w:cs="Arial"/>
                <w:bCs/>
                <w:i/>
                <w:sz w:val="20"/>
                <w:szCs w:val="20"/>
              </w:rPr>
              <w:t xml:space="preserve">helpful for </w:t>
            </w:r>
            <w:r w:rsidR="00200A59" w:rsidRPr="00204B18">
              <w:rPr>
                <w:rFonts w:ascii="Goudy Old Style" w:hAnsi="Goudy Old Style" w:cs="Arial"/>
                <w:bCs/>
                <w:i/>
                <w:sz w:val="20"/>
                <w:szCs w:val="20"/>
              </w:rPr>
              <w:t>curator</w:t>
            </w:r>
            <w:r w:rsidR="00200A59">
              <w:rPr>
                <w:rFonts w:ascii="Goudy Old Style" w:hAnsi="Goudy Old Style" w:cs="Arial"/>
                <w:bCs/>
                <w:i/>
                <w:sz w:val="20"/>
                <w:szCs w:val="20"/>
              </w:rPr>
              <w:t>s’</w:t>
            </w:r>
            <w:r w:rsidR="00200A59" w:rsidRPr="00204B18">
              <w:rPr>
                <w:rFonts w:ascii="Goudy Old Style" w:hAnsi="Goudy Old Style" w:cs="Arial"/>
                <w:bCs/>
                <w:i/>
                <w:sz w:val="20"/>
                <w:szCs w:val="20"/>
              </w:rPr>
              <w:t xml:space="preserve"> </w:t>
            </w:r>
            <w:r w:rsidRPr="00204B18">
              <w:rPr>
                <w:rFonts w:ascii="Goudy Old Style" w:hAnsi="Goudy Old Style" w:cs="Arial"/>
                <w:bCs/>
                <w:i/>
                <w:sz w:val="20"/>
                <w:szCs w:val="20"/>
              </w:rPr>
              <w:t xml:space="preserve">work, </w:t>
            </w:r>
            <w:r w:rsidR="00200A59">
              <w:rPr>
                <w:rFonts w:ascii="Goudy Old Style" w:hAnsi="Goudy Old Style" w:cs="Arial"/>
                <w:bCs/>
                <w:i/>
                <w:sz w:val="20"/>
                <w:szCs w:val="20"/>
              </w:rPr>
              <w:t xml:space="preserve">especially </w:t>
            </w:r>
            <w:r w:rsidRPr="00204B18">
              <w:rPr>
                <w:rFonts w:ascii="Goudy Old Style" w:hAnsi="Goudy Old Style" w:cs="Arial"/>
                <w:bCs/>
                <w:i/>
                <w:sz w:val="20"/>
                <w:szCs w:val="20"/>
              </w:rPr>
              <w:t xml:space="preserve">related to fraud or </w:t>
            </w:r>
            <w:r w:rsidR="00BB0D3D">
              <w:rPr>
                <w:rFonts w:ascii="Goudy Old Style" w:hAnsi="Goudy Old Style" w:cs="Arial"/>
                <w:bCs/>
                <w:i/>
                <w:sz w:val="20"/>
                <w:szCs w:val="20"/>
              </w:rPr>
              <w:t>verif</w:t>
            </w:r>
            <w:r w:rsidR="00646662">
              <w:rPr>
                <w:rFonts w:ascii="Goudy Old Style" w:hAnsi="Goudy Old Style" w:cs="Arial"/>
                <w:bCs/>
                <w:i/>
                <w:sz w:val="20"/>
                <w:szCs w:val="20"/>
              </w:rPr>
              <w:t>ication of</w:t>
            </w:r>
            <w:r w:rsidR="00BB0D3D" w:rsidRPr="00204B18">
              <w:rPr>
                <w:rFonts w:ascii="Goudy Old Style" w:hAnsi="Goudy Old Style" w:cs="Arial"/>
                <w:bCs/>
                <w:i/>
                <w:sz w:val="20"/>
                <w:szCs w:val="20"/>
              </w:rPr>
              <w:t xml:space="preserve"> </w:t>
            </w:r>
            <w:r w:rsidRPr="00204B18">
              <w:rPr>
                <w:rFonts w:ascii="Goudy Old Style" w:hAnsi="Goudy Old Style" w:cs="Arial"/>
                <w:bCs/>
                <w:i/>
                <w:sz w:val="20"/>
                <w:szCs w:val="20"/>
              </w:rPr>
              <w:t xml:space="preserve">the accuracy of </w:t>
            </w:r>
            <w:r w:rsidR="00AB286D" w:rsidRPr="00204B18">
              <w:rPr>
                <w:rFonts w:ascii="Goudy Old Style" w:hAnsi="Goudy Old Style" w:cs="Arial"/>
                <w:bCs/>
                <w:i/>
                <w:sz w:val="20"/>
                <w:szCs w:val="20"/>
              </w:rPr>
              <w:t>bankrup</w:t>
            </w:r>
            <w:r w:rsidR="00AB286D">
              <w:rPr>
                <w:rFonts w:ascii="Goudy Old Style" w:hAnsi="Goudy Old Style" w:cs="Arial"/>
                <w:bCs/>
                <w:i/>
                <w:sz w:val="20"/>
                <w:szCs w:val="20"/>
              </w:rPr>
              <w:t>tcy</w:t>
            </w:r>
            <w:r w:rsidR="00AB286D" w:rsidRPr="00204B18">
              <w:rPr>
                <w:rFonts w:ascii="Goudy Old Style" w:hAnsi="Goudy Old Style" w:cs="Arial"/>
                <w:bCs/>
                <w:i/>
                <w:sz w:val="20"/>
                <w:szCs w:val="20"/>
              </w:rPr>
              <w:t xml:space="preserve"> </w:t>
            </w:r>
            <w:r w:rsidRPr="00204B18">
              <w:rPr>
                <w:rFonts w:ascii="Goudy Old Style" w:hAnsi="Goudy Old Style" w:cs="Arial"/>
                <w:bCs/>
                <w:i/>
                <w:sz w:val="20"/>
                <w:szCs w:val="20"/>
              </w:rPr>
              <w:t xml:space="preserve">asset transactions and </w:t>
            </w:r>
            <w:r w:rsidR="00646662">
              <w:rPr>
                <w:rFonts w:ascii="Goudy Old Style" w:hAnsi="Goudy Old Style" w:cs="Arial"/>
                <w:bCs/>
                <w:i/>
                <w:sz w:val="20"/>
                <w:szCs w:val="20"/>
              </w:rPr>
              <w:t xml:space="preserve">the process of </w:t>
            </w:r>
            <w:r w:rsidR="00200A59">
              <w:rPr>
                <w:rFonts w:ascii="Goudy Old Style" w:hAnsi="Goudy Old Style" w:cs="Arial"/>
                <w:bCs/>
                <w:i/>
                <w:sz w:val="20"/>
                <w:szCs w:val="20"/>
              </w:rPr>
              <w:t xml:space="preserve">valuing </w:t>
            </w:r>
            <w:r w:rsidR="00AB286D" w:rsidRPr="00204B18">
              <w:rPr>
                <w:rFonts w:ascii="Goudy Old Style" w:hAnsi="Goudy Old Style" w:cs="Arial"/>
                <w:bCs/>
                <w:i/>
                <w:sz w:val="20"/>
                <w:szCs w:val="20"/>
              </w:rPr>
              <w:t>bankrup</w:t>
            </w:r>
            <w:r w:rsidR="00AB286D">
              <w:rPr>
                <w:rFonts w:ascii="Goudy Old Style" w:hAnsi="Goudy Old Style" w:cs="Arial"/>
                <w:bCs/>
                <w:i/>
                <w:sz w:val="20"/>
                <w:szCs w:val="20"/>
              </w:rPr>
              <w:t>tcy</w:t>
            </w:r>
            <w:r w:rsidR="00AB286D" w:rsidRPr="00204B18">
              <w:rPr>
                <w:rFonts w:ascii="Goudy Old Style" w:hAnsi="Goudy Old Style" w:cs="Arial"/>
                <w:bCs/>
                <w:i/>
                <w:sz w:val="20"/>
                <w:szCs w:val="20"/>
              </w:rPr>
              <w:t xml:space="preserve"> </w:t>
            </w:r>
            <w:r w:rsidRPr="00204B18">
              <w:rPr>
                <w:rFonts w:ascii="Goudy Old Style" w:hAnsi="Goudy Old Style" w:cs="Arial"/>
                <w:bCs/>
                <w:i/>
                <w:sz w:val="20"/>
                <w:szCs w:val="20"/>
              </w:rPr>
              <w:t>assets. However, not all curators understand forensic accounting</w:t>
            </w:r>
            <w:bookmarkEnd w:id="3"/>
            <w:r w:rsidRPr="00204B18">
              <w:rPr>
                <w:rFonts w:ascii="Goudy Old Style" w:hAnsi="Goudy Old Style" w:cs="Arial"/>
                <w:bCs/>
                <w:i/>
                <w:sz w:val="20"/>
                <w:szCs w:val="20"/>
              </w:rPr>
              <w:t>.</w:t>
            </w:r>
            <w:r w:rsidR="00780862" w:rsidRPr="00780862">
              <w:rPr>
                <w:rFonts w:ascii="Goudy Old Style" w:hAnsi="Goudy Old Style" w:cs="Arial"/>
                <w:bCs/>
                <w:i/>
                <w:sz w:val="20"/>
                <w:szCs w:val="20"/>
              </w:rPr>
              <w:t xml:space="preserve"> </w:t>
            </w:r>
          </w:p>
          <w:p w14:paraId="3507C320" w14:textId="77777777" w:rsidR="00780862" w:rsidRPr="00780862" w:rsidRDefault="00780862" w:rsidP="00780862">
            <w:pPr>
              <w:autoSpaceDE w:val="0"/>
              <w:autoSpaceDN w:val="0"/>
              <w:adjustRightInd w:val="0"/>
              <w:spacing w:after="0" w:line="240" w:lineRule="auto"/>
              <w:jc w:val="both"/>
              <w:rPr>
                <w:rFonts w:ascii="Goudy Old Style" w:hAnsi="Goudy Old Style" w:cs="Arial"/>
                <w:bCs/>
                <w:i/>
                <w:sz w:val="20"/>
                <w:szCs w:val="20"/>
              </w:rPr>
            </w:pPr>
          </w:p>
          <w:p w14:paraId="544C40B7" w14:textId="50FBCD60" w:rsidR="00E01C77" w:rsidRPr="00780862" w:rsidRDefault="00204B18" w:rsidP="00204B18">
            <w:pPr>
              <w:jc w:val="both"/>
              <w:rPr>
                <w:rFonts w:ascii="Goudy Old Style" w:eastAsia="Calibri" w:hAnsi="Goudy Old Style" w:cs="Times New Roman"/>
                <w:bCs/>
                <w:i/>
                <w:sz w:val="20"/>
                <w:szCs w:val="20"/>
              </w:rPr>
            </w:pPr>
            <w:r w:rsidRPr="00204B18">
              <w:rPr>
                <w:rFonts w:ascii="Goudy Old Style" w:eastAsia="Calibri" w:hAnsi="Goudy Old Style" w:cs="Times New Roman"/>
                <w:bCs/>
                <w:i/>
                <w:sz w:val="20"/>
                <w:szCs w:val="20"/>
              </w:rPr>
              <w:t>Keywords: Ban</w:t>
            </w:r>
            <w:r>
              <w:rPr>
                <w:rFonts w:ascii="Goudy Old Style" w:eastAsia="Calibri" w:hAnsi="Goudy Old Style" w:cs="Times New Roman"/>
                <w:bCs/>
                <w:i/>
                <w:sz w:val="20"/>
                <w:szCs w:val="20"/>
              </w:rPr>
              <w:t>kruptcy, Curator, Forensic Accounting</w:t>
            </w:r>
            <w:r w:rsidR="00780862" w:rsidRPr="00780862">
              <w:rPr>
                <w:rFonts w:ascii="Goudy Old Style" w:eastAsia="Calibri" w:hAnsi="Goudy Old Style" w:cs="Times New Roman"/>
                <w:bCs/>
                <w:i/>
                <w:sz w:val="20"/>
                <w:szCs w:val="20"/>
              </w:rPr>
              <w:t xml:space="preserve"> </w:t>
            </w:r>
          </w:p>
          <w:p w14:paraId="70082FE8" w14:textId="77777777" w:rsidR="00EA2566" w:rsidRPr="00541F50" w:rsidRDefault="00EA2566" w:rsidP="00EA2566">
            <w:pPr>
              <w:spacing w:after="0" w:line="240" w:lineRule="auto"/>
              <w:jc w:val="both"/>
              <w:rPr>
                <w:rFonts w:ascii="Goudy Old Style" w:eastAsia="Calibri" w:hAnsi="Goudy Old Style" w:cs="Times New Roman"/>
                <w:b/>
                <w:sz w:val="20"/>
                <w:szCs w:val="20"/>
              </w:rPr>
            </w:pPr>
            <w:proofErr w:type="spellStart"/>
            <w:r>
              <w:rPr>
                <w:rFonts w:ascii="Goudy Old Style" w:eastAsia="Calibri" w:hAnsi="Goudy Old Style" w:cs="Times New Roman"/>
                <w:b/>
                <w:sz w:val="20"/>
                <w:szCs w:val="20"/>
              </w:rPr>
              <w:t>Abstrak</w:t>
            </w:r>
            <w:proofErr w:type="spellEnd"/>
            <w:r w:rsidRPr="00541F50">
              <w:rPr>
                <w:rFonts w:ascii="Goudy Old Style" w:eastAsia="Calibri" w:hAnsi="Goudy Old Style" w:cs="Times New Roman"/>
                <w:b/>
                <w:sz w:val="20"/>
                <w:szCs w:val="20"/>
              </w:rPr>
              <w:t xml:space="preserve">: </w:t>
            </w:r>
          </w:p>
          <w:p w14:paraId="0522CA60" w14:textId="77777777" w:rsidR="00EA2566" w:rsidRDefault="00EA2566" w:rsidP="00EA2566">
            <w:pPr>
              <w:autoSpaceDE w:val="0"/>
              <w:autoSpaceDN w:val="0"/>
              <w:adjustRightInd w:val="0"/>
              <w:spacing w:after="0" w:line="240" w:lineRule="auto"/>
              <w:jc w:val="both"/>
              <w:rPr>
                <w:rFonts w:ascii="Goudy Old Style" w:hAnsi="Goudy Old Style" w:cs="Arial"/>
                <w:bCs/>
                <w:sz w:val="20"/>
                <w:szCs w:val="20"/>
              </w:rPr>
            </w:pPr>
            <w:r w:rsidRPr="00D0170F">
              <w:rPr>
                <w:rFonts w:ascii="Goudy Old Style" w:hAnsi="Goudy Old Style" w:cs="Arial"/>
                <w:bCs/>
                <w:i/>
                <w:iCs/>
                <w:sz w:val="20"/>
                <w:szCs w:val="20"/>
              </w:rPr>
              <w:t>Going concern</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merupakan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asumsi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didirikannya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perusahaan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tetapi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tidak</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sedikit</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perusahaan</w:t>
            </w:r>
            <w:proofErr w:type="spellEnd"/>
            <w:r w:rsidRPr="00D0170F">
              <w:rPr>
                <w:rFonts w:ascii="Goudy Old Style" w:hAnsi="Goudy Old Style" w:cs="Arial"/>
                <w:bCs/>
                <w:sz w:val="20"/>
                <w:szCs w:val="20"/>
              </w:rPr>
              <w:t xml:space="preserve"> yang </w:t>
            </w:r>
            <w:proofErr w:type="spellStart"/>
            <w:r w:rsidRPr="00D0170F">
              <w:rPr>
                <w:rFonts w:ascii="Goudy Old Style" w:hAnsi="Goudy Old Style" w:cs="Arial"/>
                <w:bCs/>
                <w:sz w:val="20"/>
                <w:szCs w:val="20"/>
              </w:rPr>
              <w:t>pailit</w:t>
            </w:r>
            <w:proofErr w:type="spellEnd"/>
            <w:r w:rsidRPr="00D0170F">
              <w:rPr>
                <w:rFonts w:ascii="Goudy Old Style" w:hAnsi="Goudy Old Style" w:cs="Arial"/>
                <w:bCs/>
                <w:sz w:val="20"/>
                <w:szCs w:val="20"/>
              </w:rPr>
              <w:t xml:space="preserve">. </w:t>
            </w:r>
            <w:r w:rsidRPr="00D0170F">
              <w:rPr>
                <w:rFonts w:ascii="Goudy Old Style" w:hAnsi="Goudy Old Style" w:cs="Arial"/>
                <w:bCs/>
                <w:i/>
                <w:iCs/>
                <w:sz w:val="20"/>
                <w:szCs w:val="20"/>
              </w:rPr>
              <w:t>Fraud</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dapat</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menyebabkan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kepailitan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digunakan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untuk</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menyembunyikan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kepailitan</w:t>
            </w:r>
            <w:proofErr w:type="spellEnd"/>
            <w:r w:rsidRPr="00D0170F">
              <w:rPr>
                <w:rFonts w:ascii="Goudy Old Style" w:hAnsi="Goudy Old Style" w:cs="Arial"/>
                <w:bCs/>
                <w:sz w:val="20"/>
                <w:szCs w:val="20"/>
              </w:rPr>
              <w:t xml:space="preserve"> dan </w:t>
            </w:r>
            <w:proofErr w:type="spellStart"/>
            <w:r w:rsidRPr="00D0170F">
              <w:rPr>
                <w:rFonts w:ascii="Goudy Old Style" w:hAnsi="Goudy Old Style" w:cs="Arial"/>
                <w:bCs/>
                <w:sz w:val="20"/>
                <w:szCs w:val="20"/>
              </w:rPr>
              <w:t>dapat</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terjadi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karena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adanya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kepailitan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Potensi</w:t>
            </w:r>
            <w:proofErr w:type="spellEnd"/>
            <w:r w:rsidRPr="00D0170F">
              <w:rPr>
                <w:rFonts w:ascii="Goudy Old Style" w:hAnsi="Goudy Old Style" w:cs="Arial"/>
                <w:bCs/>
                <w:sz w:val="20"/>
                <w:szCs w:val="20"/>
              </w:rPr>
              <w:t xml:space="preserve"> </w:t>
            </w:r>
            <w:r w:rsidRPr="00D0170F">
              <w:rPr>
                <w:rFonts w:ascii="Goudy Old Style" w:hAnsi="Goudy Old Style" w:cs="Arial"/>
                <w:bCs/>
                <w:i/>
                <w:iCs/>
                <w:sz w:val="20"/>
                <w:szCs w:val="20"/>
              </w:rPr>
              <w:t>fraud</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terdapat</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disetiap</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langkah</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kegiatan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utama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kurator</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dalam</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menyelesaikan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perkara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kepailitan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sehingga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kurator</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memerlukan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akuntansi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forensik</w:t>
            </w:r>
            <w:proofErr w:type="spellEnd"/>
            <w:r w:rsidRPr="00D0170F">
              <w:rPr>
                <w:rFonts w:ascii="Goudy Old Style" w:hAnsi="Goudy Old Style" w:cs="Arial"/>
                <w:bCs/>
                <w:sz w:val="20"/>
                <w:szCs w:val="20"/>
              </w:rPr>
              <w:t xml:space="preserve">. </w:t>
            </w:r>
            <w:proofErr w:type="spellStart"/>
            <w:r w:rsidRPr="00EA2566">
              <w:rPr>
                <w:rFonts w:ascii="Goudy Old Style" w:hAnsi="Goudy Old Style" w:cs="Arial"/>
                <w:bCs/>
                <w:sz w:val="20"/>
                <w:szCs w:val="20"/>
              </w:rPr>
              <w:t>Penelitian</w:t>
            </w:r>
            <w:proofErr w:type="spellEnd"/>
            <w:r w:rsidRPr="00EA2566">
              <w:rPr>
                <w:rFonts w:ascii="Goudy Old Style" w:hAnsi="Goudy Old Style" w:cs="Arial"/>
                <w:bCs/>
                <w:sz w:val="20"/>
                <w:szCs w:val="20"/>
              </w:rPr>
              <w:t xml:space="preserve"> </w:t>
            </w:r>
            <w:proofErr w:type="spellStart"/>
            <w:r w:rsidRPr="00EA2566">
              <w:rPr>
                <w:rFonts w:ascii="Goudy Old Style" w:hAnsi="Goudy Old Style" w:cs="Arial"/>
                <w:bCs/>
                <w:sz w:val="20"/>
                <w:szCs w:val="20"/>
              </w:rPr>
              <w:t>ini</w:t>
            </w:r>
            <w:proofErr w:type="spellEnd"/>
            <w:r w:rsidRPr="00EA2566">
              <w:rPr>
                <w:rFonts w:ascii="Goudy Old Style" w:hAnsi="Goudy Old Style" w:cs="Arial"/>
                <w:bCs/>
                <w:sz w:val="20"/>
                <w:szCs w:val="20"/>
              </w:rPr>
              <w:t xml:space="preserve"> </w:t>
            </w:r>
            <w:proofErr w:type="spellStart"/>
            <w:r w:rsidRPr="00EA2566">
              <w:rPr>
                <w:rFonts w:ascii="Goudy Old Style" w:hAnsi="Goudy Old Style" w:cs="Arial"/>
                <w:bCs/>
                <w:sz w:val="20"/>
                <w:szCs w:val="20"/>
              </w:rPr>
              <w:t>bertujuan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untuk</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mengetahui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pentingnya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akuntansi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forensik</w:t>
            </w:r>
            <w:proofErr w:type="spellEnd"/>
            <w:r w:rsidRPr="00D0170F">
              <w:rPr>
                <w:rFonts w:ascii="Goudy Old Style" w:hAnsi="Goudy Old Style" w:cs="Arial"/>
                <w:bCs/>
                <w:sz w:val="20"/>
                <w:szCs w:val="20"/>
              </w:rPr>
              <w:t xml:space="preserve"> pada </w:t>
            </w:r>
            <w:proofErr w:type="spellStart"/>
            <w:r w:rsidRPr="00D0170F">
              <w:rPr>
                <w:rFonts w:ascii="Goudy Old Style" w:hAnsi="Goudy Old Style" w:cs="Arial"/>
                <w:bCs/>
                <w:sz w:val="20"/>
                <w:szCs w:val="20"/>
              </w:rPr>
              <w:t>perkara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kepailitan</w:t>
            </w:r>
            <w:proofErr w:type="spellEnd"/>
            <w:r w:rsidRPr="00D0170F">
              <w:rPr>
                <w:rFonts w:ascii="Goudy Old Style" w:hAnsi="Goudy Old Style" w:cs="Arial"/>
                <w:bCs/>
                <w:sz w:val="20"/>
                <w:szCs w:val="20"/>
              </w:rPr>
              <w:t xml:space="preserve"> yang </w:t>
            </w:r>
            <w:proofErr w:type="spellStart"/>
            <w:r w:rsidRPr="00D0170F">
              <w:rPr>
                <w:rFonts w:ascii="Goudy Old Style" w:hAnsi="Goudy Old Style" w:cs="Arial"/>
                <w:bCs/>
                <w:sz w:val="20"/>
                <w:szCs w:val="20"/>
              </w:rPr>
              <w:t>penyelesaiannya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dilakukan</w:t>
            </w:r>
            <w:proofErr w:type="spellEnd"/>
            <w:r w:rsidRPr="00D0170F">
              <w:rPr>
                <w:rFonts w:ascii="Goudy Old Style" w:hAnsi="Goudy Old Style" w:cs="Arial"/>
                <w:bCs/>
                <w:sz w:val="20"/>
                <w:szCs w:val="20"/>
              </w:rPr>
              <w:t xml:space="preserve"> oleh </w:t>
            </w:r>
            <w:proofErr w:type="spellStart"/>
            <w:r w:rsidRPr="00D0170F">
              <w:rPr>
                <w:rFonts w:ascii="Goudy Old Style" w:hAnsi="Goudy Old Style" w:cs="Arial"/>
                <w:bCs/>
                <w:sz w:val="20"/>
                <w:szCs w:val="20"/>
              </w:rPr>
              <w:t>kurator</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Penelitian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ini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menggunakan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pendekatan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kualitatif</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dengan</w:t>
            </w:r>
            <w:proofErr w:type="spellEnd"/>
            <w:r w:rsidRPr="00D0170F">
              <w:rPr>
                <w:rFonts w:ascii="Goudy Old Style" w:hAnsi="Goudy Old Style" w:cs="Arial"/>
                <w:bCs/>
                <w:sz w:val="20"/>
                <w:szCs w:val="20"/>
              </w:rPr>
              <w:t xml:space="preserve"> </w:t>
            </w:r>
            <w:r w:rsidRPr="00D0170F">
              <w:rPr>
                <w:rFonts w:ascii="Goudy Old Style" w:hAnsi="Goudy Old Style" w:cs="Arial"/>
                <w:bCs/>
                <w:i/>
                <w:iCs/>
                <w:sz w:val="20"/>
                <w:szCs w:val="20"/>
              </w:rPr>
              <w:t>semi-structured interview</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Kriteria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responden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adalah</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kurator</w:t>
            </w:r>
            <w:proofErr w:type="spellEnd"/>
            <w:r w:rsidRPr="00D0170F">
              <w:rPr>
                <w:rFonts w:ascii="Goudy Old Style" w:hAnsi="Goudy Old Style" w:cs="Arial"/>
                <w:bCs/>
                <w:sz w:val="20"/>
                <w:szCs w:val="20"/>
              </w:rPr>
              <w:t xml:space="preserve"> yang </w:t>
            </w:r>
            <w:proofErr w:type="spellStart"/>
            <w:r w:rsidRPr="00D0170F">
              <w:rPr>
                <w:rFonts w:ascii="Goudy Old Style" w:hAnsi="Goudy Old Style" w:cs="Arial"/>
                <w:bCs/>
                <w:sz w:val="20"/>
                <w:szCs w:val="20"/>
              </w:rPr>
              <w:t>berpraktek</w:t>
            </w:r>
            <w:proofErr w:type="spellEnd"/>
            <w:r w:rsidRPr="00D0170F">
              <w:rPr>
                <w:rFonts w:ascii="Goudy Old Style" w:hAnsi="Goudy Old Style" w:cs="Arial"/>
                <w:bCs/>
                <w:sz w:val="20"/>
                <w:szCs w:val="20"/>
              </w:rPr>
              <w:t xml:space="preserve"> minimal 3 </w:t>
            </w:r>
            <w:proofErr w:type="spellStart"/>
            <w:r w:rsidRPr="00D0170F">
              <w:rPr>
                <w:rFonts w:ascii="Goudy Old Style" w:hAnsi="Goudy Old Style" w:cs="Arial"/>
                <w:bCs/>
                <w:sz w:val="20"/>
                <w:szCs w:val="20"/>
              </w:rPr>
              <w:t>tahun</w:t>
            </w:r>
            <w:proofErr w:type="spellEnd"/>
            <w:r w:rsidRPr="00D0170F">
              <w:rPr>
                <w:rFonts w:ascii="Goudy Old Style" w:hAnsi="Goudy Old Style" w:cs="Arial"/>
                <w:bCs/>
                <w:sz w:val="20"/>
                <w:szCs w:val="20"/>
              </w:rPr>
              <w:t xml:space="preserve"> dan </w:t>
            </w:r>
            <w:proofErr w:type="spellStart"/>
            <w:r w:rsidRPr="00D0170F">
              <w:rPr>
                <w:rFonts w:ascii="Goudy Old Style" w:hAnsi="Goudy Old Style" w:cs="Arial"/>
                <w:bCs/>
                <w:sz w:val="20"/>
                <w:szCs w:val="20"/>
              </w:rPr>
              <w:t>pernah</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menangani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penyelesaian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harta</w:t>
            </w:r>
            <w:proofErr w:type="spellEnd"/>
            <w:r w:rsidRPr="00D0170F">
              <w:rPr>
                <w:rFonts w:ascii="Goudy Old Style" w:hAnsi="Goudy Old Style" w:cs="Arial"/>
                <w:bCs/>
                <w:sz w:val="20"/>
                <w:szCs w:val="20"/>
              </w:rPr>
              <w:t xml:space="preserve"> </w:t>
            </w:r>
            <w:r w:rsidRPr="00D0170F">
              <w:rPr>
                <w:rFonts w:ascii="Goudy Old Style" w:hAnsi="Goudy Old Style" w:cs="Arial"/>
                <w:bCs/>
                <w:i/>
                <w:iCs/>
                <w:sz w:val="20"/>
                <w:szCs w:val="20"/>
              </w:rPr>
              <w:t>(</w:t>
            </w:r>
            <w:proofErr w:type="spellStart"/>
            <w:r w:rsidRPr="00D0170F">
              <w:rPr>
                <w:rFonts w:ascii="Goudy Old Style" w:hAnsi="Goudy Old Style" w:cs="Arial"/>
                <w:bCs/>
                <w:i/>
                <w:iCs/>
                <w:sz w:val="20"/>
                <w:szCs w:val="20"/>
              </w:rPr>
              <w:t>boedel</w:t>
            </w:r>
            <w:proofErr w:type="spellEnd"/>
            <w:r w:rsidRPr="00D0170F">
              <w:rPr>
                <w:rFonts w:ascii="Goudy Old Style" w:hAnsi="Goudy Old Style" w:cs="Arial"/>
                <w:bCs/>
                <w:i/>
                <w:iCs/>
                <w:sz w:val="20"/>
                <w:szCs w:val="20"/>
              </w:rPr>
              <w:t>)</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pailit</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Analisis</w:t>
            </w:r>
            <w:proofErr w:type="spellEnd"/>
            <w:r w:rsidRPr="00D0170F">
              <w:rPr>
                <w:rFonts w:ascii="Goudy Old Style" w:hAnsi="Goudy Old Style" w:cs="Arial"/>
                <w:bCs/>
                <w:sz w:val="20"/>
                <w:szCs w:val="20"/>
              </w:rPr>
              <w:t xml:space="preserve"> data yang </w:t>
            </w:r>
            <w:proofErr w:type="spellStart"/>
            <w:r w:rsidRPr="00D0170F">
              <w:rPr>
                <w:rFonts w:ascii="Goudy Old Style" w:hAnsi="Goudy Old Style" w:cs="Arial"/>
                <w:bCs/>
                <w:sz w:val="20"/>
                <w:szCs w:val="20"/>
              </w:rPr>
              <w:t>digunakan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yaitu</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analisis</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konten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dengan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tipe</w:t>
            </w:r>
            <w:proofErr w:type="spellEnd"/>
            <w:r w:rsidRPr="00D0170F">
              <w:rPr>
                <w:rFonts w:ascii="Goudy Old Style" w:hAnsi="Goudy Old Style" w:cs="Arial"/>
                <w:bCs/>
                <w:sz w:val="20"/>
                <w:szCs w:val="20"/>
              </w:rPr>
              <w:t xml:space="preserve"> </w:t>
            </w:r>
            <w:r w:rsidRPr="00D0170F">
              <w:rPr>
                <w:rFonts w:ascii="Goudy Old Style" w:hAnsi="Goudy Old Style" w:cs="Arial"/>
                <w:bCs/>
                <w:i/>
                <w:iCs/>
                <w:sz w:val="20"/>
                <w:szCs w:val="20"/>
              </w:rPr>
              <w:t>relational analysis</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dengan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bantuan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Nvivo</w:t>
            </w:r>
            <w:proofErr w:type="spellEnd"/>
            <w:r w:rsidRPr="00D0170F">
              <w:rPr>
                <w:rFonts w:ascii="Goudy Old Style" w:hAnsi="Goudy Old Style" w:cs="Arial"/>
                <w:bCs/>
                <w:sz w:val="20"/>
                <w:szCs w:val="20"/>
              </w:rPr>
              <w:t xml:space="preserve"> 11. Hasil </w:t>
            </w:r>
            <w:proofErr w:type="spellStart"/>
            <w:r w:rsidRPr="00D0170F">
              <w:rPr>
                <w:rFonts w:ascii="Goudy Old Style" w:hAnsi="Goudy Old Style" w:cs="Arial"/>
                <w:bCs/>
                <w:sz w:val="20"/>
                <w:szCs w:val="20"/>
              </w:rPr>
              <w:t>penelitian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ini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adalah</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kurator</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dalam</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melakukan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tugasnya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ada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kendala-kendala</w:t>
            </w:r>
            <w:proofErr w:type="spellEnd"/>
            <w:r w:rsidRPr="00D0170F">
              <w:rPr>
                <w:rFonts w:ascii="Goudy Old Style" w:hAnsi="Goudy Old Style" w:cs="Arial"/>
                <w:bCs/>
                <w:sz w:val="20"/>
                <w:szCs w:val="20"/>
              </w:rPr>
              <w:t xml:space="preserve"> yang </w:t>
            </w:r>
            <w:proofErr w:type="spellStart"/>
            <w:r w:rsidRPr="00D0170F">
              <w:rPr>
                <w:rFonts w:ascii="Goudy Old Style" w:hAnsi="Goudy Old Style" w:cs="Arial"/>
                <w:bCs/>
                <w:sz w:val="20"/>
                <w:szCs w:val="20"/>
              </w:rPr>
              <w:t>biasa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dihadapi</w:t>
            </w:r>
            <w:proofErr w:type="spellEnd"/>
            <w:r w:rsidRPr="00D0170F">
              <w:rPr>
                <w:rFonts w:ascii="Goudy Old Style" w:hAnsi="Goudy Old Style" w:cs="Arial"/>
                <w:bCs/>
                <w:sz w:val="20"/>
                <w:szCs w:val="20"/>
              </w:rPr>
              <w:t xml:space="preserve">. Akuntansi </w:t>
            </w:r>
            <w:proofErr w:type="spellStart"/>
            <w:r w:rsidRPr="00D0170F">
              <w:rPr>
                <w:rFonts w:ascii="Goudy Old Style" w:hAnsi="Goudy Old Style" w:cs="Arial"/>
                <w:bCs/>
                <w:sz w:val="20"/>
                <w:szCs w:val="20"/>
              </w:rPr>
              <w:t>forensik</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penting</w:t>
            </w:r>
            <w:proofErr w:type="spellEnd"/>
            <w:r w:rsidRPr="00D0170F">
              <w:rPr>
                <w:rFonts w:ascii="Goudy Old Style" w:hAnsi="Goudy Old Style" w:cs="Arial"/>
                <w:bCs/>
                <w:sz w:val="20"/>
                <w:szCs w:val="20"/>
              </w:rPr>
              <w:t xml:space="preserve"> dan </w:t>
            </w:r>
            <w:proofErr w:type="spellStart"/>
            <w:r w:rsidRPr="00D0170F">
              <w:rPr>
                <w:rFonts w:ascii="Goudy Old Style" w:hAnsi="Goudy Old Style" w:cs="Arial"/>
                <w:bCs/>
                <w:sz w:val="20"/>
                <w:szCs w:val="20"/>
              </w:rPr>
              <w:t>dapat</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membantu</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pekerjaan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kurator</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baik</w:t>
            </w:r>
            <w:proofErr w:type="spellEnd"/>
            <w:r w:rsidRPr="00D0170F">
              <w:rPr>
                <w:rFonts w:ascii="Goudy Old Style" w:hAnsi="Goudy Old Style" w:cs="Arial"/>
                <w:bCs/>
                <w:sz w:val="20"/>
                <w:szCs w:val="20"/>
              </w:rPr>
              <w:t xml:space="preserve"> yang </w:t>
            </w:r>
            <w:proofErr w:type="spellStart"/>
            <w:r w:rsidRPr="00D0170F">
              <w:rPr>
                <w:rFonts w:ascii="Goudy Old Style" w:hAnsi="Goudy Old Style" w:cs="Arial"/>
                <w:bCs/>
                <w:sz w:val="20"/>
                <w:szCs w:val="20"/>
              </w:rPr>
              <w:t>berhubungan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dengan</w:t>
            </w:r>
            <w:proofErr w:type="spellEnd"/>
            <w:r w:rsidRPr="00D0170F">
              <w:rPr>
                <w:rFonts w:ascii="Goudy Old Style" w:hAnsi="Goudy Old Style" w:cs="Arial"/>
                <w:bCs/>
                <w:sz w:val="20"/>
                <w:szCs w:val="20"/>
              </w:rPr>
              <w:t xml:space="preserve"> </w:t>
            </w:r>
            <w:r w:rsidRPr="0007309D">
              <w:rPr>
                <w:rFonts w:ascii="Goudy Old Style" w:hAnsi="Goudy Old Style" w:cs="Arial"/>
                <w:bCs/>
                <w:i/>
                <w:iCs/>
                <w:sz w:val="20"/>
                <w:szCs w:val="20"/>
              </w:rPr>
              <w:t>fraud</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ataupun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dalam</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penelusuran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akurasi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transaksi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harta</w:t>
            </w:r>
            <w:proofErr w:type="spellEnd"/>
            <w:r w:rsidRPr="00D0170F">
              <w:rPr>
                <w:rFonts w:ascii="Goudy Old Style" w:hAnsi="Goudy Old Style" w:cs="Arial"/>
                <w:bCs/>
                <w:sz w:val="20"/>
                <w:szCs w:val="20"/>
              </w:rPr>
              <w:t xml:space="preserve"> </w:t>
            </w:r>
            <w:r w:rsidRPr="00D0170F">
              <w:rPr>
                <w:rFonts w:ascii="Goudy Old Style" w:hAnsi="Goudy Old Style" w:cs="Arial"/>
                <w:bCs/>
                <w:i/>
                <w:iCs/>
                <w:sz w:val="20"/>
                <w:szCs w:val="20"/>
              </w:rPr>
              <w:t>(</w:t>
            </w:r>
            <w:proofErr w:type="spellStart"/>
            <w:r w:rsidRPr="00D0170F">
              <w:rPr>
                <w:rFonts w:ascii="Goudy Old Style" w:hAnsi="Goudy Old Style" w:cs="Arial"/>
                <w:bCs/>
                <w:i/>
                <w:iCs/>
                <w:sz w:val="20"/>
                <w:szCs w:val="20"/>
              </w:rPr>
              <w:t>boedel</w:t>
            </w:r>
            <w:proofErr w:type="spellEnd"/>
            <w:r w:rsidRPr="00D0170F">
              <w:rPr>
                <w:rFonts w:ascii="Goudy Old Style" w:hAnsi="Goudy Old Style" w:cs="Arial"/>
                <w:bCs/>
                <w:i/>
                <w:iCs/>
                <w:sz w:val="20"/>
                <w:szCs w:val="20"/>
              </w:rPr>
              <w:t>)</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pailit</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maupun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perhitungan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nilai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harta</w:t>
            </w:r>
            <w:proofErr w:type="spellEnd"/>
            <w:r w:rsidRPr="00D0170F">
              <w:rPr>
                <w:rFonts w:ascii="Goudy Old Style" w:hAnsi="Goudy Old Style" w:cs="Arial"/>
                <w:bCs/>
                <w:sz w:val="20"/>
                <w:szCs w:val="20"/>
              </w:rPr>
              <w:t xml:space="preserve"> </w:t>
            </w:r>
            <w:r w:rsidRPr="00D0170F">
              <w:rPr>
                <w:rFonts w:ascii="Goudy Old Style" w:hAnsi="Goudy Old Style" w:cs="Arial"/>
                <w:bCs/>
                <w:i/>
                <w:iCs/>
                <w:sz w:val="20"/>
                <w:szCs w:val="20"/>
              </w:rPr>
              <w:t>(</w:t>
            </w:r>
            <w:proofErr w:type="spellStart"/>
            <w:r w:rsidRPr="00D0170F">
              <w:rPr>
                <w:rFonts w:ascii="Goudy Old Style" w:hAnsi="Goudy Old Style" w:cs="Arial"/>
                <w:bCs/>
                <w:i/>
                <w:iCs/>
                <w:sz w:val="20"/>
                <w:szCs w:val="20"/>
              </w:rPr>
              <w:t>boedel</w:t>
            </w:r>
            <w:proofErr w:type="spellEnd"/>
            <w:r w:rsidRPr="00D0170F">
              <w:rPr>
                <w:rFonts w:ascii="Goudy Old Style" w:hAnsi="Goudy Old Style" w:cs="Arial"/>
                <w:bCs/>
                <w:i/>
                <w:iCs/>
                <w:sz w:val="20"/>
                <w:szCs w:val="20"/>
              </w:rPr>
              <w:t>)</w:t>
            </w:r>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pailit</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Namun</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tidak</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semua</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kurator</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memahami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ilmu</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akuntansi</w:t>
            </w:r>
            <w:proofErr w:type="spellEnd"/>
            <w:r w:rsidRPr="00D0170F">
              <w:rPr>
                <w:rFonts w:ascii="Goudy Old Style" w:hAnsi="Goudy Old Style" w:cs="Arial"/>
                <w:bCs/>
                <w:sz w:val="20"/>
                <w:szCs w:val="20"/>
              </w:rPr>
              <w:t xml:space="preserve"> </w:t>
            </w:r>
            <w:proofErr w:type="spellStart"/>
            <w:r w:rsidRPr="00D0170F">
              <w:rPr>
                <w:rFonts w:ascii="Goudy Old Style" w:hAnsi="Goudy Old Style" w:cs="Arial"/>
                <w:bCs/>
                <w:sz w:val="20"/>
                <w:szCs w:val="20"/>
              </w:rPr>
              <w:t>forensik</w:t>
            </w:r>
            <w:proofErr w:type="spellEnd"/>
            <w:r w:rsidRPr="00D0170F">
              <w:rPr>
                <w:rFonts w:ascii="Goudy Old Style" w:hAnsi="Goudy Old Style" w:cs="Arial"/>
                <w:bCs/>
                <w:sz w:val="20"/>
                <w:szCs w:val="20"/>
              </w:rPr>
              <w:t>.</w:t>
            </w:r>
          </w:p>
          <w:p w14:paraId="22BA785A" w14:textId="77777777" w:rsidR="00EA2566" w:rsidRPr="00AA1148" w:rsidRDefault="00EA2566" w:rsidP="00EA2566">
            <w:pPr>
              <w:autoSpaceDE w:val="0"/>
              <w:autoSpaceDN w:val="0"/>
              <w:adjustRightInd w:val="0"/>
              <w:spacing w:after="0" w:line="240" w:lineRule="auto"/>
              <w:jc w:val="both"/>
              <w:rPr>
                <w:rFonts w:ascii="Goudy Old Style" w:hAnsi="Goudy Old Style" w:cs="Arial"/>
                <w:bCs/>
                <w:sz w:val="20"/>
                <w:szCs w:val="20"/>
              </w:rPr>
            </w:pPr>
          </w:p>
          <w:p w14:paraId="5AD3B2D6" w14:textId="66A7E65D" w:rsidR="001D3C7F" w:rsidRPr="00646662" w:rsidRDefault="00EA2566" w:rsidP="00EA2566">
            <w:pPr>
              <w:jc w:val="both"/>
              <w:rPr>
                <w:rFonts w:ascii="Goudy Old Style" w:eastAsia="Calibri" w:hAnsi="Goudy Old Style" w:cs="Times New Roman"/>
                <w:bCs/>
                <w:iCs/>
                <w:sz w:val="20"/>
                <w:szCs w:val="20"/>
              </w:rPr>
            </w:pPr>
            <w:r w:rsidRPr="0007309D">
              <w:rPr>
                <w:rFonts w:ascii="Goudy Old Style" w:eastAsia="Calibri" w:hAnsi="Goudy Old Style" w:cs="Times New Roman"/>
                <w:bCs/>
                <w:sz w:val="20"/>
                <w:szCs w:val="20"/>
              </w:rPr>
              <w:t xml:space="preserve">Kata </w:t>
            </w:r>
            <w:proofErr w:type="spellStart"/>
            <w:r w:rsidRPr="0007309D">
              <w:rPr>
                <w:rFonts w:ascii="Goudy Old Style" w:eastAsia="Calibri" w:hAnsi="Goudy Old Style" w:cs="Times New Roman"/>
                <w:bCs/>
                <w:sz w:val="20"/>
                <w:szCs w:val="20"/>
              </w:rPr>
              <w:t>Kunci</w:t>
            </w:r>
            <w:proofErr w:type="spellEnd"/>
            <w:r w:rsidRPr="0007309D">
              <w:rPr>
                <w:rFonts w:ascii="Goudy Old Style" w:eastAsia="Calibri" w:hAnsi="Goudy Old Style" w:cs="Times New Roman"/>
                <w:bCs/>
                <w:sz w:val="20"/>
                <w:szCs w:val="20"/>
              </w:rPr>
              <w:t xml:space="preserve">: </w:t>
            </w:r>
            <w:proofErr w:type="spellStart"/>
            <w:r w:rsidRPr="0007309D">
              <w:rPr>
                <w:rFonts w:ascii="Goudy Old Style" w:eastAsia="Calibri" w:hAnsi="Goudy Old Style" w:cs="Times New Roman"/>
                <w:bCs/>
                <w:sz w:val="20"/>
                <w:szCs w:val="20"/>
              </w:rPr>
              <w:t>Kepailitan</w:t>
            </w:r>
            <w:proofErr w:type="spellEnd"/>
            <w:r w:rsidRPr="0007309D">
              <w:rPr>
                <w:rFonts w:ascii="Goudy Old Style" w:eastAsia="Calibri" w:hAnsi="Goudy Old Style" w:cs="Times New Roman"/>
                <w:bCs/>
                <w:sz w:val="20"/>
                <w:szCs w:val="20"/>
              </w:rPr>
              <w:t xml:space="preserve">, </w:t>
            </w:r>
            <w:proofErr w:type="spellStart"/>
            <w:r w:rsidRPr="0007309D">
              <w:rPr>
                <w:rFonts w:ascii="Goudy Old Style" w:eastAsia="Calibri" w:hAnsi="Goudy Old Style" w:cs="Times New Roman"/>
                <w:bCs/>
                <w:sz w:val="20"/>
                <w:szCs w:val="20"/>
              </w:rPr>
              <w:t>Kurator</w:t>
            </w:r>
            <w:proofErr w:type="spellEnd"/>
            <w:r w:rsidRPr="0007309D">
              <w:rPr>
                <w:rFonts w:ascii="Goudy Old Style" w:eastAsia="Calibri" w:hAnsi="Goudy Old Style" w:cs="Times New Roman"/>
                <w:bCs/>
                <w:sz w:val="20"/>
                <w:szCs w:val="20"/>
              </w:rPr>
              <w:t>,</w:t>
            </w:r>
            <w:r>
              <w:rPr>
                <w:rFonts w:ascii="Goudy Old Style" w:eastAsia="Calibri" w:hAnsi="Goudy Old Style" w:cs="Times New Roman"/>
                <w:bCs/>
                <w:sz w:val="20"/>
                <w:szCs w:val="20"/>
              </w:rPr>
              <w:t xml:space="preserve"> Akuntansi</w:t>
            </w:r>
            <w:r w:rsidRPr="0007309D">
              <w:rPr>
                <w:rFonts w:ascii="Goudy Old Style" w:eastAsia="Calibri" w:hAnsi="Goudy Old Style" w:cs="Times New Roman"/>
                <w:bCs/>
                <w:sz w:val="20"/>
                <w:szCs w:val="20"/>
              </w:rPr>
              <w:t xml:space="preserve"> </w:t>
            </w:r>
            <w:proofErr w:type="spellStart"/>
            <w:r w:rsidRPr="0007309D">
              <w:rPr>
                <w:rFonts w:ascii="Goudy Old Style" w:eastAsia="Calibri" w:hAnsi="Goudy Old Style" w:cs="Times New Roman"/>
                <w:bCs/>
                <w:sz w:val="20"/>
                <w:szCs w:val="20"/>
              </w:rPr>
              <w:t>Forensik</w:t>
            </w:r>
            <w:proofErr w:type="spellEnd"/>
          </w:p>
        </w:tc>
      </w:tr>
      <w:tr w:rsidR="00E01C77" w:rsidRPr="00BC5DD1" w14:paraId="29661DCB" w14:textId="77777777" w:rsidTr="00C257B8">
        <w:trPr>
          <w:trHeight w:val="5675"/>
        </w:trPr>
        <w:tc>
          <w:tcPr>
            <w:tcW w:w="3060" w:type="dxa"/>
            <w:shd w:val="clear" w:color="auto" w:fill="auto"/>
          </w:tcPr>
          <w:p w14:paraId="0DE60795" w14:textId="04DBBB4C" w:rsidR="0034113C" w:rsidRPr="00BC5DD1" w:rsidRDefault="0034113C" w:rsidP="00E01C77">
            <w:pPr>
              <w:spacing w:after="0" w:line="240" w:lineRule="auto"/>
              <w:contextualSpacing/>
              <w:rPr>
                <w:rFonts w:ascii="Calibri Light" w:eastAsia="Calibri" w:hAnsi="Calibri Light" w:cs="Calibri Light"/>
                <w:bCs/>
                <w:sz w:val="18"/>
                <w:szCs w:val="18"/>
              </w:rPr>
            </w:pPr>
            <w:r w:rsidRPr="00BC5DD1">
              <w:rPr>
                <w:rFonts w:ascii="Calibri Light" w:eastAsia="Calibri" w:hAnsi="Calibri Light" w:cs="Calibri Light"/>
                <w:bCs/>
                <w:sz w:val="18"/>
                <w:szCs w:val="18"/>
              </w:rPr>
              <w:t>Affiliation:</w:t>
            </w:r>
          </w:p>
          <w:p w14:paraId="4CBD8485" w14:textId="57F03285" w:rsidR="0034113C" w:rsidRDefault="00BD423B" w:rsidP="00BD423B">
            <w:pPr>
              <w:spacing w:after="0" w:line="240" w:lineRule="auto"/>
              <w:contextualSpacing/>
              <w:rPr>
                <w:rFonts w:ascii="Calibri Light" w:eastAsia="Calibri" w:hAnsi="Calibri Light" w:cs="Calibri Light"/>
                <w:bCs/>
                <w:sz w:val="18"/>
                <w:szCs w:val="18"/>
              </w:rPr>
            </w:pPr>
            <w:r>
              <w:rPr>
                <w:rFonts w:ascii="Calibri Light" w:eastAsia="Calibri" w:hAnsi="Calibri Light" w:cs="Calibri Light"/>
                <w:bCs/>
                <w:sz w:val="18"/>
                <w:szCs w:val="18"/>
              </w:rPr>
              <w:t>Universitas Terbuka</w:t>
            </w:r>
            <w:r w:rsidR="006032F9">
              <w:rPr>
                <w:rFonts w:ascii="Calibri Light" w:eastAsia="Calibri" w:hAnsi="Calibri Light" w:cs="Calibri Light"/>
                <w:bCs/>
                <w:sz w:val="18"/>
                <w:szCs w:val="18"/>
              </w:rPr>
              <w:t xml:space="preserve">, </w:t>
            </w:r>
            <w:r>
              <w:rPr>
                <w:rFonts w:ascii="Calibri Light" w:eastAsia="Calibri" w:hAnsi="Calibri Light" w:cs="Calibri Light"/>
                <w:bCs/>
                <w:sz w:val="18"/>
                <w:szCs w:val="18"/>
              </w:rPr>
              <w:t>Indonesia</w:t>
            </w:r>
          </w:p>
          <w:p w14:paraId="34CF0410" w14:textId="63C5C074" w:rsidR="00BD423B" w:rsidRDefault="00BD423B" w:rsidP="00BD423B">
            <w:pPr>
              <w:spacing w:after="0" w:line="240" w:lineRule="auto"/>
              <w:contextualSpacing/>
              <w:rPr>
                <w:rFonts w:ascii="Calibri Light" w:eastAsia="Calibri" w:hAnsi="Calibri Light" w:cs="Calibri Light"/>
                <w:bCs/>
                <w:sz w:val="18"/>
                <w:szCs w:val="18"/>
              </w:rPr>
            </w:pPr>
            <w:proofErr w:type="spellStart"/>
            <w:r>
              <w:rPr>
                <w:rFonts w:ascii="Calibri Light" w:eastAsia="Calibri" w:hAnsi="Calibri Light" w:cs="Calibri Light"/>
                <w:bCs/>
                <w:sz w:val="18"/>
                <w:szCs w:val="18"/>
              </w:rPr>
              <w:t>Universiti</w:t>
            </w:r>
            <w:proofErr w:type="spellEnd"/>
            <w:r>
              <w:rPr>
                <w:rFonts w:ascii="Calibri Light" w:eastAsia="Calibri" w:hAnsi="Calibri Light" w:cs="Calibri Light"/>
                <w:bCs/>
                <w:sz w:val="18"/>
                <w:szCs w:val="18"/>
              </w:rPr>
              <w:t xml:space="preserve"> </w:t>
            </w:r>
            <w:proofErr w:type="spellStart"/>
            <w:r>
              <w:rPr>
                <w:rFonts w:ascii="Calibri Light" w:eastAsia="Calibri" w:hAnsi="Calibri Light" w:cs="Calibri Light"/>
                <w:bCs/>
                <w:sz w:val="18"/>
                <w:szCs w:val="18"/>
              </w:rPr>
              <w:t>Teknologi</w:t>
            </w:r>
            <w:proofErr w:type="spellEnd"/>
            <w:r>
              <w:rPr>
                <w:rFonts w:ascii="Calibri Light" w:eastAsia="Calibri" w:hAnsi="Calibri Light" w:cs="Calibri Light"/>
                <w:bCs/>
                <w:sz w:val="18"/>
                <w:szCs w:val="18"/>
              </w:rPr>
              <w:t xml:space="preserve"> MARA, Malaysia</w:t>
            </w:r>
          </w:p>
          <w:p w14:paraId="49DF2A9E" w14:textId="18F1BA35" w:rsidR="00BD423B" w:rsidRDefault="00BD423B" w:rsidP="00BD423B">
            <w:pPr>
              <w:spacing w:after="0" w:line="240" w:lineRule="auto"/>
              <w:contextualSpacing/>
              <w:rPr>
                <w:rFonts w:ascii="Calibri Light" w:eastAsia="Calibri" w:hAnsi="Calibri Light" w:cs="Calibri Light"/>
                <w:bCs/>
                <w:sz w:val="18"/>
                <w:szCs w:val="18"/>
              </w:rPr>
            </w:pPr>
            <w:r>
              <w:rPr>
                <w:rFonts w:ascii="Calibri Light" w:eastAsia="Calibri" w:hAnsi="Calibri Light" w:cs="Calibri Light"/>
                <w:bCs/>
                <w:sz w:val="18"/>
                <w:szCs w:val="18"/>
              </w:rPr>
              <w:t>Universitas Terbuka, Indonesia</w:t>
            </w:r>
          </w:p>
          <w:p w14:paraId="0C814C3D" w14:textId="3999812D" w:rsidR="00EA2566" w:rsidRPr="00BC5DD1" w:rsidRDefault="00EA2566" w:rsidP="00BD423B">
            <w:pPr>
              <w:spacing w:after="0" w:line="240" w:lineRule="auto"/>
              <w:contextualSpacing/>
              <w:rPr>
                <w:rFonts w:ascii="Calibri Light" w:eastAsia="Calibri" w:hAnsi="Calibri Light" w:cs="Calibri Light"/>
                <w:bCs/>
                <w:sz w:val="18"/>
                <w:szCs w:val="18"/>
              </w:rPr>
            </w:pPr>
            <w:r>
              <w:rPr>
                <w:rFonts w:ascii="Calibri Light" w:eastAsia="Calibri" w:hAnsi="Calibri Light" w:cs="Calibri Light"/>
                <w:bCs/>
                <w:sz w:val="18"/>
                <w:szCs w:val="18"/>
              </w:rPr>
              <w:t>Universitas Islam Indonesia, Indonesia</w:t>
            </w:r>
          </w:p>
          <w:p w14:paraId="1D91AE4C" w14:textId="77777777" w:rsidR="0034113C" w:rsidRPr="00BC5DD1" w:rsidRDefault="0034113C" w:rsidP="0034113C">
            <w:pPr>
              <w:spacing w:after="0" w:line="240" w:lineRule="auto"/>
              <w:contextualSpacing/>
              <w:rPr>
                <w:rFonts w:ascii="Calibri Light" w:eastAsia="Calibri" w:hAnsi="Calibri Light" w:cs="Calibri Light"/>
                <w:bCs/>
                <w:sz w:val="18"/>
                <w:szCs w:val="18"/>
              </w:rPr>
            </w:pPr>
          </w:p>
          <w:p w14:paraId="78D85420" w14:textId="77777777" w:rsidR="0034113C" w:rsidRPr="00BC5DD1" w:rsidRDefault="0034113C" w:rsidP="0034113C">
            <w:pPr>
              <w:spacing w:after="0" w:line="240" w:lineRule="auto"/>
              <w:contextualSpacing/>
              <w:rPr>
                <w:rFonts w:ascii="Calibri Light" w:eastAsia="Calibri" w:hAnsi="Calibri Light" w:cs="Calibri Light"/>
                <w:bCs/>
                <w:sz w:val="18"/>
                <w:szCs w:val="18"/>
                <w:shd w:val="clear" w:color="auto" w:fill="FFFFFF"/>
              </w:rPr>
            </w:pPr>
            <w:r w:rsidRPr="00BC5DD1">
              <w:rPr>
                <w:rFonts w:ascii="Calibri Light" w:eastAsia="Calibri" w:hAnsi="Calibri Light" w:cs="Calibri Light"/>
                <w:bCs/>
                <w:sz w:val="18"/>
                <w:szCs w:val="18"/>
                <w:shd w:val="clear" w:color="auto" w:fill="FFFFFF"/>
              </w:rPr>
              <w:t>*Correspondence:</w:t>
            </w:r>
          </w:p>
          <w:p w14:paraId="1E204A83" w14:textId="34DCCE2D" w:rsidR="0034113C" w:rsidRPr="00BC5DD1" w:rsidRDefault="00BD423B" w:rsidP="00BD423B">
            <w:pPr>
              <w:spacing w:after="0" w:line="240" w:lineRule="auto"/>
              <w:contextualSpacing/>
              <w:rPr>
                <w:rFonts w:ascii="Calibri Light" w:eastAsia="Calibri" w:hAnsi="Calibri Light" w:cs="Calibri Light"/>
                <w:bCs/>
                <w:sz w:val="18"/>
                <w:szCs w:val="18"/>
              </w:rPr>
            </w:pPr>
            <w:r>
              <w:rPr>
                <w:rFonts w:ascii="Calibri Light" w:eastAsia="Calibri" w:hAnsi="Calibri Light" w:cs="Calibri Light"/>
                <w:bCs/>
                <w:sz w:val="18"/>
                <w:szCs w:val="18"/>
              </w:rPr>
              <w:t>ekawirajuang@ecampus.ut.ac.id</w:t>
            </w:r>
          </w:p>
          <w:p w14:paraId="57D732DE" w14:textId="77777777" w:rsidR="0034113C" w:rsidRPr="00BC5DD1" w:rsidRDefault="0034113C" w:rsidP="0034113C">
            <w:pPr>
              <w:spacing w:after="0" w:line="240" w:lineRule="auto"/>
              <w:contextualSpacing/>
              <w:rPr>
                <w:rFonts w:ascii="Calibri Light" w:eastAsia="Calibri" w:hAnsi="Calibri Light" w:cs="Calibri Light"/>
                <w:bCs/>
                <w:sz w:val="18"/>
                <w:szCs w:val="18"/>
              </w:rPr>
            </w:pPr>
          </w:p>
          <w:p w14:paraId="75C76016" w14:textId="77777777" w:rsidR="00E01C77" w:rsidRPr="00BC5DD1" w:rsidRDefault="00981D8F" w:rsidP="00E01C77">
            <w:pPr>
              <w:spacing w:after="0" w:line="240" w:lineRule="auto"/>
              <w:contextualSpacing/>
              <w:rPr>
                <w:rFonts w:ascii="Calibri Light" w:eastAsia="Calibri" w:hAnsi="Calibri Light" w:cs="Calibri Light"/>
                <w:bCs/>
                <w:sz w:val="18"/>
                <w:szCs w:val="18"/>
                <w:lang w:val="id-ID"/>
              </w:rPr>
            </w:pPr>
            <w:r w:rsidRPr="00BC5DD1">
              <w:rPr>
                <w:rFonts w:ascii="Calibri Light" w:eastAsia="Calibri" w:hAnsi="Calibri Light" w:cs="Calibri Light"/>
                <w:bCs/>
                <w:sz w:val="18"/>
                <w:szCs w:val="18"/>
                <w:lang w:val="id-ID"/>
              </w:rPr>
              <w:t xml:space="preserve">This Article is Avalilable in: </w:t>
            </w:r>
          </w:p>
          <w:p w14:paraId="7CBE2C57" w14:textId="77777777" w:rsidR="00E01C77" w:rsidRPr="00BC5DD1" w:rsidRDefault="0076558F" w:rsidP="00E01C77">
            <w:pPr>
              <w:spacing w:after="0" w:line="240" w:lineRule="auto"/>
              <w:contextualSpacing/>
              <w:rPr>
                <w:rFonts w:ascii="Calibri Light" w:eastAsia="Calibri" w:hAnsi="Calibri Light" w:cs="Calibri Light"/>
                <w:bCs/>
                <w:sz w:val="18"/>
                <w:szCs w:val="18"/>
                <w:lang w:val="id-ID"/>
              </w:rPr>
            </w:pPr>
            <w:hyperlink r:id="rId9" w:history="1">
              <w:r w:rsidR="0005604E" w:rsidRPr="00BC5DD1">
                <w:rPr>
                  <w:rStyle w:val="Hyperlink"/>
                  <w:rFonts w:ascii="Calibri Light" w:eastAsia="Calibri" w:hAnsi="Calibri Light" w:cs="Calibri Light"/>
                  <w:bCs/>
                  <w:sz w:val="18"/>
                  <w:szCs w:val="18"/>
                </w:rPr>
                <w:t>https://journal.umy.ac.id/index. php/</w:t>
              </w:r>
              <w:proofErr w:type="spellStart"/>
              <w:r w:rsidR="0005604E" w:rsidRPr="00BC5DD1">
                <w:rPr>
                  <w:rStyle w:val="Hyperlink"/>
                  <w:rFonts w:ascii="Calibri Light" w:eastAsia="Calibri" w:hAnsi="Calibri Light" w:cs="Calibri Light"/>
                  <w:bCs/>
                  <w:sz w:val="18"/>
                  <w:szCs w:val="18"/>
                </w:rPr>
                <w:t>jati</w:t>
              </w:r>
              <w:proofErr w:type="spellEnd"/>
              <w:r w:rsidR="0005604E" w:rsidRPr="00BC5DD1">
                <w:rPr>
                  <w:rStyle w:val="Hyperlink"/>
                  <w:rFonts w:ascii="Calibri Light" w:eastAsia="Calibri" w:hAnsi="Calibri Light" w:cs="Calibri Light"/>
                  <w:bCs/>
                  <w:sz w:val="18"/>
                  <w:szCs w:val="18"/>
                </w:rPr>
                <w:t>/</w:t>
              </w:r>
            </w:hyperlink>
            <w:r w:rsidR="00CC16FF" w:rsidRPr="00BC5DD1">
              <w:rPr>
                <w:rFonts w:ascii="Calibri Light" w:eastAsia="Calibri" w:hAnsi="Calibri Light" w:cs="Calibri Light"/>
                <w:bCs/>
                <w:sz w:val="18"/>
                <w:szCs w:val="18"/>
                <w:lang w:val="id-ID"/>
              </w:rPr>
              <w:t xml:space="preserve"> </w:t>
            </w:r>
          </w:p>
          <w:p w14:paraId="26B80BA7" w14:textId="77777777" w:rsidR="00935762" w:rsidRPr="00BC5DD1" w:rsidRDefault="00935762" w:rsidP="00E01C77">
            <w:pPr>
              <w:spacing w:after="0" w:line="240" w:lineRule="auto"/>
              <w:contextualSpacing/>
              <w:rPr>
                <w:rFonts w:ascii="Calibri Light" w:eastAsia="Calibri" w:hAnsi="Calibri Light" w:cs="Calibri Light"/>
                <w:bCs/>
                <w:sz w:val="18"/>
                <w:szCs w:val="18"/>
                <w:lang w:val="id-ID"/>
              </w:rPr>
            </w:pPr>
          </w:p>
          <w:p w14:paraId="7DA3DDDB" w14:textId="77777777" w:rsidR="00E01C77" w:rsidRPr="00BC5DD1" w:rsidRDefault="00E01C77" w:rsidP="00E01C77">
            <w:pPr>
              <w:spacing w:after="0" w:line="240" w:lineRule="auto"/>
              <w:contextualSpacing/>
              <w:rPr>
                <w:rFonts w:ascii="Calibri Light" w:eastAsia="Calibri" w:hAnsi="Calibri Light" w:cs="Calibri Light"/>
                <w:bCs/>
                <w:sz w:val="18"/>
                <w:szCs w:val="18"/>
              </w:rPr>
            </w:pPr>
            <w:r w:rsidRPr="00BC5DD1">
              <w:rPr>
                <w:rFonts w:ascii="Calibri Light" w:eastAsia="Calibri" w:hAnsi="Calibri Light" w:cs="Calibri Light"/>
                <w:bCs/>
                <w:sz w:val="18"/>
                <w:szCs w:val="18"/>
                <w:lang w:val="id-ID"/>
              </w:rPr>
              <w:t>DOI:</w:t>
            </w:r>
          </w:p>
          <w:p w14:paraId="128312BF" w14:textId="6FB06129" w:rsidR="00E01C77" w:rsidRPr="00BC5DD1" w:rsidRDefault="0005604E" w:rsidP="00E01C77">
            <w:pPr>
              <w:spacing w:after="0" w:line="240" w:lineRule="auto"/>
              <w:ind w:right="33"/>
              <w:contextualSpacing/>
              <w:rPr>
                <w:rFonts w:ascii="Calibri Light" w:eastAsia="Calibri" w:hAnsi="Calibri Light" w:cs="Calibri Light"/>
                <w:bCs/>
                <w:sz w:val="18"/>
                <w:szCs w:val="18"/>
              </w:rPr>
            </w:pPr>
            <w:r w:rsidRPr="00BC5DD1">
              <w:rPr>
                <w:rFonts w:ascii="Calibri Light" w:eastAsia="Calibri" w:hAnsi="Calibri Light" w:cs="Calibri Light"/>
                <w:bCs/>
                <w:sz w:val="18"/>
                <w:szCs w:val="18"/>
              </w:rPr>
              <w:t>10.18196/</w:t>
            </w:r>
            <w:proofErr w:type="spellStart"/>
            <w:r w:rsidRPr="00BC5DD1">
              <w:rPr>
                <w:rFonts w:ascii="Calibri Light" w:eastAsia="Calibri" w:hAnsi="Calibri Light" w:cs="Calibri Light"/>
                <w:bCs/>
                <w:sz w:val="18"/>
                <w:szCs w:val="18"/>
              </w:rPr>
              <w:t>jati.</w:t>
            </w:r>
            <w:r w:rsidR="006D4087">
              <w:rPr>
                <w:rFonts w:ascii="Calibri Light" w:eastAsia="Calibri" w:hAnsi="Calibri Light" w:cs="Calibri Light"/>
                <w:bCs/>
                <w:sz w:val="18"/>
                <w:szCs w:val="18"/>
              </w:rPr>
              <w:t>xxx</w:t>
            </w:r>
            <w:proofErr w:type="spellEnd"/>
          </w:p>
          <w:p w14:paraId="4972EA59" w14:textId="77777777" w:rsidR="0034113C" w:rsidRPr="00BC5DD1" w:rsidRDefault="0034113C" w:rsidP="00E01C77">
            <w:pPr>
              <w:spacing w:after="0" w:line="240" w:lineRule="auto"/>
              <w:ind w:right="33"/>
              <w:contextualSpacing/>
              <w:rPr>
                <w:rFonts w:ascii="Calibri Light" w:eastAsia="Calibri" w:hAnsi="Calibri Light" w:cs="Calibri Light"/>
                <w:bCs/>
                <w:sz w:val="18"/>
                <w:szCs w:val="18"/>
              </w:rPr>
            </w:pPr>
          </w:p>
          <w:p w14:paraId="589544AD" w14:textId="77777777" w:rsidR="0034113C" w:rsidRPr="00BC5DD1" w:rsidRDefault="0034113C" w:rsidP="00E01C77">
            <w:pPr>
              <w:spacing w:after="0" w:line="240" w:lineRule="auto"/>
              <w:ind w:right="33"/>
              <w:contextualSpacing/>
              <w:rPr>
                <w:rFonts w:ascii="Calibri Light" w:eastAsia="Calibri" w:hAnsi="Calibri Light" w:cs="Calibri Light"/>
                <w:bCs/>
                <w:sz w:val="18"/>
                <w:szCs w:val="18"/>
              </w:rPr>
            </w:pPr>
            <w:r w:rsidRPr="00BC5DD1">
              <w:rPr>
                <w:rFonts w:ascii="Calibri Light" w:eastAsia="Calibri" w:hAnsi="Calibri Light" w:cs="Calibri Light"/>
                <w:bCs/>
                <w:sz w:val="18"/>
                <w:szCs w:val="18"/>
              </w:rPr>
              <w:t>Citation:</w:t>
            </w:r>
          </w:p>
          <w:p w14:paraId="717893B6" w14:textId="6C007876" w:rsidR="00935762" w:rsidRPr="00BC5DD1" w:rsidRDefault="006D4087" w:rsidP="00E01C77">
            <w:pPr>
              <w:spacing w:after="0" w:line="240" w:lineRule="auto"/>
              <w:ind w:right="33"/>
              <w:contextualSpacing/>
              <w:rPr>
                <w:rFonts w:ascii="Calibri Light" w:eastAsia="Calibri" w:hAnsi="Calibri Light" w:cs="Calibri Light"/>
                <w:bCs/>
                <w:sz w:val="18"/>
                <w:szCs w:val="18"/>
              </w:rPr>
            </w:pPr>
            <w:r>
              <w:rPr>
                <w:rFonts w:ascii="Calibri Light" w:eastAsia="Calibri" w:hAnsi="Calibri Light" w:cs="Calibri Light"/>
                <w:bCs/>
                <w:sz w:val="18"/>
                <w:szCs w:val="18"/>
              </w:rPr>
              <w:t>xxx</w:t>
            </w:r>
            <w:r w:rsidR="000E00E0" w:rsidRPr="00BC5DD1">
              <w:rPr>
                <w:rFonts w:ascii="Calibri Light" w:eastAsia="Calibri" w:hAnsi="Calibri Light" w:cs="Calibri Light"/>
                <w:bCs/>
                <w:sz w:val="18"/>
                <w:szCs w:val="18"/>
              </w:rPr>
              <w:t>. </w:t>
            </w:r>
            <w:proofErr w:type="spellStart"/>
            <w:r w:rsidR="000E00E0" w:rsidRPr="00BC5DD1">
              <w:rPr>
                <w:rFonts w:ascii="Calibri Light" w:eastAsia="Calibri" w:hAnsi="Calibri Light" w:cs="Calibri Light"/>
                <w:bCs/>
                <w:i/>
                <w:iCs/>
                <w:sz w:val="18"/>
                <w:szCs w:val="18"/>
              </w:rPr>
              <w:t>Jati</w:t>
            </w:r>
            <w:proofErr w:type="spellEnd"/>
            <w:r w:rsidR="000E00E0" w:rsidRPr="00BC5DD1">
              <w:rPr>
                <w:rFonts w:ascii="Calibri Light" w:eastAsia="Calibri" w:hAnsi="Calibri Light" w:cs="Calibri Light"/>
                <w:bCs/>
                <w:i/>
                <w:iCs/>
                <w:sz w:val="18"/>
                <w:szCs w:val="18"/>
              </w:rPr>
              <w:t xml:space="preserve">: </w:t>
            </w:r>
            <w:proofErr w:type="spellStart"/>
            <w:r w:rsidR="000E00E0" w:rsidRPr="00BC5DD1">
              <w:rPr>
                <w:rFonts w:ascii="Calibri Light" w:eastAsia="Calibri" w:hAnsi="Calibri Light" w:cs="Calibri Light"/>
                <w:bCs/>
                <w:i/>
                <w:iCs/>
                <w:sz w:val="18"/>
                <w:szCs w:val="18"/>
              </w:rPr>
              <w:t>Jurnal</w:t>
            </w:r>
            <w:proofErr w:type="spellEnd"/>
            <w:r w:rsidR="000E00E0" w:rsidRPr="00BC5DD1">
              <w:rPr>
                <w:rFonts w:ascii="Calibri Light" w:eastAsia="Calibri" w:hAnsi="Calibri Light" w:cs="Calibri Light"/>
                <w:bCs/>
                <w:i/>
                <w:iCs/>
                <w:sz w:val="18"/>
                <w:szCs w:val="18"/>
              </w:rPr>
              <w:t xml:space="preserve"> Akuntansi </w:t>
            </w:r>
            <w:proofErr w:type="spellStart"/>
            <w:r w:rsidR="000E00E0" w:rsidRPr="00BC5DD1">
              <w:rPr>
                <w:rFonts w:ascii="Calibri Light" w:eastAsia="Calibri" w:hAnsi="Calibri Light" w:cs="Calibri Light"/>
                <w:bCs/>
                <w:i/>
                <w:iCs/>
                <w:sz w:val="18"/>
                <w:szCs w:val="18"/>
              </w:rPr>
              <w:t>Terapan</w:t>
            </w:r>
            <w:proofErr w:type="spellEnd"/>
            <w:r w:rsidR="000E00E0" w:rsidRPr="00BC5DD1">
              <w:rPr>
                <w:rFonts w:ascii="Calibri Light" w:eastAsia="Calibri" w:hAnsi="Calibri Light" w:cs="Calibri Light"/>
                <w:bCs/>
                <w:i/>
                <w:iCs/>
                <w:sz w:val="18"/>
                <w:szCs w:val="18"/>
              </w:rPr>
              <w:t xml:space="preserve"> Indonesia, </w:t>
            </w:r>
            <w:r>
              <w:rPr>
                <w:rFonts w:ascii="Calibri Light" w:eastAsia="Calibri" w:hAnsi="Calibri Light" w:cs="Calibri Light"/>
                <w:bCs/>
                <w:i/>
                <w:iCs/>
                <w:sz w:val="18"/>
                <w:szCs w:val="18"/>
              </w:rPr>
              <w:t>x</w:t>
            </w:r>
            <w:r w:rsidR="000E00E0" w:rsidRPr="00BC5DD1">
              <w:rPr>
                <w:rFonts w:ascii="Calibri Light" w:eastAsia="Calibri" w:hAnsi="Calibri Light" w:cs="Calibri Light"/>
                <w:bCs/>
                <w:sz w:val="18"/>
                <w:szCs w:val="18"/>
              </w:rPr>
              <w:t>(</w:t>
            </w:r>
            <w:r>
              <w:rPr>
                <w:rFonts w:ascii="Calibri Light" w:eastAsia="Calibri" w:hAnsi="Calibri Light" w:cs="Calibri Light"/>
                <w:bCs/>
                <w:sz w:val="18"/>
                <w:szCs w:val="18"/>
              </w:rPr>
              <w:t>x</w:t>
            </w:r>
            <w:r w:rsidR="000E00E0" w:rsidRPr="00BC5DD1">
              <w:rPr>
                <w:rFonts w:ascii="Calibri Light" w:eastAsia="Calibri" w:hAnsi="Calibri Light" w:cs="Calibri Light"/>
                <w:bCs/>
                <w:sz w:val="18"/>
                <w:szCs w:val="18"/>
              </w:rPr>
              <w:t xml:space="preserve">), </w:t>
            </w:r>
            <w:r>
              <w:rPr>
                <w:rFonts w:ascii="Calibri Light" w:eastAsia="Calibri" w:hAnsi="Calibri Light" w:cs="Calibri Light"/>
                <w:bCs/>
                <w:sz w:val="18"/>
                <w:szCs w:val="18"/>
              </w:rPr>
              <w:t>xx-xx</w:t>
            </w:r>
            <w:r w:rsidR="000E00E0" w:rsidRPr="00BC5DD1">
              <w:rPr>
                <w:rFonts w:ascii="Calibri Light" w:eastAsia="Calibri" w:hAnsi="Calibri Light" w:cs="Calibri Light"/>
                <w:bCs/>
                <w:sz w:val="18"/>
                <w:szCs w:val="18"/>
              </w:rPr>
              <w:t>.</w:t>
            </w:r>
          </w:p>
          <w:p w14:paraId="39C7986A" w14:textId="77777777" w:rsidR="000E00E0" w:rsidRPr="00BC5DD1" w:rsidRDefault="000E00E0" w:rsidP="00E01C77">
            <w:pPr>
              <w:spacing w:after="0" w:line="240" w:lineRule="auto"/>
              <w:ind w:right="33"/>
              <w:contextualSpacing/>
              <w:rPr>
                <w:rFonts w:ascii="Calibri Light" w:eastAsia="Calibri" w:hAnsi="Calibri Light" w:cs="Calibri Light"/>
                <w:bCs/>
                <w:sz w:val="18"/>
                <w:szCs w:val="18"/>
                <w:lang w:val="id-ID"/>
              </w:rPr>
            </w:pPr>
          </w:p>
          <w:p w14:paraId="392EF88B" w14:textId="77777777" w:rsidR="00E01C77" w:rsidRPr="00BC5DD1" w:rsidRDefault="00981D8F" w:rsidP="00E01C77">
            <w:pPr>
              <w:spacing w:after="0" w:line="240" w:lineRule="auto"/>
              <w:ind w:right="567"/>
              <w:contextualSpacing/>
              <w:rPr>
                <w:rFonts w:ascii="Calibri Light" w:eastAsia="Calibri" w:hAnsi="Calibri Light" w:cs="Calibri Light"/>
                <w:bCs/>
                <w:sz w:val="18"/>
                <w:szCs w:val="18"/>
                <w:lang w:val="id-ID"/>
              </w:rPr>
            </w:pPr>
            <w:r w:rsidRPr="00BC5DD1">
              <w:rPr>
                <w:rFonts w:ascii="Calibri Light" w:eastAsia="Calibri" w:hAnsi="Calibri Light" w:cs="Calibri Light"/>
                <w:bCs/>
                <w:sz w:val="18"/>
                <w:szCs w:val="18"/>
                <w:lang w:val="id-ID"/>
              </w:rPr>
              <w:t>Article History</w:t>
            </w:r>
          </w:p>
          <w:p w14:paraId="5A01C4C3" w14:textId="77777777" w:rsidR="00E01C77" w:rsidRPr="00BC5DD1" w:rsidRDefault="00226AF4" w:rsidP="00E01C77">
            <w:pPr>
              <w:spacing w:after="0" w:line="240" w:lineRule="auto"/>
              <w:ind w:right="567"/>
              <w:rPr>
                <w:rFonts w:ascii="Calibri Light" w:eastAsia="Calibri" w:hAnsi="Calibri Light" w:cs="Calibri Light"/>
                <w:bCs/>
                <w:sz w:val="18"/>
                <w:szCs w:val="18"/>
                <w:lang w:val="id-ID"/>
              </w:rPr>
            </w:pPr>
            <w:r w:rsidRPr="00BC5DD1">
              <w:rPr>
                <w:rFonts w:ascii="Calibri Light" w:eastAsia="Calibri" w:hAnsi="Calibri Light" w:cs="Calibri Light"/>
                <w:bCs/>
                <w:sz w:val="18"/>
                <w:szCs w:val="18"/>
                <w:lang w:val="id-ID"/>
              </w:rPr>
              <w:t>Received</w:t>
            </w:r>
            <w:r w:rsidR="00E01C77" w:rsidRPr="00BC5DD1">
              <w:rPr>
                <w:rFonts w:ascii="Calibri Light" w:eastAsia="Calibri" w:hAnsi="Calibri Light" w:cs="Calibri Light"/>
                <w:bCs/>
                <w:sz w:val="18"/>
                <w:szCs w:val="18"/>
                <w:lang w:val="id-ID"/>
              </w:rPr>
              <w:t>:</w:t>
            </w:r>
          </w:p>
          <w:p w14:paraId="10E645A2" w14:textId="6BB1DB25" w:rsidR="00226AF4" w:rsidRPr="00BC5DD1" w:rsidRDefault="006D4087" w:rsidP="00E01C77">
            <w:pPr>
              <w:spacing w:after="0" w:line="240" w:lineRule="auto"/>
              <w:ind w:right="567"/>
              <w:rPr>
                <w:rFonts w:ascii="Calibri Light" w:eastAsia="Calibri" w:hAnsi="Calibri Light" w:cs="Calibri Light"/>
                <w:bCs/>
                <w:sz w:val="18"/>
                <w:szCs w:val="18"/>
              </w:rPr>
            </w:pPr>
            <w:r>
              <w:rPr>
                <w:rFonts w:ascii="Calibri Light" w:eastAsia="Calibri" w:hAnsi="Calibri Light" w:cs="Calibri Light"/>
                <w:bCs/>
                <w:sz w:val="18"/>
                <w:szCs w:val="18"/>
              </w:rPr>
              <w:t xml:space="preserve">xx </w:t>
            </w:r>
            <w:proofErr w:type="spellStart"/>
            <w:r>
              <w:rPr>
                <w:rFonts w:ascii="Calibri Light" w:eastAsia="Calibri" w:hAnsi="Calibri Light" w:cs="Calibri Light"/>
                <w:bCs/>
                <w:sz w:val="18"/>
                <w:szCs w:val="18"/>
              </w:rPr>
              <w:t>xx</w:t>
            </w:r>
            <w:proofErr w:type="spellEnd"/>
            <w:r>
              <w:rPr>
                <w:rFonts w:ascii="Calibri Light" w:eastAsia="Calibri" w:hAnsi="Calibri Light" w:cs="Calibri Light"/>
                <w:bCs/>
                <w:sz w:val="18"/>
                <w:szCs w:val="18"/>
              </w:rPr>
              <w:t xml:space="preserve"> xxx</w:t>
            </w:r>
          </w:p>
          <w:p w14:paraId="6D0A14B1" w14:textId="77777777" w:rsidR="00226AF4" w:rsidRPr="00BC5DD1" w:rsidRDefault="00226AF4" w:rsidP="00E01C77">
            <w:pPr>
              <w:spacing w:after="0" w:line="240" w:lineRule="auto"/>
              <w:ind w:right="567"/>
              <w:rPr>
                <w:rFonts w:ascii="Calibri Light" w:eastAsia="Calibri" w:hAnsi="Calibri Light" w:cs="Calibri Light"/>
                <w:bCs/>
                <w:sz w:val="18"/>
                <w:szCs w:val="18"/>
              </w:rPr>
            </w:pPr>
            <w:proofErr w:type="gramStart"/>
            <w:r w:rsidRPr="00BC5DD1">
              <w:rPr>
                <w:rFonts w:ascii="Calibri Light" w:eastAsia="Calibri" w:hAnsi="Calibri Light" w:cs="Calibri Light"/>
                <w:bCs/>
                <w:sz w:val="18"/>
                <w:szCs w:val="18"/>
              </w:rPr>
              <w:t>Reviewed :</w:t>
            </w:r>
            <w:proofErr w:type="gramEnd"/>
          </w:p>
          <w:p w14:paraId="36C8B706" w14:textId="3FF5B1C9" w:rsidR="00E01C77" w:rsidRPr="00BC5DD1" w:rsidRDefault="006D4087" w:rsidP="00E01C77">
            <w:pPr>
              <w:spacing w:after="0" w:line="240" w:lineRule="auto"/>
              <w:ind w:right="567"/>
              <w:rPr>
                <w:rFonts w:ascii="Calibri Light" w:eastAsia="Calibri" w:hAnsi="Calibri Light" w:cs="Calibri Light"/>
                <w:bCs/>
                <w:sz w:val="18"/>
                <w:szCs w:val="18"/>
              </w:rPr>
            </w:pPr>
            <w:r>
              <w:rPr>
                <w:rFonts w:ascii="Calibri Light" w:eastAsia="Calibri" w:hAnsi="Calibri Light" w:cs="Calibri Light"/>
                <w:bCs/>
                <w:sz w:val="18"/>
                <w:szCs w:val="18"/>
              </w:rPr>
              <w:t xml:space="preserve">xx </w:t>
            </w:r>
            <w:proofErr w:type="spellStart"/>
            <w:r>
              <w:rPr>
                <w:rFonts w:ascii="Calibri Light" w:eastAsia="Calibri" w:hAnsi="Calibri Light" w:cs="Calibri Light"/>
                <w:bCs/>
                <w:sz w:val="18"/>
                <w:szCs w:val="18"/>
              </w:rPr>
              <w:t>xx</w:t>
            </w:r>
            <w:proofErr w:type="spellEnd"/>
            <w:r w:rsidR="00CC16FF" w:rsidRPr="00BC5DD1">
              <w:rPr>
                <w:rFonts w:ascii="Calibri Light" w:eastAsia="Calibri" w:hAnsi="Calibri Light" w:cs="Calibri Light"/>
                <w:bCs/>
                <w:sz w:val="18"/>
                <w:szCs w:val="18"/>
              </w:rPr>
              <w:t xml:space="preserve"> </w:t>
            </w:r>
            <w:r>
              <w:rPr>
                <w:rFonts w:ascii="Calibri Light" w:eastAsia="Calibri" w:hAnsi="Calibri Light" w:cs="Calibri Light"/>
                <w:bCs/>
                <w:sz w:val="18"/>
                <w:szCs w:val="18"/>
              </w:rPr>
              <w:t>xxx</w:t>
            </w:r>
          </w:p>
          <w:p w14:paraId="4D222A3C" w14:textId="77777777" w:rsidR="00E01C77" w:rsidRPr="00BC5DD1" w:rsidRDefault="00E01C77" w:rsidP="00E01C77">
            <w:pPr>
              <w:spacing w:after="0" w:line="240" w:lineRule="auto"/>
              <w:ind w:right="567"/>
              <w:rPr>
                <w:rFonts w:ascii="Calibri Light" w:eastAsia="Calibri" w:hAnsi="Calibri Light" w:cs="Calibri Light"/>
                <w:bCs/>
                <w:color w:val="000000"/>
                <w:sz w:val="18"/>
                <w:szCs w:val="18"/>
              </w:rPr>
            </w:pPr>
            <w:proofErr w:type="gramStart"/>
            <w:r w:rsidRPr="00BC5DD1">
              <w:rPr>
                <w:rFonts w:ascii="Calibri Light" w:eastAsia="Calibri" w:hAnsi="Calibri Light" w:cs="Calibri Light"/>
                <w:bCs/>
                <w:color w:val="000000"/>
                <w:sz w:val="18"/>
                <w:szCs w:val="18"/>
              </w:rPr>
              <w:t>Revised :</w:t>
            </w:r>
            <w:proofErr w:type="gramEnd"/>
          </w:p>
          <w:p w14:paraId="6325532D" w14:textId="77777777" w:rsidR="00145ECB" w:rsidRPr="00BC5DD1" w:rsidRDefault="00145ECB" w:rsidP="00145ECB">
            <w:pPr>
              <w:spacing w:after="0" w:line="240" w:lineRule="auto"/>
              <w:ind w:right="567"/>
              <w:rPr>
                <w:rFonts w:ascii="Calibri Light" w:eastAsia="Calibri" w:hAnsi="Calibri Light" w:cs="Calibri Light"/>
                <w:bCs/>
                <w:sz w:val="18"/>
                <w:szCs w:val="18"/>
              </w:rPr>
            </w:pPr>
            <w:r>
              <w:rPr>
                <w:rFonts w:ascii="Calibri Light" w:eastAsia="Calibri" w:hAnsi="Calibri Light" w:cs="Calibri Light"/>
                <w:bCs/>
                <w:sz w:val="18"/>
                <w:szCs w:val="18"/>
              </w:rPr>
              <w:t xml:space="preserve">xx </w:t>
            </w:r>
            <w:proofErr w:type="spellStart"/>
            <w:r>
              <w:rPr>
                <w:rFonts w:ascii="Calibri Light" w:eastAsia="Calibri" w:hAnsi="Calibri Light" w:cs="Calibri Light"/>
                <w:bCs/>
                <w:sz w:val="18"/>
                <w:szCs w:val="18"/>
              </w:rPr>
              <w:t>xx</w:t>
            </w:r>
            <w:proofErr w:type="spellEnd"/>
            <w:r w:rsidRPr="00BC5DD1">
              <w:rPr>
                <w:rFonts w:ascii="Calibri Light" w:eastAsia="Calibri" w:hAnsi="Calibri Light" w:cs="Calibri Light"/>
                <w:bCs/>
                <w:sz w:val="18"/>
                <w:szCs w:val="18"/>
              </w:rPr>
              <w:t xml:space="preserve"> </w:t>
            </w:r>
            <w:r>
              <w:rPr>
                <w:rFonts w:ascii="Calibri Light" w:eastAsia="Calibri" w:hAnsi="Calibri Light" w:cs="Calibri Light"/>
                <w:bCs/>
                <w:sz w:val="18"/>
                <w:szCs w:val="18"/>
              </w:rPr>
              <w:t>xxx</w:t>
            </w:r>
          </w:p>
          <w:p w14:paraId="4F65ED4A" w14:textId="77777777" w:rsidR="00E01C77" w:rsidRPr="00BC5DD1" w:rsidRDefault="00E01C77" w:rsidP="00E01C77">
            <w:pPr>
              <w:spacing w:after="0" w:line="240" w:lineRule="auto"/>
              <w:ind w:right="567"/>
              <w:rPr>
                <w:rFonts w:ascii="Calibri Light" w:eastAsia="Calibri" w:hAnsi="Calibri Light" w:cs="Calibri Light"/>
                <w:bCs/>
                <w:sz w:val="18"/>
                <w:szCs w:val="18"/>
                <w:lang w:val="id-ID"/>
              </w:rPr>
            </w:pPr>
            <w:r w:rsidRPr="00BC5DD1">
              <w:rPr>
                <w:rFonts w:ascii="Calibri Light" w:eastAsia="Calibri" w:hAnsi="Calibri Light" w:cs="Calibri Light"/>
                <w:bCs/>
                <w:sz w:val="18"/>
                <w:szCs w:val="18"/>
                <w:lang w:val="id-ID"/>
              </w:rPr>
              <w:t>Accepted:</w:t>
            </w:r>
          </w:p>
          <w:p w14:paraId="29F4C781" w14:textId="77777777" w:rsidR="00145ECB" w:rsidRPr="00BC5DD1" w:rsidRDefault="00145ECB" w:rsidP="00145ECB">
            <w:pPr>
              <w:spacing w:after="0" w:line="240" w:lineRule="auto"/>
              <w:ind w:right="567"/>
              <w:rPr>
                <w:rFonts w:ascii="Calibri Light" w:eastAsia="Calibri" w:hAnsi="Calibri Light" w:cs="Calibri Light"/>
                <w:bCs/>
                <w:sz w:val="18"/>
                <w:szCs w:val="18"/>
              </w:rPr>
            </w:pPr>
            <w:r>
              <w:rPr>
                <w:rFonts w:ascii="Calibri Light" w:eastAsia="Calibri" w:hAnsi="Calibri Light" w:cs="Calibri Light"/>
                <w:bCs/>
                <w:sz w:val="18"/>
                <w:szCs w:val="18"/>
              </w:rPr>
              <w:t xml:space="preserve">xx </w:t>
            </w:r>
            <w:proofErr w:type="spellStart"/>
            <w:r>
              <w:rPr>
                <w:rFonts w:ascii="Calibri Light" w:eastAsia="Calibri" w:hAnsi="Calibri Light" w:cs="Calibri Light"/>
                <w:bCs/>
                <w:sz w:val="18"/>
                <w:szCs w:val="18"/>
              </w:rPr>
              <w:t>xx</w:t>
            </w:r>
            <w:proofErr w:type="spellEnd"/>
            <w:r w:rsidRPr="00BC5DD1">
              <w:rPr>
                <w:rFonts w:ascii="Calibri Light" w:eastAsia="Calibri" w:hAnsi="Calibri Light" w:cs="Calibri Light"/>
                <w:bCs/>
                <w:sz w:val="18"/>
                <w:szCs w:val="18"/>
              </w:rPr>
              <w:t xml:space="preserve"> </w:t>
            </w:r>
            <w:r>
              <w:rPr>
                <w:rFonts w:ascii="Calibri Light" w:eastAsia="Calibri" w:hAnsi="Calibri Light" w:cs="Calibri Light"/>
                <w:bCs/>
                <w:sz w:val="18"/>
                <w:szCs w:val="18"/>
              </w:rPr>
              <w:t>xxx</w:t>
            </w:r>
          </w:p>
          <w:p w14:paraId="6D690E1F" w14:textId="77777777" w:rsidR="000E00E0" w:rsidRPr="00BC5DD1" w:rsidRDefault="000E00E0" w:rsidP="00E01C77">
            <w:pPr>
              <w:spacing w:after="0" w:line="240" w:lineRule="auto"/>
              <w:ind w:right="567"/>
              <w:contextualSpacing/>
              <w:rPr>
                <w:rFonts w:ascii="Calibri Light" w:eastAsia="Calibri" w:hAnsi="Calibri Light" w:cs="Calibri Light"/>
                <w:bCs/>
                <w:color w:val="000000"/>
                <w:sz w:val="18"/>
                <w:szCs w:val="18"/>
              </w:rPr>
            </w:pPr>
          </w:p>
          <w:p w14:paraId="724FB997" w14:textId="77777777" w:rsidR="000E00E0" w:rsidRPr="00BC5DD1" w:rsidRDefault="000E00E0" w:rsidP="00E01C77">
            <w:pPr>
              <w:spacing w:after="0" w:line="240" w:lineRule="auto"/>
              <w:ind w:right="567"/>
              <w:contextualSpacing/>
              <w:rPr>
                <w:rFonts w:ascii="Calibri Light" w:eastAsia="Calibri" w:hAnsi="Calibri Light" w:cs="Calibri Light"/>
                <w:bCs/>
                <w:color w:val="000000"/>
                <w:sz w:val="18"/>
                <w:szCs w:val="18"/>
              </w:rPr>
            </w:pPr>
            <w:r w:rsidRPr="00BC5DD1">
              <w:rPr>
                <w:rFonts w:ascii="Calibri Light" w:eastAsia="Calibri" w:hAnsi="Calibri Light" w:cs="Calibri Light"/>
                <w:bCs/>
                <w:color w:val="000000"/>
                <w:sz w:val="18"/>
                <w:szCs w:val="18"/>
              </w:rPr>
              <w:t>Topic Article:</w:t>
            </w:r>
          </w:p>
          <w:p w14:paraId="778FB948" w14:textId="77777777" w:rsidR="000E00E0" w:rsidRPr="00BC5DD1" w:rsidRDefault="000E4EB1" w:rsidP="00E01C77">
            <w:pPr>
              <w:spacing w:after="0" w:line="240" w:lineRule="auto"/>
              <w:ind w:right="567"/>
              <w:contextualSpacing/>
              <w:rPr>
                <w:rFonts w:ascii="Calibri Light" w:eastAsia="Calibri" w:hAnsi="Calibri Light" w:cs="Calibri Light"/>
                <w:bCs/>
                <w:color w:val="000000"/>
                <w:sz w:val="18"/>
                <w:szCs w:val="18"/>
              </w:rPr>
            </w:pPr>
            <w:r w:rsidRPr="00BC5DD1">
              <w:rPr>
                <w:rFonts w:ascii="Calibri Light" w:eastAsia="Calibri" w:hAnsi="Calibri Light" w:cs="Calibri Light"/>
                <w:bCs/>
                <w:color w:val="000000"/>
                <w:sz w:val="18"/>
                <w:szCs w:val="18"/>
              </w:rPr>
              <w:t>Financial Accounting</w:t>
            </w:r>
            <w:r w:rsidR="00CC16FF" w:rsidRPr="00BC5DD1">
              <w:rPr>
                <w:rFonts w:ascii="Calibri Light" w:eastAsia="Calibri" w:hAnsi="Calibri Light" w:cs="Calibri Light"/>
                <w:bCs/>
                <w:color w:val="000000"/>
                <w:sz w:val="18"/>
                <w:szCs w:val="18"/>
              </w:rPr>
              <w:t>/Management Accounting/</w:t>
            </w:r>
            <w:proofErr w:type="spellStart"/>
            <w:r w:rsidR="00CC16FF" w:rsidRPr="00BC5DD1">
              <w:rPr>
                <w:rFonts w:ascii="Calibri Light" w:eastAsia="Calibri" w:hAnsi="Calibri Light" w:cs="Calibri Light"/>
                <w:bCs/>
                <w:color w:val="000000"/>
                <w:sz w:val="18"/>
                <w:szCs w:val="18"/>
              </w:rPr>
              <w:t>Syari’ah</w:t>
            </w:r>
            <w:proofErr w:type="spellEnd"/>
            <w:r w:rsidR="00CC16FF" w:rsidRPr="00BC5DD1">
              <w:rPr>
                <w:rFonts w:ascii="Calibri Light" w:eastAsia="Calibri" w:hAnsi="Calibri Light" w:cs="Calibri Light"/>
                <w:bCs/>
                <w:color w:val="000000"/>
                <w:sz w:val="18"/>
                <w:szCs w:val="18"/>
              </w:rPr>
              <w:t xml:space="preserve"> Accounting/</w:t>
            </w:r>
            <w:proofErr w:type="spellStart"/>
            <w:r w:rsidR="00CC16FF" w:rsidRPr="00BC5DD1">
              <w:rPr>
                <w:rFonts w:ascii="Calibri Light" w:eastAsia="Calibri" w:hAnsi="Calibri Light" w:cs="Calibri Light"/>
                <w:bCs/>
                <w:color w:val="000000"/>
                <w:sz w:val="18"/>
                <w:szCs w:val="18"/>
              </w:rPr>
              <w:t>etc</w:t>
            </w:r>
            <w:proofErr w:type="spellEnd"/>
          </w:p>
          <w:p w14:paraId="5FC400DB" w14:textId="77777777" w:rsidR="00E01C77" w:rsidRPr="00BC5DD1" w:rsidRDefault="00E01C77" w:rsidP="00E01C77">
            <w:pPr>
              <w:spacing w:after="0" w:line="240" w:lineRule="auto"/>
              <w:ind w:right="567"/>
              <w:contextualSpacing/>
              <w:rPr>
                <w:rFonts w:ascii="Calibri" w:eastAsia="Calibri" w:hAnsi="Calibri" w:cs="Calibri"/>
                <w:bCs/>
                <w:noProof/>
                <w:lang w:val="id-ID"/>
              </w:rPr>
            </w:pPr>
          </w:p>
        </w:tc>
        <w:tc>
          <w:tcPr>
            <w:tcW w:w="6268" w:type="dxa"/>
            <w:vMerge/>
            <w:shd w:val="clear" w:color="auto" w:fill="auto"/>
          </w:tcPr>
          <w:p w14:paraId="7D61BB94" w14:textId="77777777" w:rsidR="00E01C77" w:rsidRPr="00BC5DD1" w:rsidRDefault="00E01C77" w:rsidP="00E01C77">
            <w:pPr>
              <w:spacing w:after="0" w:line="240" w:lineRule="auto"/>
              <w:ind w:left="35" w:right="33"/>
              <w:contextualSpacing/>
              <w:jc w:val="right"/>
              <w:rPr>
                <w:rFonts w:ascii="Calibri" w:eastAsia="Calibri" w:hAnsi="Calibri" w:cs="Calibri"/>
                <w:bCs/>
                <w:sz w:val="36"/>
                <w:szCs w:val="36"/>
                <w:lang w:val="id-ID"/>
              </w:rPr>
            </w:pPr>
          </w:p>
        </w:tc>
      </w:tr>
      <w:bookmarkEnd w:id="0"/>
    </w:tbl>
    <w:p w14:paraId="4D91C67E" w14:textId="77777777" w:rsidR="007C24E3" w:rsidRDefault="007C24E3" w:rsidP="00BC5DD1">
      <w:pPr>
        <w:spacing w:after="0"/>
        <w:jc w:val="both"/>
        <w:rPr>
          <w:rFonts w:ascii="Candara" w:hAnsi="Candara" w:cs="Times New Roman"/>
          <w:bCs/>
          <w:lang w:val="id-ID"/>
        </w:rPr>
      </w:pPr>
    </w:p>
    <w:p w14:paraId="4A4512AF" w14:textId="004A57D3" w:rsidR="00204B18" w:rsidRPr="00485793" w:rsidRDefault="00512F5E" w:rsidP="00204B18">
      <w:pPr>
        <w:spacing w:after="120"/>
        <w:jc w:val="center"/>
        <w:rPr>
          <w:rFonts w:ascii="Candara" w:hAnsi="Candara" w:cs="Times New Roman"/>
          <w:b/>
          <w:sz w:val="28"/>
          <w:szCs w:val="28"/>
        </w:rPr>
      </w:pPr>
      <w:r>
        <w:rPr>
          <w:rFonts w:ascii="Candara" w:hAnsi="Candara" w:cs="Times New Roman"/>
          <w:b/>
          <w:sz w:val="28"/>
          <w:szCs w:val="28"/>
        </w:rPr>
        <w:t>INTRODUCTION</w:t>
      </w:r>
    </w:p>
    <w:p w14:paraId="7D295D94" w14:textId="23A569C0" w:rsidR="00204B18" w:rsidRPr="00204B18" w:rsidRDefault="00D70FE8" w:rsidP="00072624">
      <w:pPr>
        <w:spacing w:after="0" w:line="240" w:lineRule="auto"/>
        <w:ind w:firstLine="446"/>
        <w:jc w:val="both"/>
        <w:rPr>
          <w:rFonts w:ascii="Candara" w:hAnsi="Candara" w:cs="Arial"/>
        </w:rPr>
      </w:pPr>
      <w:r w:rsidRPr="00C6243A">
        <w:rPr>
          <w:rFonts w:ascii="Candara" w:eastAsia="Times New Roman" w:hAnsi="Candara" w:cs="Calibri"/>
          <w:color w:val="000000"/>
          <w:lang w:eastAsia="en-ID"/>
        </w:rPr>
        <w:t xml:space="preserve">Companies are generally </w:t>
      </w:r>
      <w:r>
        <w:rPr>
          <w:rFonts w:ascii="Candara" w:eastAsia="Times New Roman" w:hAnsi="Candara" w:cs="Calibri"/>
          <w:color w:val="000000"/>
          <w:lang w:eastAsia="en-ID"/>
        </w:rPr>
        <w:t xml:space="preserve">established based on an </w:t>
      </w:r>
      <w:r w:rsidRPr="00C6243A">
        <w:rPr>
          <w:rFonts w:ascii="Candara" w:eastAsia="Times New Roman" w:hAnsi="Candara" w:cs="Calibri"/>
          <w:color w:val="000000"/>
          <w:lang w:eastAsia="en-ID"/>
        </w:rPr>
        <w:t>assumption of</w:t>
      </w:r>
      <w:r>
        <w:rPr>
          <w:rFonts w:ascii="Candara" w:eastAsia="Times New Roman" w:hAnsi="Candara" w:cs="Calibri"/>
          <w:color w:val="000000"/>
          <w:lang w:eastAsia="en-ID"/>
        </w:rPr>
        <w:t xml:space="preserve"> </w:t>
      </w:r>
      <w:r w:rsidRPr="00EB1629">
        <w:rPr>
          <w:rFonts w:ascii="Candara" w:eastAsia="Times New Roman" w:hAnsi="Candara" w:cs="Calibri"/>
          <w:color w:val="000000"/>
          <w:lang w:eastAsia="en-ID"/>
        </w:rPr>
        <w:t>going concern</w:t>
      </w:r>
      <w:r w:rsidRPr="00C6243A">
        <w:rPr>
          <w:rFonts w:ascii="Candara" w:eastAsia="Times New Roman" w:hAnsi="Candara" w:cs="Calibri"/>
          <w:color w:val="000000"/>
          <w:lang w:eastAsia="en-ID"/>
        </w:rPr>
        <w:t>.</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However</w:t>
      </w:r>
      <w:r>
        <w:rPr>
          <w:rFonts w:ascii="Candara" w:eastAsia="Times New Roman" w:hAnsi="Candara" w:cs="Calibri"/>
          <w:color w:val="000000"/>
          <w:lang w:eastAsia="en-ID"/>
        </w:rPr>
        <w:t>,</w:t>
      </w:r>
      <w:r w:rsidR="00AE5F31">
        <w:rPr>
          <w:rFonts w:ascii="Candara" w:eastAsia="Times New Roman" w:hAnsi="Candara" w:cs="Calibri"/>
          <w:color w:val="000000"/>
          <w:lang w:eastAsia="en-ID"/>
        </w:rPr>
        <w:t xml:space="preserve"> </w:t>
      </w:r>
      <w:r>
        <w:rPr>
          <w:rFonts w:ascii="Candara" w:eastAsia="Times New Roman" w:hAnsi="Candara" w:cs="Calibri"/>
          <w:color w:val="000000"/>
          <w:lang w:eastAsia="en-ID"/>
        </w:rPr>
        <w:t>in practice</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many </w:t>
      </w:r>
      <w:r w:rsidRPr="00C6243A">
        <w:rPr>
          <w:rFonts w:ascii="Candara" w:eastAsia="Times New Roman" w:hAnsi="Candara" w:cs="Calibri"/>
          <w:color w:val="000000"/>
          <w:lang w:eastAsia="en-ID"/>
        </w:rPr>
        <w:t xml:space="preserve">companies </w:t>
      </w:r>
      <w:r>
        <w:rPr>
          <w:rFonts w:ascii="Candara" w:eastAsia="Times New Roman" w:hAnsi="Candara" w:cs="Calibri"/>
          <w:color w:val="000000"/>
          <w:lang w:eastAsia="en-ID"/>
        </w:rPr>
        <w:t xml:space="preserve">go </w:t>
      </w:r>
      <w:r w:rsidRPr="00C6243A">
        <w:rPr>
          <w:rFonts w:ascii="Candara" w:eastAsia="Times New Roman" w:hAnsi="Candara" w:cs="Calibri"/>
          <w:color w:val="000000"/>
          <w:lang w:eastAsia="en-ID"/>
        </w:rPr>
        <w:t xml:space="preserve">bankrupt. One of the causes </w:t>
      </w:r>
      <w:r>
        <w:rPr>
          <w:rFonts w:ascii="Candara" w:eastAsia="Times New Roman" w:hAnsi="Candara" w:cs="Calibri"/>
          <w:color w:val="000000"/>
          <w:lang w:eastAsia="en-ID"/>
        </w:rPr>
        <w:t xml:space="preserve">why </w:t>
      </w:r>
      <w:r w:rsidRPr="00C6243A">
        <w:rPr>
          <w:rFonts w:ascii="Candara" w:eastAsia="Times New Roman" w:hAnsi="Candara" w:cs="Calibri"/>
          <w:color w:val="000000"/>
          <w:lang w:eastAsia="en-ID"/>
        </w:rPr>
        <w:t xml:space="preserve">companies </w:t>
      </w:r>
      <w:r>
        <w:rPr>
          <w:rFonts w:ascii="Candara" w:eastAsia="Times New Roman" w:hAnsi="Candara" w:cs="Calibri"/>
          <w:color w:val="000000"/>
          <w:lang w:eastAsia="en-ID"/>
        </w:rPr>
        <w:t xml:space="preserve">go </w:t>
      </w:r>
      <w:r w:rsidRPr="00C6243A">
        <w:rPr>
          <w:rFonts w:ascii="Candara" w:eastAsia="Times New Roman" w:hAnsi="Candara" w:cs="Calibri"/>
          <w:color w:val="000000"/>
          <w:lang w:eastAsia="en-ID"/>
        </w:rPr>
        <w:t>bankrupt is</w:t>
      </w:r>
      <w:r>
        <w:rPr>
          <w:rFonts w:ascii="Candara" w:eastAsia="Times New Roman" w:hAnsi="Candara" w:cs="Calibri"/>
          <w:color w:val="000000"/>
          <w:lang w:eastAsia="en-ID"/>
        </w:rPr>
        <w:t xml:space="preserve"> </w:t>
      </w:r>
      <w:r w:rsidRPr="00EB1629">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sidR="00204B18" w:rsidRPr="00204B18">
        <w:rPr>
          <w:rFonts w:ascii="Candara" w:hAnsi="Candara" w:cs="Arial"/>
        </w:rPr>
        <w:t>(</w:t>
      </w:r>
      <w:r w:rsidR="002A69EE">
        <w:rPr>
          <w:rFonts w:ascii="Candara" w:hAnsi="Candara" w:cs="Arial"/>
        </w:rPr>
        <w:fldChar w:fldCharType="begin" w:fldLock="1"/>
      </w:r>
      <w:r w:rsidR="002A69EE">
        <w:rPr>
          <w:rFonts w:ascii="Candara" w:hAnsi="Candara" w:cs="Arial"/>
        </w:rPr>
        <w:instrText>ADDIN CSL_CITATION {"citationItems":[{"id":"ITEM-1","itemData":{"author":[{"dropping-particle":"","family":"Oseni","given":"","non-dropping-particle":"","parse-names":false,"suffix":""},{"dropping-particle":"","family":"Idris","given":"Abubakar","non-dropping-particle":"","parse-names":false,"suffix":""}],"container-title":"Journal of Accounting and Financial Management","id":"ITEM-1","issue":"1","issued":{"date-parts":[["2017"]]},"page":"23-33","title":"Forensic Accounting and Financial Fraud in Nigeria : Problems and Prospects","type":"article-journal","volume":"3"},"uris":["http://www.mendeley.com/documents/?uuid=9818dcb3-a63c-46bc-8191-d7701d184010"]}],"mendeley":{"formattedCitation":"(Oseni &amp; Idris, 2017)","plainTextFormattedCitation":"(Oseni &amp; Idris, 2017)","previouslyFormattedCitation":"(Oseni &amp; Idris, 2017)"},"properties":{"noteIndex":0},"schema":"https://github.com/citation-style-language/schema/raw/master/csl-citation.json"}</w:instrText>
      </w:r>
      <w:r w:rsidR="002A69EE">
        <w:rPr>
          <w:rFonts w:ascii="Candara" w:hAnsi="Candara" w:cs="Arial"/>
        </w:rPr>
        <w:fldChar w:fldCharType="separate"/>
      </w:r>
      <w:r w:rsidR="002A69EE" w:rsidRPr="002A69EE">
        <w:rPr>
          <w:rFonts w:ascii="Candara" w:hAnsi="Candara" w:cs="Arial"/>
          <w:noProof/>
        </w:rPr>
        <w:t>Oseni &amp; Idris, 2017</w:t>
      </w:r>
      <w:r w:rsidR="002A69EE">
        <w:rPr>
          <w:rFonts w:ascii="Candara" w:hAnsi="Candara" w:cs="Arial"/>
        </w:rPr>
        <w:fldChar w:fldCharType="end"/>
      </w:r>
      <w:r w:rsidR="00204B18" w:rsidRPr="00204B18">
        <w:rPr>
          <w:rFonts w:ascii="Candara" w:hAnsi="Candara" w:cs="Arial"/>
        </w:rPr>
        <w:t>;</w:t>
      </w:r>
      <w:r w:rsidR="00151A03">
        <w:rPr>
          <w:rFonts w:ascii="Candara" w:hAnsi="Candara" w:cs="Arial"/>
        </w:rPr>
        <w:t xml:space="preserve"> </w:t>
      </w:r>
      <w:r w:rsidR="002A69EE">
        <w:rPr>
          <w:rFonts w:ascii="Candara" w:hAnsi="Candara" w:cs="Arial"/>
        </w:rPr>
        <w:fldChar w:fldCharType="begin" w:fldLock="1"/>
      </w:r>
      <w:r w:rsidR="002A69EE">
        <w:rPr>
          <w:rFonts w:ascii="Candara" w:hAnsi="Candara" w:cs="Arial"/>
        </w:rPr>
        <w:instrText>ADDIN CSL_CITATION {"citationItems":[{"id":"ITEM-1","itemData":{"DOI":"10.3390/su10030588","abstract":"This article examines how worldwide governance, global competiveness, and other institutional determinants have influenced the number of accounting fraud cases in several countries. The researchers have focused more closely on the importance of ‘good governance’ as one of the indicators of development objectives in itself. The institutional perspective is employed to explain the complexity of frauds in different societies which can be compatible for the purposes of international judgments in order to increase the effectiveness of previous forensic accounting theories. In this paper, a linear regression model is tested where governance, competitiveness, and other institutional variables are associated with a measure of accounting fraud cases. From our results, we can merely claim that an increased level of controlled corruption and political stability might reduce the number of fraud cases in various countries, while more effective and independent governance services with a higher freedom of expression seemed to increase them. The existence of accounting crimes also appeared to be a suitable proxy of better competitiveness. Anglo-Saxon countries have more stated fraud cases than other countries, attributed, perhaps, to the finest commercial courts with the most professional and least corrupt judges in the world, with centuries of precedent cases and experience in dealing with fraud. Moreover, we believe that a better understanding of fraud detection is a potentially important element in forensic accounting analytics in the success of governance policies to enhance development and reduce the risk of bankruptcies related to the reported fraud cases of enterprises.","author":[{"dropping-particle":"","family":"Sadaf","given":"Rabeea","non-dropping-particle":"","parse-names":false,"suffix":""},{"dropping-particle":"","family":"Oláh","given":"Judit","non-dropping-particle":"","parse-names":false,"suffix":""},{"dropping-particle":"","family":"Popp","given":"József","non-dropping-particle":"","parse-names":false,"suffix":""},{"dropping-particle":"","family":"Máté","given":"Domicián","non-dropping-particle":"","parse-names":false,"suffix":""}],"container-title":"Sustainability","id":"ITEM-1","issue":"3","issued":{"date-parts":[["2018"]]},"page":"588","title":"An Investigation of the Influence of the Worldwide Governance and Competitiveness on Accounting Fraud Cases : A Cross-Country Perspective","type":"article-journal","volume":"10"},"uris":["http://www.mendeley.com/documents/?uuid=575a14aa-36d9-4240-8f4b-573f8bdd669e"]}],"mendeley":{"formattedCitation":"(Sadaf et al., 2018)","plainTextFormattedCitation":"(Sadaf et al., 2018)","previouslyFormattedCitation":"(Sadaf et al., 2018)"},"properties":{"noteIndex":0},"schema":"https://github.com/citation-style-language/schema/raw/master/csl-citation.json"}</w:instrText>
      </w:r>
      <w:r w:rsidR="002A69EE">
        <w:rPr>
          <w:rFonts w:ascii="Candara" w:hAnsi="Candara" w:cs="Arial"/>
        </w:rPr>
        <w:fldChar w:fldCharType="separate"/>
      </w:r>
      <w:r w:rsidR="002A69EE" w:rsidRPr="002A69EE">
        <w:rPr>
          <w:rFonts w:ascii="Candara" w:hAnsi="Candara" w:cs="Arial"/>
          <w:noProof/>
        </w:rPr>
        <w:t>Sadaf et al., 2018</w:t>
      </w:r>
      <w:r w:rsidR="002A69EE">
        <w:rPr>
          <w:rFonts w:ascii="Candara" w:hAnsi="Candara" w:cs="Arial"/>
        </w:rPr>
        <w:fldChar w:fldCharType="end"/>
      </w:r>
      <w:r w:rsidR="00204B18" w:rsidRPr="00204B18">
        <w:rPr>
          <w:rFonts w:ascii="Candara" w:hAnsi="Candara" w:cs="Arial"/>
        </w:rPr>
        <w:t>;</w:t>
      </w:r>
      <w:r w:rsidR="00151A03">
        <w:rPr>
          <w:rFonts w:ascii="Candara" w:hAnsi="Candara" w:cs="Arial"/>
        </w:rPr>
        <w:t xml:space="preserve"> </w:t>
      </w:r>
      <w:r w:rsidR="002A69EE">
        <w:rPr>
          <w:rFonts w:ascii="Candara" w:hAnsi="Candara" w:cs="Arial"/>
        </w:rPr>
        <w:fldChar w:fldCharType="begin" w:fldLock="1"/>
      </w:r>
      <w:r w:rsidR="002A69EE">
        <w:rPr>
          <w:rFonts w:ascii="Candara" w:hAnsi="Candara" w:cs="Arial"/>
        </w:rPr>
        <w:instrText>ADDIN CSL_CITATION {"citationItems":[{"id":"ITEM-1","itemData":{"author":[{"dropping-particle":"","family":"Özcan","given":"Üyesi Ahmet","non-dropping-particle":"","parse-names":false,"suffix":""}],"container-title":"MANAS Journal of Social Studies","id":"ITEM-1","issue":"2","issued":{"date-parts":[["2019"]]},"page":"1744-1760","title":"ANALYZING THE IMPACT OF FORENSIC ACCOUNTING ON THE DETECTION OF FINANCIAL INFORMATION MANIPULATION 1 Adana Alparslan Türkeş Bilim ve Teknoloji Üniversitesi , İşletme Fakültes i 1 . INTRODUCTION Financial statements are major way through which a firm disse","type":"article-journal","volume":"8"},"uris":["http://www.mendeley.com/documents/?uuid=a139fdbf-da37-4e0f-a299-f8b9b6a30d80"]}],"mendeley":{"formattedCitation":"(Özcan, 2019)","plainTextFormattedCitation":"(Özcan, 2019)","previouslyFormattedCitation":"(Özcan, 2019)"},"properties":{"noteIndex":0},"schema":"https://github.com/citation-style-language/schema/raw/master/csl-citation.json"}</w:instrText>
      </w:r>
      <w:r w:rsidR="002A69EE">
        <w:rPr>
          <w:rFonts w:ascii="Candara" w:hAnsi="Candara" w:cs="Arial"/>
        </w:rPr>
        <w:fldChar w:fldCharType="separate"/>
      </w:r>
      <w:r w:rsidR="00151A03">
        <w:rPr>
          <w:rFonts w:ascii="Candara" w:hAnsi="Candara" w:cs="Arial"/>
          <w:noProof/>
        </w:rPr>
        <w:t xml:space="preserve"> </w:t>
      </w:r>
      <w:r w:rsidR="002A69EE" w:rsidRPr="002A69EE">
        <w:rPr>
          <w:rFonts w:ascii="Candara" w:hAnsi="Candara" w:cs="Arial"/>
          <w:noProof/>
        </w:rPr>
        <w:t>Özcan, 2019)</w:t>
      </w:r>
      <w:r w:rsidR="002A69EE">
        <w:rPr>
          <w:rFonts w:ascii="Candara" w:hAnsi="Candara" w:cs="Arial"/>
        </w:rPr>
        <w:fldChar w:fldCharType="end"/>
      </w:r>
      <w:r w:rsidR="00204B18" w:rsidRPr="00204B18">
        <w:rPr>
          <w:rFonts w:ascii="Candara" w:hAnsi="Candara" w:cs="Arial"/>
        </w:rPr>
        <w:t xml:space="preserve">. </w:t>
      </w:r>
      <w:r w:rsidR="002A69EE">
        <w:rPr>
          <w:rFonts w:ascii="Candara" w:hAnsi="Candara" w:cs="Arial"/>
        </w:rPr>
        <w:fldChar w:fldCharType="begin" w:fldLock="1"/>
      </w:r>
      <w:r w:rsidR="002A69EE">
        <w:rPr>
          <w:rFonts w:ascii="Candara" w:hAnsi="Candara" w:cs="Arial"/>
        </w:rPr>
        <w:instrText>ADDIN CSL_CITATION {"citationItems":[{"id":"ITEM-1","itemData":{"abstract":"The purpose of this study is to interpret the construction of accounting losses in disclosing fraud and the bankruptcy practices of client financial statements. The research method used is a qualitative method - the interpretive paradigm with a phenomenal approach with method triangulation is done by comparing information or data in different ways. To obtain the truth of reliable information and a complete picture of certain information, researchers can use interview and observation or observation methods to check the truth. In addition, researchers can also use different informants to check the correctness of the information. Triangulation of this stage is done if the data or information obtained from the subject or research informants is doubtful. The results of this study were filing bankruptcy at the Commercial Court involving a supervisory judge and curator. In determining the validity of accounts payable by a supervisory judge used the science of forensic accounting and loss accounting, with the curator in charge of distributing bankruptcy (assets) to creditors in the order of division of property for separatist creditors, Preferred creditors and congruent creditors (creditors who have no collateral). In general, fraud actions carried out by debtors are by hiding assets and sales while fraud is carried out with the motive to obtain bankruptcy (assets).","author":[{"dropping-particle":"","family":"Akbar","given":"Nahruddien","non-dropping-particle":"","parse-names":false,"suffix":""}],"id":"ITEM-1","issue":"1","issued":{"date-parts":[["2019"]]},"page":"9-19","title":"KONSTRUKSI AKUNTANSI KERUGIAN, PRAKTIK KEPAILITAN MENGUNGKAP FRAUD LAPORAN KEUANGAN KLIEN","type":"article-journal","volume":"3"},"uris":["http://www.mendeley.com/documents/?uuid=b55d347f-adbd-47de-bd36-69eeaba82e5b"]}],"mendeley":{"formattedCitation":"(Akbar, 2019)","plainTextFormattedCitation":"(Akbar, 2019)","previouslyFormattedCitation":"(Akbar, 2019)"},"properties":{"noteIndex":0},"schema":"https://github.com/citation-style-language/schema/raw/master/csl-citation.json"}</w:instrText>
      </w:r>
      <w:r w:rsidR="002A69EE">
        <w:rPr>
          <w:rFonts w:ascii="Candara" w:hAnsi="Candara" w:cs="Arial"/>
        </w:rPr>
        <w:fldChar w:fldCharType="separate"/>
      </w:r>
      <w:r w:rsidR="00C81165">
        <w:rPr>
          <w:rFonts w:ascii="Candara" w:hAnsi="Candara" w:cs="Arial"/>
          <w:noProof/>
        </w:rPr>
        <w:t>Akbar</w:t>
      </w:r>
      <w:r w:rsidR="002A69EE" w:rsidRPr="002A69EE">
        <w:rPr>
          <w:rFonts w:ascii="Candara" w:hAnsi="Candara" w:cs="Arial"/>
          <w:noProof/>
        </w:rPr>
        <w:t xml:space="preserve"> </w:t>
      </w:r>
      <w:r w:rsidR="00151A03">
        <w:rPr>
          <w:rFonts w:ascii="Candara" w:hAnsi="Candara" w:cs="Arial"/>
          <w:noProof/>
        </w:rPr>
        <w:t>(</w:t>
      </w:r>
      <w:r w:rsidR="002A69EE" w:rsidRPr="002A69EE">
        <w:rPr>
          <w:rFonts w:ascii="Candara" w:hAnsi="Candara" w:cs="Arial"/>
          <w:noProof/>
        </w:rPr>
        <w:t>2019)</w:t>
      </w:r>
      <w:r w:rsidR="002A69EE">
        <w:rPr>
          <w:rFonts w:ascii="Candara" w:hAnsi="Candara" w:cs="Arial"/>
        </w:rPr>
        <w:fldChar w:fldCharType="end"/>
      </w:r>
      <w:r w:rsidR="002A69EE">
        <w:rPr>
          <w:rFonts w:ascii="Candara" w:hAnsi="Candara" w:cs="Arial"/>
        </w:rPr>
        <w:t xml:space="preserve"> </w:t>
      </w:r>
      <w:r w:rsidR="000E45B0" w:rsidRPr="00C6243A">
        <w:rPr>
          <w:rFonts w:ascii="Candara" w:eastAsia="Times New Roman" w:hAnsi="Candara" w:cs="Calibri"/>
          <w:color w:val="000000"/>
          <w:lang w:eastAsia="en-ID"/>
        </w:rPr>
        <w:t>state</w:t>
      </w:r>
      <w:r w:rsidR="000E45B0">
        <w:rPr>
          <w:rFonts w:ascii="Candara" w:eastAsia="Times New Roman" w:hAnsi="Candara" w:cs="Calibri"/>
          <w:color w:val="000000"/>
          <w:lang w:eastAsia="en-ID"/>
        </w:rPr>
        <w:t>d</w:t>
      </w:r>
      <w:r w:rsidR="000E45B0" w:rsidRPr="00C6243A">
        <w:rPr>
          <w:rFonts w:ascii="Candara" w:eastAsia="Times New Roman" w:hAnsi="Candara" w:cs="Calibri"/>
          <w:color w:val="000000"/>
          <w:lang w:eastAsia="en-ID"/>
        </w:rPr>
        <w:t xml:space="preserve"> that companies </w:t>
      </w:r>
      <w:r w:rsidR="000E45B0">
        <w:rPr>
          <w:rFonts w:ascii="Candara" w:eastAsia="Times New Roman" w:hAnsi="Candara" w:cs="Calibri"/>
          <w:color w:val="000000"/>
          <w:lang w:eastAsia="en-ID"/>
        </w:rPr>
        <w:t xml:space="preserve">that go bankrupt </w:t>
      </w:r>
      <w:r w:rsidR="000E45B0" w:rsidRPr="00C6243A">
        <w:rPr>
          <w:rFonts w:ascii="Candara" w:eastAsia="Times New Roman" w:hAnsi="Candara" w:cs="Calibri"/>
          <w:color w:val="000000"/>
          <w:lang w:eastAsia="en-ID"/>
        </w:rPr>
        <w:t xml:space="preserve">will tend to </w:t>
      </w:r>
      <w:r w:rsidR="000E45B0">
        <w:rPr>
          <w:rFonts w:ascii="Candara" w:eastAsia="Times New Roman" w:hAnsi="Candara" w:cs="Calibri"/>
          <w:color w:val="000000"/>
          <w:lang w:eastAsia="en-ID"/>
        </w:rPr>
        <w:t xml:space="preserve">make false </w:t>
      </w:r>
      <w:r w:rsidR="000E45B0" w:rsidRPr="00C6243A">
        <w:rPr>
          <w:rFonts w:ascii="Candara" w:eastAsia="Times New Roman" w:hAnsi="Candara" w:cs="Calibri"/>
          <w:color w:val="000000"/>
          <w:lang w:eastAsia="en-ID"/>
        </w:rPr>
        <w:t>financial statements.</w:t>
      </w:r>
      <w:r w:rsidR="000E45B0">
        <w:rPr>
          <w:rFonts w:ascii="Candara" w:eastAsia="Times New Roman" w:hAnsi="Candara" w:cs="Calibri"/>
          <w:color w:val="000000"/>
          <w:lang w:eastAsia="en-ID"/>
        </w:rPr>
        <w:t xml:space="preserve"> These c</w:t>
      </w:r>
      <w:r w:rsidR="000E45B0" w:rsidRPr="00C6243A">
        <w:rPr>
          <w:rFonts w:ascii="Candara" w:eastAsia="Times New Roman" w:hAnsi="Candara" w:cs="Calibri"/>
          <w:color w:val="000000"/>
          <w:lang w:eastAsia="en-ID"/>
        </w:rPr>
        <w:t>ompanies are also more likely to commit </w:t>
      </w:r>
      <w:r w:rsidR="000E45B0" w:rsidRPr="00EB1629">
        <w:rPr>
          <w:rFonts w:ascii="Candara" w:eastAsia="Times New Roman" w:hAnsi="Candara" w:cs="Calibri"/>
          <w:color w:val="000000"/>
          <w:lang w:eastAsia="en-ID"/>
        </w:rPr>
        <w:t>fraud</w:t>
      </w:r>
      <w:r w:rsidR="000E45B0" w:rsidRPr="00C6243A">
        <w:rPr>
          <w:rFonts w:ascii="Candara" w:eastAsia="Times New Roman" w:hAnsi="Candara" w:cs="Calibri"/>
          <w:i/>
          <w:iCs/>
          <w:color w:val="000000"/>
          <w:lang w:eastAsia="en-ID"/>
        </w:rPr>
        <w:t> </w:t>
      </w:r>
      <w:r w:rsidR="000E45B0" w:rsidRPr="00C6243A">
        <w:rPr>
          <w:rFonts w:ascii="Candara" w:eastAsia="Times New Roman" w:hAnsi="Candara" w:cs="Calibri"/>
          <w:color w:val="000000"/>
          <w:lang w:eastAsia="en-ID"/>
        </w:rPr>
        <w:t xml:space="preserve">than companies that do not </w:t>
      </w:r>
      <w:r w:rsidR="000E45B0">
        <w:rPr>
          <w:rFonts w:ascii="Candara" w:eastAsia="Times New Roman" w:hAnsi="Candara" w:cs="Calibri"/>
          <w:color w:val="000000"/>
          <w:lang w:eastAsia="en-ID"/>
        </w:rPr>
        <w:t xml:space="preserve">go </w:t>
      </w:r>
      <w:r w:rsidR="000E45B0" w:rsidRPr="00C6243A">
        <w:rPr>
          <w:rFonts w:ascii="Candara" w:eastAsia="Times New Roman" w:hAnsi="Candara" w:cs="Calibri"/>
          <w:color w:val="000000"/>
          <w:lang w:eastAsia="en-ID"/>
        </w:rPr>
        <w:t>bankrupt</w:t>
      </w:r>
      <w:r w:rsidR="000E45B0">
        <w:rPr>
          <w:rFonts w:ascii="Candara" w:hAnsi="Candara" w:cs="Arial"/>
        </w:rPr>
        <w:t xml:space="preserve"> </w:t>
      </w:r>
      <w:r w:rsidR="002A69EE">
        <w:rPr>
          <w:rFonts w:ascii="Candara" w:hAnsi="Candara" w:cs="Arial"/>
        </w:rPr>
        <w:fldChar w:fldCharType="begin" w:fldLock="1"/>
      </w:r>
      <w:r w:rsidR="002A69EE">
        <w:rPr>
          <w:rFonts w:ascii="Candara" w:hAnsi="Candara" w:cs="Arial"/>
        </w:rPr>
        <w:instrText>ADDIN CSL_CITATION {"citationItems":[{"id":"ITEM-1","itemData":{"author":[{"dropping-particle":"","family":"Dinasmara","given":"Caterina Kesuma","non-dropping-particle":"","parse-names":false,"suffix":""},{"dropping-particle":"","family":"Adiwibowo","given":"Agustinus Santosa","non-dropping-particle":"","parse-names":false,"suffix":""}],"container-title":"Diponegoro Journal Of Accounting","id":"ITEM-1","issue":"3","issued":{"date-parts":[["2020"]]},"page":"1-15","title":"DETEKSI KECURANGAN LAPORAN KEUANGAN MENGGUNAKAN BENEISH M – SCORE DAN PREDIKSI KEBANGKRUTAN MENGGUNAKAN ALTMAN Z – SCORE ( Studi Empiris pada Perusahaan yang Termasuk dalam Indeks LQ – 45 Tahun 2016 – 2018 )","type":"article-journal","volume":"9"},"uris":["http://www.mendeley.com/documents/?uuid=c6fc74c8-3191-4846-a41d-63ae18f71dbf"]}],"mendeley":{"formattedCitation":"(Dinasmara &amp; Adiwibowo, 2020)","plainTextFormattedCitation":"(Dinasmara &amp; Adiwibowo, 2020)","previouslyFormattedCitation":"(Dinasmara &amp; Adiwibowo, 2020)"},"properties":{"noteIndex":0},"schema":"https://github.com/citation-style-language/schema/raw/master/csl-citation.json"}</w:instrText>
      </w:r>
      <w:r w:rsidR="002A69EE">
        <w:rPr>
          <w:rFonts w:ascii="Candara" w:hAnsi="Candara" w:cs="Arial"/>
        </w:rPr>
        <w:fldChar w:fldCharType="separate"/>
      </w:r>
      <w:r w:rsidR="002A69EE" w:rsidRPr="002A69EE">
        <w:rPr>
          <w:rFonts w:ascii="Candara" w:hAnsi="Candara" w:cs="Arial"/>
          <w:noProof/>
        </w:rPr>
        <w:t>(Dinasmara &amp; Adiwibowo, 2020)</w:t>
      </w:r>
      <w:r w:rsidR="002A69EE">
        <w:rPr>
          <w:rFonts w:ascii="Candara" w:hAnsi="Candara" w:cs="Arial"/>
        </w:rPr>
        <w:fldChar w:fldCharType="end"/>
      </w:r>
    </w:p>
    <w:p w14:paraId="36F7F459" w14:textId="2DD2F980" w:rsidR="00204B18" w:rsidRPr="00204B18" w:rsidRDefault="000E45B0" w:rsidP="00072624">
      <w:pPr>
        <w:spacing w:after="0" w:line="240" w:lineRule="auto"/>
        <w:ind w:firstLine="446"/>
        <w:jc w:val="both"/>
        <w:rPr>
          <w:rFonts w:ascii="Candara" w:hAnsi="Candara" w:cs="Arial"/>
        </w:rPr>
      </w:pPr>
      <w:r w:rsidRPr="00C6243A">
        <w:rPr>
          <w:rFonts w:ascii="Candara" w:eastAsia="Times New Roman" w:hAnsi="Candara" w:cs="Calibri"/>
          <w:color w:val="000000"/>
          <w:lang w:eastAsia="en-ID"/>
        </w:rPr>
        <w:t>In bankruptcy</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case</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w:t>
      </w:r>
      <w:r w:rsidRPr="00EB1629">
        <w:rPr>
          <w:rFonts w:ascii="Candara" w:eastAsia="Times New Roman" w:hAnsi="Candara" w:cs="Calibri"/>
          <w:color w:val="000000"/>
          <w:lang w:eastAsia="en-ID"/>
        </w:rPr>
        <w:t>fraud</w:t>
      </w:r>
      <w:r w:rsidRPr="00C6243A">
        <w:rPr>
          <w:rFonts w:ascii="Candara" w:eastAsia="Times New Roman" w:hAnsi="Candara" w:cs="Calibri"/>
          <w:i/>
          <w:iCs/>
          <w:color w:val="000000"/>
          <w:lang w:eastAsia="en-ID"/>
        </w:rPr>
        <w:t> </w:t>
      </w:r>
      <w:r>
        <w:rPr>
          <w:rFonts w:ascii="Candara" w:eastAsia="Times New Roman" w:hAnsi="Candara" w:cs="Calibri"/>
          <w:color w:val="000000"/>
          <w:lang w:eastAsia="en-ID"/>
        </w:rPr>
        <w:t xml:space="preserve">can </w:t>
      </w:r>
      <w:r w:rsidRPr="00C6243A">
        <w:rPr>
          <w:rFonts w:ascii="Candara" w:eastAsia="Times New Roman" w:hAnsi="Candara" w:cs="Calibri"/>
          <w:color w:val="000000"/>
          <w:lang w:eastAsia="en-ID"/>
        </w:rPr>
        <w:t xml:space="preserve">occur before </w:t>
      </w:r>
      <w:r w:rsidR="00AE5F31">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 xml:space="preserve">bankruptcy occurs, </w:t>
      </w:r>
      <w:r>
        <w:rPr>
          <w:rFonts w:ascii="Candara" w:eastAsia="Times New Roman" w:hAnsi="Candara" w:cs="Calibri"/>
          <w:color w:val="000000"/>
          <w:lang w:eastAsia="en-ID"/>
        </w:rPr>
        <w:t xml:space="preserve">when the </w:t>
      </w:r>
      <w:r w:rsidRPr="00C6243A">
        <w:rPr>
          <w:rFonts w:ascii="Candara" w:eastAsia="Times New Roman" w:hAnsi="Candara" w:cs="Calibri"/>
          <w:color w:val="000000"/>
          <w:lang w:eastAsia="en-ID"/>
        </w:rPr>
        <w:t xml:space="preserve">bankruptcy </w:t>
      </w:r>
      <w:r>
        <w:rPr>
          <w:rFonts w:ascii="Candara" w:eastAsia="Times New Roman" w:hAnsi="Candara" w:cs="Calibri"/>
          <w:color w:val="000000"/>
          <w:lang w:eastAsia="en-ID"/>
        </w:rPr>
        <w:t xml:space="preserve">occurs, </w:t>
      </w:r>
      <w:r w:rsidRPr="00C6243A">
        <w:rPr>
          <w:rFonts w:ascii="Candara" w:eastAsia="Times New Roman" w:hAnsi="Candara" w:cs="Calibri"/>
          <w:color w:val="000000"/>
          <w:lang w:eastAsia="en-ID"/>
        </w:rPr>
        <w:t xml:space="preserve">or after </w:t>
      </w:r>
      <w:r>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bankrupt</w:t>
      </w:r>
      <w:r>
        <w:rPr>
          <w:rFonts w:ascii="Candara" w:eastAsia="Times New Roman" w:hAnsi="Candara" w:cs="Calibri"/>
          <w:color w:val="000000"/>
          <w:lang w:eastAsia="en-ID"/>
        </w:rPr>
        <w:t xml:space="preserve">cy decision has been announced and it </w:t>
      </w:r>
      <w:r w:rsidRPr="00C6243A">
        <w:rPr>
          <w:rFonts w:ascii="Candara" w:eastAsia="Times New Roman" w:hAnsi="Candara" w:cs="Calibri"/>
          <w:color w:val="000000"/>
          <w:lang w:eastAsia="en-ID"/>
        </w:rPr>
        <w:t>can be done by debtors, creditors</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or curators </w:t>
      </w:r>
      <w:r w:rsidR="002A69EE">
        <w:rPr>
          <w:rFonts w:ascii="Candara" w:hAnsi="Candara" w:cs="Arial"/>
        </w:rPr>
        <w:fldChar w:fldCharType="begin" w:fldLock="1"/>
      </w:r>
      <w:r w:rsidR="002A69EE">
        <w:rPr>
          <w:rFonts w:ascii="Candara" w:hAnsi="Candara" w:cs="Arial"/>
        </w:rPr>
        <w:instrText>ADDIN CSL_CITATION {"citationItems":[{"id":"ITEM-1","itemData":{"abstract":"The purpose of this study is to interpret the construction of accounting losses in disclosing fraud and the bankruptcy practices of client financial statements. The research method used is a qualitative method - the interpretive paradigm with a phenomenal approach with method triangulation is done by comparing information or data in different ways. To obtain the truth of reliable information and a complete picture of certain information, researchers can use interview and observation or observation methods to check the truth. In addition, researchers can also use different informants to check the correctness of the information. Triangulation of this stage is done if the data or information obtained from the subject or research informants is doubtful. The results of this study were filing bankruptcy at the Commercial Court involving a supervisory judge and curator. In determining the validity of accounts payable by a supervisory judge used the science of forensic accounting and loss accounting, with the curator in charge of distributing bankruptcy (assets) to creditors in the order of division of property for separatist creditors, Preferred creditors and congruent creditors (creditors who have no collateral). In general, fraud actions carried out by debtors are by hiding assets and sales while fraud is carried out with the motive to obtain bankruptcy (assets).","author":[{"dropping-particle":"","family":"Akbar","given":"Nahruddien","non-dropping-particle":"","parse-names":false,"suffix":""}],"id":"ITEM-1","issue":"1","issued":{"date-parts":[["2019"]]},"page":"9-19","title":"KONSTRUKSI AKUNTANSI KERUGIAN, PRAKTIK KEPAILITAN MENGUNGKAP FRAUD LAPORAN KEUANGAN KLIEN","type":"article-journal","volume":"3"},"uris":["http://www.mendeley.com/documents/?uuid=b55d347f-adbd-47de-bd36-69eeaba82e5b"]}],"mendeley":{"formattedCitation":"(Akbar, 2019)","plainTextFormattedCitation":"(Akbar, 2019)","previouslyFormattedCitation":"(Akbar, 2019)"},"properties":{"noteIndex":0},"schema":"https://github.com/citation-style-language/schema/raw/master/csl-citation.json"}</w:instrText>
      </w:r>
      <w:r w:rsidR="002A69EE">
        <w:rPr>
          <w:rFonts w:ascii="Candara" w:hAnsi="Candara" w:cs="Arial"/>
        </w:rPr>
        <w:fldChar w:fldCharType="separate"/>
      </w:r>
      <w:r w:rsidR="002A69EE" w:rsidRPr="002A69EE">
        <w:rPr>
          <w:rFonts w:ascii="Candara" w:hAnsi="Candara" w:cs="Arial"/>
          <w:noProof/>
        </w:rPr>
        <w:t>(Akbar, 2019</w:t>
      </w:r>
      <w:r w:rsidR="002A69EE">
        <w:rPr>
          <w:rFonts w:ascii="Candara" w:hAnsi="Candara" w:cs="Arial"/>
        </w:rPr>
        <w:fldChar w:fldCharType="end"/>
      </w:r>
      <w:r w:rsidR="00204B18" w:rsidRPr="00204B18">
        <w:rPr>
          <w:rFonts w:ascii="Candara" w:hAnsi="Candara" w:cs="Arial"/>
        </w:rPr>
        <w:t>;</w:t>
      </w:r>
      <w:r w:rsidR="00C81165">
        <w:rPr>
          <w:rFonts w:ascii="Candara" w:hAnsi="Candara" w:cs="Arial"/>
        </w:rPr>
        <w:t xml:space="preserve"> </w:t>
      </w:r>
      <w:r w:rsidR="002A69EE">
        <w:rPr>
          <w:rFonts w:ascii="Candara" w:hAnsi="Candara" w:cs="Arial"/>
        </w:rPr>
        <w:fldChar w:fldCharType="begin" w:fldLock="1"/>
      </w:r>
      <w:r w:rsidR="002A69EE">
        <w:rPr>
          <w:rFonts w:ascii="Candara" w:hAnsi="Candara" w:cs="Arial"/>
        </w:rPr>
        <w:instrText>ADDIN CSL_CITATION {"citationItems":[{"id":"ITEM-1","itemData":{"author":[{"dropping-particle":"","family":"Kartoningrat","given":"Raden Besse","non-dropping-particle":"","parse-names":false,"suffix":""},{"dropping-particle":"","family":"Andayani","given":"Isetyowati","non-dropping-particle":"","parse-names":false,"suffix":""}],"container-title":"Perspektif","id":"ITEM-1","issue":"3","issued":{"date-parts":[["2020"]]},"page":"190-204","title":"KARAKTERISTIK FRAUD DALAM HUKUM KEPAILITAN","type":"article-journal","volume":"25"},"uris":["http://www.mendeley.com/documents/?uuid=67ed1ab2-2f0e-4f4e-89a7-3cbbc373c531"]}],"mendeley":{"formattedCitation":"(Kartoningrat &amp; Andayani, 2020)","plainTextFormattedCitation":"(Kartoningrat &amp; Andayani, 2020)","previouslyFormattedCitation":"(Kartoningrat &amp; Andayani, 2020)"},"properties":{"noteIndex":0},"schema":"https://github.com/citation-style-language/schema/raw/master/csl-citation.json"}</w:instrText>
      </w:r>
      <w:r w:rsidR="002A69EE">
        <w:rPr>
          <w:rFonts w:ascii="Candara" w:hAnsi="Candara" w:cs="Arial"/>
        </w:rPr>
        <w:fldChar w:fldCharType="separate"/>
      </w:r>
      <w:r w:rsidR="002A69EE" w:rsidRPr="002A69EE">
        <w:rPr>
          <w:rFonts w:ascii="Candara" w:hAnsi="Candara" w:cs="Arial"/>
          <w:noProof/>
        </w:rPr>
        <w:t>Kartoningrat &amp; Andayani, 2020)</w:t>
      </w:r>
      <w:r w:rsidR="002A69EE">
        <w:rPr>
          <w:rFonts w:ascii="Candara" w:hAnsi="Candara" w:cs="Arial"/>
        </w:rPr>
        <w:fldChar w:fldCharType="end"/>
      </w:r>
      <w:r w:rsidR="00204B18" w:rsidRPr="00204B18">
        <w:rPr>
          <w:rFonts w:ascii="Candara" w:hAnsi="Candara" w:cs="Arial"/>
        </w:rPr>
        <w:t xml:space="preserve">. </w:t>
      </w:r>
      <w:r w:rsidR="00291775" w:rsidRPr="00C6243A">
        <w:rPr>
          <w:rFonts w:ascii="Candara" w:eastAsia="Times New Roman" w:hAnsi="Candara" w:cs="Calibri"/>
          <w:color w:val="000000"/>
          <w:lang w:eastAsia="en-ID"/>
        </w:rPr>
        <w:t xml:space="preserve">Bankruptcy is </w:t>
      </w:r>
      <w:r w:rsidR="00291775">
        <w:rPr>
          <w:rFonts w:ascii="Candara" w:eastAsia="Times New Roman" w:hAnsi="Candara" w:cs="Calibri"/>
          <w:color w:val="000000"/>
          <w:lang w:eastAsia="en-ID"/>
        </w:rPr>
        <w:t xml:space="preserve">defined as </w:t>
      </w:r>
      <w:r w:rsidR="00291775" w:rsidRPr="00C6243A">
        <w:rPr>
          <w:rFonts w:ascii="Candara" w:eastAsia="Times New Roman" w:hAnsi="Candara" w:cs="Calibri"/>
          <w:color w:val="000000"/>
          <w:lang w:eastAsia="en-ID"/>
        </w:rPr>
        <w:t>the inability of debtors to pay their debts after maturity</w:t>
      </w:r>
      <w:r w:rsidR="00291775">
        <w:rPr>
          <w:rFonts w:ascii="Candara" w:eastAsia="Times New Roman" w:hAnsi="Candara" w:cs="Calibri"/>
          <w:color w:val="000000"/>
          <w:lang w:eastAsia="en-ID"/>
        </w:rPr>
        <w:t xml:space="preserve"> </w:t>
      </w:r>
      <w:r w:rsidR="002A69EE">
        <w:rPr>
          <w:rFonts w:ascii="Candara" w:hAnsi="Candara" w:cs="Arial"/>
        </w:rPr>
        <w:fldChar w:fldCharType="begin" w:fldLock="1"/>
      </w:r>
      <w:r w:rsidR="002A69EE">
        <w:rPr>
          <w:rFonts w:ascii="Candara" w:hAnsi="Candara" w:cs="Arial"/>
        </w:rPr>
        <w:instrText>ADDIN CSL_CITATION {"citationItems":[{"id":"ITEM-1","itemData":{"author":[{"dropping-particle":"","family":"Sembiring","given":"Sentosa","non-dropping-particle":"","parse-names":false,"suffix":""}],"container-title":"JURNAL HUKUM ACARA PERDATA","id":"ITEM-1","issue":"1","issued":{"date-parts":[["2017"]]},"title":"EKSISTENSI KURATOR DALAM PRANATA HUKUM KEPALITAN","type":"article-journal","volume":"3"},"uris":["http://www.mendeley.com/documents/?uuid=91cd9ab9-cddd-4292-8cb7-65dd600cf5e4"]}],"mendeley":{"formattedCitation":"(Sembiring, 2017)","plainTextFormattedCitation":"(Sembiring, 2017)","previouslyFormattedCitation":"(Sembiring, 2017)"},"properties":{"noteIndex":0},"schema":"https://github.com/citation-style-language/schema/raw/master/csl-citation.json"}</w:instrText>
      </w:r>
      <w:r w:rsidR="002A69EE">
        <w:rPr>
          <w:rFonts w:ascii="Candara" w:hAnsi="Candara" w:cs="Arial"/>
        </w:rPr>
        <w:fldChar w:fldCharType="separate"/>
      </w:r>
      <w:r w:rsidR="002A69EE" w:rsidRPr="002A69EE">
        <w:rPr>
          <w:rFonts w:ascii="Candara" w:hAnsi="Candara" w:cs="Arial"/>
          <w:noProof/>
        </w:rPr>
        <w:t>(Sembiring, 2017)</w:t>
      </w:r>
      <w:r w:rsidR="002A69EE">
        <w:rPr>
          <w:rFonts w:ascii="Candara" w:hAnsi="Candara" w:cs="Arial"/>
        </w:rPr>
        <w:fldChar w:fldCharType="end"/>
      </w:r>
      <w:r w:rsidR="00204B18" w:rsidRPr="00204B18">
        <w:rPr>
          <w:rFonts w:ascii="Candara" w:hAnsi="Candara" w:cs="Arial"/>
        </w:rPr>
        <w:t xml:space="preserve">. </w:t>
      </w:r>
      <w:r w:rsidR="00291775" w:rsidRPr="00C6243A">
        <w:rPr>
          <w:rFonts w:ascii="Candara" w:eastAsia="Times New Roman" w:hAnsi="Candara" w:cs="Calibri"/>
          <w:color w:val="000000"/>
          <w:lang w:eastAsia="en-ID"/>
        </w:rPr>
        <w:t xml:space="preserve">In </w:t>
      </w:r>
      <w:r w:rsidR="00291775">
        <w:rPr>
          <w:rFonts w:ascii="Candara" w:eastAsia="Times New Roman" w:hAnsi="Candara" w:cs="Calibri"/>
          <w:color w:val="000000"/>
          <w:lang w:eastAsia="en-ID"/>
        </w:rPr>
        <w:t xml:space="preserve">a </w:t>
      </w:r>
      <w:r w:rsidR="00291775" w:rsidRPr="00C6243A">
        <w:rPr>
          <w:rFonts w:ascii="Candara" w:eastAsia="Times New Roman" w:hAnsi="Candara" w:cs="Calibri"/>
          <w:color w:val="000000"/>
          <w:lang w:eastAsia="en-ID"/>
        </w:rPr>
        <w:t xml:space="preserve">bankruptcy process, there is </w:t>
      </w:r>
      <w:r w:rsidR="00291775">
        <w:rPr>
          <w:rFonts w:ascii="Candara" w:eastAsia="Times New Roman" w:hAnsi="Candara" w:cs="Calibri"/>
          <w:color w:val="000000"/>
          <w:lang w:eastAsia="en-ID"/>
        </w:rPr>
        <w:t xml:space="preserve">the so-called </w:t>
      </w:r>
      <w:r w:rsidR="00291775" w:rsidRPr="00C6243A">
        <w:rPr>
          <w:rFonts w:ascii="Candara" w:eastAsia="Times New Roman" w:hAnsi="Candara" w:cs="Calibri"/>
          <w:color w:val="000000"/>
          <w:lang w:eastAsia="en-ID"/>
        </w:rPr>
        <w:t xml:space="preserve">restructuring to avoid bankruptcy and if this peace </w:t>
      </w:r>
      <w:r w:rsidR="00291775">
        <w:rPr>
          <w:rFonts w:ascii="Candara" w:eastAsia="Times New Roman" w:hAnsi="Candara" w:cs="Calibri"/>
          <w:color w:val="000000"/>
          <w:lang w:eastAsia="en-ID"/>
        </w:rPr>
        <w:t xml:space="preserve">agreement </w:t>
      </w:r>
      <w:r w:rsidR="00291775" w:rsidRPr="00C6243A">
        <w:rPr>
          <w:rFonts w:ascii="Candara" w:eastAsia="Times New Roman" w:hAnsi="Candara" w:cs="Calibri"/>
          <w:color w:val="000000"/>
          <w:lang w:eastAsia="en-ID"/>
        </w:rPr>
        <w:t xml:space="preserve">is successful, the bankruptcy process will not </w:t>
      </w:r>
      <w:r w:rsidR="00291775">
        <w:rPr>
          <w:rFonts w:ascii="Candara" w:eastAsia="Times New Roman" w:hAnsi="Candara" w:cs="Calibri"/>
          <w:color w:val="000000"/>
          <w:lang w:eastAsia="en-ID"/>
        </w:rPr>
        <w:t>be continued</w:t>
      </w:r>
      <w:r w:rsidR="00291775" w:rsidRPr="00C6243A">
        <w:rPr>
          <w:rFonts w:ascii="Candara" w:eastAsia="Times New Roman" w:hAnsi="Candara" w:cs="Calibri"/>
          <w:color w:val="000000"/>
          <w:lang w:eastAsia="en-ID"/>
        </w:rPr>
        <w:t>.</w:t>
      </w:r>
      <w:r w:rsidR="00291775">
        <w:rPr>
          <w:rFonts w:ascii="Candara" w:eastAsia="Times New Roman" w:hAnsi="Candara" w:cs="Calibri"/>
          <w:color w:val="000000"/>
          <w:lang w:eastAsia="en-ID"/>
        </w:rPr>
        <w:t xml:space="preserve"> Nonetheless</w:t>
      </w:r>
      <w:r w:rsidR="00291775" w:rsidRPr="00C6243A">
        <w:rPr>
          <w:rFonts w:ascii="Candara" w:eastAsia="Times New Roman" w:hAnsi="Candara" w:cs="Calibri"/>
          <w:color w:val="000000"/>
          <w:lang w:eastAsia="en-ID"/>
        </w:rPr>
        <w:t xml:space="preserve">, if </w:t>
      </w:r>
      <w:r w:rsidR="00291775">
        <w:rPr>
          <w:rFonts w:ascii="Candara" w:eastAsia="Times New Roman" w:hAnsi="Candara" w:cs="Calibri"/>
          <w:color w:val="000000"/>
          <w:lang w:eastAsia="en-ID"/>
        </w:rPr>
        <w:t xml:space="preserve">the </w:t>
      </w:r>
      <w:r w:rsidR="00291775" w:rsidRPr="00C6243A">
        <w:rPr>
          <w:rFonts w:ascii="Candara" w:eastAsia="Times New Roman" w:hAnsi="Candara" w:cs="Calibri"/>
          <w:color w:val="000000"/>
          <w:lang w:eastAsia="en-ID"/>
        </w:rPr>
        <w:t xml:space="preserve">peace </w:t>
      </w:r>
      <w:r w:rsidR="00291775">
        <w:rPr>
          <w:rFonts w:ascii="Candara" w:eastAsia="Times New Roman" w:hAnsi="Candara" w:cs="Calibri"/>
          <w:color w:val="000000"/>
          <w:lang w:eastAsia="en-ID"/>
        </w:rPr>
        <w:t xml:space="preserve">agreement </w:t>
      </w:r>
      <w:r w:rsidR="00291775" w:rsidRPr="00C6243A">
        <w:rPr>
          <w:rFonts w:ascii="Candara" w:eastAsia="Times New Roman" w:hAnsi="Candara" w:cs="Calibri"/>
          <w:color w:val="000000"/>
          <w:lang w:eastAsia="en-ID"/>
        </w:rPr>
        <w:t>is not achieved</w:t>
      </w:r>
      <w:r w:rsidR="00291775">
        <w:rPr>
          <w:rFonts w:ascii="Candara" w:eastAsia="Times New Roman" w:hAnsi="Candara" w:cs="Calibri"/>
          <w:color w:val="000000"/>
          <w:lang w:eastAsia="en-ID"/>
        </w:rPr>
        <w:t>,</w:t>
      </w:r>
      <w:r w:rsidR="00291775" w:rsidRPr="00C6243A">
        <w:rPr>
          <w:rFonts w:ascii="Candara" w:eastAsia="Times New Roman" w:hAnsi="Candara" w:cs="Calibri"/>
          <w:color w:val="000000"/>
          <w:lang w:eastAsia="en-ID"/>
        </w:rPr>
        <w:t xml:space="preserve"> the process of bankruptcy or </w:t>
      </w:r>
      <w:r w:rsidR="00291775">
        <w:rPr>
          <w:rFonts w:ascii="Candara" w:hAnsi="Candara" w:cs="Arial"/>
        </w:rPr>
        <w:t>Suspension of Debt Payment Obligation (</w:t>
      </w:r>
      <w:r w:rsidR="00291775" w:rsidRPr="00C6243A">
        <w:rPr>
          <w:rFonts w:ascii="Candara" w:eastAsia="Times New Roman" w:hAnsi="Candara" w:cs="Calibri"/>
          <w:color w:val="000000"/>
          <w:lang w:eastAsia="en-ID"/>
        </w:rPr>
        <w:t>PKPU</w:t>
      </w:r>
      <w:r w:rsidR="00291775">
        <w:rPr>
          <w:rFonts w:ascii="Candara" w:eastAsia="Times New Roman" w:hAnsi="Candara" w:cs="Calibri"/>
          <w:color w:val="000000"/>
          <w:lang w:eastAsia="en-ID"/>
        </w:rPr>
        <w:t>)</w:t>
      </w:r>
      <w:r w:rsidR="00291775" w:rsidRPr="00C6243A">
        <w:rPr>
          <w:rFonts w:ascii="Candara" w:eastAsia="Times New Roman" w:hAnsi="Candara" w:cs="Calibri"/>
          <w:color w:val="000000"/>
          <w:lang w:eastAsia="en-ID"/>
        </w:rPr>
        <w:t xml:space="preserve"> will be continued and end with a declaration of bankruptcy and settlement </w:t>
      </w:r>
      <w:r w:rsidR="00291775">
        <w:rPr>
          <w:rFonts w:ascii="Candara" w:eastAsia="Times New Roman" w:hAnsi="Candara" w:cs="Calibri"/>
          <w:color w:val="000000"/>
          <w:lang w:eastAsia="en-ID"/>
        </w:rPr>
        <w:t xml:space="preserve">of bankruptcy </w:t>
      </w:r>
      <w:r w:rsidR="00291775" w:rsidRPr="00C6243A">
        <w:rPr>
          <w:rFonts w:ascii="Candara" w:eastAsia="Times New Roman" w:hAnsi="Candara" w:cs="Calibri"/>
          <w:color w:val="000000"/>
          <w:lang w:eastAsia="en-ID"/>
        </w:rPr>
        <w:t>assets</w:t>
      </w:r>
      <w:r w:rsidR="00291775">
        <w:rPr>
          <w:rFonts w:ascii="Candara" w:eastAsia="Times New Roman" w:hAnsi="Candara" w:cs="Calibri"/>
          <w:color w:val="000000"/>
          <w:lang w:eastAsia="en-ID"/>
        </w:rPr>
        <w:t xml:space="preserve"> </w:t>
      </w:r>
      <w:r w:rsidR="002A69EE">
        <w:rPr>
          <w:rFonts w:ascii="Candara" w:hAnsi="Candara" w:cs="Arial"/>
        </w:rPr>
        <w:fldChar w:fldCharType="begin" w:fldLock="1"/>
      </w:r>
      <w:r w:rsidR="002A69EE">
        <w:rPr>
          <w:rFonts w:ascii="Candara" w:hAnsi="Candara" w:cs="Arial"/>
        </w:rPr>
        <w:instrText>ADDIN CSL_CITATION {"citationItems":[{"id":"ITEM-1","itemData":{"abstract":"Dalam rangka untuk melakukan penegakan hukum di bidang kepailitan, terdapat prosedur yang harus dilakukan oleh setiap pencari keadilan, yaitu prosedur kepailitan dan penundaan kewajiban pembayaran utang. Prosedur kepailitan dan Penundaan Kewajiban …","author":[{"dropping-particle":"","family":"Kornelis","given":"Yudi","non-dropping-particle":"","parse-names":false,"suffix":""},{"dropping-particle":"","family":"Amboro","given":"Florianus Yudhi Priyo","non-dropping-particle":"","parse-names":false,"suffix":""}],"container-title":"Jurnal Selat","id":"ITEM-1","issue":"2","issued":{"date-parts":[["2020"]]},"note":"Cited By (since 2020): 2","page":"254-277","publisher":"ojs.umrah.ac.id","title":"Implementasi Restrukturisasi Dalam Prosesi Kepailitan Dan Penundaan Kewajiban Pembayaran Utang Di Indonesia","type":"article-journal","volume":"7"},"uris":["http://www.mendeley.com/documents/?uuid=455f0246-310a-461d-b4c8-11df042aa61b"]}],"mendeley":{"formattedCitation":"(Kornelis &amp; Amboro, 2020)","plainTextFormattedCitation":"(Kornelis &amp; Amboro, 2020)","previouslyFormattedCitation":"(Kornelis &amp; Amboro, 2020)"},"properties":{"noteIndex":0},"schema":"https://github.com/citation-style-language/schema/raw/master/csl-citation.json"}</w:instrText>
      </w:r>
      <w:r w:rsidR="002A69EE">
        <w:rPr>
          <w:rFonts w:ascii="Candara" w:hAnsi="Candara" w:cs="Arial"/>
        </w:rPr>
        <w:fldChar w:fldCharType="separate"/>
      </w:r>
      <w:r w:rsidR="002A69EE" w:rsidRPr="002A69EE">
        <w:rPr>
          <w:rFonts w:ascii="Candara" w:hAnsi="Candara" w:cs="Arial"/>
          <w:noProof/>
        </w:rPr>
        <w:t>(Kornelis &amp; Amboro, 2020)</w:t>
      </w:r>
      <w:r w:rsidR="002A69EE">
        <w:rPr>
          <w:rFonts w:ascii="Candara" w:hAnsi="Candara" w:cs="Arial"/>
        </w:rPr>
        <w:fldChar w:fldCharType="end"/>
      </w:r>
      <w:r w:rsidR="002A69EE">
        <w:rPr>
          <w:rFonts w:ascii="Candara" w:hAnsi="Candara" w:cs="Arial"/>
        </w:rPr>
        <w:t>.</w:t>
      </w:r>
    </w:p>
    <w:p w14:paraId="1E51FC34" w14:textId="337E6614" w:rsidR="00204B18" w:rsidRDefault="00291775" w:rsidP="00072624">
      <w:pPr>
        <w:spacing w:after="0" w:line="240" w:lineRule="auto"/>
        <w:ind w:firstLine="446"/>
        <w:jc w:val="both"/>
        <w:rPr>
          <w:rFonts w:ascii="Candara" w:hAnsi="Candara" w:cs="Arial"/>
        </w:rPr>
      </w:pPr>
      <w:r w:rsidRPr="00C6243A">
        <w:rPr>
          <w:rFonts w:ascii="Candara" w:eastAsia="Times New Roman" w:hAnsi="Candara" w:cs="Calibri"/>
          <w:color w:val="000000"/>
          <w:lang w:eastAsia="en-ID"/>
        </w:rPr>
        <w:t xml:space="preserve">Bankruptcy cases are </w:t>
      </w:r>
      <w:r>
        <w:rPr>
          <w:rFonts w:ascii="Candara" w:eastAsia="Times New Roman" w:hAnsi="Candara" w:cs="Calibri"/>
          <w:color w:val="000000"/>
          <w:lang w:eastAsia="en-ID"/>
        </w:rPr>
        <w:t xml:space="preserve">very likely to </w:t>
      </w:r>
      <w:r w:rsidRPr="00C6243A">
        <w:rPr>
          <w:rFonts w:ascii="Candara" w:eastAsia="Times New Roman" w:hAnsi="Candara" w:cs="Calibri"/>
          <w:color w:val="000000"/>
          <w:lang w:eastAsia="en-ID"/>
        </w:rPr>
        <w:t>caus</w:t>
      </w:r>
      <w:r>
        <w:rPr>
          <w:rFonts w:ascii="Candara" w:eastAsia="Times New Roman" w:hAnsi="Candara" w:cs="Calibri"/>
          <w:color w:val="000000"/>
          <w:lang w:eastAsia="en-ID"/>
        </w:rPr>
        <w:t>e</w:t>
      </w:r>
      <w:r w:rsidRPr="00C6243A">
        <w:rPr>
          <w:rFonts w:ascii="Candara" w:eastAsia="Times New Roman" w:hAnsi="Candara" w:cs="Calibri"/>
          <w:color w:val="000000"/>
          <w:lang w:eastAsia="en-ID"/>
        </w:rPr>
        <w:t xml:space="preserve"> disputes between debtors and creditors</w:t>
      </w:r>
      <w:r>
        <w:rPr>
          <w:rFonts w:ascii="Candara" w:hAnsi="Candara" w:cs="Arial"/>
        </w:rPr>
        <w:t xml:space="preserve"> </w:t>
      </w:r>
      <w:r w:rsidR="002A69EE">
        <w:rPr>
          <w:rFonts w:ascii="Candara" w:hAnsi="Candara" w:cs="Arial"/>
        </w:rPr>
        <w:fldChar w:fldCharType="begin" w:fldLock="1"/>
      </w:r>
      <w:r w:rsidR="002A69EE">
        <w:rPr>
          <w:rFonts w:ascii="Candara" w:hAnsi="Candara" w:cs="Arial"/>
        </w:rPr>
        <w:instrText>ADDIN CSL_CITATION {"citationItems":[{"id":"ITEM-1","itemData":{"abstract":"According to a recent survey,' the number of U.S. lawyers reporting that their firms have used litigation finance quadrupled between 2013 and 2016. Litigation finance can provide solutions to many of the problems inherent in litigation trusts. Since litigation finance obviates the need for the bankruptcy estate to fund the trust, money can instead be immediately distributed to creditors while still affording them a significant upside from litigation recoveries.","author":[{"dropping-particle":"","family":"Ellis","given":"Jamie","non-dropping-particle":"","parse-names":false,"suffix":""},{"dropping-particle":"","family":"Slater","given":"Emily","non-dropping-particle":"","parse-names":false,"suffix":""}],"container-title":"American Bankruptcy Institute Journal","id":"ITEM-1","issue":"3","issued":{"date-parts":[["2017"]]},"page":"34-35,43","title":"Litigation Finance in Bankruptcy: Unlocking Value for Creditor","type":"article-journal","volume":"36"},"uris":["http://www.mendeley.com/documents/?uuid=df978808-a3ae-414b-b677-7c375eb7ea25"]}],"mendeley":{"formattedCitation":"(Ellis &amp; Slater, 2017)","plainTextFormattedCitation":"(Ellis &amp; Slater, 2017)","previouslyFormattedCitation":"(Ellis &amp; Slater, 2017)"},"properties":{"noteIndex":0},"schema":"https://github.com/citation-style-language/schema/raw/master/csl-citation.json"}</w:instrText>
      </w:r>
      <w:r w:rsidR="002A69EE">
        <w:rPr>
          <w:rFonts w:ascii="Candara" w:hAnsi="Candara" w:cs="Arial"/>
        </w:rPr>
        <w:fldChar w:fldCharType="separate"/>
      </w:r>
      <w:r w:rsidR="002A69EE" w:rsidRPr="002A69EE">
        <w:rPr>
          <w:rFonts w:ascii="Candara" w:hAnsi="Candara" w:cs="Arial"/>
          <w:noProof/>
        </w:rPr>
        <w:t>(Ellis &amp; Slater, 2017)</w:t>
      </w:r>
      <w:r w:rsidR="002A69EE">
        <w:rPr>
          <w:rFonts w:ascii="Candara" w:hAnsi="Candara" w:cs="Arial"/>
        </w:rPr>
        <w:fldChar w:fldCharType="end"/>
      </w:r>
      <w:r w:rsidR="002A69EE">
        <w:rPr>
          <w:rFonts w:ascii="Candara" w:hAnsi="Candara" w:cs="Arial"/>
        </w:rPr>
        <w:t>.</w:t>
      </w:r>
      <w:r w:rsidR="00204B18" w:rsidRPr="00204B18">
        <w:rPr>
          <w:rFonts w:ascii="Candara" w:hAnsi="Candara" w:cs="Arial"/>
        </w:rPr>
        <w:t xml:space="preserve"> </w:t>
      </w:r>
      <w:r w:rsidR="00E9763E">
        <w:rPr>
          <w:rFonts w:ascii="Candara" w:eastAsia="Times New Roman" w:hAnsi="Candara" w:cs="Calibri"/>
          <w:color w:val="000000"/>
          <w:lang w:eastAsia="en-ID"/>
        </w:rPr>
        <w:t xml:space="preserve">A </w:t>
      </w:r>
      <w:r w:rsidR="00E9763E" w:rsidRPr="00C6243A">
        <w:rPr>
          <w:rFonts w:ascii="Candara" w:eastAsia="Times New Roman" w:hAnsi="Candara" w:cs="Calibri"/>
          <w:color w:val="000000"/>
          <w:lang w:eastAsia="en-ID"/>
        </w:rPr>
        <w:t xml:space="preserve">Suspension of Debt Payment Obligations (PKPU) or Bankruptcy </w:t>
      </w:r>
      <w:r w:rsidR="00E9763E">
        <w:rPr>
          <w:rFonts w:ascii="Candara" w:eastAsia="Times New Roman" w:hAnsi="Candara" w:cs="Calibri"/>
          <w:color w:val="000000"/>
          <w:lang w:eastAsia="en-ID"/>
        </w:rPr>
        <w:t xml:space="preserve">can be filed </w:t>
      </w:r>
      <w:r w:rsidR="00E9763E" w:rsidRPr="00C6243A">
        <w:rPr>
          <w:rFonts w:ascii="Candara" w:eastAsia="Times New Roman" w:hAnsi="Candara" w:cs="Calibri"/>
          <w:color w:val="000000"/>
          <w:lang w:eastAsia="en-ID"/>
        </w:rPr>
        <w:t xml:space="preserve">voluntarily by </w:t>
      </w:r>
      <w:r w:rsidR="00E9763E">
        <w:rPr>
          <w:rFonts w:ascii="Candara" w:eastAsia="Times New Roman" w:hAnsi="Candara" w:cs="Calibri"/>
          <w:color w:val="000000"/>
          <w:lang w:eastAsia="en-ID"/>
        </w:rPr>
        <w:t>c</w:t>
      </w:r>
      <w:r w:rsidR="00E9763E" w:rsidRPr="00C6243A">
        <w:rPr>
          <w:rFonts w:ascii="Candara" w:eastAsia="Times New Roman" w:hAnsi="Candara" w:cs="Calibri"/>
          <w:color w:val="000000"/>
          <w:lang w:eastAsia="en-ID"/>
        </w:rPr>
        <w:t xml:space="preserve">ompanies </w:t>
      </w:r>
      <w:r w:rsidR="00E9763E">
        <w:rPr>
          <w:rFonts w:ascii="Candara" w:eastAsia="Times New Roman" w:hAnsi="Candara" w:cs="Calibri"/>
          <w:color w:val="000000"/>
          <w:lang w:eastAsia="en-ID"/>
        </w:rPr>
        <w:t xml:space="preserve">that fail to pay debts </w:t>
      </w:r>
      <w:r w:rsidR="00E9763E" w:rsidRPr="00C6243A">
        <w:rPr>
          <w:rFonts w:ascii="Candara" w:eastAsia="Times New Roman" w:hAnsi="Candara" w:cs="Calibri"/>
          <w:color w:val="000000"/>
          <w:lang w:eastAsia="en-ID"/>
        </w:rPr>
        <w:t xml:space="preserve">or </w:t>
      </w:r>
      <w:r w:rsidR="00E9763E">
        <w:rPr>
          <w:rFonts w:ascii="Candara" w:eastAsia="Times New Roman" w:hAnsi="Candara" w:cs="Calibri"/>
          <w:color w:val="000000"/>
          <w:lang w:eastAsia="en-ID"/>
        </w:rPr>
        <w:t xml:space="preserve">by their </w:t>
      </w:r>
      <w:r w:rsidR="00E9763E" w:rsidRPr="00C6243A">
        <w:rPr>
          <w:rFonts w:ascii="Candara" w:eastAsia="Times New Roman" w:hAnsi="Candara" w:cs="Calibri"/>
          <w:color w:val="000000"/>
          <w:lang w:eastAsia="en-ID"/>
        </w:rPr>
        <w:t>creditors to the commercial court according</w:t>
      </w:r>
      <w:r w:rsidR="00E9763E">
        <w:rPr>
          <w:rFonts w:ascii="Candara" w:eastAsia="Times New Roman" w:hAnsi="Candara" w:cs="Calibri"/>
          <w:color w:val="000000"/>
          <w:lang w:eastAsia="en-ID"/>
        </w:rPr>
        <w:t xml:space="preserve"> </w:t>
      </w:r>
      <w:r w:rsidR="00E9763E" w:rsidRPr="00C6243A">
        <w:rPr>
          <w:rFonts w:ascii="Candara" w:eastAsia="Times New Roman" w:hAnsi="Candara" w:cs="Calibri"/>
          <w:color w:val="000000"/>
          <w:lang w:eastAsia="en-ID"/>
        </w:rPr>
        <w:t xml:space="preserve">to </w:t>
      </w:r>
      <w:r w:rsidR="002A69EE">
        <w:rPr>
          <w:rFonts w:ascii="Candara" w:hAnsi="Candara" w:cs="Arial"/>
        </w:rPr>
        <w:fldChar w:fldCharType="begin" w:fldLock="1"/>
      </w:r>
      <w:r w:rsidR="00772D56">
        <w:rPr>
          <w:rFonts w:ascii="Candara" w:hAnsi="Candara" w:cs="Arial"/>
        </w:rPr>
        <w:instrText>ADDIN CSL_CITATION {"citationItems":[{"id":"ITEM-1","itemData":{"author":[{"dropping-particle":"","family":"Indonesia","given":"Republik","non-dropping-particle":"","parse-names":false,"suffix":""}],"id":"ITEM-1","issued":{"date-parts":[["2004"]]},"title":"Undang-Undang Republik Indonesia Nomor 37 Tahun 2004 Tentang Kepailitan dan Penundaan Kewajiban Pembayaran Utang","type":"legislation"},"uris":["http://www.mendeley.com/documents/?uuid=15c1a6a4-194b-43ab-985a-811b34f243e1"]}],"mendeley":{"formattedCitation":"(Undang-Undang Republik Indonesia Nomor 37 Tahun 2004 Tentang Kepailitan Dan Penundaan Kewajiban Pembayaran Utang, 2004)","plainTextFormattedCitation":"(Undang-Undang Republik Indonesia Nomor 37 Tahun 2004 Tentang Kepailitan Dan Penundaan Kewajiban Pembayaran Utang, 2004)","previouslyFormattedCitation":"(Undang-Undang Republik Indonesia Nomor 37 Tahun 2004 Tentang Kepailitan Dan Penundaan Kewajiban Pembayaran Utang, 2004)"},"properties":{"noteIndex":0},"schema":"https://github.com/citation-style-language/schema/raw/master/csl-citation.json"}</w:instrText>
      </w:r>
      <w:r w:rsidR="002A69EE">
        <w:rPr>
          <w:rFonts w:ascii="Candara" w:hAnsi="Candara" w:cs="Arial"/>
        </w:rPr>
        <w:fldChar w:fldCharType="separate"/>
      </w:r>
      <w:r w:rsidR="00E9763E" w:rsidRPr="00C6243A">
        <w:rPr>
          <w:rFonts w:ascii="Candara" w:eastAsia="Times New Roman" w:hAnsi="Candara" w:cs="Calibri"/>
          <w:color w:val="000000"/>
          <w:lang w:eastAsia="en-ID"/>
        </w:rPr>
        <w:t xml:space="preserve">Law Number 37 of 2004 concerning Bankruptcy and </w:t>
      </w:r>
      <w:r w:rsidR="00E9763E">
        <w:rPr>
          <w:rFonts w:ascii="Candara" w:eastAsia="Times New Roman" w:hAnsi="Candara" w:cs="Calibri"/>
          <w:color w:val="000000"/>
          <w:lang w:eastAsia="en-ID"/>
        </w:rPr>
        <w:t xml:space="preserve">Suspension </w:t>
      </w:r>
      <w:r w:rsidR="00E9763E" w:rsidRPr="00C6243A">
        <w:rPr>
          <w:rFonts w:ascii="Candara" w:eastAsia="Times New Roman" w:hAnsi="Candara" w:cs="Calibri"/>
          <w:color w:val="000000"/>
          <w:lang w:eastAsia="en-ID"/>
        </w:rPr>
        <w:t xml:space="preserve">of Debt Payment Obligation </w:t>
      </w:r>
      <w:r w:rsidR="002A69EE">
        <w:rPr>
          <w:rFonts w:ascii="Candara" w:hAnsi="Candara" w:cs="Arial"/>
        </w:rPr>
        <w:fldChar w:fldCharType="end"/>
      </w:r>
      <w:r w:rsidR="006438F2">
        <w:rPr>
          <w:rFonts w:ascii="Candara" w:hAnsi="Candara" w:cs="Arial"/>
        </w:rPr>
        <w:t xml:space="preserve"> </w:t>
      </w:r>
      <w:r w:rsidR="00E9763E" w:rsidRPr="00C6243A">
        <w:rPr>
          <w:rFonts w:ascii="Candara" w:eastAsia="Times New Roman" w:hAnsi="Candara" w:cs="Calibri"/>
          <w:color w:val="000000"/>
          <w:lang w:eastAsia="en-ID"/>
        </w:rPr>
        <w:t xml:space="preserve">as a </w:t>
      </w:r>
      <w:r w:rsidR="00E9763E">
        <w:rPr>
          <w:rFonts w:ascii="Candara" w:eastAsia="Times New Roman" w:hAnsi="Candara" w:cs="Calibri"/>
          <w:color w:val="000000"/>
          <w:lang w:eastAsia="en-ID"/>
        </w:rPr>
        <w:t xml:space="preserve">mechanism </w:t>
      </w:r>
      <w:r w:rsidR="00E9763E" w:rsidRPr="00C6243A">
        <w:rPr>
          <w:rFonts w:ascii="Candara" w:eastAsia="Times New Roman" w:hAnsi="Candara" w:cs="Calibri"/>
          <w:color w:val="000000"/>
          <w:lang w:eastAsia="en-ID"/>
        </w:rPr>
        <w:t>of resolving disputes.</w:t>
      </w:r>
      <w:r w:rsidR="00E9763E">
        <w:rPr>
          <w:rFonts w:ascii="Candara" w:eastAsia="Times New Roman" w:hAnsi="Candara" w:cs="Calibri"/>
          <w:color w:val="000000"/>
          <w:lang w:eastAsia="en-ID"/>
        </w:rPr>
        <w:t xml:space="preserve"> In fact, t</w:t>
      </w:r>
      <w:r w:rsidR="00E9763E" w:rsidRPr="00C6243A">
        <w:rPr>
          <w:rFonts w:ascii="Candara" w:eastAsia="Times New Roman" w:hAnsi="Candara" w:cs="Calibri"/>
          <w:color w:val="000000"/>
          <w:lang w:eastAsia="en-ID"/>
        </w:rPr>
        <w:t>he</w:t>
      </w:r>
      <w:r w:rsidR="00E9763E">
        <w:rPr>
          <w:rFonts w:ascii="Candara" w:eastAsia="Times New Roman" w:hAnsi="Candara" w:cs="Calibri"/>
          <w:color w:val="000000"/>
          <w:lang w:eastAsia="en-ID"/>
        </w:rPr>
        <w:t>re</w:t>
      </w:r>
      <w:r w:rsidR="00E9763E" w:rsidRPr="00C6243A">
        <w:rPr>
          <w:rFonts w:ascii="Candara" w:eastAsia="Times New Roman" w:hAnsi="Candara" w:cs="Calibri"/>
          <w:color w:val="000000"/>
          <w:lang w:eastAsia="en-ID"/>
        </w:rPr>
        <w:t xml:space="preserve"> </w:t>
      </w:r>
      <w:r w:rsidR="00E9763E">
        <w:rPr>
          <w:rFonts w:ascii="Candara" w:eastAsia="Times New Roman" w:hAnsi="Candara" w:cs="Calibri"/>
          <w:color w:val="000000"/>
          <w:lang w:eastAsia="en-ID"/>
        </w:rPr>
        <w:t xml:space="preserve">are many </w:t>
      </w:r>
      <w:r w:rsidR="00E9763E" w:rsidRPr="00C6243A">
        <w:rPr>
          <w:rFonts w:ascii="Candara" w:eastAsia="Times New Roman" w:hAnsi="Candara" w:cs="Calibri"/>
          <w:color w:val="000000"/>
          <w:lang w:eastAsia="en-ID"/>
        </w:rPr>
        <w:t xml:space="preserve">bankruptcy cases that </w:t>
      </w:r>
      <w:r w:rsidR="00E9763E">
        <w:rPr>
          <w:rFonts w:ascii="Candara" w:eastAsia="Times New Roman" w:hAnsi="Candara" w:cs="Calibri"/>
          <w:color w:val="000000"/>
          <w:lang w:eastAsia="en-ID"/>
        </w:rPr>
        <w:t xml:space="preserve">are brought </w:t>
      </w:r>
      <w:r w:rsidR="00E9763E" w:rsidRPr="00C6243A">
        <w:rPr>
          <w:rFonts w:ascii="Candara" w:eastAsia="Times New Roman" w:hAnsi="Candara" w:cs="Calibri"/>
          <w:color w:val="000000"/>
          <w:lang w:eastAsia="en-ID"/>
        </w:rPr>
        <w:t xml:space="preserve">to </w:t>
      </w:r>
      <w:r w:rsidR="00E9763E">
        <w:rPr>
          <w:rFonts w:ascii="Candara" w:eastAsia="Times New Roman" w:hAnsi="Candara" w:cs="Calibri"/>
          <w:color w:val="000000"/>
          <w:lang w:eastAsia="en-ID"/>
        </w:rPr>
        <w:t xml:space="preserve">the </w:t>
      </w:r>
      <w:r w:rsidR="00E9763E" w:rsidRPr="00C6243A">
        <w:rPr>
          <w:rFonts w:ascii="Candara" w:eastAsia="Times New Roman" w:hAnsi="Candara" w:cs="Calibri"/>
          <w:color w:val="000000"/>
          <w:lang w:eastAsia="en-ID"/>
        </w:rPr>
        <w:t xml:space="preserve">commercial court every year </w:t>
      </w:r>
      <w:r w:rsidR="00E9763E">
        <w:rPr>
          <w:rFonts w:ascii="Candara" w:eastAsia="Times New Roman" w:hAnsi="Candara" w:cs="Calibri"/>
          <w:color w:val="000000"/>
          <w:lang w:eastAsia="en-ID"/>
        </w:rPr>
        <w:t xml:space="preserve">as shown </w:t>
      </w:r>
      <w:r w:rsidR="00E9763E" w:rsidRPr="00C6243A">
        <w:rPr>
          <w:rFonts w:ascii="Candara" w:eastAsia="Times New Roman" w:hAnsi="Candara" w:cs="Calibri"/>
          <w:color w:val="000000"/>
          <w:lang w:eastAsia="en-ID"/>
        </w:rPr>
        <w:t xml:space="preserve">in </w:t>
      </w:r>
      <w:r w:rsidR="00E9763E">
        <w:rPr>
          <w:rFonts w:ascii="Candara" w:eastAsia="Times New Roman" w:hAnsi="Candara" w:cs="Calibri"/>
          <w:color w:val="000000"/>
          <w:lang w:eastAsia="en-ID"/>
        </w:rPr>
        <w:t>T</w:t>
      </w:r>
      <w:r w:rsidR="00E9763E" w:rsidRPr="00C6243A">
        <w:rPr>
          <w:rFonts w:ascii="Candara" w:eastAsia="Times New Roman" w:hAnsi="Candara" w:cs="Calibri"/>
          <w:color w:val="000000"/>
          <w:lang w:eastAsia="en-ID"/>
        </w:rPr>
        <w:t>able 1</w:t>
      </w:r>
      <w:r w:rsidR="00204B18" w:rsidRPr="00204B18">
        <w:rPr>
          <w:rFonts w:ascii="Candara" w:hAnsi="Candara" w:cs="Arial"/>
        </w:rPr>
        <w:t>.</w:t>
      </w:r>
    </w:p>
    <w:p w14:paraId="76FC52EC" w14:textId="4A2ED6B4" w:rsidR="00072624" w:rsidRPr="000511F3" w:rsidRDefault="00072624" w:rsidP="00072624">
      <w:pPr>
        <w:spacing w:after="0" w:line="240" w:lineRule="auto"/>
        <w:jc w:val="center"/>
        <w:rPr>
          <w:rFonts w:ascii="Goudy Old Style" w:hAnsi="Goudy Old Style" w:cstheme="minorHAnsi"/>
          <w:b/>
          <w:sz w:val="20"/>
          <w:szCs w:val="20"/>
        </w:rPr>
      </w:pPr>
      <w:r w:rsidRPr="000511F3">
        <w:rPr>
          <w:rFonts w:ascii="Goudy Old Style" w:hAnsi="Goudy Old Style" w:cstheme="minorHAnsi"/>
          <w:b/>
          <w:sz w:val="20"/>
          <w:szCs w:val="20"/>
        </w:rPr>
        <w:t>Tab</w:t>
      </w:r>
      <w:r w:rsidR="00512F5E">
        <w:rPr>
          <w:rFonts w:ascii="Goudy Old Style" w:hAnsi="Goudy Old Style" w:cstheme="minorHAnsi"/>
          <w:b/>
          <w:sz w:val="20"/>
          <w:szCs w:val="20"/>
        </w:rPr>
        <w:t>le</w:t>
      </w:r>
      <w:r w:rsidRPr="000511F3">
        <w:rPr>
          <w:rFonts w:ascii="Goudy Old Style" w:hAnsi="Goudy Old Style" w:cstheme="minorHAnsi"/>
          <w:b/>
          <w:sz w:val="20"/>
          <w:szCs w:val="20"/>
        </w:rPr>
        <w:t xml:space="preserve"> 1. </w:t>
      </w:r>
      <w:r w:rsidR="00512F5E">
        <w:rPr>
          <w:rFonts w:ascii="Goudy Old Style" w:hAnsi="Goudy Old Style" w:cstheme="minorHAnsi"/>
          <w:b/>
          <w:sz w:val="20"/>
          <w:szCs w:val="20"/>
        </w:rPr>
        <w:t>The Number of Bankruptcy Cases Resolved at Commercial Court</w:t>
      </w:r>
    </w:p>
    <w:tbl>
      <w:tblPr>
        <w:tblW w:w="6620" w:type="dxa"/>
        <w:jc w:val="center"/>
        <w:tblLook w:val="04A0" w:firstRow="1" w:lastRow="0" w:firstColumn="1" w:lastColumn="0" w:noHBand="0" w:noVBand="1"/>
      </w:tblPr>
      <w:tblGrid>
        <w:gridCol w:w="469"/>
        <w:gridCol w:w="1440"/>
        <w:gridCol w:w="960"/>
        <w:gridCol w:w="960"/>
        <w:gridCol w:w="960"/>
        <w:gridCol w:w="960"/>
        <w:gridCol w:w="960"/>
      </w:tblGrid>
      <w:tr w:rsidR="00072624" w:rsidRPr="000511F3" w14:paraId="30EE1DC5" w14:textId="77777777" w:rsidTr="002A69EE">
        <w:trPr>
          <w:trHeight w:val="300"/>
          <w:jc w:val="center"/>
        </w:trPr>
        <w:tc>
          <w:tcPr>
            <w:tcW w:w="380" w:type="dxa"/>
            <w:vMerge w:val="restart"/>
            <w:tcBorders>
              <w:top w:val="single" w:sz="4" w:space="0" w:color="auto"/>
            </w:tcBorders>
            <w:shd w:val="clear" w:color="auto" w:fill="auto"/>
            <w:noWrap/>
            <w:vAlign w:val="center"/>
            <w:hideMark/>
          </w:tcPr>
          <w:p w14:paraId="4906223E"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No</w:t>
            </w:r>
          </w:p>
        </w:tc>
        <w:tc>
          <w:tcPr>
            <w:tcW w:w="1440" w:type="dxa"/>
            <w:vMerge w:val="restart"/>
            <w:tcBorders>
              <w:top w:val="single" w:sz="4" w:space="0" w:color="auto"/>
            </w:tcBorders>
            <w:shd w:val="clear" w:color="auto" w:fill="auto"/>
            <w:noWrap/>
            <w:vAlign w:val="center"/>
            <w:hideMark/>
          </w:tcPr>
          <w:p w14:paraId="0B5C7DC4" w14:textId="3AB91095" w:rsidR="00072624" w:rsidRPr="000511F3" w:rsidRDefault="00512F5E" w:rsidP="002A69EE">
            <w:pPr>
              <w:spacing w:after="0" w:line="240" w:lineRule="auto"/>
              <w:jc w:val="center"/>
              <w:rPr>
                <w:rFonts w:ascii="Goudy Old Style" w:eastAsia="Times New Roman" w:hAnsi="Goudy Old Style" w:cstheme="minorHAnsi"/>
                <w:b/>
                <w:color w:val="000000"/>
                <w:sz w:val="20"/>
                <w:szCs w:val="20"/>
              </w:rPr>
            </w:pPr>
            <w:r>
              <w:rPr>
                <w:rFonts w:ascii="Goudy Old Style" w:eastAsia="Times New Roman" w:hAnsi="Goudy Old Style" w:cstheme="minorHAnsi"/>
                <w:b/>
                <w:color w:val="000000"/>
                <w:sz w:val="20"/>
                <w:szCs w:val="20"/>
              </w:rPr>
              <w:t>Type of Cases</w:t>
            </w:r>
          </w:p>
        </w:tc>
        <w:tc>
          <w:tcPr>
            <w:tcW w:w="4800" w:type="dxa"/>
            <w:gridSpan w:val="5"/>
            <w:tcBorders>
              <w:top w:val="single" w:sz="4" w:space="0" w:color="auto"/>
              <w:bottom w:val="single" w:sz="4" w:space="0" w:color="auto"/>
            </w:tcBorders>
            <w:shd w:val="clear" w:color="auto" w:fill="auto"/>
            <w:noWrap/>
            <w:vAlign w:val="bottom"/>
            <w:hideMark/>
          </w:tcPr>
          <w:p w14:paraId="7651887D" w14:textId="464561C8" w:rsidR="00072624" w:rsidRPr="000511F3" w:rsidRDefault="00512F5E" w:rsidP="002A69EE">
            <w:pPr>
              <w:spacing w:after="0" w:line="240" w:lineRule="auto"/>
              <w:jc w:val="center"/>
              <w:rPr>
                <w:rFonts w:ascii="Goudy Old Style" w:eastAsia="Times New Roman" w:hAnsi="Goudy Old Style" w:cstheme="minorHAnsi"/>
                <w:b/>
                <w:color w:val="000000"/>
                <w:sz w:val="20"/>
                <w:szCs w:val="20"/>
              </w:rPr>
            </w:pPr>
            <w:r>
              <w:rPr>
                <w:rFonts w:ascii="Goudy Old Style" w:eastAsia="Times New Roman" w:hAnsi="Goudy Old Style" w:cstheme="minorHAnsi"/>
                <w:b/>
                <w:color w:val="000000"/>
                <w:sz w:val="20"/>
                <w:szCs w:val="20"/>
              </w:rPr>
              <w:t>Year</w:t>
            </w:r>
          </w:p>
        </w:tc>
      </w:tr>
      <w:tr w:rsidR="00072624" w:rsidRPr="000511F3" w14:paraId="6BCAEB42" w14:textId="77777777" w:rsidTr="002A69EE">
        <w:trPr>
          <w:trHeight w:val="300"/>
          <w:jc w:val="center"/>
        </w:trPr>
        <w:tc>
          <w:tcPr>
            <w:tcW w:w="380" w:type="dxa"/>
            <w:vMerge/>
            <w:tcBorders>
              <w:bottom w:val="single" w:sz="4" w:space="0" w:color="auto"/>
            </w:tcBorders>
            <w:vAlign w:val="center"/>
            <w:hideMark/>
          </w:tcPr>
          <w:p w14:paraId="39F8D9DF" w14:textId="77777777" w:rsidR="00072624" w:rsidRPr="000511F3" w:rsidRDefault="00072624" w:rsidP="002A69EE">
            <w:pPr>
              <w:spacing w:after="0" w:line="240" w:lineRule="auto"/>
              <w:rPr>
                <w:rFonts w:ascii="Goudy Old Style" w:eastAsia="Times New Roman" w:hAnsi="Goudy Old Style" w:cstheme="minorHAnsi"/>
                <w:b/>
                <w:color w:val="000000"/>
                <w:sz w:val="20"/>
                <w:szCs w:val="20"/>
              </w:rPr>
            </w:pPr>
          </w:p>
        </w:tc>
        <w:tc>
          <w:tcPr>
            <w:tcW w:w="1440" w:type="dxa"/>
            <w:vMerge/>
            <w:tcBorders>
              <w:bottom w:val="single" w:sz="4" w:space="0" w:color="auto"/>
            </w:tcBorders>
            <w:vAlign w:val="center"/>
            <w:hideMark/>
          </w:tcPr>
          <w:p w14:paraId="1ACB088B" w14:textId="77777777" w:rsidR="00072624" w:rsidRPr="000511F3" w:rsidRDefault="00072624" w:rsidP="002A69EE">
            <w:pPr>
              <w:spacing w:after="0" w:line="240" w:lineRule="auto"/>
              <w:rPr>
                <w:rFonts w:ascii="Goudy Old Style" w:eastAsia="Times New Roman" w:hAnsi="Goudy Old Style" w:cstheme="minorHAnsi"/>
                <w:b/>
                <w:color w:val="000000"/>
                <w:sz w:val="20"/>
                <w:szCs w:val="20"/>
              </w:rPr>
            </w:pPr>
          </w:p>
        </w:tc>
        <w:tc>
          <w:tcPr>
            <w:tcW w:w="960" w:type="dxa"/>
            <w:tcBorders>
              <w:top w:val="single" w:sz="4" w:space="0" w:color="auto"/>
              <w:bottom w:val="single" w:sz="4" w:space="0" w:color="auto"/>
            </w:tcBorders>
            <w:shd w:val="clear" w:color="auto" w:fill="auto"/>
            <w:noWrap/>
            <w:vAlign w:val="bottom"/>
            <w:hideMark/>
          </w:tcPr>
          <w:p w14:paraId="7A138FBD"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2016</w:t>
            </w:r>
          </w:p>
        </w:tc>
        <w:tc>
          <w:tcPr>
            <w:tcW w:w="960" w:type="dxa"/>
            <w:tcBorders>
              <w:top w:val="single" w:sz="4" w:space="0" w:color="auto"/>
              <w:bottom w:val="single" w:sz="4" w:space="0" w:color="auto"/>
            </w:tcBorders>
            <w:shd w:val="clear" w:color="auto" w:fill="auto"/>
            <w:noWrap/>
            <w:vAlign w:val="bottom"/>
            <w:hideMark/>
          </w:tcPr>
          <w:p w14:paraId="5B7E3E4B"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2017</w:t>
            </w:r>
          </w:p>
        </w:tc>
        <w:tc>
          <w:tcPr>
            <w:tcW w:w="960" w:type="dxa"/>
            <w:tcBorders>
              <w:top w:val="single" w:sz="4" w:space="0" w:color="auto"/>
              <w:bottom w:val="single" w:sz="4" w:space="0" w:color="auto"/>
            </w:tcBorders>
            <w:shd w:val="clear" w:color="auto" w:fill="auto"/>
            <w:noWrap/>
            <w:vAlign w:val="bottom"/>
            <w:hideMark/>
          </w:tcPr>
          <w:p w14:paraId="1528AE2C"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2018</w:t>
            </w:r>
          </w:p>
        </w:tc>
        <w:tc>
          <w:tcPr>
            <w:tcW w:w="960" w:type="dxa"/>
            <w:tcBorders>
              <w:top w:val="single" w:sz="4" w:space="0" w:color="auto"/>
              <w:bottom w:val="single" w:sz="4" w:space="0" w:color="auto"/>
            </w:tcBorders>
            <w:shd w:val="clear" w:color="auto" w:fill="auto"/>
            <w:noWrap/>
            <w:vAlign w:val="bottom"/>
            <w:hideMark/>
          </w:tcPr>
          <w:p w14:paraId="54AE892D"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2019</w:t>
            </w:r>
          </w:p>
        </w:tc>
        <w:tc>
          <w:tcPr>
            <w:tcW w:w="960" w:type="dxa"/>
            <w:tcBorders>
              <w:top w:val="single" w:sz="4" w:space="0" w:color="auto"/>
              <w:bottom w:val="single" w:sz="4" w:space="0" w:color="auto"/>
            </w:tcBorders>
            <w:shd w:val="clear" w:color="auto" w:fill="auto"/>
            <w:noWrap/>
            <w:vAlign w:val="bottom"/>
            <w:hideMark/>
          </w:tcPr>
          <w:p w14:paraId="46D17038"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2020</w:t>
            </w:r>
          </w:p>
        </w:tc>
      </w:tr>
      <w:tr w:rsidR="00072624" w:rsidRPr="000511F3" w14:paraId="277C8FFD" w14:textId="77777777" w:rsidTr="002A69EE">
        <w:trPr>
          <w:trHeight w:val="300"/>
          <w:jc w:val="center"/>
        </w:trPr>
        <w:tc>
          <w:tcPr>
            <w:tcW w:w="380" w:type="dxa"/>
            <w:tcBorders>
              <w:top w:val="single" w:sz="4" w:space="0" w:color="auto"/>
            </w:tcBorders>
            <w:shd w:val="clear" w:color="auto" w:fill="auto"/>
            <w:noWrap/>
            <w:vAlign w:val="bottom"/>
            <w:hideMark/>
          </w:tcPr>
          <w:p w14:paraId="62B037CA"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1</w:t>
            </w:r>
          </w:p>
        </w:tc>
        <w:tc>
          <w:tcPr>
            <w:tcW w:w="1440" w:type="dxa"/>
            <w:tcBorders>
              <w:top w:val="single" w:sz="4" w:space="0" w:color="auto"/>
            </w:tcBorders>
            <w:shd w:val="clear" w:color="auto" w:fill="auto"/>
            <w:noWrap/>
            <w:vAlign w:val="bottom"/>
            <w:hideMark/>
          </w:tcPr>
          <w:p w14:paraId="1D59211E" w14:textId="16B4E35A" w:rsidR="00072624" w:rsidRPr="000511F3" w:rsidRDefault="00512F5E" w:rsidP="002A69EE">
            <w:pPr>
              <w:spacing w:after="0" w:line="240" w:lineRule="auto"/>
              <w:rPr>
                <w:rFonts w:ascii="Goudy Old Style" w:eastAsia="Times New Roman" w:hAnsi="Goudy Old Style" w:cstheme="minorHAnsi"/>
                <w:color w:val="000000"/>
                <w:sz w:val="20"/>
                <w:szCs w:val="20"/>
              </w:rPr>
            </w:pPr>
            <w:r>
              <w:rPr>
                <w:rFonts w:ascii="Goudy Old Style" w:eastAsia="Times New Roman" w:hAnsi="Goudy Old Style" w:cstheme="minorHAnsi"/>
                <w:color w:val="000000"/>
                <w:sz w:val="20"/>
                <w:szCs w:val="20"/>
              </w:rPr>
              <w:t>Bankrupt</w:t>
            </w:r>
          </w:p>
        </w:tc>
        <w:tc>
          <w:tcPr>
            <w:tcW w:w="960" w:type="dxa"/>
            <w:tcBorders>
              <w:top w:val="single" w:sz="4" w:space="0" w:color="auto"/>
            </w:tcBorders>
            <w:shd w:val="clear" w:color="auto" w:fill="auto"/>
            <w:noWrap/>
            <w:vAlign w:val="bottom"/>
            <w:hideMark/>
          </w:tcPr>
          <w:p w14:paraId="7F58427A"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129</w:t>
            </w:r>
          </w:p>
        </w:tc>
        <w:tc>
          <w:tcPr>
            <w:tcW w:w="960" w:type="dxa"/>
            <w:tcBorders>
              <w:top w:val="single" w:sz="4" w:space="0" w:color="auto"/>
            </w:tcBorders>
            <w:shd w:val="clear" w:color="auto" w:fill="auto"/>
            <w:noWrap/>
            <w:vAlign w:val="bottom"/>
            <w:hideMark/>
          </w:tcPr>
          <w:p w14:paraId="77FB4691"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113</w:t>
            </w:r>
          </w:p>
        </w:tc>
        <w:tc>
          <w:tcPr>
            <w:tcW w:w="960" w:type="dxa"/>
            <w:tcBorders>
              <w:top w:val="single" w:sz="4" w:space="0" w:color="auto"/>
            </w:tcBorders>
            <w:shd w:val="clear" w:color="auto" w:fill="auto"/>
            <w:noWrap/>
            <w:vAlign w:val="bottom"/>
            <w:hideMark/>
          </w:tcPr>
          <w:p w14:paraId="7DCF1970"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114</w:t>
            </w:r>
          </w:p>
        </w:tc>
        <w:tc>
          <w:tcPr>
            <w:tcW w:w="960" w:type="dxa"/>
            <w:tcBorders>
              <w:top w:val="single" w:sz="4" w:space="0" w:color="auto"/>
            </w:tcBorders>
            <w:shd w:val="clear" w:color="auto" w:fill="auto"/>
            <w:noWrap/>
            <w:vAlign w:val="bottom"/>
            <w:hideMark/>
          </w:tcPr>
          <w:p w14:paraId="0D0FEC21"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125</w:t>
            </w:r>
          </w:p>
        </w:tc>
        <w:tc>
          <w:tcPr>
            <w:tcW w:w="960" w:type="dxa"/>
            <w:tcBorders>
              <w:top w:val="single" w:sz="4" w:space="0" w:color="auto"/>
            </w:tcBorders>
            <w:shd w:val="clear" w:color="auto" w:fill="auto"/>
            <w:noWrap/>
            <w:vAlign w:val="bottom"/>
            <w:hideMark/>
          </w:tcPr>
          <w:p w14:paraId="36E26D01"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114</w:t>
            </w:r>
          </w:p>
        </w:tc>
      </w:tr>
      <w:tr w:rsidR="00072624" w:rsidRPr="000511F3" w14:paraId="3E2F84B3" w14:textId="77777777" w:rsidTr="002A69EE">
        <w:trPr>
          <w:trHeight w:val="300"/>
          <w:jc w:val="center"/>
        </w:trPr>
        <w:tc>
          <w:tcPr>
            <w:tcW w:w="380" w:type="dxa"/>
            <w:tcBorders>
              <w:bottom w:val="single" w:sz="4" w:space="0" w:color="auto"/>
            </w:tcBorders>
            <w:shd w:val="clear" w:color="auto" w:fill="auto"/>
            <w:noWrap/>
            <w:vAlign w:val="bottom"/>
            <w:hideMark/>
          </w:tcPr>
          <w:p w14:paraId="70ACA178"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2</w:t>
            </w:r>
          </w:p>
        </w:tc>
        <w:tc>
          <w:tcPr>
            <w:tcW w:w="1440" w:type="dxa"/>
            <w:tcBorders>
              <w:bottom w:val="single" w:sz="4" w:space="0" w:color="auto"/>
            </w:tcBorders>
            <w:shd w:val="clear" w:color="auto" w:fill="auto"/>
            <w:noWrap/>
            <w:vAlign w:val="bottom"/>
            <w:hideMark/>
          </w:tcPr>
          <w:p w14:paraId="29BB5A27" w14:textId="1E7DA9DF" w:rsidR="00072624" w:rsidRPr="000511F3" w:rsidRDefault="00072624" w:rsidP="002A69EE">
            <w:pPr>
              <w:spacing w:after="0" w:line="240" w:lineRule="auto"/>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PKPU</w:t>
            </w:r>
            <w:r w:rsidR="00512F5E">
              <w:rPr>
                <w:rFonts w:ascii="Goudy Old Style" w:eastAsia="Times New Roman" w:hAnsi="Goudy Old Style" w:cstheme="minorHAnsi"/>
                <w:color w:val="000000"/>
                <w:sz w:val="20"/>
                <w:szCs w:val="20"/>
              </w:rPr>
              <w:t xml:space="preserve"> </w:t>
            </w:r>
          </w:p>
        </w:tc>
        <w:tc>
          <w:tcPr>
            <w:tcW w:w="960" w:type="dxa"/>
            <w:tcBorders>
              <w:bottom w:val="single" w:sz="4" w:space="0" w:color="auto"/>
            </w:tcBorders>
            <w:shd w:val="clear" w:color="auto" w:fill="auto"/>
            <w:noWrap/>
            <w:vAlign w:val="bottom"/>
            <w:hideMark/>
          </w:tcPr>
          <w:p w14:paraId="137E50D4"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203</w:t>
            </w:r>
          </w:p>
        </w:tc>
        <w:tc>
          <w:tcPr>
            <w:tcW w:w="960" w:type="dxa"/>
            <w:tcBorders>
              <w:bottom w:val="single" w:sz="4" w:space="0" w:color="auto"/>
            </w:tcBorders>
            <w:shd w:val="clear" w:color="auto" w:fill="auto"/>
            <w:noWrap/>
            <w:vAlign w:val="bottom"/>
            <w:hideMark/>
          </w:tcPr>
          <w:p w14:paraId="6FEF9381"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240</w:t>
            </w:r>
          </w:p>
        </w:tc>
        <w:tc>
          <w:tcPr>
            <w:tcW w:w="960" w:type="dxa"/>
            <w:tcBorders>
              <w:bottom w:val="single" w:sz="4" w:space="0" w:color="auto"/>
            </w:tcBorders>
            <w:shd w:val="clear" w:color="auto" w:fill="auto"/>
            <w:noWrap/>
            <w:vAlign w:val="bottom"/>
            <w:hideMark/>
          </w:tcPr>
          <w:p w14:paraId="54FAA86F"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301</w:t>
            </w:r>
          </w:p>
        </w:tc>
        <w:tc>
          <w:tcPr>
            <w:tcW w:w="960" w:type="dxa"/>
            <w:tcBorders>
              <w:bottom w:val="single" w:sz="4" w:space="0" w:color="auto"/>
            </w:tcBorders>
            <w:shd w:val="clear" w:color="auto" w:fill="auto"/>
            <w:noWrap/>
            <w:vAlign w:val="bottom"/>
            <w:hideMark/>
          </w:tcPr>
          <w:p w14:paraId="2F1C8BCF"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436</w:t>
            </w:r>
          </w:p>
        </w:tc>
        <w:tc>
          <w:tcPr>
            <w:tcW w:w="960" w:type="dxa"/>
            <w:tcBorders>
              <w:bottom w:val="single" w:sz="4" w:space="0" w:color="auto"/>
            </w:tcBorders>
            <w:shd w:val="clear" w:color="auto" w:fill="auto"/>
            <w:noWrap/>
            <w:vAlign w:val="bottom"/>
            <w:hideMark/>
          </w:tcPr>
          <w:p w14:paraId="752C43BC" w14:textId="77777777" w:rsidR="00072624" w:rsidRPr="000511F3" w:rsidRDefault="00072624" w:rsidP="002A69EE">
            <w:pPr>
              <w:spacing w:after="0" w:line="240" w:lineRule="auto"/>
              <w:jc w:val="center"/>
              <w:rPr>
                <w:rFonts w:ascii="Goudy Old Style" w:eastAsia="Times New Roman" w:hAnsi="Goudy Old Style" w:cstheme="minorHAnsi"/>
                <w:color w:val="000000"/>
                <w:sz w:val="20"/>
                <w:szCs w:val="20"/>
              </w:rPr>
            </w:pPr>
            <w:r w:rsidRPr="000511F3">
              <w:rPr>
                <w:rFonts w:ascii="Goudy Old Style" w:eastAsia="Times New Roman" w:hAnsi="Goudy Old Style" w:cstheme="minorHAnsi"/>
                <w:color w:val="000000"/>
                <w:sz w:val="20"/>
                <w:szCs w:val="20"/>
              </w:rPr>
              <w:t>641</w:t>
            </w:r>
          </w:p>
        </w:tc>
      </w:tr>
      <w:tr w:rsidR="00072624" w:rsidRPr="000511F3" w14:paraId="097A05D5" w14:textId="77777777" w:rsidTr="002A69EE">
        <w:trPr>
          <w:trHeight w:val="300"/>
          <w:jc w:val="center"/>
        </w:trPr>
        <w:tc>
          <w:tcPr>
            <w:tcW w:w="1820" w:type="dxa"/>
            <w:gridSpan w:val="2"/>
            <w:tcBorders>
              <w:top w:val="single" w:sz="4" w:space="0" w:color="auto"/>
            </w:tcBorders>
            <w:shd w:val="clear" w:color="auto" w:fill="auto"/>
            <w:noWrap/>
            <w:vAlign w:val="bottom"/>
            <w:hideMark/>
          </w:tcPr>
          <w:p w14:paraId="4002952E" w14:textId="1C8DF08B" w:rsidR="00072624" w:rsidRPr="000511F3" w:rsidRDefault="00512F5E" w:rsidP="002A69EE">
            <w:pPr>
              <w:spacing w:after="0" w:line="240" w:lineRule="auto"/>
              <w:jc w:val="center"/>
              <w:rPr>
                <w:rFonts w:ascii="Goudy Old Style" w:eastAsia="Times New Roman" w:hAnsi="Goudy Old Style" w:cstheme="minorHAnsi"/>
                <w:bCs/>
                <w:color w:val="000000"/>
                <w:sz w:val="20"/>
                <w:szCs w:val="20"/>
              </w:rPr>
            </w:pPr>
            <w:r>
              <w:rPr>
                <w:rFonts w:ascii="Goudy Old Style" w:eastAsia="Times New Roman" w:hAnsi="Goudy Old Style" w:cstheme="minorHAnsi"/>
                <w:bCs/>
                <w:color w:val="000000"/>
                <w:sz w:val="20"/>
                <w:szCs w:val="20"/>
              </w:rPr>
              <w:t>Total</w:t>
            </w:r>
          </w:p>
        </w:tc>
        <w:tc>
          <w:tcPr>
            <w:tcW w:w="960" w:type="dxa"/>
            <w:tcBorders>
              <w:top w:val="single" w:sz="4" w:space="0" w:color="auto"/>
            </w:tcBorders>
            <w:shd w:val="clear" w:color="auto" w:fill="auto"/>
            <w:noWrap/>
            <w:vAlign w:val="bottom"/>
            <w:hideMark/>
          </w:tcPr>
          <w:p w14:paraId="3E21CA7F"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332</w:t>
            </w:r>
          </w:p>
        </w:tc>
        <w:tc>
          <w:tcPr>
            <w:tcW w:w="960" w:type="dxa"/>
            <w:tcBorders>
              <w:top w:val="single" w:sz="4" w:space="0" w:color="auto"/>
            </w:tcBorders>
            <w:shd w:val="clear" w:color="auto" w:fill="auto"/>
            <w:noWrap/>
            <w:vAlign w:val="bottom"/>
            <w:hideMark/>
          </w:tcPr>
          <w:p w14:paraId="31623A3C"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353</w:t>
            </w:r>
          </w:p>
        </w:tc>
        <w:tc>
          <w:tcPr>
            <w:tcW w:w="960" w:type="dxa"/>
            <w:tcBorders>
              <w:top w:val="single" w:sz="4" w:space="0" w:color="auto"/>
            </w:tcBorders>
            <w:shd w:val="clear" w:color="auto" w:fill="auto"/>
            <w:noWrap/>
            <w:vAlign w:val="bottom"/>
            <w:hideMark/>
          </w:tcPr>
          <w:p w14:paraId="2060F04F"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415</w:t>
            </w:r>
          </w:p>
        </w:tc>
        <w:tc>
          <w:tcPr>
            <w:tcW w:w="960" w:type="dxa"/>
            <w:tcBorders>
              <w:top w:val="single" w:sz="4" w:space="0" w:color="auto"/>
            </w:tcBorders>
            <w:shd w:val="clear" w:color="auto" w:fill="auto"/>
            <w:noWrap/>
            <w:vAlign w:val="bottom"/>
            <w:hideMark/>
          </w:tcPr>
          <w:p w14:paraId="41EFB860"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561</w:t>
            </w:r>
          </w:p>
        </w:tc>
        <w:tc>
          <w:tcPr>
            <w:tcW w:w="960" w:type="dxa"/>
            <w:tcBorders>
              <w:top w:val="single" w:sz="4" w:space="0" w:color="auto"/>
            </w:tcBorders>
            <w:shd w:val="clear" w:color="auto" w:fill="auto"/>
            <w:noWrap/>
            <w:vAlign w:val="bottom"/>
            <w:hideMark/>
          </w:tcPr>
          <w:p w14:paraId="24812520" w14:textId="77777777" w:rsidR="00072624" w:rsidRPr="000511F3" w:rsidRDefault="00072624" w:rsidP="002A69EE">
            <w:pPr>
              <w:spacing w:after="0" w:line="240" w:lineRule="auto"/>
              <w:jc w:val="center"/>
              <w:rPr>
                <w:rFonts w:ascii="Goudy Old Style" w:eastAsia="Times New Roman" w:hAnsi="Goudy Old Style" w:cstheme="minorHAnsi"/>
                <w:b/>
                <w:color w:val="000000"/>
                <w:sz w:val="20"/>
                <w:szCs w:val="20"/>
              </w:rPr>
            </w:pPr>
            <w:r w:rsidRPr="000511F3">
              <w:rPr>
                <w:rFonts w:ascii="Goudy Old Style" w:eastAsia="Times New Roman" w:hAnsi="Goudy Old Style" w:cstheme="minorHAnsi"/>
                <w:b/>
                <w:color w:val="000000"/>
                <w:sz w:val="20"/>
                <w:szCs w:val="20"/>
              </w:rPr>
              <w:t>755</w:t>
            </w:r>
          </w:p>
        </w:tc>
      </w:tr>
    </w:tbl>
    <w:p w14:paraId="34189034" w14:textId="32897364" w:rsidR="00072624" w:rsidRPr="003B70AF" w:rsidRDefault="00512F5E" w:rsidP="00072624">
      <w:pPr>
        <w:spacing w:after="120" w:line="240" w:lineRule="auto"/>
        <w:ind w:left="900"/>
        <w:jc w:val="both"/>
        <w:rPr>
          <w:rFonts w:ascii="Goudy Old Style" w:hAnsi="Goudy Old Style" w:cstheme="minorHAnsi"/>
          <w:i/>
          <w:iCs/>
          <w:sz w:val="20"/>
          <w:szCs w:val="20"/>
        </w:rPr>
      </w:pPr>
      <w:r>
        <w:rPr>
          <w:rFonts w:ascii="Goudy Old Style" w:hAnsi="Goudy Old Style" w:cstheme="minorHAnsi"/>
          <w:sz w:val="20"/>
          <w:szCs w:val="20"/>
        </w:rPr>
        <w:t>Source</w:t>
      </w:r>
      <w:r w:rsidR="00772D56">
        <w:rPr>
          <w:rFonts w:ascii="Goudy Old Style" w:hAnsi="Goudy Old Style" w:cstheme="minorHAnsi"/>
          <w:sz w:val="20"/>
          <w:szCs w:val="20"/>
        </w:rPr>
        <w:t xml:space="preserve">: </w:t>
      </w:r>
      <w:r>
        <w:rPr>
          <w:rFonts w:ascii="Goudy Old Style" w:hAnsi="Goudy Old Style" w:cstheme="minorHAnsi"/>
          <w:sz w:val="20"/>
          <w:szCs w:val="20"/>
        </w:rPr>
        <w:t xml:space="preserve">processed </w:t>
      </w:r>
      <w:r w:rsidR="00772D56">
        <w:rPr>
          <w:rFonts w:ascii="Goudy Old Style" w:hAnsi="Goudy Old Style" w:cstheme="minorHAnsi"/>
          <w:sz w:val="20"/>
          <w:szCs w:val="20"/>
        </w:rPr>
        <w:fldChar w:fldCharType="begin" w:fldLock="1"/>
      </w:r>
      <w:r w:rsidR="00F90681">
        <w:rPr>
          <w:rFonts w:ascii="Goudy Old Style" w:hAnsi="Goudy Old Style" w:cstheme="minorHAnsi"/>
          <w:sz w:val="20"/>
          <w:szCs w:val="20"/>
        </w:rPr>
        <w:instrText>ADDIN CSL_CITATION {"citationItems":[{"id":"ITEM-1","itemData":{"author":[{"dropping-particle":"","family":"Indonesia","given":"Republik","non-dropping-particle":"","parse-names":false,"suffix":""}],"id":"ITEM-1","issued":{"date-parts":[["2017"]]},"title":"Laporan Tahuan 2016 Direktorat Jenderal Badan Peradilan Umum","type":"legislation"},"uris":["http://www.mendeley.com/documents/?uuid=e8f9209e-e04f-40f7-9d95-b8ad3c901171"]}],"mendeley":{"formattedCitation":"(Laporan Tahuan 2016 Direktorat Jenderal Badan Peradilan Umum, 2017)","manualFormatting":"data","plainTextFormattedCitation":"(Laporan Tahuan 2016 Direktorat Jenderal Badan Peradilan Umum, 2017)","previouslyFormattedCitation":"(Laporan Tahuan 2016 Direktorat Jenderal Badan Peradilan Umum, 2017)"},"properties":{"noteIndex":0},"schema":"https://github.com/citation-style-language/schema/raw/master/csl-citation.json"}</w:instrText>
      </w:r>
      <w:r w:rsidR="00772D56">
        <w:rPr>
          <w:rFonts w:ascii="Goudy Old Style" w:hAnsi="Goudy Old Style" w:cstheme="minorHAnsi"/>
          <w:sz w:val="20"/>
          <w:szCs w:val="20"/>
        </w:rPr>
        <w:fldChar w:fldCharType="separate"/>
      </w:r>
      <w:r w:rsidR="00F90681">
        <w:rPr>
          <w:rFonts w:ascii="Goudy Old Style" w:hAnsi="Goudy Old Style" w:cstheme="minorHAnsi"/>
          <w:noProof/>
          <w:sz w:val="20"/>
          <w:szCs w:val="20"/>
        </w:rPr>
        <w:t>data</w:t>
      </w:r>
      <w:r w:rsidR="00772D56">
        <w:rPr>
          <w:rFonts w:ascii="Goudy Old Style" w:hAnsi="Goudy Old Style" w:cstheme="minorHAnsi"/>
          <w:sz w:val="20"/>
          <w:szCs w:val="20"/>
        </w:rPr>
        <w:fldChar w:fldCharType="end"/>
      </w:r>
      <w:r w:rsidR="00772D56">
        <w:rPr>
          <w:rFonts w:ascii="Goudy Old Style" w:hAnsi="Goudy Old Style" w:cstheme="minorHAnsi"/>
          <w:sz w:val="20"/>
          <w:szCs w:val="20"/>
        </w:rPr>
        <w:fldChar w:fldCharType="begin" w:fldLock="1"/>
      </w:r>
      <w:r w:rsidR="00F90681">
        <w:rPr>
          <w:rFonts w:ascii="Goudy Old Style" w:hAnsi="Goudy Old Style" w:cstheme="minorHAnsi"/>
          <w:sz w:val="20"/>
          <w:szCs w:val="20"/>
        </w:rPr>
        <w:instrText>ADDIN CSL_CITATION {"citationItems":[{"id":"ITEM-1","itemData":{"author":[{"dropping-particle":"","family":"Indonesia","given":"Republik","non-dropping-particle":"","parse-names":false,"suffix":""}],"id":"ITEM-1","issued":{"date-parts":[["2019"]]},"title":"Laporan Tahuan 2018 Direktorat Jenderal Badan Peradilan Umum","type":"legislation"},"uris":["http://www.mendeley.com/documents/?uuid=58515ed0-6218-4479-8977-de311a116442"]}],"mendeley":{"formattedCitation":"(Laporan Tahuan 2018 Direktorat Jenderal Badan Peradilan Umum, 2019)","manualFormatting":",","plainTextFormattedCitation":"(Laporan Tahuan 2018 Direktorat Jenderal Badan Peradilan Umum, 2019)","previouslyFormattedCitation":"(Laporan Tahuan 2018 Direktorat Jenderal Badan Peradilan Umum, 2019)"},"properties":{"noteIndex":0},"schema":"https://github.com/citation-style-language/schema/raw/master/csl-citation.json"}</w:instrText>
      </w:r>
      <w:r w:rsidR="00772D56">
        <w:rPr>
          <w:rFonts w:ascii="Goudy Old Style" w:hAnsi="Goudy Old Style" w:cstheme="minorHAnsi"/>
          <w:sz w:val="20"/>
          <w:szCs w:val="20"/>
        </w:rPr>
        <w:fldChar w:fldCharType="separate"/>
      </w:r>
      <w:r w:rsidR="00F90681">
        <w:rPr>
          <w:rFonts w:ascii="Goudy Old Style" w:hAnsi="Goudy Old Style" w:cstheme="minorHAnsi"/>
          <w:noProof/>
          <w:sz w:val="20"/>
          <w:szCs w:val="20"/>
        </w:rPr>
        <w:t>,</w:t>
      </w:r>
      <w:r w:rsidR="00772D56">
        <w:rPr>
          <w:rFonts w:ascii="Goudy Old Style" w:hAnsi="Goudy Old Style" w:cstheme="minorHAnsi"/>
          <w:sz w:val="20"/>
          <w:szCs w:val="20"/>
        </w:rPr>
        <w:fldChar w:fldCharType="end"/>
      </w:r>
      <w:r w:rsidR="00772D56">
        <w:rPr>
          <w:rFonts w:ascii="Goudy Old Style" w:hAnsi="Goudy Old Style" w:cstheme="minorHAnsi"/>
          <w:sz w:val="20"/>
          <w:szCs w:val="20"/>
        </w:rPr>
        <w:t xml:space="preserve"> </w:t>
      </w:r>
      <w:r w:rsidR="00772D56">
        <w:rPr>
          <w:rFonts w:ascii="Goudy Old Style" w:hAnsi="Goudy Old Style" w:cstheme="minorHAnsi"/>
          <w:sz w:val="20"/>
          <w:szCs w:val="20"/>
        </w:rPr>
        <w:fldChar w:fldCharType="begin" w:fldLock="1"/>
      </w:r>
      <w:r w:rsidR="00F90681">
        <w:rPr>
          <w:rFonts w:ascii="Goudy Old Style" w:hAnsi="Goudy Old Style" w:cstheme="minorHAnsi"/>
          <w:sz w:val="20"/>
          <w:szCs w:val="20"/>
        </w:rPr>
        <w:instrText>ADDIN CSL_CITATION {"citationItems":[{"id":"ITEM-1","itemData":{"author":[{"dropping-particle":"","family":"Indonesia","given":"Republik","non-dropping-particle":"","parse-names":false,"suffix":""}],"id":"ITEM-1","issued":{"date-parts":[["2021"]]},"title":"Laporan Tahuan 2020 Direktorat Jenderal Badan Peradilan Umum","type":"article"},"uris":["http://www.mendeley.com/documents/?uuid=c42c6205-6b2b-4112-9244-3125bc3b619d"]}],"mendeley":{"formattedCitation":"(Indonesia, 2021)","manualFormatting":"2021","plainTextFormattedCitation":"(Indonesia, 2021)","previouslyFormattedCitation":"(Indonesia, 2021)"},"properties":{"noteIndex":0},"schema":"https://github.com/citation-style-language/schema/raw/master/csl-citation.json"}</w:instrText>
      </w:r>
      <w:r w:rsidR="00772D56">
        <w:rPr>
          <w:rFonts w:ascii="Goudy Old Style" w:hAnsi="Goudy Old Style" w:cstheme="minorHAnsi"/>
          <w:sz w:val="20"/>
          <w:szCs w:val="20"/>
        </w:rPr>
        <w:fldChar w:fldCharType="separate"/>
      </w:r>
      <w:r w:rsidR="00772D56" w:rsidRPr="00772D56">
        <w:rPr>
          <w:rFonts w:ascii="Goudy Old Style" w:hAnsi="Goudy Old Style" w:cstheme="minorHAnsi"/>
          <w:noProof/>
          <w:sz w:val="20"/>
          <w:szCs w:val="20"/>
        </w:rPr>
        <w:t>202</w:t>
      </w:r>
      <w:r w:rsidR="00772D56">
        <w:rPr>
          <w:rFonts w:ascii="Goudy Old Style" w:hAnsi="Goudy Old Style" w:cstheme="minorHAnsi"/>
          <w:sz w:val="20"/>
          <w:szCs w:val="20"/>
        </w:rPr>
        <w:fldChar w:fldCharType="end"/>
      </w:r>
      <w:r w:rsidR="00072624" w:rsidRPr="000511F3">
        <w:rPr>
          <w:rFonts w:ascii="Goudy Old Style" w:hAnsi="Goudy Old Style" w:cstheme="minorHAnsi"/>
          <w:sz w:val="20"/>
          <w:szCs w:val="20"/>
        </w:rPr>
        <w:fldChar w:fldCharType="begin" w:fldLock="1"/>
      </w:r>
      <w:r w:rsidR="00F90681">
        <w:rPr>
          <w:rFonts w:ascii="Goudy Old Style" w:hAnsi="Goudy Old Style" w:cstheme="minorHAnsi"/>
          <w:sz w:val="20"/>
          <w:szCs w:val="20"/>
        </w:rPr>
        <w:instrText>ADDIN CSL_CITATION {"citationItems":[{"id":"ITEM-1","itemData":{"author":[{"dropping-particle":"","family":"Indonesia","given":"Republik","non-dropping-particle":"","parse-names":false,"suffix":""}],"id":"ITEM-1","issued":{"date-parts":[["2021"]]},"title":"Laporan Tahuan 2020 Direktorat Jenderal Badan Peradilan Umum","type":"article"},"uris":["http://www.mendeley.com/documents/?uuid=c42c6205-6b2b-4112-9244-3125bc3b619d"]}],"mendeley":{"formattedCitation":"(Indonesia, 2021)","plainTextFormattedCitation":"(Indonesia, 2021)","previouslyFormattedCitation":"(Indonesia, 2021)"},"properties":{"noteIndex":0},"schema":"https://github.com/citation-style-language/schema/raw/master/csl-citation.json"}</w:instrText>
      </w:r>
      <w:r w:rsidR="00072624" w:rsidRPr="000511F3">
        <w:rPr>
          <w:rFonts w:ascii="Goudy Old Style" w:hAnsi="Goudy Old Style" w:cstheme="minorHAnsi"/>
          <w:sz w:val="20"/>
          <w:szCs w:val="20"/>
        </w:rPr>
        <w:fldChar w:fldCharType="separate"/>
      </w:r>
      <w:r w:rsidR="00F90681" w:rsidRPr="00F90681">
        <w:rPr>
          <w:rFonts w:ascii="Goudy Old Style" w:hAnsi="Goudy Old Style" w:cstheme="minorHAnsi"/>
          <w:noProof/>
          <w:sz w:val="20"/>
          <w:szCs w:val="20"/>
        </w:rPr>
        <w:t>1</w:t>
      </w:r>
      <w:r w:rsidR="00072624" w:rsidRPr="000511F3">
        <w:rPr>
          <w:rFonts w:ascii="Goudy Old Style" w:hAnsi="Goudy Old Style" w:cstheme="minorHAnsi"/>
          <w:sz w:val="20"/>
          <w:szCs w:val="20"/>
        </w:rPr>
        <w:fldChar w:fldCharType="end"/>
      </w:r>
    </w:p>
    <w:p w14:paraId="46BFBC7E" w14:textId="38382433" w:rsidR="00072624" w:rsidRPr="00072624" w:rsidRDefault="00BE054D" w:rsidP="0088153D">
      <w:pPr>
        <w:spacing w:after="0" w:line="240" w:lineRule="auto"/>
        <w:ind w:firstLine="450"/>
        <w:jc w:val="both"/>
        <w:rPr>
          <w:rFonts w:ascii="Candara" w:hAnsi="Candara" w:cs="Arial"/>
        </w:rPr>
      </w:pPr>
      <w:r w:rsidRPr="00C6243A">
        <w:rPr>
          <w:rFonts w:ascii="Candara" w:eastAsia="Times New Roman" w:hAnsi="Candara" w:cs="Calibri"/>
          <w:color w:val="000000"/>
          <w:lang w:eastAsia="en-ID"/>
        </w:rPr>
        <w:t xml:space="preserve">When the judge declares bankruptcy, the debtor will </w:t>
      </w:r>
      <w:r>
        <w:rPr>
          <w:rFonts w:ascii="Candara" w:eastAsia="Times New Roman" w:hAnsi="Candara" w:cs="Calibri"/>
          <w:color w:val="000000"/>
          <w:lang w:eastAsia="en-ID"/>
        </w:rPr>
        <w:t xml:space="preserve">no longer </w:t>
      </w:r>
      <w:r w:rsidRPr="00C6243A">
        <w:rPr>
          <w:rFonts w:ascii="Candara" w:eastAsia="Times New Roman" w:hAnsi="Candara" w:cs="Calibri"/>
          <w:color w:val="000000"/>
          <w:lang w:eastAsia="en-ID"/>
        </w:rPr>
        <w:t>manag</w:t>
      </w:r>
      <w:r>
        <w:rPr>
          <w:rFonts w:ascii="Candara" w:eastAsia="Times New Roman" w:hAnsi="Candara" w:cs="Calibri"/>
          <w:color w:val="000000"/>
          <w:lang w:eastAsia="en-ID"/>
        </w:rPr>
        <w:t xml:space="preserve">e </w:t>
      </w:r>
      <w:r w:rsidRPr="00C6243A">
        <w:rPr>
          <w:rFonts w:ascii="Candara" w:eastAsia="Times New Roman" w:hAnsi="Candara" w:cs="Calibri"/>
          <w:color w:val="000000"/>
          <w:lang w:eastAsia="en-ID"/>
        </w:rPr>
        <w:t xml:space="preserve">his assets </w:t>
      </w:r>
      <w:r>
        <w:rPr>
          <w:rFonts w:ascii="Candara" w:eastAsia="Times New Roman" w:hAnsi="Candara" w:cs="Calibri"/>
          <w:color w:val="000000"/>
          <w:lang w:eastAsia="en-ID"/>
        </w:rPr>
        <w:t xml:space="preserve">because </w:t>
      </w:r>
      <w:r w:rsidRPr="00C6243A">
        <w:rPr>
          <w:rFonts w:ascii="Candara" w:eastAsia="Times New Roman" w:hAnsi="Candara" w:cs="Calibri"/>
          <w:color w:val="000000"/>
          <w:lang w:eastAsia="en-ID"/>
        </w:rPr>
        <w:t xml:space="preserve">the management </w:t>
      </w:r>
      <w:r>
        <w:rPr>
          <w:rFonts w:ascii="Candara" w:eastAsia="Times New Roman" w:hAnsi="Candara" w:cs="Calibri"/>
          <w:color w:val="000000"/>
          <w:lang w:eastAsia="en-ID"/>
        </w:rPr>
        <w:t xml:space="preserve">of the assets </w:t>
      </w:r>
      <w:r w:rsidRPr="00C6243A">
        <w:rPr>
          <w:rFonts w:ascii="Candara" w:eastAsia="Times New Roman" w:hAnsi="Candara" w:cs="Calibri"/>
          <w:color w:val="000000"/>
          <w:lang w:eastAsia="en-ID"/>
        </w:rPr>
        <w:t xml:space="preserve">will be handed over to the </w:t>
      </w:r>
      <w:r>
        <w:rPr>
          <w:rFonts w:ascii="Candara" w:eastAsia="Times New Roman" w:hAnsi="Candara" w:cs="Calibri"/>
          <w:color w:val="000000"/>
          <w:lang w:eastAsia="en-ID"/>
        </w:rPr>
        <w:t xml:space="preserve">Insolvency and Public Trustee’s Office </w:t>
      </w:r>
      <w:r w:rsidRPr="00C6243A">
        <w:rPr>
          <w:rFonts w:ascii="Candara" w:eastAsia="Times New Roman" w:hAnsi="Candara" w:cs="Calibri"/>
          <w:color w:val="000000"/>
          <w:lang w:eastAsia="en-ID"/>
        </w:rPr>
        <w:t xml:space="preserve">(BHP) or </w:t>
      </w:r>
      <w:r>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 xml:space="preserve">curator </w:t>
      </w:r>
      <w:r w:rsidR="00F90681">
        <w:rPr>
          <w:rFonts w:ascii="Candara" w:hAnsi="Candara" w:cs="Arial"/>
        </w:rPr>
        <w:fldChar w:fldCharType="begin" w:fldLock="1"/>
      </w:r>
      <w:r w:rsidR="00552564">
        <w:rPr>
          <w:rFonts w:ascii="Candara" w:hAnsi="Candara" w:cs="Arial"/>
        </w:rPr>
        <w:instrText>ADDIN CSL_CITATION {"citationItems":[{"id":"ITEM-1","itemData":{"author":[{"dropping-particle":"","family":"Nugroho","given":"Susanti Adi","non-dropping-particle":"","parse-names":false,"suffix":""}],"id":"ITEM-1","issued":{"date-parts":[["2018"]]},"publisher":"PRENADAMEDIA GROUP (Divisi Kencana)","publisher-place":"Jakarta","title":"Hukum Kepailitan Di Indonesia Dalam Teori dan Praktik Serta Penerapan Hukumnya","type":"article-journal"},"uris":["http://www.mendeley.com/documents/?uuid=5cad4c29-01f9-42dc-84f0-c2c289ee6a6f"]}],"mendeley":{"formattedCitation":"(Nugroho, 2018)","plainTextFormattedCitation":"(Nugroho, 2018)","previouslyFormattedCitation":"(Nugroho, 2018)"},"properties":{"noteIndex":0},"schema":"https://github.com/citation-style-language/schema/raw/master/csl-citation.json"}</w:instrText>
      </w:r>
      <w:r w:rsidR="00F90681">
        <w:rPr>
          <w:rFonts w:ascii="Candara" w:hAnsi="Candara" w:cs="Arial"/>
        </w:rPr>
        <w:fldChar w:fldCharType="separate"/>
      </w:r>
      <w:r w:rsidR="00F90681" w:rsidRPr="00F90681">
        <w:rPr>
          <w:rFonts w:ascii="Candara" w:hAnsi="Candara" w:cs="Arial"/>
          <w:noProof/>
        </w:rPr>
        <w:t>(Nugroho, 2018)</w:t>
      </w:r>
      <w:r w:rsidR="00F90681">
        <w:rPr>
          <w:rFonts w:ascii="Candara" w:hAnsi="Candara" w:cs="Arial"/>
        </w:rPr>
        <w:fldChar w:fldCharType="end"/>
      </w:r>
      <w:r w:rsidR="00F90681">
        <w:rPr>
          <w:rFonts w:ascii="Candara" w:hAnsi="Candara" w:cs="Arial"/>
        </w:rPr>
        <w:t>.</w:t>
      </w:r>
      <w:r w:rsidR="00AE5F31">
        <w:rPr>
          <w:rFonts w:ascii="Candara" w:hAnsi="Candara" w:cs="Arial"/>
        </w:rPr>
        <w:t xml:space="preserve"> </w:t>
      </w:r>
      <w:r w:rsidR="00EA4A51">
        <w:rPr>
          <w:rFonts w:ascii="Candara" w:eastAsia="Times New Roman" w:hAnsi="Candara" w:cs="Calibri"/>
          <w:color w:val="000000"/>
          <w:lang w:eastAsia="en-ID"/>
        </w:rPr>
        <w:t xml:space="preserve">A </w:t>
      </w:r>
      <w:r w:rsidR="00EA4A51" w:rsidRPr="00C6243A">
        <w:rPr>
          <w:rFonts w:ascii="Candara" w:eastAsia="Times New Roman" w:hAnsi="Candara" w:cs="Calibri"/>
          <w:color w:val="000000"/>
          <w:lang w:eastAsia="en-ID"/>
        </w:rPr>
        <w:t xml:space="preserve">curator is the party who is considered </w:t>
      </w:r>
      <w:r w:rsidR="00AE5F31">
        <w:rPr>
          <w:rFonts w:ascii="Candara" w:eastAsia="Times New Roman" w:hAnsi="Candara" w:cs="Calibri"/>
          <w:color w:val="000000"/>
          <w:lang w:eastAsia="en-ID"/>
        </w:rPr>
        <w:t xml:space="preserve">capable of </w:t>
      </w:r>
      <w:r w:rsidR="00EA4A51" w:rsidRPr="00C6243A">
        <w:rPr>
          <w:rFonts w:ascii="Candara" w:eastAsia="Times New Roman" w:hAnsi="Candara" w:cs="Calibri"/>
          <w:color w:val="000000"/>
          <w:lang w:eastAsia="en-ID"/>
        </w:rPr>
        <w:t>identify</w:t>
      </w:r>
      <w:r w:rsidR="00AE5F31">
        <w:rPr>
          <w:rFonts w:ascii="Candara" w:eastAsia="Times New Roman" w:hAnsi="Candara" w:cs="Calibri"/>
          <w:color w:val="000000"/>
          <w:lang w:eastAsia="en-ID"/>
        </w:rPr>
        <w:t>ing</w:t>
      </w:r>
      <w:r w:rsidR="00EA4A51" w:rsidRPr="00C6243A">
        <w:rPr>
          <w:rFonts w:ascii="Candara" w:eastAsia="Times New Roman" w:hAnsi="Candara" w:cs="Calibri"/>
          <w:color w:val="000000"/>
          <w:lang w:eastAsia="en-ID"/>
        </w:rPr>
        <w:t xml:space="preserve"> accounts payable</w:t>
      </w:r>
      <w:r w:rsidR="00EA4A51">
        <w:rPr>
          <w:rFonts w:ascii="Candara" w:eastAsia="Times New Roman" w:hAnsi="Candara" w:cs="Calibri"/>
          <w:color w:val="000000"/>
          <w:lang w:eastAsia="en-ID"/>
        </w:rPr>
        <w:t xml:space="preserve"> and valu</w:t>
      </w:r>
      <w:r w:rsidR="00AE5F31">
        <w:rPr>
          <w:rFonts w:ascii="Candara" w:eastAsia="Times New Roman" w:hAnsi="Candara" w:cs="Calibri"/>
          <w:color w:val="000000"/>
          <w:lang w:eastAsia="en-ID"/>
        </w:rPr>
        <w:t>ing</w:t>
      </w:r>
      <w:r w:rsidR="00EA4A51">
        <w:rPr>
          <w:rFonts w:ascii="Candara" w:eastAsia="Times New Roman" w:hAnsi="Candara" w:cs="Calibri"/>
          <w:color w:val="000000"/>
          <w:lang w:eastAsia="en-ID"/>
        </w:rPr>
        <w:t xml:space="preserve"> </w:t>
      </w:r>
      <w:r w:rsidR="00EA4A51" w:rsidRPr="00C6243A">
        <w:rPr>
          <w:rFonts w:ascii="Candara" w:eastAsia="Times New Roman" w:hAnsi="Candara" w:cs="Calibri"/>
          <w:color w:val="000000"/>
          <w:lang w:eastAsia="en-ID"/>
        </w:rPr>
        <w:t xml:space="preserve">the company's assets which will </w:t>
      </w:r>
      <w:r w:rsidR="00EA4A51">
        <w:rPr>
          <w:rFonts w:ascii="Candara" w:eastAsia="Times New Roman" w:hAnsi="Candara" w:cs="Calibri"/>
          <w:color w:val="000000"/>
          <w:lang w:eastAsia="en-ID"/>
        </w:rPr>
        <w:t xml:space="preserve">later </w:t>
      </w:r>
      <w:r w:rsidR="00EA4A51" w:rsidRPr="00C6243A">
        <w:rPr>
          <w:rFonts w:ascii="Candara" w:eastAsia="Times New Roman" w:hAnsi="Candara" w:cs="Calibri"/>
          <w:color w:val="000000"/>
          <w:lang w:eastAsia="en-ID"/>
        </w:rPr>
        <w:t xml:space="preserve">be distributed to the </w:t>
      </w:r>
      <w:r w:rsidR="00EA4A51">
        <w:rPr>
          <w:rFonts w:ascii="Candara" w:eastAsia="Times New Roman" w:hAnsi="Candara" w:cs="Calibri"/>
          <w:color w:val="000000"/>
          <w:lang w:eastAsia="en-ID"/>
        </w:rPr>
        <w:t>share</w:t>
      </w:r>
      <w:r w:rsidR="00EA4A51" w:rsidRPr="00C6243A">
        <w:rPr>
          <w:rFonts w:ascii="Candara" w:eastAsia="Times New Roman" w:hAnsi="Candara" w:cs="Calibri"/>
          <w:color w:val="000000"/>
          <w:lang w:eastAsia="en-ID"/>
        </w:rPr>
        <w:t xml:space="preserve">holders </w:t>
      </w:r>
      <w:r w:rsidR="00EA4A51">
        <w:rPr>
          <w:rFonts w:ascii="Candara" w:eastAsia="Times New Roman" w:hAnsi="Candara" w:cs="Calibri"/>
          <w:color w:val="000000"/>
          <w:lang w:eastAsia="en-ID"/>
        </w:rPr>
        <w:t xml:space="preserve">according to a sequence </w:t>
      </w:r>
      <w:r w:rsidR="00EA4A51" w:rsidRPr="00C6243A">
        <w:rPr>
          <w:rFonts w:ascii="Candara" w:eastAsia="Times New Roman" w:hAnsi="Candara" w:cs="Calibri"/>
          <w:color w:val="000000"/>
          <w:lang w:eastAsia="en-ID"/>
        </w:rPr>
        <w:t>determined by the commercial court</w:t>
      </w:r>
      <w:r w:rsidR="00EA4A51">
        <w:rPr>
          <w:rFonts w:ascii="Candara" w:eastAsia="Times New Roman" w:hAnsi="Candara" w:cs="Calibri"/>
          <w:color w:val="000000"/>
          <w:lang w:eastAsia="en-ID"/>
        </w:rPr>
        <w:t xml:space="preserve">; a curator is even </w:t>
      </w:r>
      <w:r w:rsidR="00EA4A51" w:rsidRPr="00C6243A">
        <w:rPr>
          <w:rFonts w:ascii="Candara" w:eastAsia="Times New Roman" w:hAnsi="Candara" w:cs="Calibri"/>
          <w:color w:val="000000"/>
          <w:lang w:eastAsia="en-ID"/>
        </w:rPr>
        <w:t>considered capable of controlling the company when bankrupt</w:t>
      </w:r>
      <w:r w:rsidR="00EA4A51">
        <w:rPr>
          <w:rFonts w:ascii="Candara" w:eastAsia="Times New Roman" w:hAnsi="Candara" w:cs="Calibri"/>
          <w:color w:val="000000"/>
          <w:lang w:eastAsia="en-ID"/>
        </w:rPr>
        <w:t>cy has been declared</w:t>
      </w:r>
      <w:r w:rsidR="00EA4A51" w:rsidRPr="00C6243A">
        <w:rPr>
          <w:rFonts w:ascii="Candara" w:eastAsia="Times New Roman" w:hAnsi="Candara" w:cs="Calibri"/>
          <w:color w:val="000000"/>
          <w:lang w:eastAsia="en-ID"/>
        </w:rPr>
        <w:t xml:space="preserve"> until the </w:t>
      </w:r>
      <w:r w:rsidR="00AE5F31" w:rsidRPr="00C6243A">
        <w:rPr>
          <w:rFonts w:ascii="Candara" w:eastAsia="Times New Roman" w:hAnsi="Candara" w:cs="Calibri"/>
          <w:color w:val="000000"/>
          <w:lang w:eastAsia="en-ID"/>
        </w:rPr>
        <w:t>distribut</w:t>
      </w:r>
      <w:r w:rsidR="00AE5F31">
        <w:rPr>
          <w:rFonts w:ascii="Candara" w:eastAsia="Times New Roman" w:hAnsi="Candara" w:cs="Calibri"/>
          <w:color w:val="000000"/>
          <w:lang w:eastAsia="en-ID"/>
        </w:rPr>
        <w:t xml:space="preserve">ion of the </w:t>
      </w:r>
      <w:r w:rsidR="00EA4A51" w:rsidRPr="00C6243A">
        <w:rPr>
          <w:rFonts w:ascii="Candara" w:eastAsia="Times New Roman" w:hAnsi="Candara" w:cs="Calibri"/>
          <w:color w:val="000000"/>
          <w:lang w:eastAsia="en-ID"/>
        </w:rPr>
        <w:t xml:space="preserve">company's assets </w:t>
      </w:r>
      <w:r w:rsidR="00AE5F31">
        <w:rPr>
          <w:rFonts w:ascii="Candara" w:eastAsia="Times New Roman" w:hAnsi="Candara" w:cs="Calibri"/>
          <w:color w:val="000000"/>
          <w:lang w:eastAsia="en-ID"/>
        </w:rPr>
        <w:t xml:space="preserve">is finished </w:t>
      </w:r>
      <w:r w:rsidR="00552564">
        <w:rPr>
          <w:rFonts w:ascii="Candara" w:hAnsi="Candara" w:cs="Arial"/>
        </w:rPr>
        <w:fldChar w:fldCharType="begin" w:fldLock="1"/>
      </w:r>
      <w:r w:rsidR="00552564">
        <w:rPr>
          <w:rFonts w:ascii="Candara" w:hAnsi="Candara" w:cs="Arial"/>
        </w:rPr>
        <w:instrText>ADDIN CSL_CITATION {"citationItems":[{"id":"ITEM-1","itemData":{"ISBN":"1959010719831","author":[{"dropping-particle":"","family":"Suci","given":"Ivida Dewi Amrih","non-dropping-particle":"","parse-names":false,"suffix":""}],"id":"ITEM-1","issued":{"date-parts":[["2018"]]},"number-of-pages":"5","publisher":"Universitas Jember","title":"Karakteristik Hukum Acara Renvoi Prosedur Dalam Perkara Kepailitan","type":"thesis"},"uris":["http://www.mendeley.com/documents/?uuid=a39d6789-7ce2-4432-8e5f-df3407d789e0"]}],"mendeley":{"formattedCitation":"(Suci, 2018)","plainTextFormattedCitation":"(Suci, 2018)","previouslyFormattedCitation":"(Suci, 2018)"},"properties":{"noteIndex":0},"schema":"https://github.com/citation-style-language/schema/raw/master/csl-citation.json"}</w:instrText>
      </w:r>
      <w:r w:rsidR="00552564">
        <w:rPr>
          <w:rFonts w:ascii="Candara" w:hAnsi="Candara" w:cs="Arial"/>
        </w:rPr>
        <w:fldChar w:fldCharType="separate"/>
      </w:r>
      <w:r w:rsidR="00552564" w:rsidRPr="00552564">
        <w:rPr>
          <w:rFonts w:ascii="Candara" w:hAnsi="Candara" w:cs="Arial"/>
          <w:noProof/>
        </w:rPr>
        <w:t>(Suci, 2018)</w:t>
      </w:r>
      <w:r w:rsidR="00552564">
        <w:rPr>
          <w:rFonts w:ascii="Candara" w:hAnsi="Candara" w:cs="Arial"/>
        </w:rPr>
        <w:fldChar w:fldCharType="end"/>
      </w:r>
      <w:r w:rsidR="00552564">
        <w:rPr>
          <w:rFonts w:ascii="Candara" w:hAnsi="Candara" w:cs="Arial"/>
        </w:rPr>
        <w:t>.</w:t>
      </w:r>
    </w:p>
    <w:p w14:paraId="44AEFBA0" w14:textId="5CD18A6C" w:rsidR="00072624" w:rsidRPr="00072624" w:rsidRDefault="001876FF" w:rsidP="0088153D">
      <w:pPr>
        <w:spacing w:after="0" w:line="240" w:lineRule="auto"/>
        <w:ind w:firstLine="450"/>
        <w:jc w:val="both"/>
        <w:rPr>
          <w:rFonts w:ascii="Candara" w:hAnsi="Candara" w:cs="Arial"/>
        </w:rPr>
      </w:pPr>
      <w:r w:rsidRPr="00C6243A">
        <w:rPr>
          <w:rFonts w:ascii="Candara" w:eastAsia="Times New Roman" w:hAnsi="Candara" w:cs="Calibri"/>
          <w:color w:val="000000"/>
          <w:lang w:eastAsia="en-ID"/>
        </w:rPr>
        <w:t xml:space="preserve">In resolving bankruptcy cases, </w:t>
      </w:r>
      <w:r>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curator need</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forensic accounting expertise</w:t>
      </w:r>
      <w:r>
        <w:rPr>
          <w:rFonts w:ascii="Candara" w:hAnsi="Candara" w:cs="Arial"/>
        </w:rPr>
        <w:t xml:space="preserve"> </w:t>
      </w:r>
      <w:r w:rsidR="00552564">
        <w:rPr>
          <w:rFonts w:ascii="Candara" w:hAnsi="Candara" w:cs="Arial"/>
        </w:rPr>
        <w:fldChar w:fldCharType="begin" w:fldLock="1"/>
      </w:r>
      <w:r w:rsidR="00552564">
        <w:rPr>
          <w:rFonts w:ascii="Candara" w:hAnsi="Candara" w:cs="Arial"/>
        </w:rPr>
        <w:instrText>ADDIN CSL_CITATION {"citationItems":[{"id":"ITEM-1","itemData":{"abstract":"The purpose of this study is to interpret the construction of accounting losses in disclosing fraud and the bankruptcy practices of client financial statements. The research method used is a qualitative method - the interpretive paradigm with a phenomenal approach with method triangulation is done by comparing information or data in different ways. To obtain the truth of reliable information and a complete picture of certain information, researchers can use interview and observation or observation methods to check the truth. In addition, researchers can also use different informants to check the correctness of the information. Triangulation of this stage is done if the data or information obtained from the subject or research informants is doubtful. The results of this study were filing bankruptcy at the Commercial Court involving a supervisory judge and curator. In determining the validity of accounts payable by a supervisory judge used the science of forensic accounting and loss accounting, with the curator in charge of distributing bankruptcy (assets) to creditors in the order of division of property for separatist creditors, Preferred creditors and congruent creditors (creditors who have no collateral). In general, fraud actions carried out by debtors are by hiding assets and sales while fraud is carried out with the motive to obtain bankruptcy (assets).","author":[{"dropping-particle":"","family":"Akbar","given":"Nahruddien","non-dropping-particle":"","parse-names":false,"suffix":""}],"id":"ITEM-1","issue":"1","issued":{"date-parts":[["2019"]]},"page":"9-19","title":"KONSTRUKSI AKUNTANSI KERUGIAN, PRAKTIK KEPAILITAN MENGUNGKAP FRAUD LAPORAN KEUANGAN KLIEN","type":"article-journal","volume":"3"},"uris":["http://www.mendeley.com/documents/?uuid=b55d347f-adbd-47de-bd36-69eeaba82e5b"]}],"mendeley":{"formattedCitation":"(Akbar, 2019)","plainTextFormattedCitation":"(Akbar, 2019)","previouslyFormattedCitation":"(Akbar, 2019)"},"properties":{"noteIndex":0},"schema":"https://github.com/citation-style-language/schema/raw/master/csl-citation.json"}</w:instrText>
      </w:r>
      <w:r w:rsidR="00552564">
        <w:rPr>
          <w:rFonts w:ascii="Candara" w:hAnsi="Candara" w:cs="Arial"/>
        </w:rPr>
        <w:fldChar w:fldCharType="separate"/>
      </w:r>
      <w:r w:rsidR="00552564" w:rsidRPr="00552564">
        <w:rPr>
          <w:rFonts w:ascii="Candara" w:hAnsi="Candara" w:cs="Arial"/>
          <w:noProof/>
        </w:rPr>
        <w:t>(Akbar, 2019)</w:t>
      </w:r>
      <w:r w:rsidR="00552564">
        <w:rPr>
          <w:rFonts w:ascii="Candara" w:hAnsi="Candara" w:cs="Arial"/>
        </w:rPr>
        <w:fldChar w:fldCharType="end"/>
      </w:r>
      <w:r w:rsidR="00552564">
        <w:rPr>
          <w:rFonts w:ascii="Candara" w:hAnsi="Candara" w:cs="Arial"/>
        </w:rPr>
        <w:t xml:space="preserve"> </w:t>
      </w:r>
      <w:r w:rsidR="00A41EC7" w:rsidRPr="00C6243A">
        <w:rPr>
          <w:rFonts w:ascii="Candara" w:eastAsia="Times New Roman" w:hAnsi="Candara" w:cs="Calibri"/>
          <w:color w:val="000000"/>
          <w:lang w:eastAsia="en-ID"/>
        </w:rPr>
        <w:t xml:space="preserve">because </w:t>
      </w:r>
      <w:r w:rsidR="00A41EC7" w:rsidRPr="005F3087">
        <w:rPr>
          <w:rFonts w:ascii="Candara" w:eastAsia="Times New Roman" w:hAnsi="Candara" w:cs="Calibri"/>
          <w:color w:val="000000"/>
          <w:lang w:eastAsia="en-ID"/>
        </w:rPr>
        <w:t>fraud</w:t>
      </w:r>
      <w:r w:rsidR="00A41EC7" w:rsidRPr="00C6243A">
        <w:rPr>
          <w:rFonts w:ascii="Candara" w:eastAsia="Times New Roman" w:hAnsi="Candara" w:cs="Calibri"/>
          <w:i/>
          <w:iCs/>
          <w:color w:val="000000"/>
          <w:lang w:eastAsia="en-ID"/>
        </w:rPr>
        <w:t xml:space="preserve"> </w:t>
      </w:r>
      <w:r w:rsidR="00A41EC7" w:rsidRPr="005F3087">
        <w:rPr>
          <w:rFonts w:ascii="Candara" w:eastAsia="Times New Roman" w:hAnsi="Candara" w:cs="Calibri"/>
          <w:color w:val="000000"/>
          <w:lang w:eastAsia="en-ID"/>
        </w:rPr>
        <w:t>is</w:t>
      </w:r>
      <w:r w:rsidR="00A41EC7" w:rsidRPr="00C6243A">
        <w:rPr>
          <w:rFonts w:ascii="Candara" w:eastAsia="Times New Roman" w:hAnsi="Candara" w:cs="Calibri"/>
          <w:i/>
          <w:iCs/>
          <w:color w:val="000000"/>
          <w:lang w:eastAsia="en-ID"/>
        </w:rPr>
        <w:t> </w:t>
      </w:r>
      <w:r w:rsidR="00A41EC7">
        <w:rPr>
          <w:rFonts w:ascii="Candara" w:eastAsia="Times New Roman" w:hAnsi="Candara" w:cs="Calibri"/>
          <w:color w:val="000000"/>
          <w:lang w:eastAsia="en-ID"/>
        </w:rPr>
        <w:t xml:space="preserve">potentially </w:t>
      </w:r>
      <w:r w:rsidR="00A41EC7" w:rsidRPr="00C6243A">
        <w:rPr>
          <w:rFonts w:ascii="Candara" w:eastAsia="Times New Roman" w:hAnsi="Candara" w:cs="Calibri"/>
          <w:color w:val="000000"/>
          <w:lang w:eastAsia="en-ID"/>
        </w:rPr>
        <w:t xml:space="preserve">present in almost every </w:t>
      </w:r>
      <w:r w:rsidR="00A41EC7">
        <w:rPr>
          <w:rFonts w:ascii="Candara" w:eastAsia="Times New Roman" w:hAnsi="Candara" w:cs="Calibri"/>
          <w:color w:val="000000"/>
          <w:lang w:eastAsia="en-ID"/>
        </w:rPr>
        <w:t xml:space="preserve">main activity </w:t>
      </w:r>
      <w:r w:rsidR="00A41EC7" w:rsidRPr="00C6243A">
        <w:rPr>
          <w:rFonts w:ascii="Candara" w:eastAsia="Times New Roman" w:hAnsi="Candara" w:cs="Calibri"/>
          <w:color w:val="000000"/>
          <w:lang w:eastAsia="en-ID"/>
        </w:rPr>
        <w:t>of the curator.</w:t>
      </w:r>
      <w:r w:rsidR="00A41EC7">
        <w:rPr>
          <w:rFonts w:ascii="Candara" w:eastAsia="Times New Roman" w:hAnsi="Candara" w:cs="Calibri"/>
          <w:color w:val="000000"/>
          <w:lang w:eastAsia="en-ID"/>
        </w:rPr>
        <w:t xml:space="preserve"> F</w:t>
      </w:r>
      <w:r w:rsidR="00A41EC7" w:rsidRPr="005F3087">
        <w:rPr>
          <w:rFonts w:ascii="Candara" w:eastAsia="Times New Roman" w:hAnsi="Candara" w:cs="Calibri"/>
          <w:color w:val="000000"/>
          <w:lang w:eastAsia="en-ID"/>
        </w:rPr>
        <w:t>raud</w:t>
      </w:r>
      <w:r w:rsidR="00A41EC7">
        <w:rPr>
          <w:rFonts w:ascii="Candara" w:eastAsia="Times New Roman" w:hAnsi="Candara" w:cs="Calibri"/>
          <w:i/>
          <w:iCs/>
          <w:color w:val="000000"/>
          <w:lang w:eastAsia="en-ID"/>
        </w:rPr>
        <w:t xml:space="preserve"> </w:t>
      </w:r>
      <w:r w:rsidR="00A41EC7">
        <w:rPr>
          <w:rFonts w:ascii="Candara" w:eastAsia="Times New Roman" w:hAnsi="Candara" w:cs="Calibri"/>
          <w:color w:val="000000"/>
          <w:lang w:eastAsia="en-ID"/>
        </w:rPr>
        <w:t xml:space="preserve">potentially has started </w:t>
      </w:r>
      <w:r w:rsidR="00A41EC7" w:rsidRPr="00C6243A">
        <w:rPr>
          <w:rFonts w:ascii="Candara" w:eastAsia="Times New Roman" w:hAnsi="Candara" w:cs="Calibri"/>
          <w:color w:val="000000"/>
          <w:lang w:eastAsia="en-ID"/>
        </w:rPr>
        <w:t xml:space="preserve">when the curator receives a bill from the creditor, </w:t>
      </w:r>
      <w:r w:rsidR="00A41EC7">
        <w:rPr>
          <w:rFonts w:ascii="Candara" w:eastAsia="Times New Roman" w:hAnsi="Candara" w:cs="Calibri"/>
          <w:color w:val="000000"/>
          <w:lang w:eastAsia="en-ID"/>
        </w:rPr>
        <w:t xml:space="preserve">conducts </w:t>
      </w:r>
      <w:r w:rsidR="00A41EC7" w:rsidRPr="00C6243A">
        <w:rPr>
          <w:rFonts w:ascii="Candara" w:eastAsia="Times New Roman" w:hAnsi="Candara" w:cs="Calibri"/>
          <w:color w:val="000000"/>
          <w:lang w:eastAsia="en-ID"/>
        </w:rPr>
        <w:t>verification, searches the debtor's assets</w:t>
      </w:r>
      <w:r w:rsidR="00A41EC7">
        <w:rPr>
          <w:rFonts w:ascii="Candara" w:eastAsia="Times New Roman" w:hAnsi="Candara" w:cs="Calibri"/>
          <w:color w:val="000000"/>
          <w:lang w:eastAsia="en-ID"/>
        </w:rPr>
        <w:t>,</w:t>
      </w:r>
      <w:r w:rsidR="00A41EC7" w:rsidRPr="00C6243A">
        <w:rPr>
          <w:rFonts w:ascii="Candara" w:eastAsia="Times New Roman" w:hAnsi="Candara" w:cs="Calibri"/>
          <w:color w:val="000000"/>
          <w:lang w:eastAsia="en-ID"/>
        </w:rPr>
        <w:t xml:space="preserve"> </w:t>
      </w:r>
      <w:r w:rsidR="00A41EC7">
        <w:rPr>
          <w:rFonts w:ascii="Candara" w:eastAsia="Times New Roman" w:hAnsi="Candara" w:cs="Calibri"/>
          <w:color w:val="000000"/>
          <w:lang w:eastAsia="en-ID"/>
        </w:rPr>
        <w:t xml:space="preserve">until </w:t>
      </w:r>
      <w:r w:rsidR="00A41EC7" w:rsidRPr="00C6243A">
        <w:rPr>
          <w:rFonts w:ascii="Candara" w:eastAsia="Times New Roman" w:hAnsi="Candara" w:cs="Calibri"/>
          <w:color w:val="000000"/>
          <w:lang w:eastAsia="en-ID"/>
        </w:rPr>
        <w:t>distribute</w:t>
      </w:r>
      <w:r w:rsidR="00A41EC7">
        <w:rPr>
          <w:rFonts w:ascii="Candara" w:eastAsia="Times New Roman" w:hAnsi="Candara" w:cs="Calibri"/>
          <w:color w:val="000000"/>
          <w:lang w:eastAsia="en-ID"/>
        </w:rPr>
        <w:t>s</w:t>
      </w:r>
      <w:r w:rsidR="00A41EC7" w:rsidRPr="00C6243A">
        <w:rPr>
          <w:rFonts w:ascii="Candara" w:eastAsia="Times New Roman" w:hAnsi="Candara" w:cs="Calibri"/>
          <w:color w:val="000000"/>
          <w:lang w:eastAsia="en-ID"/>
        </w:rPr>
        <w:t xml:space="preserve"> the proceeds from the sale of </w:t>
      </w:r>
      <w:r w:rsidR="00A41EC7">
        <w:rPr>
          <w:rFonts w:ascii="Candara" w:eastAsia="Times New Roman" w:hAnsi="Candara" w:cs="Calibri"/>
          <w:color w:val="000000"/>
          <w:lang w:eastAsia="en-ID"/>
        </w:rPr>
        <w:t xml:space="preserve">the </w:t>
      </w:r>
      <w:r w:rsidR="00A41EC7" w:rsidRPr="00C6243A">
        <w:rPr>
          <w:rFonts w:ascii="Candara" w:eastAsia="Times New Roman" w:hAnsi="Candara" w:cs="Calibri"/>
          <w:color w:val="000000"/>
          <w:lang w:eastAsia="en-ID"/>
        </w:rPr>
        <w:t>asset</w:t>
      </w:r>
      <w:r w:rsidR="00A41EC7">
        <w:rPr>
          <w:rFonts w:ascii="Candara" w:eastAsia="Times New Roman" w:hAnsi="Candara" w:cs="Calibri"/>
          <w:color w:val="000000"/>
          <w:lang w:eastAsia="en-ID"/>
        </w:rPr>
        <w:t>s. In fact</w:t>
      </w:r>
      <w:r w:rsidR="00A41EC7" w:rsidRPr="00C6243A">
        <w:rPr>
          <w:rFonts w:ascii="Candara" w:eastAsia="Times New Roman" w:hAnsi="Candara" w:cs="Calibri"/>
          <w:color w:val="000000"/>
          <w:lang w:eastAsia="en-ID"/>
        </w:rPr>
        <w:t>,</w:t>
      </w:r>
      <w:r w:rsidR="00A41EC7">
        <w:rPr>
          <w:rFonts w:ascii="Candara" w:eastAsia="Times New Roman" w:hAnsi="Candara" w:cs="Calibri"/>
          <w:color w:val="000000"/>
          <w:lang w:eastAsia="en-ID"/>
        </w:rPr>
        <w:t xml:space="preserve"> </w:t>
      </w:r>
      <w:r w:rsidR="00A41EC7" w:rsidRPr="00C6243A">
        <w:rPr>
          <w:rFonts w:ascii="Candara" w:eastAsia="Times New Roman" w:hAnsi="Candara" w:cs="Calibri"/>
          <w:color w:val="000000"/>
          <w:lang w:eastAsia="en-ID"/>
        </w:rPr>
        <w:t xml:space="preserve">one of the benchmarks for </w:t>
      </w:r>
      <w:r w:rsidR="00A41EC7">
        <w:rPr>
          <w:rFonts w:ascii="Candara" w:eastAsia="Times New Roman" w:hAnsi="Candara" w:cs="Calibri"/>
          <w:color w:val="000000"/>
          <w:lang w:eastAsia="en-ID"/>
        </w:rPr>
        <w:t xml:space="preserve">a curator’s </w:t>
      </w:r>
      <w:r w:rsidR="00A41EC7" w:rsidRPr="00C6243A">
        <w:rPr>
          <w:rFonts w:ascii="Candara" w:eastAsia="Times New Roman" w:hAnsi="Candara" w:cs="Calibri"/>
          <w:color w:val="000000"/>
          <w:lang w:eastAsia="en-ID"/>
        </w:rPr>
        <w:t xml:space="preserve">success is </w:t>
      </w:r>
      <w:r w:rsidR="00A41EC7">
        <w:rPr>
          <w:rFonts w:ascii="Candara" w:eastAsia="Times New Roman" w:hAnsi="Candara" w:cs="Calibri"/>
          <w:color w:val="000000"/>
          <w:lang w:eastAsia="en-ID"/>
        </w:rPr>
        <w:t xml:space="preserve">his </w:t>
      </w:r>
      <w:r w:rsidR="00A41EC7" w:rsidRPr="00C6243A">
        <w:rPr>
          <w:rFonts w:ascii="Candara" w:eastAsia="Times New Roman" w:hAnsi="Candara" w:cs="Calibri"/>
          <w:color w:val="000000"/>
          <w:lang w:eastAsia="en-ID"/>
        </w:rPr>
        <w:t xml:space="preserve">ability to maximize the </w:t>
      </w:r>
      <w:r w:rsidR="00A41EC7">
        <w:rPr>
          <w:rFonts w:ascii="Candara" w:eastAsia="Times New Roman" w:hAnsi="Candara" w:cs="Calibri"/>
          <w:color w:val="000000"/>
          <w:lang w:eastAsia="en-ID"/>
        </w:rPr>
        <w:t xml:space="preserve">bankruptcy </w:t>
      </w:r>
      <w:r w:rsidR="00A41EC7" w:rsidRPr="00C6243A">
        <w:rPr>
          <w:rFonts w:ascii="Candara" w:eastAsia="Times New Roman" w:hAnsi="Candara" w:cs="Calibri"/>
          <w:color w:val="000000"/>
          <w:lang w:eastAsia="en-ID"/>
        </w:rPr>
        <w:t>assets</w:t>
      </w:r>
      <w:r w:rsidR="00072624" w:rsidRPr="00072624">
        <w:rPr>
          <w:rFonts w:ascii="Candara" w:hAnsi="Candara" w:cs="Arial"/>
        </w:rPr>
        <w:t>.</w:t>
      </w:r>
    </w:p>
    <w:p w14:paraId="07F7F867" w14:textId="0422B879" w:rsidR="00072624" w:rsidRPr="00072624" w:rsidRDefault="002A497F" w:rsidP="0088153D">
      <w:pPr>
        <w:spacing w:after="0" w:line="240" w:lineRule="auto"/>
        <w:ind w:firstLine="450"/>
        <w:jc w:val="both"/>
        <w:rPr>
          <w:rFonts w:ascii="Candara" w:hAnsi="Candara" w:cs="Arial"/>
        </w:rPr>
      </w:pPr>
      <w:r w:rsidRPr="00C6243A">
        <w:rPr>
          <w:rFonts w:ascii="Candara" w:eastAsia="Times New Roman" w:hAnsi="Candara" w:cs="Calibri"/>
          <w:color w:val="000000"/>
          <w:lang w:eastAsia="en-ID"/>
        </w:rPr>
        <w:t xml:space="preserve">Forensic accounting is needed because </w:t>
      </w:r>
      <w:r>
        <w:rPr>
          <w:rFonts w:ascii="Candara" w:eastAsia="Times New Roman" w:hAnsi="Candara" w:cs="Calibri"/>
          <w:color w:val="000000"/>
          <w:lang w:eastAsia="en-ID"/>
        </w:rPr>
        <w:t xml:space="preserve">it </w:t>
      </w:r>
      <w:r w:rsidRPr="00C6243A">
        <w:rPr>
          <w:rFonts w:ascii="Candara" w:eastAsia="Times New Roman" w:hAnsi="Candara" w:cs="Calibri"/>
          <w:color w:val="000000"/>
          <w:lang w:eastAsia="en-ID"/>
        </w:rPr>
        <w:t>can be used to prove</w:t>
      </w:r>
      <w:r>
        <w:rPr>
          <w:rFonts w:ascii="Candara" w:eastAsia="Times New Roman" w:hAnsi="Candara" w:cs="Calibri"/>
          <w:color w:val="000000"/>
          <w:lang w:eastAsia="en-ID"/>
        </w:rPr>
        <w:t xml:space="preserve"> </w:t>
      </w:r>
      <w:r w:rsidRPr="00875F60">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sidR="00552564">
        <w:rPr>
          <w:rFonts w:ascii="Candara" w:hAnsi="Candara" w:cs="Arial"/>
        </w:rPr>
        <w:fldChar w:fldCharType="begin" w:fldLock="1"/>
      </w:r>
      <w:r w:rsidR="00552564">
        <w:rPr>
          <w:rFonts w:ascii="Candara" w:hAnsi="Candara" w:cs="Arial"/>
        </w:rPr>
        <w:instrText>ADDIN CSL_CITATION {"citationItems":[{"id":"ITEM-1","itemData":{"DOI":"10.23887/jiah.v10i2.24698","ISSN":"2089-3310","abstract":"The purpose of this study was to determine the effect of the forensic accounting and audit investigations in detecting fraud procurement of goods and services. The rise of fraud cases in Indonesia, one of which is fraud related to public needs, namely the procurement of goods and services. This is reminiscent of the real threat of fraud in the form of corruption in the procurement of goods and services that can cause poor quality of goods / services produced so that they cannot serve the public interest effectively and efficiently. In this context, the community is the most disadvantaged party. Collecting data in this study through the distribution of questionnaires with a total sample of 34 auditor respondents in the field of Investigation of the Badan Pemeriksa Keuangan dan Pembangunan DKI Jakarta. This research uses PLS (Partial Least Square) analysis technique, using SmartPLS software testing tool version 3.2.8. The results of this study indicate that the results of the analysis of the application of forensic accounting and investigative audits have a significant effect in detecting fraud procurement of goods / services.","author":[{"dropping-particle":"","family":"Wiharti","given":"Retno Ratu","non-dropping-particle":"","parse-names":false,"suffix":""},{"dropping-particle":"","family":"Novita","given":"Novita","non-dropping-particle":"","parse-names":false,"suffix":""}],"container-title":"Jurnal Ilmiah Akuntansi dan Humanika","id":"ITEM-1","issue":"2","issued":{"date-parts":[["2020"]]},"page":"115","title":"Dampak Penerapan Akuntansi Forensik dan Audit Investigasi dalam Mendeteksi Fraud Pengadaan Barang/Jasa","type":"article-journal","volume":"10"},"uris":["http://www.mendeley.com/documents/?uuid=41bd3297-eb25-4a1e-acfe-abbcea2ebcc1"]}],"mendeley":{"formattedCitation":"(Wiharti &amp; Novita, 2020)","plainTextFormattedCitation":"(Wiharti &amp; Novita, 2020)","previouslyFormattedCitation":"(Wiharti &amp; Novita, 2020)"},"properties":{"noteIndex":0},"schema":"https://github.com/citation-style-language/schema/raw/master/csl-citation.json"}</w:instrText>
      </w:r>
      <w:r w:rsidR="00552564">
        <w:rPr>
          <w:rFonts w:ascii="Candara" w:hAnsi="Candara" w:cs="Arial"/>
        </w:rPr>
        <w:fldChar w:fldCharType="separate"/>
      </w:r>
      <w:r w:rsidR="00552564" w:rsidRPr="00552564">
        <w:rPr>
          <w:rFonts w:ascii="Candara" w:hAnsi="Candara" w:cs="Arial"/>
          <w:noProof/>
        </w:rPr>
        <w:t>(Wiharti &amp; Novita, 2020)</w:t>
      </w:r>
      <w:r w:rsidR="00552564">
        <w:rPr>
          <w:rFonts w:ascii="Candara" w:hAnsi="Candara" w:cs="Arial"/>
        </w:rPr>
        <w:fldChar w:fldCharType="end"/>
      </w:r>
      <w:r w:rsidR="00072624" w:rsidRPr="00072624">
        <w:rPr>
          <w:rFonts w:ascii="Candara" w:hAnsi="Candara" w:cs="Arial"/>
        </w:rPr>
        <w:t xml:space="preserve">. </w:t>
      </w:r>
      <w:r w:rsidRPr="00C6243A">
        <w:rPr>
          <w:rFonts w:ascii="Candara" w:eastAsia="Times New Roman" w:hAnsi="Candara" w:cs="Calibri"/>
          <w:color w:val="000000"/>
          <w:lang w:eastAsia="en-ID"/>
        </w:rPr>
        <w:t>In addition, forensic accounting can also be used to help resolve</w:t>
      </w:r>
      <w:r>
        <w:rPr>
          <w:rFonts w:ascii="Candara" w:eastAsia="Times New Roman" w:hAnsi="Candara" w:cs="Calibri"/>
          <w:color w:val="000000"/>
          <w:lang w:eastAsia="en-ID"/>
        </w:rPr>
        <w:t xml:space="preserve"> </w:t>
      </w:r>
      <w:r w:rsidRPr="00875F60">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Pr>
          <w:rFonts w:ascii="Candara" w:eastAsia="Times New Roman" w:hAnsi="Candara" w:cs="Calibri"/>
          <w:color w:val="000000"/>
          <w:lang w:eastAsia="en-ID"/>
        </w:rPr>
        <w:t xml:space="preserve">issues </w:t>
      </w:r>
      <w:r w:rsidRPr="00C6243A">
        <w:rPr>
          <w:rFonts w:ascii="Candara" w:eastAsia="Times New Roman" w:hAnsi="Candara" w:cs="Calibri"/>
          <w:color w:val="000000"/>
          <w:lang w:eastAsia="en-ID"/>
        </w:rPr>
        <w:t>related to law</w:t>
      </w:r>
      <w:r>
        <w:rPr>
          <w:rFonts w:ascii="Candara" w:eastAsia="Times New Roman" w:hAnsi="Candara" w:cs="Calibri"/>
          <w:color w:val="000000"/>
          <w:lang w:eastAsia="en-ID"/>
        </w:rPr>
        <w:t xml:space="preserve"> </w:t>
      </w:r>
      <w:r w:rsidR="00552564">
        <w:rPr>
          <w:rFonts w:ascii="Candara" w:hAnsi="Candara" w:cs="Arial"/>
        </w:rPr>
        <w:fldChar w:fldCharType="begin" w:fldLock="1"/>
      </w:r>
      <w:r w:rsidR="00552564">
        <w:rPr>
          <w:rFonts w:ascii="Candara" w:hAnsi="Candara" w:cs="Arial"/>
        </w:rPr>
        <w:instrText>ADDIN CSL_CITATION {"citationItems":[{"id":"ITEM-1","itemData":{"abstract":"Akuntan forensik bertugas memberikan pendapat hukum dalam pengadilan (litigation). Disamping itu, ada juga peran akuntan forensik dalam bidang hukum diluar pengadilan (non itigation) misalnya dalam membantu merumuskan alternatif penyelesaian perkara dalam sengketa, perumusan perhitungan ganti rugi dan upaya menghitung dampak pemutusan / pelanggaran kontrak. Audit investigative, Suatu bentuk audit atau pemeriksaan yang bertujuan untuk mengidentifikasi dan mengungkap kecurangan atau kejahatan dengan menggunakan pendekatan, prosedur dan teknik\u0002teknik yang umumnya digunakan dalam suatu penyelidikan atau penyidikan dalam suatu kejahatan. Karena tujuan audit investigasi adalah untuk mengidentifikasi dan mengungkap kecurangan atau kejahatan, maka pendekatan, prosedur dan teknik yang digunakan di dalam audit investigatif relatif berbeda dengan pendekatan, prosedur dan teknik yang digunakan di dalam audit keuangan, audit kinerja atau audit dengan tujuan tertentu lainnya. Dalam audit investigatif, seorang auditor memulai suatu audit dengan praduga/ indikasi akan adanya kemungkinan kecurangan dan kejahatan yang akan diidentifikasi dan diungkap melalui audit yang akan dilaksanakan. Kondisi tersebut, misalnya, akan mempengaruhi siapa yang akan diwawancarai terlebih dahulu atau dokumen apa yang harus dikumpulkan terlebih dahulu. Selain itu, dalam audit investigatif, jika memiliki kewenangan, auditor dapat menggunakan prosedur dan teknik yang umumnya digunakan dalam proses penyelidikan dan penyidikan kejahatan, seperti pengintaian dan penggeledahan. Fraud adalah proses pembuatan, beradaptasi, meniru atau benda, statistik, atau dokumen-dokumen , dengan maksud untuk menipu. Tetapi fraud bisa kita cegah dan bisa kita hindari fraud sangat merugikan berbagai pihak karena dapat menghancurkan pemerintahan maupun bisnis. Fraud berupa korupsi lebih luas daya penghancurnya.Pada dasarnya cakupan akuntansi forensik adalah fraud dalam arti yang luas","author":[{"dropping-particle":"","family":"Anggraini","given":"Dewi","non-dropping-particle":"","parse-names":false,"suffix":""},{"dropping-particle":"","family":"Triharyati","given":"Eri","non-dropping-particle":"","parse-names":false,"suffix":""},{"dropping-particle":"","family":"Novita","given":"Helen Anggia","non-dropping-particle":"","parse-names":false,"suffix":""},{"dropping-particle":"","family":"Bina","given":"","non-dropping-particle":"","parse-names":false,"suffix":""}],"container-title":"COSTING: Journal of Economic, Business and Accounting","id":"ITEM-1","issued":{"date-parts":[["2019"]]},"page":"372-380","title":"AKUNTANSI FORENSIK DAN AUDIT INVESTIGATIF DALAM PENGUNGKAPAN FRAUD","type":"article-journal","volume":"2"},"uris":["http://www.mendeley.com/documents/?uuid=79a8f3f8-f8e0-4164-8e8c-d28a9cc77a11"]}],"mendeley":{"formattedCitation":"(Anggraini et al., 2019)","plainTextFormattedCitation":"(Anggraini et al., 2019)","previouslyFormattedCitation":"(Anggraini et al., 2019)"},"properties":{"noteIndex":0},"schema":"https://github.com/citation-style-language/schema/raw/master/csl-citation.json"}</w:instrText>
      </w:r>
      <w:r w:rsidR="00552564">
        <w:rPr>
          <w:rFonts w:ascii="Candara" w:hAnsi="Candara" w:cs="Arial"/>
        </w:rPr>
        <w:fldChar w:fldCharType="separate"/>
      </w:r>
      <w:r w:rsidR="00552564" w:rsidRPr="00552564">
        <w:rPr>
          <w:rFonts w:ascii="Candara" w:hAnsi="Candara" w:cs="Arial"/>
          <w:noProof/>
        </w:rPr>
        <w:t>(Anggraini et al., 2019)</w:t>
      </w:r>
      <w:r w:rsidR="00552564">
        <w:rPr>
          <w:rFonts w:ascii="Candara" w:hAnsi="Candara" w:cs="Arial"/>
        </w:rPr>
        <w:fldChar w:fldCharType="end"/>
      </w:r>
      <w:r w:rsidR="00072624" w:rsidRPr="00072624">
        <w:rPr>
          <w:rFonts w:ascii="Candara" w:hAnsi="Candara" w:cs="Arial"/>
        </w:rPr>
        <w:t xml:space="preserve">. </w:t>
      </w:r>
      <w:r w:rsidRPr="00875F60">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 xml:space="preserve">in bankruptcy can be prevented and detected effectively using forensic accounting </w:t>
      </w:r>
      <w:r w:rsidR="00552564">
        <w:rPr>
          <w:rFonts w:ascii="Candara" w:hAnsi="Candara" w:cs="Arial"/>
        </w:rPr>
        <w:fldChar w:fldCharType="begin" w:fldLock="1"/>
      </w:r>
      <w:r w:rsidR="00552564">
        <w:rPr>
          <w:rFonts w:ascii="Candara" w:hAnsi="Candara" w:cs="Arial"/>
        </w:rPr>
        <w:instrText>ADDIN CSL_CITATION {"citationItems":[{"id":"ITEM-1","itemData":{"author":[{"dropping-particle":"","family":"Oseni","given":"","non-dropping-particle":"","parse-names":false,"suffix":""},{"dropping-particle":"","family":"Idris","given":"Abubakar","non-dropping-particle":"","parse-names":false,"suffix":""}],"container-title":"Journal of Accounting and Financial Management","id":"ITEM-1","issue":"1","issued":{"date-parts":[["2017"]]},"page":"23-33","title":"Forensic Accounting and Financial Fraud in Nigeria : Problems and Prospects","type":"article-journal","volume":"3"},"uris":["http://www.mendeley.com/documents/?uuid=9818dcb3-a63c-46bc-8191-d7701d184010"]}],"mendeley":{"formattedCitation":"(Oseni &amp; Idris, 2017)","plainTextFormattedCitation":"(Oseni &amp; Idris, 2017)","previouslyFormattedCitation":"(Oseni &amp; Idris, 2017)"},"properties":{"noteIndex":0},"schema":"https://github.com/citation-style-language/schema/raw/master/csl-citation.json"}</w:instrText>
      </w:r>
      <w:r w:rsidR="00552564">
        <w:rPr>
          <w:rFonts w:ascii="Candara" w:hAnsi="Candara" w:cs="Arial"/>
        </w:rPr>
        <w:fldChar w:fldCharType="separate"/>
      </w:r>
      <w:r w:rsidR="00552564" w:rsidRPr="00552564">
        <w:rPr>
          <w:rFonts w:ascii="Candara" w:hAnsi="Candara" w:cs="Arial"/>
          <w:noProof/>
        </w:rPr>
        <w:t>(Oseni &amp; Idris, 2017</w:t>
      </w:r>
      <w:r w:rsidR="00552564">
        <w:rPr>
          <w:rFonts w:ascii="Candara" w:hAnsi="Candara" w:cs="Arial"/>
        </w:rPr>
        <w:fldChar w:fldCharType="end"/>
      </w:r>
      <w:r w:rsidR="00072624" w:rsidRPr="00072624">
        <w:rPr>
          <w:rFonts w:ascii="Candara" w:hAnsi="Candara" w:cs="Arial"/>
        </w:rPr>
        <w:t>;</w:t>
      </w:r>
      <w:r w:rsidR="00BC0A8C">
        <w:rPr>
          <w:rFonts w:ascii="Candara" w:hAnsi="Candara" w:cs="Arial"/>
        </w:rPr>
        <w:t xml:space="preserve"> </w:t>
      </w:r>
      <w:r w:rsidR="00552564">
        <w:rPr>
          <w:rFonts w:ascii="Candara" w:hAnsi="Candara" w:cs="Arial"/>
        </w:rPr>
        <w:fldChar w:fldCharType="begin" w:fldLock="1"/>
      </w:r>
      <w:r w:rsidR="00552564">
        <w:rPr>
          <w:rFonts w:ascii="Candara" w:hAnsi="Candara" w:cs="Arial"/>
        </w:rPr>
        <w:instrText>ADDIN CSL_CITATION {"citationItems":[{"id":"ITEM-1","itemData":{"DOI":"10.3390/su10030588","abstract":"This article examines how worldwide governance, global competiveness, and other institutional determinants have influenced the number of accounting fraud cases in several countries. The researchers have focused more closely on the importance of ‘good governance’ as one of the indicators of development objectives in itself. The institutional perspective is employed to explain the complexity of frauds in different societies which can be compatible for the purposes of international judgments in order to increase the effectiveness of previous forensic accounting theories. In this paper, a linear regression model is tested where governance, competitiveness, and other institutional variables are associated with a measure of accounting fraud cases. From our results, we can merely claim that an increased level of controlled corruption and political stability might reduce the number of fraud cases in various countries, while more effective and independent governance services with a higher freedom of expression seemed to increase them. The existence of accounting crimes also appeared to be a suitable proxy of better competitiveness. Anglo-Saxon countries have more stated fraud cases than other countries, attributed, perhaps, to the finest commercial courts with the most professional and least corrupt judges in the world, with centuries of precedent cases and experience in dealing with fraud. Moreover, we believe that a better understanding of fraud detection is a potentially important element in forensic accounting analytics in the success of governance policies to enhance development and reduce the risk of bankruptcies related to the reported fraud cases of enterprises.","author":[{"dropping-particle":"","family":"Sadaf","given":"Rabeea","non-dropping-particle":"","parse-names":false,"suffix":""},{"dropping-particle":"","family":"Oláh","given":"Judit","non-dropping-particle":"","parse-names":false,"suffix":""},{"dropping-particle":"","family":"Popp","given":"József","non-dropping-particle":"","parse-names":false,"suffix":""},{"dropping-particle":"","family":"Máté","given":"Domicián","non-dropping-particle":"","parse-names":false,"suffix":""}],"container-title":"Sustainability","id":"ITEM-1","issue":"3","issued":{"date-parts":[["2018"]]},"page":"588","title":"An Investigation of the Influence of the Worldwide Governance and Competitiveness on Accounting Fraud Cases : A Cross-Country Perspective","type":"article-journal","volume":"10"},"uris":["http://www.mendeley.com/documents/?uuid=575a14aa-36d9-4240-8f4b-573f8bdd669e"]}],"mendeley":{"formattedCitation":"(Sadaf et al., 2018)","plainTextFormattedCitation":"(Sadaf et al., 2018)","previouslyFormattedCitation":"(Sadaf et al., 2018)"},"properties":{"noteIndex":0},"schema":"https://github.com/citation-style-language/schema/raw/master/csl-citation.json"}</w:instrText>
      </w:r>
      <w:r w:rsidR="00552564">
        <w:rPr>
          <w:rFonts w:ascii="Candara" w:hAnsi="Candara" w:cs="Arial"/>
        </w:rPr>
        <w:fldChar w:fldCharType="separate"/>
      </w:r>
      <w:r w:rsidR="00552564" w:rsidRPr="00552564">
        <w:rPr>
          <w:rFonts w:ascii="Candara" w:hAnsi="Candara" w:cs="Arial"/>
          <w:noProof/>
        </w:rPr>
        <w:t>Sadaf et al., 2018</w:t>
      </w:r>
      <w:r w:rsidR="00552564">
        <w:rPr>
          <w:rFonts w:ascii="Candara" w:hAnsi="Candara" w:cs="Arial"/>
        </w:rPr>
        <w:fldChar w:fldCharType="end"/>
      </w:r>
      <w:r w:rsidR="00072624" w:rsidRPr="00072624">
        <w:rPr>
          <w:rFonts w:ascii="Candara" w:hAnsi="Candara" w:cs="Arial"/>
        </w:rPr>
        <w:t>;</w:t>
      </w:r>
      <w:r w:rsidR="00BC0A8C">
        <w:rPr>
          <w:rFonts w:ascii="Candara" w:hAnsi="Candara" w:cs="Arial"/>
        </w:rPr>
        <w:t xml:space="preserve"> </w:t>
      </w:r>
      <w:r w:rsidR="00552564">
        <w:rPr>
          <w:rFonts w:ascii="Candara" w:hAnsi="Candara" w:cs="Arial"/>
        </w:rPr>
        <w:fldChar w:fldCharType="begin" w:fldLock="1"/>
      </w:r>
      <w:r w:rsidR="00552564">
        <w:rPr>
          <w:rFonts w:ascii="Candara" w:hAnsi="Candara" w:cs="Arial"/>
        </w:rPr>
        <w:instrText>ADDIN CSL_CITATION {"citationItems":[{"id":"ITEM-1","itemData":{"author":[{"dropping-particle":"","family":"Özcan","given":"Üyesi Ahmet","non-dropping-particle":"","parse-names":false,"suffix":""}],"container-title":"MANAS Journal of Social Studies","id":"ITEM-1","issue":"2","issued":{"date-parts":[["2019"]]},"page":"1744-1760","title":"ANALYZING THE IMPACT OF FORENSIC ACCOUNTING ON THE DETECTION OF FINANCIAL INFORMATION MANIPULATION 1 Adana Alparslan Türkeş Bilim ve Teknoloji Üniversitesi , İşletme Fakültes i 1 . INTRODUCTION Financial statements are major way through which a firm disse","type":"article-journal","volume":"8"},"uris":["http://www.mendeley.com/documents/?uuid=a139fdbf-da37-4e0f-a299-f8b9b6a30d80"]}],"mendeley":{"formattedCitation":"(Özcan, 2019)","plainTextFormattedCitation":"(Özcan, 2019)","previouslyFormattedCitation":"(Özcan, 2019)"},"properties":{"noteIndex":0},"schema":"https://github.com/citation-style-language/schema/raw/master/csl-citation.json"}</w:instrText>
      </w:r>
      <w:r w:rsidR="00552564">
        <w:rPr>
          <w:rFonts w:ascii="Candara" w:hAnsi="Candara" w:cs="Arial"/>
        </w:rPr>
        <w:fldChar w:fldCharType="separate"/>
      </w:r>
      <w:r w:rsidR="00552564" w:rsidRPr="00552564">
        <w:rPr>
          <w:rFonts w:ascii="Candara" w:hAnsi="Candara" w:cs="Arial"/>
          <w:noProof/>
        </w:rPr>
        <w:t>Özcan, 2019</w:t>
      </w:r>
      <w:r w:rsidR="00552564">
        <w:rPr>
          <w:rFonts w:ascii="Candara" w:hAnsi="Candara" w:cs="Arial"/>
        </w:rPr>
        <w:fldChar w:fldCharType="end"/>
      </w:r>
      <w:r w:rsidR="00072624" w:rsidRPr="00072624">
        <w:rPr>
          <w:rFonts w:ascii="Candara" w:hAnsi="Candara" w:cs="Arial"/>
        </w:rPr>
        <w:t>;</w:t>
      </w:r>
      <w:r w:rsidR="00A1167F">
        <w:rPr>
          <w:rFonts w:ascii="Candara" w:hAnsi="Candara" w:cs="Arial"/>
        </w:rPr>
        <w:t xml:space="preserve"> </w:t>
      </w:r>
      <w:r w:rsidR="00552564">
        <w:rPr>
          <w:rFonts w:ascii="Candara" w:hAnsi="Candara" w:cs="Arial"/>
        </w:rPr>
        <w:fldChar w:fldCharType="begin" w:fldLock="1"/>
      </w:r>
      <w:r w:rsidR="00C15C44">
        <w:rPr>
          <w:rFonts w:ascii="Candara" w:hAnsi="Candara" w:cs="Arial"/>
        </w:rPr>
        <w:instrText>ADDIN CSL_CITATION {"citationItems":[{"id":"ITEM-1","itemData":{"author":[{"dropping-particle":"","family":"Liodorova","given":"Julija","non-dropping-particle":"","parse-names":false,"suffix":""},{"dropping-particle":"","family":"Voronova","given":"Irina","non-dropping-particle":"","parse-names":false,"suffix":""}],"container-title":"Soci‚lo Zin‚tÚu VÁstnesis","id":"ITEM-1","issue":"30","issued":{"date-parts":[["2020"]]},"page":"7-29","title":"FINANCIAL RATIOS FOR DETECTION OF COMPANYíS INSOLVENCY AND BANKRUPTCY FRAUD: SIMILARITIES AND DIFFERENCES","type":"article-journal","volume":"1"},"uris":["http://www.mendeley.com/documents/?uuid=1853a211-1c54-4276-8f71-886dff8b083d"]}],"mendeley":{"formattedCitation":"(Liodorova &amp; Voronova, 2020)","plainTextFormattedCitation":"(Liodorova &amp; Voronova, 2020)","previouslyFormattedCitation":"(Liodorova &amp; Voronova, 2020)"},"properties":{"noteIndex":0},"schema":"https://github.com/citation-style-language/schema/raw/master/csl-citation.json"}</w:instrText>
      </w:r>
      <w:r w:rsidR="00552564">
        <w:rPr>
          <w:rFonts w:ascii="Candara" w:hAnsi="Candara" w:cs="Arial"/>
        </w:rPr>
        <w:fldChar w:fldCharType="separate"/>
      </w:r>
      <w:r w:rsidR="00552564" w:rsidRPr="00552564">
        <w:rPr>
          <w:rFonts w:ascii="Candara" w:hAnsi="Candara" w:cs="Arial"/>
          <w:noProof/>
        </w:rPr>
        <w:t>Liodorova &amp; Voronova, 2020)</w:t>
      </w:r>
      <w:r w:rsidR="00552564">
        <w:rPr>
          <w:rFonts w:ascii="Candara" w:hAnsi="Candara" w:cs="Arial"/>
        </w:rPr>
        <w:fldChar w:fldCharType="end"/>
      </w:r>
      <w:r w:rsidR="00072624" w:rsidRPr="00072624">
        <w:rPr>
          <w:rFonts w:ascii="Candara" w:hAnsi="Candara" w:cs="Arial"/>
        </w:rPr>
        <w:t xml:space="preserve">. </w:t>
      </w:r>
    </w:p>
    <w:p w14:paraId="4F0141A3" w14:textId="4C34E959" w:rsidR="00072624" w:rsidRPr="0088153D" w:rsidRDefault="00C15C44" w:rsidP="00B55D20">
      <w:pPr>
        <w:spacing w:after="0" w:line="240" w:lineRule="auto"/>
        <w:ind w:firstLine="450"/>
        <w:jc w:val="both"/>
        <w:rPr>
          <w:rFonts w:ascii="Candara" w:hAnsi="Candara" w:cs="Arial"/>
          <w:color w:val="FF0000"/>
        </w:rPr>
      </w:pPr>
      <w:r>
        <w:rPr>
          <w:rFonts w:ascii="Candara" w:hAnsi="Candara" w:cs="Arial"/>
        </w:rPr>
        <w:lastRenderedPageBreak/>
        <w:fldChar w:fldCharType="begin" w:fldLock="1"/>
      </w:r>
      <w:r>
        <w:rPr>
          <w:rFonts w:ascii="Candara" w:hAnsi="Candara" w:cs="Arial"/>
        </w:rPr>
        <w:instrText>ADDIN CSL_CITATION {"citationItems":[{"id":"ITEM-1","itemData":{"abstract":"The purpose of this study is to interpret the construction of accounting losses in disclosing fraud and the bankruptcy practices of client financial statements. The research method used is a qualitative method - the interpretive paradigm with a phenomenal approach with method triangulation is done by comparing information or data in different ways. To obtain the truth of reliable information and a complete picture of certain information, researchers can use interview and observation or observation methods to check the truth. In addition, researchers can also use different informants to check the correctness of the information. Triangulation of this stage is done if the data or information obtained from the subject or research informants is doubtful. The results of this study were filing bankruptcy at the Commercial Court involving a supervisory judge and curator. In determining the validity of accounts payable by a supervisory judge used the science of forensic accounting and loss accounting, with the curator in charge of distributing bankruptcy (assets) to creditors in the order of division of property for separatist creditors, Preferred creditors and congruent creditors (creditors who have no collateral). In general, fraud actions carried out by debtors are by hiding assets and sales while fraud is carried out with the motive to obtain bankruptcy (assets).","author":[{"dropping-particle":"","family":"Akbar","given":"Nahruddien","non-dropping-particle":"","parse-names":false,"suffix":""}],"id":"ITEM-1","issue":"1","issued":{"date-parts":[["2019"]]},"page":"9-19","title":"KONSTRUKSI AKUNTANSI KERUGIAN, PRAKTIK KEPAILITAN MENGUNGKAP FRAUD LAPORAN KEUANGAN KLIEN","type":"article-journal","volume":"3"},"uris":["http://www.mendeley.com/documents/?uuid=b55d347f-adbd-47de-bd36-69eeaba82e5b"]}],"mendeley":{"formattedCitation":"(Akbar, 2019)","plainTextFormattedCitation":"(Akbar, 2019)","previouslyFormattedCitation":"(Akbar, 2019)"},"properties":{"noteIndex":0},"schema":"https://github.com/citation-style-language/schema/raw/master/csl-citation.json"}</w:instrText>
      </w:r>
      <w:r>
        <w:rPr>
          <w:rFonts w:ascii="Candara" w:hAnsi="Candara" w:cs="Arial"/>
        </w:rPr>
        <w:fldChar w:fldCharType="separate"/>
      </w:r>
      <w:r w:rsidR="00434BE8">
        <w:rPr>
          <w:rFonts w:ascii="Candara" w:hAnsi="Candara" w:cs="Arial"/>
          <w:noProof/>
        </w:rPr>
        <w:t>Akbar</w:t>
      </w:r>
      <w:r w:rsidRPr="00C15C44">
        <w:rPr>
          <w:rFonts w:ascii="Candara" w:hAnsi="Candara" w:cs="Arial"/>
          <w:noProof/>
        </w:rPr>
        <w:t xml:space="preserve"> </w:t>
      </w:r>
      <w:r w:rsidR="00434BE8">
        <w:rPr>
          <w:rFonts w:ascii="Candara" w:hAnsi="Candara" w:cs="Arial"/>
          <w:noProof/>
        </w:rPr>
        <w:t>(</w:t>
      </w:r>
      <w:r w:rsidRPr="00C15C44">
        <w:rPr>
          <w:rFonts w:ascii="Candara" w:hAnsi="Candara" w:cs="Arial"/>
          <w:noProof/>
        </w:rPr>
        <w:t>2019)</w:t>
      </w:r>
      <w:r>
        <w:rPr>
          <w:rFonts w:ascii="Candara" w:hAnsi="Candara" w:cs="Arial"/>
        </w:rPr>
        <w:fldChar w:fldCharType="end"/>
      </w:r>
      <w:r>
        <w:rPr>
          <w:rFonts w:ascii="Candara" w:hAnsi="Candara" w:cs="Arial"/>
        </w:rPr>
        <w:t xml:space="preserve"> </w:t>
      </w:r>
      <w:r w:rsidR="00761D73" w:rsidRPr="00C6243A">
        <w:rPr>
          <w:rFonts w:ascii="Candara" w:eastAsia="Times New Roman" w:hAnsi="Candara" w:cs="Calibri"/>
          <w:color w:val="000000"/>
          <w:lang w:eastAsia="en-ID"/>
        </w:rPr>
        <w:t xml:space="preserve">even stated that judges and curators need forensic accounting </w:t>
      </w:r>
      <w:r w:rsidR="00761D73">
        <w:rPr>
          <w:rFonts w:ascii="Candara" w:eastAsia="Times New Roman" w:hAnsi="Candara" w:cs="Calibri"/>
          <w:color w:val="000000"/>
          <w:lang w:eastAsia="en-ID"/>
        </w:rPr>
        <w:t xml:space="preserve">expertise </w:t>
      </w:r>
      <w:r w:rsidR="00761D73" w:rsidRPr="00C6243A">
        <w:rPr>
          <w:rFonts w:ascii="Candara" w:eastAsia="Times New Roman" w:hAnsi="Candara" w:cs="Calibri"/>
          <w:color w:val="000000"/>
          <w:lang w:eastAsia="en-ID"/>
        </w:rPr>
        <w:t>in resolving bankruptcy cases.</w:t>
      </w:r>
      <w:r w:rsidR="00761D73">
        <w:rPr>
          <w:rFonts w:ascii="Candara" w:eastAsia="Times New Roman" w:hAnsi="Candara" w:cs="Calibri"/>
          <w:color w:val="000000"/>
          <w:lang w:eastAsia="en-ID"/>
        </w:rPr>
        <w:t xml:space="preserve"> Nevertheless</w:t>
      </w:r>
      <w:r w:rsidR="00761D73" w:rsidRPr="00C6243A">
        <w:rPr>
          <w:rFonts w:ascii="Candara" w:eastAsia="Times New Roman" w:hAnsi="Candara" w:cs="Calibri"/>
          <w:color w:val="000000"/>
          <w:lang w:eastAsia="en-ID"/>
        </w:rPr>
        <w:t xml:space="preserve">, there are </w:t>
      </w:r>
      <w:r w:rsidR="00761D73">
        <w:rPr>
          <w:rFonts w:ascii="Candara" w:eastAsia="Times New Roman" w:hAnsi="Candara" w:cs="Calibri"/>
          <w:color w:val="000000"/>
          <w:lang w:eastAsia="en-ID"/>
        </w:rPr>
        <w:t xml:space="preserve">only </w:t>
      </w:r>
      <w:r w:rsidR="00761D73" w:rsidRPr="00C6243A">
        <w:rPr>
          <w:rFonts w:ascii="Candara" w:eastAsia="Times New Roman" w:hAnsi="Candara" w:cs="Calibri"/>
          <w:color w:val="000000"/>
          <w:lang w:eastAsia="en-ID"/>
        </w:rPr>
        <w:t>few curators who</w:t>
      </w:r>
      <w:r w:rsidR="00761D73">
        <w:rPr>
          <w:rFonts w:ascii="Candara" w:eastAsia="Times New Roman" w:hAnsi="Candara" w:cs="Calibri"/>
          <w:color w:val="000000"/>
          <w:lang w:eastAsia="en-ID"/>
        </w:rPr>
        <w:t xml:space="preserve"> have a good</w:t>
      </w:r>
      <w:r w:rsidR="00761D73" w:rsidRPr="00C6243A">
        <w:rPr>
          <w:rFonts w:ascii="Candara" w:eastAsia="Times New Roman" w:hAnsi="Candara" w:cs="Calibri"/>
          <w:color w:val="000000"/>
          <w:lang w:eastAsia="en-ID"/>
        </w:rPr>
        <w:t xml:space="preserve"> understanding of forensic accounting because </w:t>
      </w:r>
      <w:r w:rsidR="00761D73">
        <w:rPr>
          <w:rFonts w:ascii="Candara" w:eastAsia="Times New Roman" w:hAnsi="Candara" w:cs="Calibri"/>
          <w:color w:val="000000"/>
          <w:lang w:eastAsia="en-ID"/>
        </w:rPr>
        <w:t xml:space="preserve">there are not many </w:t>
      </w:r>
      <w:r w:rsidR="00761D73" w:rsidRPr="00C6243A">
        <w:rPr>
          <w:rFonts w:ascii="Candara" w:eastAsia="Times New Roman" w:hAnsi="Candara" w:cs="Calibri"/>
          <w:color w:val="000000"/>
          <w:lang w:eastAsia="en-ID"/>
        </w:rPr>
        <w:t>curators with accounting education backgrounds</w:t>
      </w:r>
      <w:r w:rsidR="004F1EC7">
        <w:rPr>
          <w:rFonts w:ascii="Candara" w:eastAsia="Times New Roman" w:hAnsi="Candara" w:cs="Calibri"/>
          <w:color w:val="000000"/>
          <w:lang w:eastAsia="en-ID"/>
        </w:rPr>
        <w:t xml:space="preserve"> </w:t>
      </w:r>
      <w:r>
        <w:rPr>
          <w:rFonts w:ascii="Candara" w:hAnsi="Candara" w:cs="Arial"/>
        </w:rPr>
        <w:fldChar w:fldCharType="begin" w:fldLock="1"/>
      </w:r>
      <w:r>
        <w:rPr>
          <w:rFonts w:ascii="Candara" w:hAnsi="Candara" w:cs="Arial"/>
        </w:rPr>
        <w:instrText>ADDIN CSL_CITATION {"citationItems":[{"id":"ITEM-1","itemData":{"author":[{"dropping-particle":"","family":"Riza","given":"Ali","non-dropping-particle":"","parse-names":false,"suffix":""}],"id":"ITEM-1","issued":{"date-parts":[["2020"]]},"publisher":"Universitas Islam Indonesia","title":"Akuntansi Forensik dalam Penyelesaian Tugas Kurator pada Perkara Kepailitan","type":"thesis"},"uris":["http://www.mendeley.com/documents/?uuid=4eaea39c-555f-4aaf-899d-e8ffa4675191"]}],"mendeley":{"formattedCitation":"(Riza, 2020)","plainTextFormattedCitation":"(Riza, 2020)","previouslyFormattedCitation":"(Riza, 2020)"},"properties":{"noteIndex":0},"schema":"https://github.com/citation-style-language/schema/raw/master/csl-citation.json"}</w:instrText>
      </w:r>
      <w:r>
        <w:rPr>
          <w:rFonts w:ascii="Candara" w:hAnsi="Candara" w:cs="Arial"/>
        </w:rPr>
        <w:fldChar w:fldCharType="separate"/>
      </w:r>
      <w:r w:rsidRPr="00C15C44">
        <w:rPr>
          <w:rFonts w:ascii="Candara" w:hAnsi="Candara" w:cs="Arial"/>
          <w:noProof/>
        </w:rPr>
        <w:t>(Riza, 2020)</w:t>
      </w:r>
      <w:r>
        <w:rPr>
          <w:rFonts w:ascii="Candara" w:hAnsi="Candara" w:cs="Arial"/>
        </w:rPr>
        <w:fldChar w:fldCharType="end"/>
      </w:r>
      <w:r w:rsidR="00072624" w:rsidRPr="00072624">
        <w:rPr>
          <w:rFonts w:ascii="Candara" w:hAnsi="Candara" w:cs="Arial"/>
        </w:rPr>
        <w:t xml:space="preserve">. </w:t>
      </w:r>
      <w:r w:rsidR="004F1EC7" w:rsidRPr="00C6243A">
        <w:rPr>
          <w:rFonts w:ascii="Candara" w:eastAsia="Times New Roman" w:hAnsi="Candara" w:cs="Calibri"/>
          <w:color w:val="000000"/>
          <w:lang w:eastAsia="en-ID"/>
        </w:rPr>
        <w:t>In fact, curator</w:t>
      </w:r>
      <w:r w:rsidR="004F1EC7">
        <w:rPr>
          <w:rFonts w:ascii="Candara" w:eastAsia="Times New Roman" w:hAnsi="Candara" w:cs="Calibri"/>
          <w:color w:val="000000"/>
          <w:lang w:eastAsia="en-ID"/>
        </w:rPr>
        <w:t>s</w:t>
      </w:r>
      <w:r w:rsidR="004F1EC7" w:rsidRPr="00C6243A">
        <w:rPr>
          <w:rFonts w:ascii="Candara" w:eastAsia="Times New Roman" w:hAnsi="Candara" w:cs="Calibri"/>
          <w:color w:val="000000"/>
          <w:lang w:eastAsia="en-ID"/>
        </w:rPr>
        <w:t xml:space="preserve"> can </w:t>
      </w:r>
      <w:r w:rsidR="004F1EC7">
        <w:rPr>
          <w:rFonts w:ascii="Candara" w:eastAsia="Times New Roman" w:hAnsi="Candara" w:cs="Calibri"/>
          <w:color w:val="000000"/>
          <w:lang w:eastAsia="en-ID"/>
        </w:rPr>
        <w:t xml:space="preserve">have </w:t>
      </w:r>
      <w:r w:rsidR="004F1EC7" w:rsidRPr="00C6243A">
        <w:rPr>
          <w:rFonts w:ascii="Candara" w:eastAsia="Times New Roman" w:hAnsi="Candara" w:cs="Calibri"/>
          <w:color w:val="000000"/>
          <w:lang w:eastAsia="en-ID"/>
        </w:rPr>
        <w:t xml:space="preserve">education background </w:t>
      </w:r>
      <w:r w:rsidR="004F1EC7">
        <w:rPr>
          <w:rFonts w:ascii="Candara" w:eastAsia="Times New Roman" w:hAnsi="Candara" w:cs="Calibri"/>
          <w:color w:val="000000"/>
          <w:lang w:eastAsia="en-ID"/>
        </w:rPr>
        <w:t>of law or accounting</w:t>
      </w:r>
      <w:r w:rsidR="004F1EC7">
        <w:rPr>
          <w:rFonts w:ascii="Candara" w:hAnsi="Candara" w:cs="Arial"/>
        </w:rPr>
        <w:t xml:space="preserve"> </w:t>
      </w:r>
      <w:r>
        <w:rPr>
          <w:rFonts w:ascii="Candara" w:hAnsi="Candara" w:cs="Arial"/>
        </w:rPr>
        <w:fldChar w:fldCharType="begin" w:fldLock="1"/>
      </w:r>
      <w:r w:rsidR="009702AA">
        <w:rPr>
          <w:rFonts w:ascii="Candara" w:hAnsi="Candara" w:cs="Arial"/>
        </w:rPr>
        <w:instrText>ADDIN CSL_CITATION {"citationItems":[{"id":"ITEM-1","itemData":{"author":[{"dropping-particle":"","family":"Sembiring","given":"Sentosa","non-dropping-particle":"","parse-names":false,"suffix":""}],"container-title":"JURNAL HUKUM ACARA PERDATA","id":"ITEM-1","issue":"1","issued":{"date-parts":[["2017"]]},"title":"EKSISTENSI KURATOR DALAM PRANATA HUKUM KEPALITAN","type":"article-journal","volume":"3"},"uris":["http://www.mendeley.com/documents/?uuid=91cd9ab9-cddd-4292-8cb7-65dd600cf5e4"]}],"mendeley":{"formattedCitation":"(Sembiring, 2017)","plainTextFormattedCitation":"(Sembiring, 2017)","previouslyFormattedCitation":"(Sembiring, 2017)"},"properties":{"noteIndex":0},"schema":"https://github.com/citation-style-language/schema/raw/master/csl-citation.json"}</w:instrText>
      </w:r>
      <w:r>
        <w:rPr>
          <w:rFonts w:ascii="Candara" w:hAnsi="Candara" w:cs="Arial"/>
        </w:rPr>
        <w:fldChar w:fldCharType="separate"/>
      </w:r>
      <w:r w:rsidRPr="00C15C44">
        <w:rPr>
          <w:rFonts w:ascii="Candara" w:hAnsi="Candara" w:cs="Arial"/>
          <w:noProof/>
        </w:rPr>
        <w:t>(Sembiring, 2017)</w:t>
      </w:r>
      <w:r>
        <w:rPr>
          <w:rFonts w:ascii="Candara" w:hAnsi="Candara" w:cs="Arial"/>
        </w:rPr>
        <w:fldChar w:fldCharType="end"/>
      </w:r>
      <w:r w:rsidR="00072624" w:rsidRPr="00072624">
        <w:rPr>
          <w:rFonts w:ascii="Candara" w:hAnsi="Candara" w:cs="Arial"/>
        </w:rPr>
        <w:t xml:space="preserve">. </w:t>
      </w:r>
      <w:r w:rsidR="000F63C0" w:rsidRPr="00C6243A">
        <w:rPr>
          <w:rFonts w:ascii="Candara" w:eastAsia="Times New Roman" w:hAnsi="Candara" w:cs="Calibri"/>
          <w:color w:val="000000"/>
          <w:lang w:eastAsia="en-ID"/>
        </w:rPr>
        <w:t xml:space="preserve">In addition, </w:t>
      </w:r>
      <w:r w:rsidR="000F63C0">
        <w:rPr>
          <w:rFonts w:ascii="Candara" w:eastAsia="Times New Roman" w:hAnsi="Candara" w:cs="Calibri"/>
          <w:color w:val="000000"/>
          <w:lang w:eastAsia="en-ID"/>
        </w:rPr>
        <w:t xml:space="preserve">many previous studies did </w:t>
      </w:r>
      <w:r w:rsidR="000F63C0" w:rsidRPr="00C6243A">
        <w:rPr>
          <w:rFonts w:ascii="Candara" w:eastAsia="Times New Roman" w:hAnsi="Candara" w:cs="Calibri"/>
          <w:color w:val="000000"/>
          <w:lang w:eastAsia="en-ID"/>
        </w:rPr>
        <w:t xml:space="preserve">not directly </w:t>
      </w:r>
      <w:r w:rsidR="000F63C0">
        <w:rPr>
          <w:rFonts w:ascii="Candara" w:eastAsia="Times New Roman" w:hAnsi="Candara" w:cs="Calibri"/>
          <w:color w:val="000000"/>
          <w:lang w:eastAsia="en-ID"/>
        </w:rPr>
        <w:t xml:space="preserve">discuss </w:t>
      </w:r>
      <w:r w:rsidR="000F63C0" w:rsidRPr="00C6243A">
        <w:rPr>
          <w:rFonts w:ascii="Candara" w:eastAsia="Times New Roman" w:hAnsi="Candara" w:cs="Calibri"/>
          <w:color w:val="000000"/>
          <w:lang w:eastAsia="en-ID"/>
        </w:rPr>
        <w:t>bankruptcy but bankruptcy as part of</w:t>
      </w:r>
      <w:r w:rsidR="000F63C0">
        <w:rPr>
          <w:rFonts w:ascii="Candara" w:eastAsia="Times New Roman" w:hAnsi="Candara" w:cs="Calibri"/>
          <w:color w:val="000000"/>
          <w:lang w:eastAsia="en-ID"/>
        </w:rPr>
        <w:t xml:space="preserve"> </w:t>
      </w:r>
      <w:r w:rsidR="000F63C0" w:rsidRPr="005C48D8">
        <w:rPr>
          <w:rFonts w:ascii="Candara" w:eastAsia="Times New Roman" w:hAnsi="Candara" w:cs="Calibri"/>
          <w:color w:val="000000"/>
          <w:lang w:eastAsia="en-ID"/>
        </w:rPr>
        <w:t>fraud</w:t>
      </w:r>
      <w:r w:rsidR="000F63C0" w:rsidRPr="00C6243A">
        <w:rPr>
          <w:rFonts w:ascii="Candara" w:eastAsia="Times New Roman" w:hAnsi="Candara" w:cs="Calibri"/>
          <w:color w:val="000000"/>
          <w:lang w:eastAsia="en-ID"/>
        </w:rPr>
        <w:t>.</w:t>
      </w:r>
      <w:r w:rsidR="000F63C0">
        <w:rPr>
          <w:rFonts w:ascii="Candara" w:eastAsia="Times New Roman" w:hAnsi="Candara" w:cs="Calibri"/>
          <w:color w:val="000000"/>
          <w:lang w:eastAsia="en-ID"/>
        </w:rPr>
        <w:t xml:space="preserve"> </w:t>
      </w:r>
      <w:r w:rsidR="000F63C0" w:rsidRPr="00C6243A">
        <w:rPr>
          <w:rFonts w:ascii="Candara" w:eastAsia="Times New Roman" w:hAnsi="Candara" w:cs="Calibri"/>
          <w:color w:val="000000"/>
          <w:lang w:eastAsia="en-ID"/>
        </w:rPr>
        <w:t xml:space="preserve">Therefore, </w:t>
      </w:r>
      <w:r w:rsidR="000F63C0">
        <w:rPr>
          <w:rFonts w:ascii="Candara" w:eastAsia="Times New Roman" w:hAnsi="Candara" w:cs="Calibri"/>
          <w:color w:val="000000"/>
          <w:lang w:eastAsia="en-ID"/>
        </w:rPr>
        <w:t xml:space="preserve">the </w:t>
      </w:r>
      <w:r w:rsidR="000F63C0" w:rsidRPr="00C6243A">
        <w:rPr>
          <w:rFonts w:ascii="Candara" w:eastAsia="Times New Roman" w:hAnsi="Candara" w:cs="Calibri"/>
          <w:color w:val="000000"/>
          <w:lang w:eastAsia="en-ID"/>
        </w:rPr>
        <w:t xml:space="preserve">researchers </w:t>
      </w:r>
      <w:r w:rsidR="000F63C0">
        <w:rPr>
          <w:rFonts w:ascii="Candara" w:eastAsia="Times New Roman" w:hAnsi="Candara" w:cs="Calibri"/>
          <w:color w:val="000000"/>
          <w:lang w:eastAsia="en-ID"/>
        </w:rPr>
        <w:t>we</w:t>
      </w:r>
      <w:r w:rsidR="000F63C0" w:rsidRPr="00C6243A">
        <w:rPr>
          <w:rFonts w:ascii="Candara" w:eastAsia="Times New Roman" w:hAnsi="Candara" w:cs="Calibri"/>
          <w:color w:val="000000"/>
          <w:lang w:eastAsia="en-ID"/>
        </w:rPr>
        <w:t xml:space="preserve">re interested in conducting research on the importance of forensic accounting in bankruptcy cases </w:t>
      </w:r>
      <w:r w:rsidR="000F63C0">
        <w:rPr>
          <w:rFonts w:ascii="Candara" w:eastAsia="Times New Roman" w:hAnsi="Candara" w:cs="Calibri"/>
          <w:color w:val="000000"/>
          <w:lang w:eastAsia="en-ID"/>
        </w:rPr>
        <w:t xml:space="preserve">which are resolved </w:t>
      </w:r>
      <w:r w:rsidR="000F63C0" w:rsidRPr="00C6243A">
        <w:rPr>
          <w:rFonts w:ascii="Candara" w:eastAsia="Times New Roman" w:hAnsi="Candara" w:cs="Calibri"/>
          <w:color w:val="000000"/>
          <w:lang w:eastAsia="en-ID"/>
        </w:rPr>
        <w:t xml:space="preserve">by </w:t>
      </w:r>
      <w:r w:rsidR="000F63C0">
        <w:rPr>
          <w:rFonts w:ascii="Candara" w:eastAsia="Times New Roman" w:hAnsi="Candara" w:cs="Calibri"/>
          <w:color w:val="000000"/>
          <w:lang w:eastAsia="en-ID"/>
        </w:rPr>
        <w:t xml:space="preserve">a </w:t>
      </w:r>
      <w:r w:rsidR="000F63C0" w:rsidRPr="00C6243A">
        <w:rPr>
          <w:rFonts w:ascii="Candara" w:eastAsia="Times New Roman" w:hAnsi="Candara" w:cs="Calibri"/>
          <w:color w:val="000000"/>
          <w:lang w:eastAsia="en-ID"/>
        </w:rPr>
        <w:t>curator.</w:t>
      </w:r>
      <w:r w:rsidR="000F63C0">
        <w:rPr>
          <w:rFonts w:ascii="Candara" w:eastAsia="Times New Roman" w:hAnsi="Candara" w:cs="Calibri"/>
          <w:color w:val="000000"/>
          <w:lang w:eastAsia="en-ID"/>
        </w:rPr>
        <w:t xml:space="preserve"> </w:t>
      </w:r>
      <w:r w:rsidR="000F63C0" w:rsidRPr="00C6243A">
        <w:rPr>
          <w:rFonts w:ascii="Candara" w:eastAsia="Times New Roman" w:hAnsi="Candara" w:cs="Calibri"/>
          <w:color w:val="000000"/>
          <w:lang w:eastAsia="en-ID"/>
        </w:rPr>
        <w:t>The results of this study expected</w:t>
      </w:r>
      <w:r w:rsidR="000F63C0">
        <w:rPr>
          <w:rFonts w:ascii="Candara" w:eastAsia="Times New Roman" w:hAnsi="Candara" w:cs="Calibri"/>
          <w:color w:val="000000"/>
          <w:lang w:eastAsia="en-ID"/>
        </w:rPr>
        <w:t xml:space="preserve">ly </w:t>
      </w:r>
      <w:r w:rsidR="000F63C0" w:rsidRPr="00C6243A">
        <w:rPr>
          <w:rFonts w:ascii="Candara" w:eastAsia="Times New Roman" w:hAnsi="Candara" w:cs="Calibri"/>
          <w:color w:val="000000"/>
          <w:lang w:eastAsia="en-ID"/>
        </w:rPr>
        <w:t>contribute to the curator</w:t>
      </w:r>
      <w:r w:rsidR="000F63C0">
        <w:rPr>
          <w:rFonts w:ascii="Candara" w:eastAsia="Times New Roman" w:hAnsi="Candara" w:cs="Calibri"/>
          <w:color w:val="000000"/>
          <w:lang w:eastAsia="en-ID"/>
        </w:rPr>
        <w:t xml:space="preserve"> </w:t>
      </w:r>
      <w:r w:rsidR="000F63C0" w:rsidRPr="00C6243A">
        <w:rPr>
          <w:rFonts w:ascii="Candara" w:eastAsia="Times New Roman" w:hAnsi="Candara" w:cs="Calibri"/>
          <w:color w:val="000000"/>
          <w:lang w:eastAsia="en-ID"/>
        </w:rPr>
        <w:t>association in resolving bankruptcy cases</w:t>
      </w:r>
      <w:r w:rsidR="000F63C0">
        <w:rPr>
          <w:rFonts w:ascii="Candara" w:eastAsia="Times New Roman" w:hAnsi="Candara" w:cs="Calibri"/>
          <w:color w:val="000000"/>
          <w:lang w:eastAsia="en-ID"/>
        </w:rPr>
        <w:t xml:space="preserve"> </w:t>
      </w:r>
      <w:r w:rsidR="000F63C0" w:rsidRPr="00C6243A">
        <w:rPr>
          <w:rFonts w:ascii="Candara" w:eastAsia="Times New Roman" w:hAnsi="Candara" w:cs="Calibri"/>
          <w:color w:val="000000"/>
          <w:lang w:eastAsia="en-ID"/>
        </w:rPr>
        <w:t xml:space="preserve">and </w:t>
      </w:r>
      <w:r w:rsidR="000F63C0">
        <w:rPr>
          <w:rFonts w:ascii="Candara" w:eastAsia="Times New Roman" w:hAnsi="Candara" w:cs="Calibri"/>
          <w:color w:val="000000"/>
          <w:lang w:eastAsia="en-ID"/>
        </w:rPr>
        <w:t xml:space="preserve">become </w:t>
      </w:r>
      <w:r w:rsidR="000F63C0" w:rsidRPr="00C6243A">
        <w:rPr>
          <w:rFonts w:ascii="Candara" w:eastAsia="Times New Roman" w:hAnsi="Candara" w:cs="Calibri"/>
          <w:color w:val="000000"/>
          <w:lang w:eastAsia="en-ID"/>
        </w:rPr>
        <w:t xml:space="preserve">input for stakeholders, especially in the academic </w:t>
      </w:r>
      <w:r w:rsidR="00F70254">
        <w:rPr>
          <w:rFonts w:ascii="Candara" w:eastAsia="Times New Roman" w:hAnsi="Candara" w:cs="Calibri"/>
          <w:color w:val="000000"/>
          <w:lang w:eastAsia="en-ID"/>
        </w:rPr>
        <w:t>sector (</w:t>
      </w:r>
      <w:r w:rsidR="000F63C0" w:rsidRPr="00C6243A">
        <w:rPr>
          <w:rFonts w:ascii="Candara" w:eastAsia="Times New Roman" w:hAnsi="Candara" w:cs="Calibri"/>
          <w:color w:val="000000"/>
          <w:lang w:eastAsia="en-ID"/>
        </w:rPr>
        <w:t>higher education</w:t>
      </w:r>
      <w:r w:rsidR="00F70254">
        <w:rPr>
          <w:rFonts w:ascii="Candara" w:eastAsia="Times New Roman" w:hAnsi="Candara" w:cs="Calibri"/>
          <w:color w:val="000000"/>
          <w:lang w:eastAsia="en-ID"/>
        </w:rPr>
        <w:t>)</w:t>
      </w:r>
      <w:r w:rsidR="000F63C0">
        <w:rPr>
          <w:rFonts w:ascii="Candara" w:eastAsia="Times New Roman" w:hAnsi="Candara" w:cs="Calibri"/>
          <w:color w:val="000000"/>
          <w:lang w:eastAsia="en-ID"/>
        </w:rPr>
        <w:t>,</w:t>
      </w:r>
      <w:r w:rsidR="000F63C0" w:rsidRPr="00C6243A">
        <w:rPr>
          <w:rFonts w:ascii="Candara" w:eastAsia="Times New Roman" w:hAnsi="Candara" w:cs="Calibri"/>
          <w:color w:val="000000"/>
          <w:lang w:eastAsia="en-ID"/>
        </w:rPr>
        <w:t xml:space="preserve"> to </w:t>
      </w:r>
      <w:r w:rsidR="000F63C0">
        <w:rPr>
          <w:rFonts w:ascii="Candara" w:eastAsia="Times New Roman" w:hAnsi="Candara" w:cs="Calibri"/>
          <w:color w:val="000000"/>
          <w:lang w:eastAsia="en-ID"/>
        </w:rPr>
        <w:t xml:space="preserve">have </w:t>
      </w:r>
      <w:r w:rsidR="000F63C0" w:rsidRPr="00C6243A">
        <w:rPr>
          <w:rFonts w:ascii="Candara" w:eastAsia="Times New Roman" w:hAnsi="Candara" w:cs="Calibri"/>
          <w:color w:val="000000"/>
          <w:lang w:eastAsia="en-ID"/>
        </w:rPr>
        <w:t xml:space="preserve">better </w:t>
      </w:r>
      <w:r w:rsidR="000F63C0">
        <w:rPr>
          <w:rFonts w:ascii="Candara" w:eastAsia="Times New Roman" w:hAnsi="Candara" w:cs="Calibri"/>
          <w:color w:val="000000"/>
          <w:lang w:eastAsia="en-ID"/>
        </w:rPr>
        <w:t xml:space="preserve">ability to educate their </w:t>
      </w:r>
      <w:r w:rsidR="000F63C0" w:rsidRPr="00C6243A">
        <w:rPr>
          <w:rFonts w:ascii="Candara" w:eastAsia="Times New Roman" w:hAnsi="Candara" w:cs="Calibri"/>
          <w:color w:val="000000"/>
          <w:lang w:eastAsia="en-ID"/>
        </w:rPr>
        <w:t>students</w:t>
      </w:r>
      <w:r w:rsidR="00B55D20" w:rsidRPr="00424EB1">
        <w:rPr>
          <w:rFonts w:ascii="Candara" w:hAnsi="Candara" w:cstheme="minorHAnsi"/>
        </w:rPr>
        <w:t>.</w:t>
      </w:r>
    </w:p>
    <w:p w14:paraId="7E3FE938" w14:textId="77777777" w:rsidR="00072624" w:rsidRPr="0088153D" w:rsidRDefault="00072624" w:rsidP="0088153D">
      <w:pPr>
        <w:spacing w:before="120" w:after="120" w:line="240" w:lineRule="auto"/>
        <w:jc w:val="both"/>
        <w:rPr>
          <w:rFonts w:ascii="Candara" w:hAnsi="Candara" w:cs="Arial"/>
          <w:b/>
          <w:bCs/>
        </w:rPr>
      </w:pPr>
      <w:r w:rsidRPr="0088153D">
        <w:rPr>
          <w:rFonts w:ascii="Candara" w:hAnsi="Candara" w:cs="Arial"/>
          <w:b/>
          <w:bCs/>
        </w:rPr>
        <w:t>Literature Review</w:t>
      </w:r>
    </w:p>
    <w:p w14:paraId="74E315D5" w14:textId="77777777" w:rsidR="00072624" w:rsidRPr="00512F5E" w:rsidRDefault="00072624" w:rsidP="00290CF2">
      <w:pPr>
        <w:spacing w:before="120" w:after="0" w:line="240" w:lineRule="auto"/>
        <w:jc w:val="both"/>
        <w:rPr>
          <w:rFonts w:ascii="Candara" w:hAnsi="Candara" w:cs="Arial"/>
          <w:b/>
          <w:bCs/>
        </w:rPr>
      </w:pPr>
      <w:r w:rsidRPr="00512F5E">
        <w:rPr>
          <w:rFonts w:ascii="Candara" w:hAnsi="Candara" w:cs="Arial"/>
          <w:b/>
          <w:bCs/>
        </w:rPr>
        <w:t>Bankruptcy Fraud</w:t>
      </w:r>
    </w:p>
    <w:p w14:paraId="2183F8FB" w14:textId="176E9A3E" w:rsidR="00290CF2" w:rsidRDefault="007E5C04" w:rsidP="00290CF2">
      <w:pPr>
        <w:spacing w:after="0" w:line="240" w:lineRule="auto"/>
        <w:ind w:firstLine="450"/>
        <w:jc w:val="both"/>
        <w:rPr>
          <w:rFonts w:ascii="Candara" w:hAnsi="Candara" w:cs="Arial"/>
        </w:rPr>
      </w:pPr>
      <w:r w:rsidRPr="002D08B2">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 xml:space="preserve">is an act </w:t>
      </w:r>
      <w:r>
        <w:rPr>
          <w:rFonts w:ascii="Candara" w:eastAsia="Times New Roman" w:hAnsi="Candara" w:cs="Calibri"/>
          <w:color w:val="000000"/>
          <w:lang w:eastAsia="en-ID"/>
        </w:rPr>
        <w:t xml:space="preserve">done </w:t>
      </w:r>
      <w:r w:rsidRPr="00C6243A">
        <w:rPr>
          <w:rFonts w:ascii="Candara" w:eastAsia="Times New Roman" w:hAnsi="Candara" w:cs="Calibri"/>
          <w:color w:val="000000"/>
          <w:lang w:eastAsia="en-ID"/>
        </w:rPr>
        <w:t>by human ingenuity to gain more profit</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by deceiving</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and </w:t>
      </w:r>
      <w:r>
        <w:rPr>
          <w:rFonts w:ascii="Candara" w:eastAsia="Times New Roman" w:hAnsi="Candara" w:cs="Calibri"/>
          <w:color w:val="000000"/>
          <w:lang w:eastAsia="en-ID"/>
        </w:rPr>
        <w:t xml:space="preserve">conducting </w:t>
      </w:r>
      <w:r w:rsidRPr="00C6243A">
        <w:rPr>
          <w:rFonts w:ascii="Candara" w:eastAsia="Times New Roman" w:hAnsi="Candara" w:cs="Calibri"/>
          <w:color w:val="000000"/>
          <w:lang w:eastAsia="en-ID"/>
        </w:rPr>
        <w:t xml:space="preserve">unfair </w:t>
      </w:r>
      <w:r>
        <w:rPr>
          <w:rFonts w:ascii="Candara" w:eastAsia="Times New Roman" w:hAnsi="Candara" w:cs="Calibri"/>
          <w:color w:val="000000"/>
          <w:lang w:eastAsia="en-ID"/>
        </w:rPr>
        <w:t xml:space="preserve">actions </w:t>
      </w:r>
      <w:r w:rsidR="009702AA">
        <w:rPr>
          <w:rFonts w:ascii="Candara" w:hAnsi="Candara" w:cs="Arial"/>
        </w:rPr>
        <w:fldChar w:fldCharType="begin" w:fldLock="1"/>
      </w:r>
      <w:r w:rsidR="00FA1870">
        <w:rPr>
          <w:rFonts w:ascii="Candara" w:hAnsi="Candara" w:cs="Arial"/>
        </w:rPr>
        <w:instrText>ADDIN CSL_CITATION {"citationItems":[{"id":"ITEM-1","itemData":{"author":[{"dropping-particle":"al","family":"Albrecht","given":"W. Steve et","non-dropping-particle":"","parse-names":false,"suffix":""}],"edition":"6","id":"ITEM-1","issued":{"date-parts":[["2019"]]},"publisher":"E-Book","title":"Fraud Examination 6th Edition","type":"book"},"uris":["http://www.mendeley.com/documents/?uuid=5b0a9332-8f31-41be-83fe-814cba5a6c19"]}],"mendeley":{"formattedCitation":"(Albrecht, 2019)","plainTextFormattedCitation":"(Albrecht, 2019)","previouslyFormattedCitation":"(Albrecht, 2019)"},"properties":{"noteIndex":0},"schema":"https://github.com/citation-style-language/schema/raw/master/csl-citation.json"}</w:instrText>
      </w:r>
      <w:r w:rsidR="009702AA">
        <w:rPr>
          <w:rFonts w:ascii="Candara" w:hAnsi="Candara" w:cs="Arial"/>
        </w:rPr>
        <w:fldChar w:fldCharType="separate"/>
      </w:r>
      <w:r w:rsidR="009702AA" w:rsidRPr="009702AA">
        <w:rPr>
          <w:rFonts w:ascii="Candara" w:hAnsi="Candara" w:cs="Arial"/>
          <w:noProof/>
        </w:rPr>
        <w:t>(Albrecht, 2019)</w:t>
      </w:r>
      <w:r w:rsidR="009702AA">
        <w:rPr>
          <w:rFonts w:ascii="Candara" w:hAnsi="Candara" w:cs="Arial"/>
        </w:rPr>
        <w:fldChar w:fldCharType="end"/>
      </w:r>
      <w:r w:rsidR="00072624" w:rsidRPr="00072624">
        <w:rPr>
          <w:rFonts w:ascii="Candara" w:hAnsi="Candara" w:cs="Arial"/>
        </w:rPr>
        <w:t xml:space="preserve">. </w:t>
      </w:r>
      <w:r>
        <w:rPr>
          <w:rFonts w:ascii="Candara" w:eastAsia="Times New Roman" w:hAnsi="Candara" w:cs="Calibri"/>
          <w:color w:val="000000"/>
          <w:lang w:eastAsia="en-ID"/>
        </w:rPr>
        <w:t>Some of the f</w:t>
      </w:r>
      <w:r w:rsidRPr="00C6243A">
        <w:rPr>
          <w:rFonts w:ascii="Candara" w:eastAsia="Times New Roman" w:hAnsi="Candara" w:cs="Calibri"/>
          <w:color w:val="000000"/>
          <w:lang w:eastAsia="en-ID"/>
        </w:rPr>
        <w:t xml:space="preserve">actors that </w:t>
      </w:r>
      <w:r>
        <w:rPr>
          <w:rFonts w:ascii="Candara" w:eastAsia="Times New Roman" w:hAnsi="Candara" w:cs="Calibri"/>
          <w:color w:val="000000"/>
          <w:lang w:eastAsia="en-ID"/>
        </w:rPr>
        <w:t xml:space="preserve">lead to </w:t>
      </w:r>
      <w:r w:rsidRPr="002D08B2">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include</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greed,</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opportunity,</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needs, and</w:t>
      </w:r>
      <w:r>
        <w:rPr>
          <w:rFonts w:ascii="Candara" w:eastAsia="Times New Roman" w:hAnsi="Candara" w:cs="Calibri"/>
          <w:color w:val="000000"/>
          <w:lang w:eastAsia="en-ID"/>
        </w:rPr>
        <w:t xml:space="preserve"> expo</w:t>
      </w:r>
      <w:r w:rsidRPr="00C6243A">
        <w:rPr>
          <w:rFonts w:ascii="Candara" w:eastAsia="Times New Roman" w:hAnsi="Candara" w:cs="Calibri"/>
          <w:color w:val="000000"/>
          <w:lang w:eastAsia="en-ID"/>
        </w:rPr>
        <w:t>sure</w:t>
      </w:r>
      <w:r>
        <w:rPr>
          <w:rFonts w:ascii="Candara" w:hAnsi="Candara" w:cs="Arial"/>
        </w:rPr>
        <w:t xml:space="preserve"> </w:t>
      </w:r>
      <w:r w:rsidR="00FA1870">
        <w:rPr>
          <w:rFonts w:ascii="Candara" w:hAnsi="Candara" w:cs="Arial"/>
        </w:rPr>
        <w:fldChar w:fldCharType="begin" w:fldLock="1"/>
      </w:r>
      <w:r w:rsidR="00FA1870">
        <w:rPr>
          <w:rFonts w:ascii="Candara" w:hAnsi="Candara" w:cs="Arial"/>
        </w:rPr>
        <w:instrText>ADDIN CSL_CITATION {"citationItems":[{"id":"ITEM-1","itemData":{"ISBN":"9780750692434","author":[{"dropping-particle":"","family":"Bologna","given":"Jack","non-dropping-particle":"","parse-names":false,"suffix":""}],"id":"ITEM-1","issued":{"date-parts":[["1993"]]},"publisher":"Butterworth-Heinemann","publisher-place":"Boston","title":"Handbook on Corporate Fraud: Prevention, Detection, and Investigation","type":"book"},"uris":["http://www.mendeley.com/documents/?uuid=5d957bd3-cc9d-4222-a388-f2944169eee6"]}],"mendeley":{"formattedCitation":"(Bologna, 1993)","plainTextFormattedCitation":"(Bologna, 1993)","previouslyFormattedCitation":"(Bologna, 1993)"},"properties":{"noteIndex":0},"schema":"https://github.com/citation-style-language/schema/raw/master/csl-citation.json"}</w:instrText>
      </w:r>
      <w:r w:rsidR="00FA1870">
        <w:rPr>
          <w:rFonts w:ascii="Candara" w:hAnsi="Candara" w:cs="Arial"/>
        </w:rPr>
        <w:fldChar w:fldCharType="separate"/>
      </w:r>
      <w:r w:rsidR="00FA1870" w:rsidRPr="00FA1870">
        <w:rPr>
          <w:rFonts w:ascii="Candara" w:hAnsi="Candara" w:cs="Arial"/>
          <w:noProof/>
        </w:rPr>
        <w:t>(Bologna, 1993)</w:t>
      </w:r>
      <w:r w:rsidR="00FA1870">
        <w:rPr>
          <w:rFonts w:ascii="Candara" w:hAnsi="Candara" w:cs="Arial"/>
        </w:rPr>
        <w:fldChar w:fldCharType="end"/>
      </w:r>
      <w:r w:rsidR="00072624" w:rsidRPr="00072624">
        <w:rPr>
          <w:rFonts w:ascii="Candara" w:hAnsi="Candara" w:cs="Arial"/>
        </w:rPr>
        <w:t xml:space="preserve">. </w:t>
      </w:r>
      <w:r w:rsidRPr="00C6243A">
        <w:rPr>
          <w:rFonts w:ascii="Candara" w:eastAsia="Times New Roman" w:hAnsi="Candara" w:cs="Calibri"/>
          <w:color w:val="000000"/>
          <w:lang w:eastAsia="en-ID"/>
        </w:rPr>
        <w:t xml:space="preserve">Meanwhile, bankruptcy is a condition </w:t>
      </w:r>
      <w:r>
        <w:rPr>
          <w:rFonts w:ascii="Candara" w:eastAsia="Times New Roman" w:hAnsi="Candara" w:cs="Calibri"/>
          <w:color w:val="000000"/>
          <w:lang w:eastAsia="en-ID"/>
        </w:rPr>
        <w:t xml:space="preserve">where a </w:t>
      </w:r>
      <w:r w:rsidRPr="00C6243A">
        <w:rPr>
          <w:rFonts w:ascii="Candara" w:eastAsia="Times New Roman" w:hAnsi="Candara" w:cs="Calibri"/>
          <w:color w:val="000000"/>
          <w:lang w:eastAsia="en-ID"/>
        </w:rPr>
        <w:t xml:space="preserve">debtor is unable to pay the debts </w:t>
      </w:r>
      <w:r>
        <w:rPr>
          <w:rFonts w:ascii="Candara" w:eastAsia="Times New Roman" w:hAnsi="Candara" w:cs="Calibri"/>
          <w:color w:val="000000"/>
          <w:lang w:eastAsia="en-ID"/>
        </w:rPr>
        <w:t xml:space="preserve">to </w:t>
      </w:r>
      <w:r w:rsidRPr="00C6243A">
        <w:rPr>
          <w:rFonts w:ascii="Candara" w:eastAsia="Times New Roman" w:hAnsi="Candara" w:cs="Calibri"/>
          <w:color w:val="000000"/>
          <w:lang w:eastAsia="en-ID"/>
        </w:rPr>
        <w:t>his creditors. </w:t>
      </w:r>
      <w:r>
        <w:rPr>
          <w:rFonts w:ascii="Candara" w:eastAsia="Times New Roman" w:hAnsi="Candara" w:cs="Calibri"/>
          <w:color w:val="000000"/>
          <w:lang w:eastAsia="en-ID"/>
        </w:rPr>
        <w:t>B</w:t>
      </w:r>
      <w:r w:rsidRPr="00C6243A">
        <w:rPr>
          <w:rFonts w:ascii="Candara" w:eastAsia="Times New Roman" w:hAnsi="Candara" w:cs="Calibri"/>
          <w:color w:val="000000"/>
          <w:lang w:eastAsia="en-ID"/>
        </w:rPr>
        <w:t xml:space="preserve">ankruptcy is </w:t>
      </w:r>
      <w:r>
        <w:rPr>
          <w:rFonts w:ascii="Candara" w:eastAsia="Times New Roman" w:hAnsi="Candara" w:cs="Calibri"/>
          <w:color w:val="000000"/>
          <w:lang w:eastAsia="en-ID"/>
        </w:rPr>
        <w:t xml:space="preserve">usually </w:t>
      </w:r>
      <w:r w:rsidRPr="00C6243A">
        <w:rPr>
          <w:rFonts w:ascii="Candara" w:eastAsia="Times New Roman" w:hAnsi="Candara" w:cs="Calibri"/>
          <w:color w:val="000000"/>
          <w:lang w:eastAsia="en-ID"/>
        </w:rPr>
        <w:t>caused by </w:t>
      </w:r>
      <w:r w:rsidRPr="002D08B2">
        <w:rPr>
          <w:rFonts w:ascii="Candara" w:eastAsia="Times New Roman" w:hAnsi="Candara" w:cs="Calibri"/>
          <w:color w:val="000000"/>
          <w:lang w:eastAsia="en-ID"/>
        </w:rPr>
        <w:t>financial distress</w:t>
      </w:r>
      <w:r>
        <w:rPr>
          <w:rFonts w:ascii="Candara" w:eastAsia="Times New Roman" w:hAnsi="Candara" w:cs="Calibri"/>
          <w:i/>
          <w:iCs/>
          <w:color w:val="000000"/>
          <w:lang w:eastAsia="en-ID"/>
        </w:rPr>
        <w:t xml:space="preserve"> </w:t>
      </w:r>
      <w:r w:rsidR="00FA1870">
        <w:rPr>
          <w:rFonts w:ascii="Candara" w:hAnsi="Candara" w:cs="Arial"/>
        </w:rPr>
        <w:fldChar w:fldCharType="begin" w:fldLock="1"/>
      </w:r>
      <w:r w:rsidR="00FA1870">
        <w:rPr>
          <w:rFonts w:ascii="Candara" w:hAnsi="Candara" w:cs="Arial"/>
        </w:rPr>
        <w:instrText>ADDIN CSL_CITATION {"citationItems":[{"id":"ITEM-1","itemData":{"author":[{"dropping-particle":"","family":"Saputra","given":"Sonny Triyono","non-dropping-particle":"","parse-names":false,"suffix":""}],"container-title":"RECHTENS","id":"ITEM-1","issue":"1","issued":{"date-parts":[["2020"]]},"page":"65-76","title":"PERLINDUNGAN HUKUM BAGI KREDITUR AKIBAT ADANYA PAILIT YANG DIAJUKAN OLEH DEBITUR DITINJAU DARI UNDANG-UNDANG KEPAILITAN","type":"article-journal","volume":"9"},"uris":["http://www.mendeley.com/documents/?uuid=c3ab4fbf-696a-40e0-abf5-c725c78919c5"]}],"mendeley":{"formattedCitation":"(Saputra, 2020)","plainTextFormattedCitation":"(Saputra, 2020)","previouslyFormattedCitation":"(Saputra, 2020)"},"properties":{"noteIndex":0},"schema":"https://github.com/citation-style-language/schema/raw/master/csl-citation.json"}</w:instrText>
      </w:r>
      <w:r w:rsidR="00FA1870">
        <w:rPr>
          <w:rFonts w:ascii="Candara" w:hAnsi="Candara" w:cs="Arial"/>
        </w:rPr>
        <w:fldChar w:fldCharType="separate"/>
      </w:r>
      <w:r w:rsidR="00FA1870" w:rsidRPr="00FA1870">
        <w:rPr>
          <w:rFonts w:ascii="Candara" w:hAnsi="Candara" w:cs="Arial"/>
          <w:noProof/>
        </w:rPr>
        <w:t>(Saputra, 2020)</w:t>
      </w:r>
      <w:r w:rsidR="00FA1870">
        <w:rPr>
          <w:rFonts w:ascii="Candara" w:hAnsi="Candara" w:cs="Arial"/>
        </w:rPr>
        <w:fldChar w:fldCharType="end"/>
      </w:r>
      <w:r w:rsidR="00FA1870">
        <w:rPr>
          <w:rFonts w:ascii="Candara" w:hAnsi="Candara" w:cs="Arial"/>
        </w:rPr>
        <w:t>.</w:t>
      </w:r>
    </w:p>
    <w:p w14:paraId="077E9DE9" w14:textId="5F929412" w:rsidR="00290CF2" w:rsidRDefault="00E32A74" w:rsidP="00290CF2">
      <w:pPr>
        <w:spacing w:after="0" w:line="240" w:lineRule="auto"/>
        <w:ind w:firstLine="450"/>
        <w:jc w:val="both"/>
        <w:rPr>
          <w:rFonts w:ascii="Candara" w:hAnsi="Candara" w:cs="Arial"/>
        </w:rPr>
      </w:pPr>
      <w:r w:rsidRPr="00C6243A">
        <w:rPr>
          <w:rFonts w:ascii="Candara" w:eastAsia="Times New Roman" w:hAnsi="Candara" w:cs="Calibri"/>
          <w:color w:val="000000"/>
          <w:lang w:eastAsia="en-ID"/>
        </w:rPr>
        <w:t xml:space="preserve">A debtor can file </w:t>
      </w:r>
      <w:r>
        <w:rPr>
          <w:rFonts w:ascii="Candara" w:eastAsia="Times New Roman" w:hAnsi="Candara" w:cs="Calibri"/>
          <w:color w:val="000000"/>
          <w:lang w:eastAsia="en-ID"/>
        </w:rPr>
        <w:t xml:space="preserve">for </w:t>
      </w:r>
      <w:r w:rsidRPr="00C6243A">
        <w:rPr>
          <w:rFonts w:ascii="Candara" w:eastAsia="Times New Roman" w:hAnsi="Candara" w:cs="Calibri"/>
          <w:color w:val="000000"/>
          <w:lang w:eastAsia="en-ID"/>
        </w:rPr>
        <w:t xml:space="preserve">bankruptcy according to the KPKPU Law if there are at least two </w:t>
      </w:r>
      <w:r>
        <w:rPr>
          <w:rFonts w:ascii="Candara" w:eastAsia="Times New Roman" w:hAnsi="Candara" w:cs="Calibri"/>
          <w:color w:val="000000"/>
          <w:lang w:eastAsia="en-ID"/>
        </w:rPr>
        <w:t xml:space="preserve">or more </w:t>
      </w:r>
      <w:r w:rsidRPr="00C6243A">
        <w:rPr>
          <w:rFonts w:ascii="Candara" w:eastAsia="Times New Roman" w:hAnsi="Candara" w:cs="Calibri"/>
          <w:color w:val="000000"/>
          <w:lang w:eastAsia="en-ID"/>
        </w:rPr>
        <w:t>creditors</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if there are </w:t>
      </w:r>
      <w:r w:rsidRPr="00C6243A">
        <w:rPr>
          <w:rFonts w:ascii="Candara" w:eastAsia="Times New Roman" w:hAnsi="Candara" w:cs="Calibri"/>
          <w:color w:val="000000"/>
          <w:lang w:eastAsia="en-ID"/>
        </w:rPr>
        <w:t xml:space="preserve">at least one debt </w:t>
      </w:r>
      <w:r>
        <w:rPr>
          <w:rFonts w:ascii="Candara" w:eastAsia="Times New Roman" w:hAnsi="Candara" w:cs="Calibri"/>
          <w:color w:val="000000"/>
          <w:lang w:eastAsia="en-ID"/>
        </w:rPr>
        <w:t xml:space="preserve">that </w:t>
      </w:r>
      <w:r w:rsidRPr="00C6243A">
        <w:rPr>
          <w:rFonts w:ascii="Candara" w:eastAsia="Times New Roman" w:hAnsi="Candara" w:cs="Calibri"/>
          <w:color w:val="000000"/>
          <w:lang w:eastAsia="en-ID"/>
        </w:rPr>
        <w:t xml:space="preserve">has matured </w:t>
      </w:r>
      <w:r>
        <w:rPr>
          <w:rFonts w:ascii="Candara" w:eastAsia="Times New Roman" w:hAnsi="Candara" w:cs="Calibri"/>
          <w:color w:val="000000"/>
          <w:lang w:eastAsia="en-ID"/>
        </w:rPr>
        <w:t xml:space="preserve">of which the payment </w:t>
      </w:r>
      <w:r w:rsidRPr="00C6243A">
        <w:rPr>
          <w:rFonts w:ascii="Candara" w:eastAsia="Times New Roman" w:hAnsi="Candara" w:cs="Calibri"/>
          <w:color w:val="000000"/>
          <w:lang w:eastAsia="en-ID"/>
        </w:rPr>
        <w:t xml:space="preserve">has been </w:t>
      </w:r>
      <w:r>
        <w:rPr>
          <w:rFonts w:ascii="Candara" w:eastAsia="Times New Roman" w:hAnsi="Candara" w:cs="Calibri"/>
          <w:color w:val="000000"/>
          <w:lang w:eastAsia="en-ID"/>
        </w:rPr>
        <w:t xml:space="preserve">asked for </w:t>
      </w:r>
      <w:r w:rsidRPr="00C6243A">
        <w:rPr>
          <w:rFonts w:ascii="Candara" w:eastAsia="Times New Roman" w:hAnsi="Candara" w:cs="Calibri"/>
          <w:color w:val="000000"/>
          <w:lang w:eastAsia="en-ID"/>
        </w:rPr>
        <w:t>but the debtor is unable to pay</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and </w:t>
      </w:r>
      <w:r>
        <w:rPr>
          <w:rFonts w:ascii="Candara" w:eastAsia="Times New Roman" w:hAnsi="Candara" w:cs="Calibri"/>
          <w:color w:val="000000"/>
          <w:lang w:eastAsia="en-ID"/>
        </w:rPr>
        <w:t xml:space="preserve">if the debtor </w:t>
      </w:r>
      <w:r w:rsidRPr="00C6243A">
        <w:rPr>
          <w:rFonts w:ascii="Candara" w:eastAsia="Times New Roman" w:hAnsi="Candara" w:cs="Calibri"/>
          <w:color w:val="000000"/>
          <w:lang w:eastAsia="en-ID"/>
        </w:rPr>
        <w:t xml:space="preserve">has filed for bankruptcy voluntarily or </w:t>
      </w:r>
      <w:r>
        <w:rPr>
          <w:rFonts w:ascii="Candara" w:eastAsia="Times New Roman" w:hAnsi="Candara" w:cs="Calibri"/>
          <w:color w:val="000000"/>
          <w:lang w:eastAsia="en-ID"/>
        </w:rPr>
        <w:t xml:space="preserve">if </w:t>
      </w:r>
      <w:r w:rsidRPr="00C6243A">
        <w:rPr>
          <w:rFonts w:ascii="Candara" w:eastAsia="Times New Roman" w:hAnsi="Candara" w:cs="Calibri"/>
          <w:color w:val="000000"/>
          <w:lang w:eastAsia="en-ID"/>
        </w:rPr>
        <w:t>the creditor</w:t>
      </w:r>
      <w:r>
        <w:rPr>
          <w:rFonts w:ascii="Candara" w:eastAsia="Times New Roman" w:hAnsi="Candara" w:cs="Calibri"/>
          <w:color w:val="000000"/>
          <w:lang w:eastAsia="en-ID"/>
        </w:rPr>
        <w:t>s have filed for bankruptcy</w:t>
      </w:r>
      <w:r w:rsidRPr="00C6243A">
        <w:rPr>
          <w:rFonts w:ascii="Candara" w:eastAsia="Times New Roman" w:hAnsi="Candara" w:cs="Calibri"/>
          <w:color w:val="000000"/>
          <w:lang w:eastAsia="en-ID"/>
        </w:rPr>
        <w:t>.</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The bankruptcy petition will </w:t>
      </w:r>
      <w:r>
        <w:rPr>
          <w:rFonts w:ascii="Candara" w:eastAsia="Times New Roman" w:hAnsi="Candara" w:cs="Calibri"/>
          <w:color w:val="000000"/>
          <w:lang w:eastAsia="en-ID"/>
        </w:rPr>
        <w:t xml:space="preserve">cause </w:t>
      </w:r>
      <w:r w:rsidRPr="00C6243A">
        <w:rPr>
          <w:rFonts w:ascii="Candara" w:eastAsia="Times New Roman" w:hAnsi="Candara" w:cs="Calibri"/>
          <w:color w:val="000000"/>
          <w:lang w:eastAsia="en-ID"/>
        </w:rPr>
        <w:t>a general confiscation of the entire assets of the bankrupt debtor</w:t>
      </w:r>
      <w:r w:rsidR="00AB1B5B">
        <w:rPr>
          <w:rFonts w:ascii="Candara" w:eastAsia="Times New Roman" w:hAnsi="Candara" w:cs="Calibri"/>
          <w:color w:val="000000"/>
          <w:lang w:eastAsia="en-ID"/>
        </w:rPr>
        <w:t xml:space="preserve"> </w:t>
      </w:r>
      <w:r w:rsidR="00FA1870">
        <w:rPr>
          <w:rFonts w:ascii="Candara" w:hAnsi="Candara" w:cs="Arial"/>
        </w:rPr>
        <w:fldChar w:fldCharType="begin" w:fldLock="1"/>
      </w:r>
      <w:r w:rsidR="00FA1870">
        <w:rPr>
          <w:rFonts w:ascii="Candara" w:hAnsi="Candara" w:cs="Arial"/>
        </w:rPr>
        <w:instrText>ADDIN CSL_CITATION {"citationItems":[{"id":"ITEM-1","itemData":{"author":[{"dropping-particle":"","family":"Nugroho","given":"Susanti Adi","non-dropping-particle":"","parse-names":false,"suffix":""}],"id":"ITEM-1","issued":{"date-parts":[["2018"]]},"publisher":"PRENADAMEDIA GROUP (Divisi Kencana)","publisher-place":"Jakarta","title":"Hukum Kepailitan Di Indonesia Dalam Teori dan Praktik Serta Penerapan Hukumnya","type":"article-journal"},"uris":["http://www.mendeley.com/documents/?uuid=5cad4c29-01f9-42dc-84f0-c2c289ee6a6f"]}],"mendeley":{"formattedCitation":"(Nugroho, 2018)","plainTextFormattedCitation":"(Nugroho, 2018)","previouslyFormattedCitation":"(Nugroho, 2018)"},"properties":{"noteIndex":0},"schema":"https://github.com/citation-style-language/schema/raw/master/csl-citation.json"}</w:instrText>
      </w:r>
      <w:r w:rsidR="00FA1870">
        <w:rPr>
          <w:rFonts w:ascii="Candara" w:hAnsi="Candara" w:cs="Arial"/>
        </w:rPr>
        <w:fldChar w:fldCharType="separate"/>
      </w:r>
      <w:r w:rsidR="00FA1870" w:rsidRPr="00FA1870">
        <w:rPr>
          <w:rFonts w:ascii="Candara" w:hAnsi="Candara" w:cs="Arial"/>
          <w:noProof/>
        </w:rPr>
        <w:t>(Nugroho, 2018)</w:t>
      </w:r>
      <w:r w:rsidR="00FA1870">
        <w:rPr>
          <w:rFonts w:ascii="Candara" w:hAnsi="Candara" w:cs="Arial"/>
        </w:rPr>
        <w:fldChar w:fldCharType="end"/>
      </w:r>
      <w:r w:rsidR="00072624" w:rsidRPr="00072624">
        <w:rPr>
          <w:rFonts w:ascii="Candara" w:hAnsi="Candara" w:cs="Arial"/>
        </w:rPr>
        <w:t>.</w:t>
      </w:r>
    </w:p>
    <w:p w14:paraId="3AB61DD0" w14:textId="7EF7E11D" w:rsidR="00072624" w:rsidRPr="00072624" w:rsidRDefault="00FA1870" w:rsidP="00290CF2">
      <w:pPr>
        <w:spacing w:after="0" w:line="240" w:lineRule="auto"/>
        <w:ind w:firstLine="450"/>
        <w:jc w:val="both"/>
        <w:rPr>
          <w:rFonts w:ascii="Candara" w:hAnsi="Candara" w:cs="Arial"/>
        </w:rPr>
      </w:pPr>
      <w:r>
        <w:rPr>
          <w:rFonts w:ascii="Candara" w:hAnsi="Candara" w:cs="Arial"/>
        </w:rPr>
        <w:fldChar w:fldCharType="begin" w:fldLock="1"/>
      </w:r>
      <w:r>
        <w:rPr>
          <w:rFonts w:ascii="Candara" w:hAnsi="Candara" w:cs="Arial"/>
        </w:rPr>
        <w:instrText>ADDIN CSL_CITATION {"citationItems":[{"id":"ITEM-1","itemData":{"author":[{"dropping-particle":"al","family":"Albrecht","given":"W. Steve et","non-dropping-particle":"","parse-names":false,"suffix":""}],"edition":"6","id":"ITEM-1","issued":{"date-parts":[["2019"]]},"publisher":"E-Book","title":"Fraud Examination 6th Edition","type":"book"},"uris":["http://www.mendeley.com/documents/?uuid=5b0a9332-8f31-41be-83fe-814cba5a6c19"]}],"mendeley":{"formattedCitation":"(Albrecht, 2019)","plainTextFormattedCitation":"(Albrecht, 2019)","previouslyFormattedCitation":"(Albrecht, 2019)"},"properties":{"noteIndex":0},"schema":"https://github.com/citation-style-language/schema/raw/master/csl-citation.json"}</w:instrText>
      </w:r>
      <w:r>
        <w:rPr>
          <w:rFonts w:ascii="Candara" w:hAnsi="Candara" w:cs="Arial"/>
        </w:rPr>
        <w:fldChar w:fldCharType="separate"/>
      </w:r>
      <w:r w:rsidR="00434BE8">
        <w:rPr>
          <w:rFonts w:ascii="Candara" w:hAnsi="Candara" w:cs="Arial"/>
          <w:noProof/>
        </w:rPr>
        <w:t>Albrecht</w:t>
      </w:r>
      <w:r w:rsidRPr="00FA1870">
        <w:rPr>
          <w:rFonts w:ascii="Candara" w:hAnsi="Candara" w:cs="Arial"/>
          <w:noProof/>
        </w:rPr>
        <w:t xml:space="preserve"> </w:t>
      </w:r>
      <w:r w:rsidR="00434BE8">
        <w:rPr>
          <w:rFonts w:ascii="Candara" w:hAnsi="Candara" w:cs="Arial"/>
          <w:noProof/>
        </w:rPr>
        <w:t>(</w:t>
      </w:r>
      <w:r w:rsidRPr="00FA1870">
        <w:rPr>
          <w:rFonts w:ascii="Candara" w:hAnsi="Candara" w:cs="Arial"/>
          <w:noProof/>
        </w:rPr>
        <w:t>2019)</w:t>
      </w:r>
      <w:r>
        <w:rPr>
          <w:rFonts w:ascii="Candara" w:hAnsi="Candara" w:cs="Arial"/>
        </w:rPr>
        <w:fldChar w:fldCharType="end"/>
      </w:r>
      <w:r>
        <w:rPr>
          <w:rFonts w:ascii="Candara" w:hAnsi="Candara" w:cs="Arial"/>
        </w:rPr>
        <w:t xml:space="preserve"> </w:t>
      </w:r>
      <w:r w:rsidR="00B2579E" w:rsidRPr="00C6243A">
        <w:rPr>
          <w:rFonts w:ascii="Candara" w:eastAsia="Times New Roman" w:hAnsi="Candara" w:cs="Calibri"/>
          <w:color w:val="000000"/>
          <w:lang w:eastAsia="en-ID"/>
        </w:rPr>
        <w:t xml:space="preserve">has identified a </w:t>
      </w:r>
      <w:r w:rsidR="00B2579E">
        <w:rPr>
          <w:rFonts w:ascii="Candara" w:eastAsia="Times New Roman" w:hAnsi="Candara" w:cs="Calibri"/>
          <w:color w:val="000000"/>
          <w:lang w:eastAsia="en-ID"/>
        </w:rPr>
        <w:t xml:space="preserve">relationship </w:t>
      </w:r>
      <w:r w:rsidR="00B2579E" w:rsidRPr="00C6243A">
        <w:rPr>
          <w:rFonts w:ascii="Candara" w:eastAsia="Times New Roman" w:hAnsi="Candara" w:cs="Calibri"/>
          <w:color w:val="000000"/>
          <w:lang w:eastAsia="en-ID"/>
        </w:rPr>
        <w:t>between </w:t>
      </w:r>
      <w:r w:rsidR="00B2579E" w:rsidRPr="00D463E7">
        <w:rPr>
          <w:rFonts w:ascii="Candara" w:eastAsia="Times New Roman" w:hAnsi="Candara" w:cs="Calibri"/>
          <w:color w:val="000000"/>
          <w:lang w:eastAsia="en-ID"/>
        </w:rPr>
        <w:t>fraud</w:t>
      </w:r>
      <w:r w:rsidR="00B2579E" w:rsidRPr="00C6243A">
        <w:rPr>
          <w:rFonts w:ascii="Candara" w:eastAsia="Times New Roman" w:hAnsi="Candara" w:cs="Calibri"/>
          <w:i/>
          <w:iCs/>
          <w:color w:val="000000"/>
          <w:lang w:eastAsia="en-ID"/>
        </w:rPr>
        <w:t> </w:t>
      </w:r>
      <w:r w:rsidR="00B2579E" w:rsidRPr="00C6243A">
        <w:rPr>
          <w:rFonts w:ascii="Candara" w:eastAsia="Times New Roman" w:hAnsi="Candara" w:cs="Calibri"/>
          <w:color w:val="000000"/>
          <w:lang w:eastAsia="en-ID"/>
        </w:rPr>
        <w:t xml:space="preserve">and bankruptcy and divided it into </w:t>
      </w:r>
      <w:r w:rsidR="00B2579E">
        <w:rPr>
          <w:rFonts w:ascii="Candara" w:eastAsia="Times New Roman" w:hAnsi="Candara" w:cs="Calibri"/>
          <w:color w:val="000000"/>
          <w:lang w:eastAsia="en-ID"/>
        </w:rPr>
        <w:t xml:space="preserve">three </w:t>
      </w:r>
      <w:r w:rsidR="00B2579E" w:rsidRPr="00C6243A">
        <w:rPr>
          <w:rFonts w:ascii="Candara" w:eastAsia="Times New Roman" w:hAnsi="Candara" w:cs="Calibri"/>
          <w:color w:val="000000"/>
          <w:lang w:eastAsia="en-ID"/>
        </w:rPr>
        <w:t xml:space="preserve">things, </w:t>
      </w:r>
      <w:r w:rsidR="00B2579E">
        <w:rPr>
          <w:rFonts w:ascii="Candara" w:eastAsia="Times New Roman" w:hAnsi="Candara" w:cs="Calibri"/>
          <w:color w:val="000000"/>
          <w:lang w:eastAsia="en-ID"/>
        </w:rPr>
        <w:t xml:space="preserve">namely </w:t>
      </w:r>
      <w:r w:rsidR="00B2579E" w:rsidRPr="00C6243A">
        <w:rPr>
          <w:rFonts w:ascii="Candara" w:eastAsia="Times New Roman" w:hAnsi="Candara" w:cs="Calibri"/>
          <w:color w:val="000000"/>
          <w:lang w:eastAsia="en-ID"/>
        </w:rPr>
        <w:t>(1) bankruptcy due to </w:t>
      </w:r>
      <w:r w:rsidR="00B2579E" w:rsidRPr="00712835">
        <w:rPr>
          <w:rFonts w:ascii="Candara" w:eastAsia="Times New Roman" w:hAnsi="Candara" w:cs="Calibri"/>
          <w:color w:val="000000"/>
          <w:lang w:eastAsia="en-ID"/>
        </w:rPr>
        <w:t>fraud</w:t>
      </w:r>
      <w:r w:rsidR="00B2579E" w:rsidRPr="00C6243A">
        <w:rPr>
          <w:rFonts w:ascii="Candara" w:eastAsia="Times New Roman" w:hAnsi="Candara" w:cs="Calibri"/>
          <w:color w:val="000000"/>
          <w:lang w:eastAsia="en-ID"/>
        </w:rPr>
        <w:t>, (2) the use of bankruptcy to commit </w:t>
      </w:r>
      <w:r w:rsidR="00B2579E" w:rsidRPr="00712835">
        <w:rPr>
          <w:rFonts w:ascii="Candara" w:eastAsia="Times New Roman" w:hAnsi="Candara" w:cs="Calibri"/>
          <w:color w:val="000000"/>
          <w:lang w:eastAsia="en-ID"/>
        </w:rPr>
        <w:t>fraud</w:t>
      </w:r>
      <w:r w:rsidR="00B2579E" w:rsidRPr="00C6243A">
        <w:rPr>
          <w:rFonts w:ascii="Candara" w:eastAsia="Times New Roman" w:hAnsi="Candara" w:cs="Calibri"/>
          <w:color w:val="000000"/>
          <w:lang w:eastAsia="en-ID"/>
        </w:rPr>
        <w:t>,</w:t>
      </w:r>
      <w:r w:rsidR="00B2579E">
        <w:rPr>
          <w:rFonts w:ascii="Candara" w:eastAsia="Times New Roman" w:hAnsi="Candara" w:cs="Calibri"/>
          <w:color w:val="000000"/>
          <w:lang w:eastAsia="en-ID"/>
        </w:rPr>
        <w:t xml:space="preserve"> </w:t>
      </w:r>
      <w:r w:rsidR="00B2579E" w:rsidRPr="00C6243A">
        <w:rPr>
          <w:rFonts w:ascii="Candara" w:eastAsia="Times New Roman" w:hAnsi="Candara" w:cs="Calibri"/>
          <w:color w:val="000000"/>
          <w:lang w:eastAsia="en-ID"/>
        </w:rPr>
        <w:t>and (3) the use of bankruptcy to hide</w:t>
      </w:r>
      <w:r w:rsidR="00B2579E">
        <w:rPr>
          <w:rFonts w:ascii="Candara" w:eastAsia="Times New Roman" w:hAnsi="Candara" w:cs="Calibri"/>
          <w:color w:val="000000"/>
          <w:lang w:eastAsia="en-ID"/>
        </w:rPr>
        <w:t xml:space="preserve"> </w:t>
      </w:r>
      <w:r w:rsidR="00B2579E" w:rsidRPr="00712835">
        <w:rPr>
          <w:rFonts w:ascii="Candara" w:eastAsia="Times New Roman" w:hAnsi="Candara" w:cs="Calibri"/>
          <w:color w:val="000000"/>
          <w:lang w:eastAsia="en-ID"/>
        </w:rPr>
        <w:t>fraud</w:t>
      </w:r>
      <w:r w:rsidR="00B2579E">
        <w:rPr>
          <w:rFonts w:ascii="Candara" w:eastAsia="Times New Roman" w:hAnsi="Candara" w:cs="Calibri"/>
          <w:i/>
          <w:iCs/>
          <w:color w:val="000000"/>
          <w:lang w:eastAsia="en-ID"/>
        </w:rPr>
        <w:t xml:space="preserve">. </w:t>
      </w:r>
      <w:r w:rsidR="00B2579E" w:rsidRPr="00C6243A">
        <w:rPr>
          <w:rFonts w:ascii="Candara" w:eastAsia="Times New Roman" w:hAnsi="Candara" w:cs="Calibri"/>
          <w:color w:val="000000"/>
          <w:lang w:eastAsia="en-ID"/>
        </w:rPr>
        <w:t>Bankruptcy can also be used as tax avoidance</w:t>
      </w:r>
      <w:r w:rsidR="00B2579E">
        <w:rPr>
          <w:rFonts w:ascii="Candara" w:eastAsia="Times New Roman" w:hAnsi="Candara" w:cs="Calibri"/>
          <w:color w:val="000000"/>
          <w:lang w:eastAsia="en-ID"/>
        </w:rPr>
        <w:t xml:space="preserve"> </w:t>
      </w:r>
      <w:r>
        <w:rPr>
          <w:rFonts w:ascii="Candara" w:hAnsi="Candara" w:cs="Arial"/>
        </w:rPr>
        <w:fldChar w:fldCharType="begin" w:fldLock="1"/>
      </w:r>
      <w:r>
        <w:rPr>
          <w:rFonts w:ascii="Candara" w:hAnsi="Candara" w:cs="Arial"/>
        </w:rPr>
        <w:instrText>ADDIN CSL_CITATION {"citationItems":[{"id":"ITEM-1","itemData":{"author":[{"dropping-particle":"","family":"Yusuf","given":"Himawan","non-dropping-particle":"","parse-names":false,"suffix":""},{"dropping-particle":"","family":"Isgiyarta","given":"Jaka","non-dropping-particle":"","parse-names":false,"suffix":""}],"container-title":"Jurnal BPPK","id":"ITEM-1","issue":"1","issued":{"date-parts":[["2019"]]},"page":"20-30","title":"ANALISIS PRAKTIK PENGHINDARAN PAJAK DI BIDANG IMPOR PADA KEPAILITAN PERUSAHAAN EKSPOR IMPOR","type":"article-journal","volume":"12"},"uris":["http://www.mendeley.com/documents/?uuid=60b252e1-1c79-4692-8af1-461d675c1632"]}],"mendeley":{"formattedCitation":"(Yusuf &amp; Isgiyarta, 2019)","plainTextFormattedCitation":"(Yusuf &amp; Isgiyarta, 2019)","previouslyFormattedCitation":"(Yusuf &amp; Isgiyarta, 2019)"},"properties":{"noteIndex":0},"schema":"https://github.com/citation-style-language/schema/raw/master/csl-citation.json"}</w:instrText>
      </w:r>
      <w:r>
        <w:rPr>
          <w:rFonts w:ascii="Candara" w:hAnsi="Candara" w:cs="Arial"/>
        </w:rPr>
        <w:fldChar w:fldCharType="separate"/>
      </w:r>
      <w:r w:rsidRPr="00FA1870">
        <w:rPr>
          <w:rFonts w:ascii="Candara" w:hAnsi="Candara" w:cs="Arial"/>
          <w:noProof/>
        </w:rPr>
        <w:t>(Yusuf &amp; Isgiyarta, 2019)</w:t>
      </w:r>
      <w:r>
        <w:rPr>
          <w:rFonts w:ascii="Candara" w:hAnsi="Candara" w:cs="Arial"/>
        </w:rPr>
        <w:fldChar w:fldCharType="end"/>
      </w:r>
      <w:r w:rsidR="00072624" w:rsidRPr="00072624">
        <w:rPr>
          <w:rFonts w:ascii="Candara" w:hAnsi="Candara" w:cs="Arial"/>
        </w:rPr>
        <w:t xml:space="preserve">. </w:t>
      </w:r>
      <w:r w:rsidR="00B2579E" w:rsidRPr="00C6243A">
        <w:rPr>
          <w:rFonts w:ascii="Candara" w:eastAsia="Times New Roman" w:hAnsi="Candara" w:cs="Calibri"/>
          <w:color w:val="000000"/>
          <w:lang w:eastAsia="en-ID"/>
        </w:rPr>
        <w:t xml:space="preserve">In addition, companies that </w:t>
      </w:r>
      <w:r w:rsidR="00B2579E">
        <w:rPr>
          <w:rFonts w:ascii="Candara" w:eastAsia="Times New Roman" w:hAnsi="Candara" w:cs="Calibri"/>
          <w:color w:val="000000"/>
          <w:lang w:eastAsia="en-ID"/>
        </w:rPr>
        <w:t xml:space="preserve">go </w:t>
      </w:r>
      <w:r w:rsidR="00B2579E" w:rsidRPr="00C6243A">
        <w:rPr>
          <w:rFonts w:ascii="Candara" w:eastAsia="Times New Roman" w:hAnsi="Candara" w:cs="Calibri"/>
          <w:color w:val="000000"/>
          <w:lang w:eastAsia="en-ID"/>
        </w:rPr>
        <w:t xml:space="preserve">bankrupt tend to hide their assets </w:t>
      </w:r>
      <w:r w:rsidR="00B2579E">
        <w:rPr>
          <w:rFonts w:ascii="Candara" w:eastAsia="Times New Roman" w:hAnsi="Candara" w:cs="Calibri"/>
          <w:color w:val="000000"/>
          <w:lang w:eastAsia="en-ID"/>
        </w:rPr>
        <w:t xml:space="preserve">to avoid </w:t>
      </w:r>
      <w:r w:rsidR="00B2579E" w:rsidRPr="00C6243A">
        <w:rPr>
          <w:rFonts w:ascii="Candara" w:eastAsia="Times New Roman" w:hAnsi="Candara" w:cs="Calibri"/>
          <w:color w:val="000000"/>
          <w:lang w:eastAsia="en-ID"/>
        </w:rPr>
        <w:t>confiscat</w:t>
      </w:r>
      <w:r w:rsidR="00B2579E">
        <w:rPr>
          <w:rFonts w:ascii="Candara" w:eastAsia="Times New Roman" w:hAnsi="Candara" w:cs="Calibri"/>
          <w:color w:val="000000"/>
          <w:lang w:eastAsia="en-ID"/>
        </w:rPr>
        <w:t>ion</w:t>
      </w:r>
      <w:r w:rsidR="00B2579E" w:rsidRPr="00C6243A">
        <w:rPr>
          <w:rFonts w:ascii="Candara" w:eastAsia="Times New Roman" w:hAnsi="Candara" w:cs="Calibri"/>
          <w:color w:val="000000"/>
          <w:lang w:eastAsia="en-ID"/>
        </w:rPr>
        <w:t xml:space="preserve"> by the commercial court</w:t>
      </w:r>
      <w:r w:rsidR="00B2579E">
        <w:rPr>
          <w:rFonts w:ascii="Candara" w:eastAsia="Times New Roman" w:hAnsi="Candara" w:cs="Calibri"/>
          <w:color w:val="000000"/>
          <w:lang w:eastAsia="en-ID"/>
        </w:rPr>
        <w:t xml:space="preserve"> </w:t>
      </w:r>
      <w:r>
        <w:rPr>
          <w:rFonts w:ascii="Candara" w:hAnsi="Candara" w:cs="Arial"/>
        </w:rPr>
        <w:fldChar w:fldCharType="begin" w:fldLock="1"/>
      </w:r>
      <w:r>
        <w:rPr>
          <w:rFonts w:ascii="Candara" w:hAnsi="Candara" w:cs="Arial"/>
        </w:rPr>
        <w:instrText>ADDIN CSL_CITATION {"citationItems":[{"id":"ITEM-1","itemData":{"author":[{"dropping-particle":"","family":"Saija","given":"Ronald","non-dropping-particle":"","parse-names":false,"suffix":""}],"container-title":"Jurnal Sasi","id":"ITEM-1","issue":"2","issued":{"date-parts":[["2018"]]},"page":"114-123","title":"Perlindungan Kreditur Atas Pailit Yang Diajukan Debitur Dalam Proses Peninjauan Kembali Di Pengadilan Niaga","type":"article-journal","volume":"24"},"uris":["http://www.mendeley.com/documents/?uuid=e32443a9-4497-4422-bd1a-1de7e6c0e341"]}],"mendeley":{"formattedCitation":"(Saija, 2018)","plainTextFormattedCitation":"(Saija, 2018)","previouslyFormattedCitation":"(Saija, 2018)"},"properties":{"noteIndex":0},"schema":"https://github.com/citation-style-language/schema/raw/master/csl-citation.json"}</w:instrText>
      </w:r>
      <w:r>
        <w:rPr>
          <w:rFonts w:ascii="Candara" w:hAnsi="Candara" w:cs="Arial"/>
        </w:rPr>
        <w:fldChar w:fldCharType="separate"/>
      </w:r>
      <w:r w:rsidRPr="00FA1870">
        <w:rPr>
          <w:rFonts w:ascii="Candara" w:hAnsi="Candara" w:cs="Arial"/>
          <w:noProof/>
        </w:rPr>
        <w:t>(Saija, 2018)</w:t>
      </w:r>
      <w:r>
        <w:rPr>
          <w:rFonts w:ascii="Candara" w:hAnsi="Candara" w:cs="Arial"/>
        </w:rPr>
        <w:fldChar w:fldCharType="end"/>
      </w:r>
      <w:r w:rsidR="00072624" w:rsidRPr="00072624">
        <w:rPr>
          <w:rFonts w:ascii="Candara" w:hAnsi="Candara" w:cs="Arial"/>
        </w:rPr>
        <w:t>.</w:t>
      </w:r>
    </w:p>
    <w:p w14:paraId="77A27659" w14:textId="683B94A0" w:rsidR="00072624" w:rsidRPr="00290CF2" w:rsidRDefault="00A414D6" w:rsidP="00290CF2">
      <w:pPr>
        <w:spacing w:before="120" w:after="0" w:line="240" w:lineRule="auto"/>
        <w:jc w:val="both"/>
        <w:rPr>
          <w:rFonts w:ascii="Candara" w:hAnsi="Candara" w:cs="Arial"/>
          <w:b/>
          <w:bCs/>
        </w:rPr>
      </w:pPr>
      <w:r>
        <w:rPr>
          <w:rFonts w:ascii="Candara" w:hAnsi="Candara" w:cs="Arial"/>
          <w:b/>
          <w:bCs/>
        </w:rPr>
        <w:t>C</w:t>
      </w:r>
      <w:r w:rsidR="00072624" w:rsidRPr="00290CF2">
        <w:rPr>
          <w:rFonts w:ascii="Candara" w:hAnsi="Candara" w:cs="Arial"/>
          <w:b/>
          <w:bCs/>
        </w:rPr>
        <w:t>urator</w:t>
      </w:r>
    </w:p>
    <w:p w14:paraId="60CECB51" w14:textId="622C73E3" w:rsidR="00290CF2" w:rsidRDefault="00B2579E" w:rsidP="009C20B3">
      <w:pPr>
        <w:spacing w:after="0" w:line="240" w:lineRule="auto"/>
        <w:ind w:firstLine="450"/>
        <w:jc w:val="both"/>
        <w:rPr>
          <w:rFonts w:ascii="Candara" w:hAnsi="Candara" w:cs="Arial"/>
          <w:b/>
          <w:bCs/>
        </w:rPr>
      </w:pPr>
      <w:r>
        <w:rPr>
          <w:rFonts w:ascii="Candara" w:eastAsia="Times New Roman" w:hAnsi="Candara" w:cs="Calibri"/>
          <w:color w:val="000000"/>
          <w:lang w:eastAsia="en-ID"/>
        </w:rPr>
        <w:t>B</w:t>
      </w:r>
      <w:r w:rsidRPr="00C6243A">
        <w:rPr>
          <w:rFonts w:ascii="Candara" w:eastAsia="Times New Roman" w:hAnsi="Candara" w:cs="Calibri"/>
          <w:color w:val="000000"/>
          <w:lang w:eastAsia="en-ID"/>
        </w:rPr>
        <w:t xml:space="preserve">ankruptcy </w:t>
      </w:r>
      <w:r>
        <w:rPr>
          <w:rFonts w:ascii="Candara" w:eastAsia="Times New Roman" w:hAnsi="Candara" w:cs="Calibri"/>
          <w:color w:val="000000"/>
          <w:lang w:eastAsia="en-ID"/>
        </w:rPr>
        <w:t xml:space="preserve">will be decided by </w:t>
      </w:r>
      <w:r w:rsidRPr="00C6243A">
        <w:rPr>
          <w:rFonts w:ascii="Candara" w:eastAsia="Times New Roman" w:hAnsi="Candara" w:cs="Calibri"/>
          <w:color w:val="000000"/>
          <w:lang w:eastAsia="en-ID"/>
        </w:rPr>
        <w:t xml:space="preserve">the court when the bankrupt debtor is really in </w:t>
      </w:r>
      <w:r w:rsidRPr="00712835">
        <w:rPr>
          <w:rFonts w:ascii="Candara" w:eastAsia="Times New Roman" w:hAnsi="Candara" w:cs="Calibri"/>
          <w:color w:val="000000"/>
          <w:lang w:eastAsia="en-ID"/>
        </w:rPr>
        <w:t>insolvency</w:t>
      </w:r>
      <w:r>
        <w:rPr>
          <w:rFonts w:ascii="Candara" w:eastAsia="Times New Roman" w:hAnsi="Candara" w:cs="Calibri"/>
          <w:color w:val="000000"/>
          <w:lang w:eastAsia="en-ID"/>
        </w:rPr>
        <w:t xml:space="preserve">; in this case, </w:t>
      </w:r>
      <w:r w:rsidRPr="00C6243A">
        <w:rPr>
          <w:rFonts w:ascii="Candara" w:eastAsia="Times New Roman" w:hAnsi="Candara" w:cs="Calibri"/>
          <w:color w:val="000000"/>
          <w:lang w:eastAsia="en-ID"/>
        </w:rPr>
        <w:t xml:space="preserve">the court will </w:t>
      </w:r>
      <w:r>
        <w:rPr>
          <w:rFonts w:ascii="Candara" w:eastAsia="Times New Roman" w:hAnsi="Candara" w:cs="Calibri"/>
          <w:color w:val="000000"/>
          <w:lang w:eastAsia="en-ID"/>
        </w:rPr>
        <w:t xml:space="preserve">conduct </w:t>
      </w:r>
      <w:r w:rsidRPr="00C6243A">
        <w:rPr>
          <w:rFonts w:ascii="Candara" w:eastAsia="Times New Roman" w:hAnsi="Candara" w:cs="Calibri"/>
          <w:color w:val="000000"/>
          <w:lang w:eastAsia="en-ID"/>
        </w:rPr>
        <w:t xml:space="preserve">a general confiscation and </w:t>
      </w:r>
      <w:r>
        <w:rPr>
          <w:rFonts w:ascii="Candara" w:eastAsia="Times New Roman" w:hAnsi="Candara" w:cs="Calibri"/>
          <w:color w:val="000000"/>
          <w:lang w:eastAsia="en-ID"/>
        </w:rPr>
        <w:t xml:space="preserve">assign </w:t>
      </w:r>
      <w:r w:rsidRPr="00C6243A">
        <w:rPr>
          <w:rFonts w:ascii="Candara" w:eastAsia="Times New Roman" w:hAnsi="Candara" w:cs="Calibri"/>
          <w:color w:val="000000"/>
          <w:lang w:eastAsia="en-ID"/>
        </w:rPr>
        <w:t>the settlement of the</w:t>
      </w:r>
      <w:r w:rsidR="00DB5BB8">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bankruptcy</w:t>
      </w:r>
      <w:r w:rsidR="00DB5BB8">
        <w:rPr>
          <w:rFonts w:ascii="Candara" w:eastAsia="Times New Roman" w:hAnsi="Candara" w:cs="Calibri"/>
          <w:color w:val="000000"/>
          <w:lang w:eastAsia="en-ID"/>
        </w:rPr>
        <w:t xml:space="preserve"> </w:t>
      </w:r>
      <w:r w:rsidRPr="00712835">
        <w:rPr>
          <w:rFonts w:ascii="Candara" w:eastAsia="Times New Roman" w:hAnsi="Candara" w:cs="Calibri"/>
          <w:color w:val="000000"/>
          <w:lang w:eastAsia="en-ID"/>
        </w:rPr>
        <w:t>assets</w:t>
      </w:r>
      <w:r w:rsidR="00DB5BB8">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 xml:space="preserve">to the </w:t>
      </w:r>
      <w:r>
        <w:rPr>
          <w:rFonts w:ascii="Candara" w:eastAsia="Times New Roman" w:hAnsi="Candara" w:cs="Calibri"/>
          <w:color w:val="000000"/>
          <w:lang w:eastAsia="en-ID"/>
        </w:rPr>
        <w:t xml:space="preserve">Insolvency and Public Trustee’s Office </w:t>
      </w:r>
      <w:r w:rsidRPr="00C6243A">
        <w:rPr>
          <w:rFonts w:ascii="Candara" w:eastAsia="Times New Roman" w:hAnsi="Candara" w:cs="Calibri"/>
          <w:color w:val="000000"/>
          <w:lang w:eastAsia="en-ID"/>
        </w:rPr>
        <w:t xml:space="preserve">(BHP) or </w:t>
      </w:r>
      <w:r>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curator</w:t>
      </w:r>
      <w:r>
        <w:rPr>
          <w:rFonts w:ascii="Candara" w:eastAsia="Times New Roman" w:hAnsi="Candara" w:cs="Calibri"/>
          <w:color w:val="000000"/>
          <w:lang w:eastAsia="en-ID"/>
        </w:rPr>
        <w:t xml:space="preserve"> </w:t>
      </w:r>
      <w:r w:rsidR="00FA1870">
        <w:rPr>
          <w:rFonts w:ascii="Candara" w:hAnsi="Candara" w:cs="Arial"/>
        </w:rPr>
        <w:fldChar w:fldCharType="begin" w:fldLock="1"/>
      </w:r>
      <w:r w:rsidR="000A36CD">
        <w:rPr>
          <w:rFonts w:ascii="Candara" w:hAnsi="Candara" w:cs="Arial"/>
        </w:rPr>
        <w:instrText>ADDIN CSL_CITATION {"citationItems":[{"id":"ITEM-1","itemData":{"author":[{"dropping-particle":"","family":"Nugroho","given":"Susanti Adi","non-dropping-particle":"","parse-names":false,"suffix":""}],"id":"ITEM-1","issued":{"date-parts":[["2018"]]},"publisher":"PRENADAMEDIA GROUP (Divisi Kencana)","publisher-place":"Jakarta","title":"Hukum Kepailitan Di Indonesia Dalam Teori dan Praktik Serta Penerapan Hukumnya","type":"article-journal"},"uris":["http://www.mendeley.com/documents/?uuid=5cad4c29-01f9-42dc-84f0-c2c289ee6a6f"]}],"mendeley":{"formattedCitation":"(Nugroho, 2018)","plainTextFormattedCitation":"(Nugroho, 2018)","previouslyFormattedCitation":"(Nugroho, 2018)"},"properties":{"noteIndex":0},"schema":"https://github.com/citation-style-language/schema/raw/master/csl-citation.json"}</w:instrText>
      </w:r>
      <w:r w:rsidR="00FA1870">
        <w:rPr>
          <w:rFonts w:ascii="Candara" w:hAnsi="Candara" w:cs="Arial"/>
        </w:rPr>
        <w:fldChar w:fldCharType="separate"/>
      </w:r>
      <w:r w:rsidR="00FA1870" w:rsidRPr="00FA1870">
        <w:rPr>
          <w:rFonts w:ascii="Candara" w:hAnsi="Candara" w:cs="Arial"/>
          <w:noProof/>
        </w:rPr>
        <w:t>(Nugroho, 2018)</w:t>
      </w:r>
      <w:r w:rsidR="00FA1870">
        <w:rPr>
          <w:rFonts w:ascii="Candara" w:hAnsi="Candara" w:cs="Arial"/>
        </w:rPr>
        <w:fldChar w:fldCharType="end"/>
      </w:r>
      <w:r w:rsidR="00072624" w:rsidRPr="00072624">
        <w:rPr>
          <w:rFonts w:ascii="Candara" w:hAnsi="Candara" w:cs="Arial"/>
        </w:rPr>
        <w:t>.</w:t>
      </w:r>
      <w:r w:rsidR="00DB5BB8">
        <w:rPr>
          <w:rFonts w:ascii="Candara" w:hAnsi="Candara" w:cs="Arial"/>
        </w:rPr>
        <w:t xml:space="preserve"> </w:t>
      </w:r>
      <w:r w:rsidR="0064302C" w:rsidRPr="00C6243A">
        <w:rPr>
          <w:rFonts w:ascii="Candara" w:eastAsia="Times New Roman" w:hAnsi="Candara" w:cs="Calibri"/>
          <w:color w:val="000000"/>
          <w:lang w:eastAsia="en-ID"/>
        </w:rPr>
        <w:t xml:space="preserve">The </w:t>
      </w:r>
      <w:r w:rsidR="0064302C">
        <w:rPr>
          <w:rFonts w:ascii="Candara" w:eastAsia="Times New Roman" w:hAnsi="Candara" w:cs="Calibri"/>
          <w:color w:val="000000"/>
          <w:lang w:eastAsia="en-ID"/>
        </w:rPr>
        <w:t xml:space="preserve">provisions concerning </w:t>
      </w:r>
      <w:r w:rsidR="0064302C" w:rsidRPr="00C6243A">
        <w:rPr>
          <w:rFonts w:ascii="Candara" w:eastAsia="Times New Roman" w:hAnsi="Candara" w:cs="Calibri"/>
          <w:color w:val="000000"/>
          <w:lang w:eastAsia="en-ID"/>
        </w:rPr>
        <w:t xml:space="preserve">who can become a curator are regulated in </w:t>
      </w:r>
      <w:r w:rsidR="000A36CD">
        <w:rPr>
          <w:rFonts w:ascii="Candara" w:hAnsi="Candara" w:cs="Arial"/>
        </w:rPr>
        <w:fldChar w:fldCharType="begin" w:fldLock="1"/>
      </w:r>
      <w:r w:rsidR="007157B8">
        <w:rPr>
          <w:rFonts w:ascii="Candara" w:hAnsi="Candara" w:cs="Arial"/>
        </w:rPr>
        <w:instrText>ADDIN CSL_CITATION {"citationItems":[{"id":"ITEM-1","itemData":{"author":[{"dropping-particle":"","family":"Indonesia","given":"Republik","non-dropping-particle":"","parse-names":false,"suffix":""}],"id":"ITEM-1","issued":{"date-parts":[["2018"]]},"number":"37 Tahun 2018","title":"Peraturan Menteri Hukum dan Hak Asasi Manusia Republik Indonesia Nomor 37 tahun 2018","type":"legislation"},"uris":["http://www.mendeley.com/documents/?uuid=3d9a3365-59f8-4821-b3f3-7b585500fbcb"]}],"mendeley":{"formattedCitation":"(Peraturan Menteri Hukum Dan Hak Asasi Manusia Republik Indonesia Nomor 37 Tahun 2018, 2018)","manualFormatting":"Peraturan Menteri Hukum Dan Hak Asasi Manusia Republik Indonesia Nomor 37 Tahun 2018, 2018","plainTextFormattedCitation":"(Peraturan Menteri Hukum Dan Hak Asasi Manusia Republik Indonesia Nomor 37 Tahun 2018, 2018)","previouslyFormattedCitation":"(Peraturan Menteri Hukum Dan Hak Asasi Manusia Republik Indonesia Nomor 37 Tahun 2018, 2018)"},"properties":{"noteIndex":0},"schema":"https://github.com/citation-style-language/schema/raw/master/csl-citation.json"}</w:instrText>
      </w:r>
      <w:r w:rsidR="000A36CD">
        <w:rPr>
          <w:rFonts w:ascii="Candara" w:hAnsi="Candara" w:cs="Arial"/>
        </w:rPr>
        <w:fldChar w:fldCharType="separate"/>
      </w:r>
      <w:r w:rsidR="0064302C" w:rsidRPr="00C6243A">
        <w:rPr>
          <w:rFonts w:ascii="Candara" w:eastAsia="Times New Roman" w:hAnsi="Candara" w:cs="Calibri"/>
          <w:color w:val="000000"/>
          <w:lang w:eastAsia="en-ID"/>
        </w:rPr>
        <w:t xml:space="preserve">Regulation of the Minister of Law and Human Rights of the Republic of Indonesia Number 37 of </w:t>
      </w:r>
      <w:r w:rsidR="000A36CD" w:rsidRPr="000A36CD">
        <w:rPr>
          <w:rFonts w:ascii="Candara" w:hAnsi="Candara" w:cs="Arial"/>
          <w:noProof/>
        </w:rPr>
        <w:t>2018</w:t>
      </w:r>
      <w:r w:rsidR="000A36CD">
        <w:rPr>
          <w:rFonts w:ascii="Candara" w:hAnsi="Candara" w:cs="Arial"/>
        </w:rPr>
        <w:fldChar w:fldCharType="end"/>
      </w:r>
      <w:r w:rsidR="000A36CD">
        <w:rPr>
          <w:rFonts w:ascii="Candara" w:hAnsi="Candara" w:cs="Arial"/>
        </w:rPr>
        <w:t xml:space="preserve"> </w:t>
      </w:r>
      <w:r w:rsidR="0064302C" w:rsidRPr="00C6243A">
        <w:rPr>
          <w:rFonts w:ascii="Candara" w:eastAsia="Times New Roman" w:hAnsi="Candara" w:cs="Calibri"/>
          <w:color w:val="000000"/>
          <w:lang w:eastAsia="en-ID"/>
        </w:rPr>
        <w:t xml:space="preserve">concerning Requirements and Procedures for </w:t>
      </w:r>
      <w:r w:rsidR="0064302C">
        <w:rPr>
          <w:rFonts w:ascii="Candara" w:eastAsia="Times New Roman" w:hAnsi="Candara" w:cs="Calibri"/>
          <w:color w:val="000000"/>
          <w:lang w:eastAsia="en-ID"/>
        </w:rPr>
        <w:t xml:space="preserve">the </w:t>
      </w:r>
      <w:r w:rsidR="0064302C" w:rsidRPr="00C6243A">
        <w:rPr>
          <w:rFonts w:ascii="Candara" w:eastAsia="Times New Roman" w:hAnsi="Candara" w:cs="Calibri"/>
          <w:color w:val="000000"/>
          <w:lang w:eastAsia="en-ID"/>
        </w:rPr>
        <w:t>Registration of Curators and Management</w:t>
      </w:r>
      <w:r w:rsidR="0064302C">
        <w:rPr>
          <w:rFonts w:ascii="Candara" w:eastAsia="Times New Roman" w:hAnsi="Candara" w:cs="Calibri"/>
          <w:color w:val="000000"/>
          <w:lang w:eastAsia="en-ID"/>
        </w:rPr>
        <w:t xml:space="preserve"> Team</w:t>
      </w:r>
      <w:r w:rsidR="00072624" w:rsidRPr="00072624">
        <w:rPr>
          <w:rFonts w:ascii="Candara" w:hAnsi="Candara" w:cs="Arial"/>
        </w:rPr>
        <w:t xml:space="preserve">. </w:t>
      </w:r>
      <w:r w:rsidR="00DB5BB8">
        <w:rPr>
          <w:rFonts w:ascii="Candara" w:hAnsi="Candara" w:cs="Arial"/>
        </w:rPr>
        <w:t xml:space="preserve">The </w:t>
      </w:r>
      <w:r w:rsidR="00562D91" w:rsidRPr="00C6243A">
        <w:rPr>
          <w:rFonts w:ascii="Candara" w:eastAsia="Times New Roman" w:hAnsi="Candara" w:cs="Calibri"/>
          <w:color w:val="000000"/>
          <w:lang w:eastAsia="en-ID"/>
        </w:rPr>
        <w:t>KPKPU Law mention</w:t>
      </w:r>
      <w:r w:rsidR="00562D91">
        <w:rPr>
          <w:rFonts w:ascii="Candara" w:eastAsia="Times New Roman" w:hAnsi="Candara" w:cs="Calibri"/>
          <w:color w:val="000000"/>
          <w:lang w:eastAsia="en-ID"/>
        </w:rPr>
        <w:t>s</w:t>
      </w:r>
      <w:r w:rsidR="00562D91" w:rsidRPr="00C6243A">
        <w:rPr>
          <w:rFonts w:ascii="Candara" w:eastAsia="Times New Roman" w:hAnsi="Candara" w:cs="Calibri"/>
          <w:color w:val="000000"/>
          <w:lang w:eastAsia="en-ID"/>
        </w:rPr>
        <w:t xml:space="preserve"> that </w:t>
      </w:r>
      <w:r w:rsidR="00562D91">
        <w:rPr>
          <w:rFonts w:ascii="Candara" w:eastAsia="Times New Roman" w:hAnsi="Candara" w:cs="Calibri"/>
          <w:color w:val="000000"/>
          <w:lang w:eastAsia="en-ID"/>
        </w:rPr>
        <w:t xml:space="preserve">the </w:t>
      </w:r>
      <w:r w:rsidR="00562D91" w:rsidRPr="00C6243A">
        <w:rPr>
          <w:rFonts w:ascii="Candara" w:eastAsia="Times New Roman" w:hAnsi="Candara" w:cs="Calibri"/>
          <w:color w:val="000000"/>
          <w:lang w:eastAsia="en-ID"/>
        </w:rPr>
        <w:t xml:space="preserve">bankruptcy </w:t>
      </w:r>
      <w:r w:rsidR="00562D91">
        <w:rPr>
          <w:rFonts w:ascii="Candara" w:eastAsia="Times New Roman" w:hAnsi="Candara" w:cs="Calibri"/>
          <w:color w:val="000000"/>
          <w:lang w:eastAsia="en-ID"/>
        </w:rPr>
        <w:t xml:space="preserve">settlement tasks assigned to a </w:t>
      </w:r>
      <w:r w:rsidR="00562D91" w:rsidRPr="00C6243A">
        <w:rPr>
          <w:rFonts w:ascii="Candara" w:eastAsia="Times New Roman" w:hAnsi="Candara" w:cs="Calibri"/>
          <w:color w:val="000000"/>
          <w:lang w:eastAsia="en-ID"/>
        </w:rPr>
        <w:t xml:space="preserve">curator </w:t>
      </w:r>
      <w:r w:rsidR="00562D91">
        <w:rPr>
          <w:rFonts w:ascii="Candara" w:eastAsia="Times New Roman" w:hAnsi="Candara" w:cs="Calibri"/>
          <w:color w:val="000000"/>
          <w:lang w:eastAsia="en-ID"/>
        </w:rPr>
        <w:t xml:space="preserve">include managing </w:t>
      </w:r>
      <w:r w:rsidR="00562D91" w:rsidRPr="00C6243A">
        <w:rPr>
          <w:rFonts w:ascii="Candara" w:eastAsia="Times New Roman" w:hAnsi="Candara" w:cs="Calibri"/>
          <w:color w:val="000000"/>
          <w:lang w:eastAsia="en-ID"/>
        </w:rPr>
        <w:t>and/or settl</w:t>
      </w:r>
      <w:r w:rsidR="00562D91">
        <w:rPr>
          <w:rFonts w:ascii="Candara" w:eastAsia="Times New Roman" w:hAnsi="Candara" w:cs="Calibri"/>
          <w:color w:val="000000"/>
          <w:lang w:eastAsia="en-ID"/>
        </w:rPr>
        <w:t xml:space="preserve">ing the </w:t>
      </w:r>
      <w:r w:rsidR="00562D91" w:rsidRPr="00C6243A">
        <w:rPr>
          <w:rFonts w:ascii="Candara" w:eastAsia="Times New Roman" w:hAnsi="Candara" w:cs="Calibri"/>
          <w:color w:val="000000"/>
          <w:lang w:eastAsia="en-ID"/>
        </w:rPr>
        <w:t>bankruptcy assets</w:t>
      </w:r>
      <w:r w:rsidR="00562D91">
        <w:rPr>
          <w:rFonts w:ascii="Candara" w:eastAsia="Times New Roman" w:hAnsi="Candara" w:cs="Calibri"/>
          <w:color w:val="000000"/>
          <w:lang w:eastAsia="en-ID"/>
        </w:rPr>
        <w:t xml:space="preserve">, </w:t>
      </w:r>
      <w:r w:rsidR="00562D91" w:rsidRPr="00C6243A">
        <w:rPr>
          <w:rFonts w:ascii="Candara" w:eastAsia="Times New Roman" w:hAnsi="Candara" w:cs="Calibri"/>
          <w:color w:val="000000"/>
          <w:lang w:eastAsia="en-ID"/>
        </w:rPr>
        <w:t>mean</w:t>
      </w:r>
      <w:r w:rsidR="00562D91">
        <w:rPr>
          <w:rFonts w:ascii="Candara" w:eastAsia="Times New Roman" w:hAnsi="Candara" w:cs="Calibri"/>
          <w:color w:val="000000"/>
          <w:lang w:eastAsia="en-ID"/>
        </w:rPr>
        <w:t>ing</w:t>
      </w:r>
      <w:r w:rsidR="00562D91" w:rsidRPr="00C6243A">
        <w:rPr>
          <w:rFonts w:ascii="Candara" w:eastAsia="Times New Roman" w:hAnsi="Candara" w:cs="Calibri"/>
          <w:color w:val="000000"/>
          <w:lang w:eastAsia="en-ID"/>
        </w:rPr>
        <w:t xml:space="preserve"> that the task</w:t>
      </w:r>
      <w:r w:rsidR="00562D91">
        <w:rPr>
          <w:rFonts w:ascii="Candara" w:eastAsia="Times New Roman" w:hAnsi="Candara" w:cs="Calibri"/>
          <w:color w:val="000000"/>
          <w:lang w:eastAsia="en-ID"/>
        </w:rPr>
        <w:t>s</w:t>
      </w:r>
      <w:r w:rsidR="00562D91" w:rsidRPr="00C6243A">
        <w:rPr>
          <w:rFonts w:ascii="Candara" w:eastAsia="Times New Roman" w:hAnsi="Candara" w:cs="Calibri"/>
          <w:color w:val="000000"/>
          <w:lang w:eastAsia="en-ID"/>
        </w:rPr>
        <w:t xml:space="preserve"> of the curator </w:t>
      </w:r>
      <w:r w:rsidR="00562D91">
        <w:rPr>
          <w:rFonts w:ascii="Candara" w:eastAsia="Times New Roman" w:hAnsi="Candara" w:cs="Calibri"/>
          <w:color w:val="000000"/>
          <w:lang w:eastAsia="en-ID"/>
        </w:rPr>
        <w:t xml:space="preserve">start </w:t>
      </w:r>
      <w:r w:rsidR="00562D91" w:rsidRPr="00C6243A">
        <w:rPr>
          <w:rFonts w:ascii="Candara" w:eastAsia="Times New Roman" w:hAnsi="Candara" w:cs="Calibri"/>
          <w:color w:val="000000"/>
          <w:lang w:eastAsia="en-ID"/>
        </w:rPr>
        <w:t xml:space="preserve">since the </w:t>
      </w:r>
      <w:r w:rsidR="00562D91">
        <w:rPr>
          <w:rFonts w:ascii="Candara" w:eastAsia="Times New Roman" w:hAnsi="Candara" w:cs="Calibri"/>
          <w:color w:val="000000"/>
          <w:lang w:eastAsia="en-ID"/>
        </w:rPr>
        <w:t xml:space="preserve">date of the </w:t>
      </w:r>
      <w:r w:rsidR="00562D91" w:rsidRPr="00C6243A">
        <w:rPr>
          <w:rFonts w:ascii="Candara" w:eastAsia="Times New Roman" w:hAnsi="Candara" w:cs="Calibri"/>
          <w:color w:val="000000"/>
          <w:lang w:eastAsia="en-ID"/>
        </w:rPr>
        <w:t xml:space="preserve">court </w:t>
      </w:r>
      <w:r w:rsidR="00562D91">
        <w:rPr>
          <w:rFonts w:ascii="Candara" w:eastAsia="Times New Roman" w:hAnsi="Candara" w:cs="Calibri"/>
          <w:color w:val="000000"/>
          <w:lang w:eastAsia="en-ID"/>
        </w:rPr>
        <w:t xml:space="preserve">decision </w:t>
      </w:r>
      <w:r w:rsidR="00562D91" w:rsidRPr="00C6243A">
        <w:rPr>
          <w:rFonts w:ascii="Candara" w:eastAsia="Times New Roman" w:hAnsi="Candara" w:cs="Calibri"/>
          <w:color w:val="000000"/>
          <w:lang w:eastAsia="en-ID"/>
        </w:rPr>
        <w:t xml:space="preserve">until </w:t>
      </w:r>
      <w:r w:rsidR="00562D91">
        <w:rPr>
          <w:rFonts w:ascii="Candara" w:eastAsia="Times New Roman" w:hAnsi="Candara" w:cs="Calibri"/>
          <w:color w:val="000000"/>
          <w:lang w:eastAsia="en-ID"/>
        </w:rPr>
        <w:t xml:space="preserve">there is </w:t>
      </w:r>
      <w:r w:rsidR="00562D91" w:rsidRPr="00C6243A">
        <w:rPr>
          <w:rFonts w:ascii="Candara" w:eastAsia="Times New Roman" w:hAnsi="Candara" w:cs="Calibri"/>
          <w:color w:val="000000"/>
          <w:lang w:eastAsia="en-ID"/>
        </w:rPr>
        <w:t xml:space="preserve">a peace </w:t>
      </w:r>
      <w:r w:rsidR="00562D91">
        <w:rPr>
          <w:rFonts w:ascii="Candara" w:eastAsia="Times New Roman" w:hAnsi="Candara" w:cs="Calibri"/>
          <w:color w:val="000000"/>
          <w:lang w:eastAsia="en-ID"/>
        </w:rPr>
        <w:t xml:space="preserve">agreement </w:t>
      </w:r>
      <w:r w:rsidR="00562D91" w:rsidRPr="00C6243A">
        <w:rPr>
          <w:rFonts w:ascii="Candara" w:eastAsia="Times New Roman" w:hAnsi="Candara" w:cs="Calibri"/>
          <w:color w:val="000000"/>
          <w:lang w:eastAsia="en-ID"/>
        </w:rPr>
        <w:t xml:space="preserve">plan by creditors and </w:t>
      </w:r>
      <w:r w:rsidR="00562D91">
        <w:rPr>
          <w:rFonts w:ascii="Candara" w:eastAsia="Times New Roman" w:hAnsi="Candara" w:cs="Calibri"/>
          <w:color w:val="000000"/>
          <w:lang w:eastAsia="en-ID"/>
        </w:rPr>
        <w:t xml:space="preserve">approved </w:t>
      </w:r>
      <w:r w:rsidR="00562D91" w:rsidRPr="00C6243A">
        <w:rPr>
          <w:rFonts w:ascii="Candara" w:eastAsia="Times New Roman" w:hAnsi="Candara" w:cs="Calibri"/>
          <w:color w:val="000000"/>
          <w:lang w:eastAsia="en-ID"/>
        </w:rPr>
        <w:t xml:space="preserve">by the judges or even </w:t>
      </w:r>
      <w:r w:rsidR="00562D91">
        <w:rPr>
          <w:rFonts w:ascii="Candara" w:eastAsia="Times New Roman" w:hAnsi="Candara" w:cs="Calibri"/>
          <w:color w:val="000000"/>
          <w:lang w:eastAsia="en-ID"/>
        </w:rPr>
        <w:t xml:space="preserve">until the </w:t>
      </w:r>
      <w:r w:rsidR="00562D91" w:rsidRPr="00C6243A">
        <w:rPr>
          <w:rFonts w:ascii="Candara" w:eastAsia="Times New Roman" w:hAnsi="Candara" w:cs="Calibri"/>
          <w:color w:val="000000"/>
          <w:lang w:eastAsia="en-ID"/>
        </w:rPr>
        <w:t>di</w:t>
      </w:r>
      <w:r w:rsidR="00562D91">
        <w:rPr>
          <w:rFonts w:ascii="Candara" w:eastAsia="Times New Roman" w:hAnsi="Candara" w:cs="Calibri"/>
          <w:color w:val="000000"/>
          <w:lang w:eastAsia="en-ID"/>
        </w:rPr>
        <w:t xml:space="preserve">stribution </w:t>
      </w:r>
      <w:r w:rsidR="00562D91" w:rsidRPr="00C6243A">
        <w:rPr>
          <w:rFonts w:ascii="Candara" w:eastAsia="Times New Roman" w:hAnsi="Candara" w:cs="Calibri"/>
          <w:color w:val="000000"/>
          <w:lang w:eastAsia="en-ID"/>
        </w:rPr>
        <w:t xml:space="preserve">of </w:t>
      </w:r>
      <w:r w:rsidR="00562D91">
        <w:rPr>
          <w:rFonts w:ascii="Candara" w:eastAsia="Times New Roman" w:hAnsi="Candara" w:cs="Calibri"/>
          <w:color w:val="000000"/>
          <w:lang w:eastAsia="en-ID"/>
        </w:rPr>
        <w:t xml:space="preserve">the </w:t>
      </w:r>
      <w:r w:rsidR="00562D91" w:rsidRPr="00C6243A">
        <w:rPr>
          <w:rFonts w:ascii="Candara" w:eastAsia="Times New Roman" w:hAnsi="Candara" w:cs="Calibri"/>
          <w:color w:val="000000"/>
          <w:lang w:eastAsia="en-ID"/>
        </w:rPr>
        <w:t>bankrupt</w:t>
      </w:r>
      <w:r w:rsidR="00562D91">
        <w:rPr>
          <w:rFonts w:ascii="Candara" w:eastAsia="Times New Roman" w:hAnsi="Candara" w:cs="Calibri"/>
          <w:color w:val="000000"/>
          <w:lang w:eastAsia="en-ID"/>
        </w:rPr>
        <w:t>cy assets is finished</w:t>
      </w:r>
      <w:r w:rsidR="00072624" w:rsidRPr="00072624">
        <w:rPr>
          <w:rFonts w:ascii="Candara" w:hAnsi="Candara" w:cs="Arial"/>
        </w:rPr>
        <w:t>.</w:t>
      </w:r>
    </w:p>
    <w:p w14:paraId="43269FEB" w14:textId="4AF39403" w:rsidR="00072624" w:rsidRPr="00290CF2" w:rsidRDefault="00A414D6" w:rsidP="00290CF2">
      <w:pPr>
        <w:spacing w:before="120" w:after="0" w:line="240" w:lineRule="auto"/>
        <w:jc w:val="both"/>
        <w:rPr>
          <w:rFonts w:ascii="Candara" w:hAnsi="Candara" w:cs="Arial"/>
          <w:b/>
          <w:bCs/>
        </w:rPr>
      </w:pPr>
      <w:r>
        <w:rPr>
          <w:rFonts w:ascii="Candara" w:hAnsi="Candara" w:cs="Arial"/>
          <w:b/>
          <w:bCs/>
        </w:rPr>
        <w:t>Forensic Accounting</w:t>
      </w:r>
    </w:p>
    <w:p w14:paraId="3BD1CA65" w14:textId="5D33495A" w:rsidR="00072624" w:rsidRPr="00072624" w:rsidRDefault="006E1F13" w:rsidP="00290CF2">
      <w:pPr>
        <w:spacing w:after="0" w:line="240" w:lineRule="auto"/>
        <w:ind w:firstLine="450"/>
        <w:jc w:val="both"/>
        <w:rPr>
          <w:rFonts w:ascii="Candara" w:hAnsi="Candara" w:cs="Arial"/>
        </w:rPr>
      </w:pPr>
      <w:r>
        <w:rPr>
          <w:rFonts w:ascii="Candara" w:eastAsia="Times New Roman" w:hAnsi="Candara" w:cs="Calibri"/>
          <w:color w:val="000000"/>
          <w:lang w:eastAsia="en-ID"/>
        </w:rPr>
        <w:t>T</w:t>
      </w:r>
      <w:r w:rsidRPr="00C6243A">
        <w:rPr>
          <w:rFonts w:ascii="Candara" w:eastAsia="Times New Roman" w:hAnsi="Candara" w:cs="Calibri"/>
          <w:color w:val="000000"/>
          <w:lang w:eastAsia="en-ID"/>
        </w:rPr>
        <w:t>wo approaches can be used to identify</w:t>
      </w:r>
      <w:r w:rsidR="00D26188">
        <w:rPr>
          <w:rFonts w:ascii="Candara" w:eastAsia="Times New Roman" w:hAnsi="Candara" w:cs="Calibri"/>
          <w:color w:val="000000"/>
          <w:lang w:eastAsia="en-ID"/>
        </w:rPr>
        <w:t xml:space="preserve"> </w:t>
      </w:r>
      <w:r w:rsidRPr="00AD63BB">
        <w:rPr>
          <w:rFonts w:ascii="Candara" w:eastAsia="Times New Roman" w:hAnsi="Candara" w:cs="Calibri"/>
          <w:color w:val="000000"/>
          <w:lang w:eastAsia="en-ID"/>
        </w:rPr>
        <w:t>fraud</w:t>
      </w:r>
      <w:r w:rsidR="00D26188">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in</w:t>
      </w:r>
      <w:r w:rsidR="00D26188">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bankruptcy, namely </w:t>
      </w:r>
      <w:r w:rsidRPr="00AD63BB">
        <w:rPr>
          <w:rFonts w:ascii="Candara" w:eastAsia="Times New Roman" w:hAnsi="Candara" w:cs="Calibri"/>
          <w:color w:val="000000"/>
          <w:lang w:eastAsia="en-ID"/>
        </w:rPr>
        <w:t>red flags</w:t>
      </w:r>
      <w:r>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 xml:space="preserve">in financial </w:t>
      </w:r>
      <w:r>
        <w:rPr>
          <w:rFonts w:ascii="Candara" w:eastAsia="Times New Roman" w:hAnsi="Candara" w:cs="Calibri"/>
          <w:color w:val="000000"/>
          <w:lang w:eastAsia="en-ID"/>
        </w:rPr>
        <w:t xml:space="preserve">statements </w:t>
      </w:r>
      <w:r w:rsidRPr="00C6243A">
        <w:rPr>
          <w:rFonts w:ascii="Candara" w:eastAsia="Times New Roman" w:hAnsi="Candara" w:cs="Calibri"/>
          <w:color w:val="000000"/>
          <w:lang w:eastAsia="en-ID"/>
        </w:rPr>
        <w:t>followed by investigations and indicators on financial and non-financial performance</w:t>
      </w:r>
      <w:r w:rsidR="00D26188">
        <w:rPr>
          <w:rFonts w:ascii="Candara" w:hAnsi="Candara" w:cs="Arial"/>
        </w:rPr>
        <w:t xml:space="preserve"> </w:t>
      </w:r>
      <w:r w:rsidR="007157B8">
        <w:rPr>
          <w:rFonts w:ascii="Candara" w:hAnsi="Candara" w:cs="Arial"/>
        </w:rPr>
        <w:fldChar w:fldCharType="begin" w:fldLock="1"/>
      </w:r>
      <w:r w:rsidR="007157B8">
        <w:rPr>
          <w:rFonts w:ascii="Candara" w:hAnsi="Candara" w:cs="Arial"/>
        </w:rPr>
        <w:instrText>ADDIN CSL_CITATION {"citationItems":[{"id":"ITEM-1","itemData":{"author":[{"dropping-particle":"","family":"Liodorova","given":"Julija","non-dropping-particle":"","parse-names":false,"suffix":""},{"dropping-particle":"","family":"Voronova","given":"Irina","non-dropping-particle":"","parse-names":false,"suffix":""}],"container-title":"Soci‚lo Zin‚tÚu VÁstnesis","id":"ITEM-1","issue":"30","issued":{"date-parts":[["2020"]]},"page":"7-29","title":"FINANCIAL RATIOS FOR DETECTION OF COMPANYíS INSOLVENCY AND BANKRUPTCY FRAUD: SIMILARITIES AND DIFFERENCES","type":"article-journal","volume":"1"},"uris":["http://www.mendeley.com/documents/?uuid=1853a211-1c54-4276-8f71-886dff8b083d"]}],"mendeley":{"formattedCitation":"(Liodorova &amp; Voronova, 2020)","plainTextFormattedCitation":"(Liodorova &amp; Voronova, 2020)","previouslyFormattedCitation":"(Liodorova &amp; Voronova, 2020)"},"properties":{"noteIndex":0},"schema":"https://github.com/citation-style-language/schema/raw/master/csl-citation.json"}</w:instrText>
      </w:r>
      <w:r w:rsidR="007157B8">
        <w:rPr>
          <w:rFonts w:ascii="Candara" w:hAnsi="Candara" w:cs="Arial"/>
        </w:rPr>
        <w:fldChar w:fldCharType="separate"/>
      </w:r>
      <w:r w:rsidR="007157B8" w:rsidRPr="007157B8">
        <w:rPr>
          <w:rFonts w:ascii="Candara" w:hAnsi="Candara" w:cs="Arial"/>
          <w:noProof/>
        </w:rPr>
        <w:t>(Liodorova &amp; Voronova, 2020)</w:t>
      </w:r>
      <w:r w:rsidR="007157B8">
        <w:rPr>
          <w:rFonts w:ascii="Candara" w:hAnsi="Candara" w:cs="Arial"/>
        </w:rPr>
        <w:fldChar w:fldCharType="end"/>
      </w:r>
      <w:r w:rsidR="00072624" w:rsidRPr="00072624">
        <w:rPr>
          <w:rFonts w:ascii="Candara" w:hAnsi="Candara" w:cs="Arial"/>
        </w:rPr>
        <w:t xml:space="preserve">. </w:t>
      </w:r>
      <w:r>
        <w:rPr>
          <w:rFonts w:ascii="Candara" w:eastAsia="Times New Roman" w:hAnsi="Candara" w:cs="Calibri"/>
          <w:color w:val="000000"/>
          <w:lang w:eastAsia="en-ID"/>
        </w:rPr>
        <w:t xml:space="preserve">Currently, </w:t>
      </w:r>
      <w:r w:rsidRPr="00C6243A">
        <w:rPr>
          <w:rFonts w:ascii="Candara" w:eastAsia="Times New Roman" w:hAnsi="Candara" w:cs="Calibri"/>
          <w:color w:val="000000"/>
          <w:lang w:eastAsia="en-ID"/>
        </w:rPr>
        <w:t xml:space="preserve">forensic accounting has </w:t>
      </w:r>
      <w:r>
        <w:rPr>
          <w:rFonts w:ascii="Candara" w:eastAsia="Times New Roman" w:hAnsi="Candara" w:cs="Calibri"/>
          <w:color w:val="000000"/>
          <w:lang w:eastAsia="en-ID"/>
        </w:rPr>
        <w:t xml:space="preserve">been used in </w:t>
      </w:r>
      <w:r w:rsidRPr="00C6243A">
        <w:rPr>
          <w:rFonts w:ascii="Candara" w:eastAsia="Times New Roman" w:hAnsi="Candara" w:cs="Calibri"/>
          <w:color w:val="000000"/>
          <w:lang w:eastAsia="en-ID"/>
        </w:rPr>
        <w:t>various fields such as bankruptcy, document falsification, </w:t>
      </w:r>
      <w:r w:rsidRPr="00AD63BB">
        <w:rPr>
          <w:rFonts w:ascii="Candara" w:eastAsia="Times New Roman" w:hAnsi="Candara" w:cs="Calibri"/>
          <w:color w:val="000000"/>
          <w:lang w:eastAsia="en-ID"/>
        </w:rPr>
        <w:t>computer fraud</w:t>
      </w:r>
      <w:r w:rsidRPr="00C6243A">
        <w:rPr>
          <w:rFonts w:ascii="Candara" w:eastAsia="Times New Roman" w:hAnsi="Candara" w:cs="Calibri"/>
          <w:color w:val="000000"/>
          <w:lang w:eastAsia="en-ID"/>
        </w:rPr>
        <w:t>, credit card fraud, tax fraud, tax evasion, financial manipulation, corruption analysis, </w:t>
      </w:r>
      <w:r w:rsidRPr="00AD63BB">
        <w:rPr>
          <w:rFonts w:ascii="Candara" w:eastAsia="Times New Roman" w:hAnsi="Candara" w:cs="Calibri"/>
          <w:color w:val="000000"/>
          <w:lang w:eastAsia="en-ID"/>
        </w:rPr>
        <w:t>software</w:t>
      </w:r>
      <w:r w:rsidRPr="00C6243A">
        <w:rPr>
          <w:rFonts w:ascii="Candara" w:eastAsia="Times New Roman" w:hAnsi="Candara" w:cs="Calibri"/>
          <w:i/>
          <w:iCs/>
          <w:color w:val="000000"/>
          <w:lang w:eastAsia="en-ID"/>
        </w:rPr>
        <w:t> </w:t>
      </w:r>
      <w:r w:rsidRPr="00C6243A">
        <w:rPr>
          <w:rFonts w:ascii="Candara" w:eastAsia="Times New Roman" w:hAnsi="Candara" w:cs="Calibri"/>
          <w:color w:val="000000"/>
          <w:lang w:eastAsia="en-ID"/>
        </w:rPr>
        <w:t>hacking,</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and company valuation</w:t>
      </w:r>
      <w:r>
        <w:rPr>
          <w:rFonts w:ascii="Candara" w:eastAsia="Times New Roman" w:hAnsi="Candara" w:cs="Calibri"/>
          <w:color w:val="000000"/>
          <w:lang w:eastAsia="en-ID"/>
        </w:rPr>
        <w:t xml:space="preserve"> </w:t>
      </w:r>
      <w:r w:rsidR="007157B8">
        <w:rPr>
          <w:rFonts w:ascii="Candara" w:hAnsi="Candara" w:cs="Arial"/>
        </w:rPr>
        <w:fldChar w:fldCharType="begin" w:fldLock="1"/>
      </w:r>
      <w:r w:rsidR="0067725A">
        <w:rPr>
          <w:rFonts w:ascii="Candara" w:hAnsi="Candara" w:cs="Arial"/>
        </w:rPr>
        <w:instrText>ADDIN CSL_CITATION {"citationItems":[{"id":"ITEM-1","itemData":{"DOI":"10.1108/S1569-375920200000102005","author":[{"dropping-particle":"","family":"Kılıç","given":"Burcu İşgüden","non-dropping-particle":"","parse-names":false,"suffix":""}],"container-title":"Contemporary Issues in Audit Management and Forensic Accounting (Contemporary Studies in Economic and Financial Analysis, Vol. 102), Emerald Publishing Limited","id":"ITEM-1","issued":{"date-parts":[["2020"]]},"page":"11-26","title":"The Effects of Big Data on Forensic Accounting Practices and Education","type":"article-journal","volume":"102"},"uris":["http://www.mendeley.com/documents/?uuid=37adf047-dd8b-442b-96fe-aa44f47c8d3c"]}],"mendeley":{"formattedCitation":"(Kılıç, 2020)","plainTextFormattedCitation":"(Kılıç, 2020)","previouslyFormattedCitation":"(Kılıç, 2020)"},"properties":{"noteIndex":0},"schema":"https://github.com/citation-style-language/schema/raw/master/csl-citation.json"}</w:instrText>
      </w:r>
      <w:r w:rsidR="007157B8">
        <w:rPr>
          <w:rFonts w:ascii="Candara" w:hAnsi="Candara" w:cs="Arial"/>
        </w:rPr>
        <w:fldChar w:fldCharType="separate"/>
      </w:r>
      <w:r w:rsidR="007157B8" w:rsidRPr="007157B8">
        <w:rPr>
          <w:rFonts w:ascii="Candara" w:hAnsi="Candara" w:cs="Arial"/>
          <w:noProof/>
        </w:rPr>
        <w:t>(Kılıç, 2020)</w:t>
      </w:r>
      <w:r w:rsidR="007157B8">
        <w:rPr>
          <w:rFonts w:ascii="Candara" w:hAnsi="Candara" w:cs="Arial"/>
        </w:rPr>
        <w:fldChar w:fldCharType="end"/>
      </w:r>
      <w:r w:rsidR="00072624" w:rsidRPr="00072624">
        <w:rPr>
          <w:rFonts w:ascii="Candara" w:hAnsi="Candara" w:cs="Arial"/>
        </w:rPr>
        <w:t>.</w:t>
      </w:r>
    </w:p>
    <w:p w14:paraId="7A4E5E3A" w14:textId="1EDE2917" w:rsidR="00072624" w:rsidRPr="00072624" w:rsidRDefault="006E1F13" w:rsidP="00290CF2">
      <w:pPr>
        <w:spacing w:after="0" w:line="240" w:lineRule="auto"/>
        <w:ind w:firstLine="450"/>
        <w:jc w:val="both"/>
        <w:rPr>
          <w:rFonts w:ascii="Candara" w:hAnsi="Candara" w:cs="Arial"/>
        </w:rPr>
      </w:pPr>
      <w:r w:rsidRPr="00C6243A">
        <w:rPr>
          <w:rFonts w:ascii="Candara" w:eastAsia="Times New Roman" w:hAnsi="Candara" w:cs="Calibri"/>
          <w:color w:val="000000"/>
          <w:lang w:eastAsia="en-ID"/>
        </w:rPr>
        <w:t xml:space="preserve">Forensic accounting is considered </w:t>
      </w:r>
      <w:r>
        <w:rPr>
          <w:rFonts w:ascii="Candara" w:eastAsia="Times New Roman" w:hAnsi="Candara" w:cs="Calibri"/>
          <w:color w:val="000000"/>
          <w:lang w:eastAsia="en-ID"/>
        </w:rPr>
        <w:t xml:space="preserve">as </w:t>
      </w:r>
      <w:r w:rsidRPr="00C6243A">
        <w:rPr>
          <w:rFonts w:ascii="Candara" w:eastAsia="Times New Roman" w:hAnsi="Candara" w:cs="Calibri"/>
          <w:color w:val="000000"/>
          <w:lang w:eastAsia="en-ID"/>
        </w:rPr>
        <w:t>the intersection of law and accounting.</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Forensic accounting is often described as litigation </w:t>
      </w:r>
      <w:r>
        <w:rPr>
          <w:rFonts w:ascii="Candara" w:eastAsia="Times New Roman" w:hAnsi="Candara" w:cs="Calibri"/>
          <w:color w:val="000000"/>
          <w:lang w:eastAsia="en-ID"/>
        </w:rPr>
        <w:t xml:space="preserve">that </w:t>
      </w:r>
      <w:r w:rsidRPr="00C6243A">
        <w:rPr>
          <w:rFonts w:ascii="Candara" w:eastAsia="Times New Roman" w:hAnsi="Candara" w:cs="Calibri"/>
          <w:color w:val="000000"/>
          <w:lang w:eastAsia="en-ID"/>
        </w:rPr>
        <w:t>involv</w:t>
      </w:r>
      <w:r>
        <w:rPr>
          <w:rFonts w:ascii="Candara" w:eastAsia="Times New Roman" w:hAnsi="Candara" w:cs="Calibri"/>
          <w:color w:val="000000"/>
          <w:lang w:eastAsia="en-ID"/>
        </w:rPr>
        <w:t>es</w:t>
      </w:r>
      <w:r w:rsidRPr="00C6243A">
        <w:rPr>
          <w:rFonts w:ascii="Candara" w:eastAsia="Times New Roman" w:hAnsi="Candara" w:cs="Calibri"/>
          <w:color w:val="000000"/>
          <w:lang w:eastAsia="en-ID"/>
        </w:rPr>
        <w:t xml:space="preserve"> fraud, bankruptcy, valuation</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w:t>
      </w:r>
      <w:proofErr w:type="spellStart"/>
      <w:r w:rsidRPr="00C6243A">
        <w:rPr>
          <w:rFonts w:ascii="Candara" w:eastAsia="Times New Roman" w:hAnsi="Candara" w:cs="Calibri"/>
          <w:color w:val="000000"/>
          <w:lang w:eastAsia="en-ID"/>
        </w:rPr>
        <w:t>etc</w:t>
      </w:r>
      <w:proofErr w:type="spellEnd"/>
      <w:r>
        <w:rPr>
          <w:rFonts w:ascii="Candara" w:hAnsi="Candara" w:cs="Arial"/>
        </w:rPr>
        <w:t xml:space="preserve"> </w:t>
      </w:r>
      <w:r w:rsidR="0067725A">
        <w:rPr>
          <w:rFonts w:ascii="Candara" w:hAnsi="Candara" w:cs="Arial"/>
        </w:rPr>
        <w:fldChar w:fldCharType="begin" w:fldLock="1"/>
      </w:r>
      <w:r w:rsidR="0067725A">
        <w:rPr>
          <w:rFonts w:ascii="Candara" w:hAnsi="Candara" w:cs="Arial"/>
        </w:rPr>
        <w:instrText>ADDIN CSL_CITATION {"citationItems":[{"id":"ITEM-1","itemData":{"DOI":"10.3390/su10030588","abstract":"This article examines how worldwide governance, global competiveness, and other institutional determinants have influenced the number of accounting fraud cases in several countries. The researchers have focused more closely on the importance of ‘good governance’ as one of the indicators of development objectives in itself. The institutional perspective is employed to explain the complexity of frauds in different societies which can be compatible for the purposes of international judgments in order to increase the effectiveness of previous forensic accounting theories. In this paper, a linear regression model is tested where governance, competitiveness, and other institutional variables are associated with a measure of accounting fraud cases. From our results, we can merely claim that an increased level of controlled corruption and political stability might reduce the number of fraud cases in various countries, while more effective and independent governance services with a higher freedom of expression seemed to increase them. The existence of accounting crimes also appeared to be a suitable proxy of better competitiveness. Anglo-Saxon countries have more stated fraud cases than other countries, attributed, perhaps, to the finest commercial courts with the most professional and least corrupt judges in the world, with centuries of precedent cases and experience in dealing with fraud. Moreover, we believe that a better understanding of fraud detection is a potentially important element in forensic accounting analytics in the success of governance policies to enhance development and reduce the risk of bankruptcies related to the reported fraud cases of enterprises.","author":[{"dropping-particle":"","family":"Sadaf","given":"Rabeea","non-dropping-particle":"","parse-names":false,"suffix":""},{"dropping-particle":"","family":"Oláh","given":"Judit","non-dropping-particle":"","parse-names":false,"suffix":""},{"dropping-particle":"","family":"Popp","given":"József","non-dropping-particle":"","parse-names":false,"suffix":""},{"dropping-particle":"","family":"Máté","given":"Domicián","non-dropping-particle":"","parse-names":false,"suffix":""}],"container-title":"Sustainability","id":"ITEM-1","issue":"3","issued":{"date-parts":[["2018"]]},"page":"588","title":"An Investigation of the Influence of the Worldwide Governance and Competitiveness on Accounting Fraud Cases : A Cross-Country Perspective","type":"article-journal","volume":"10"},"uris":["http://www.mendeley.com/documents/?uuid=575a14aa-36d9-4240-8f4b-573f8bdd669e"]}],"mendeley":{"formattedCitation":"(Sadaf et al., 2018)","plainTextFormattedCitation":"(Sadaf et al., 2018)","previouslyFormattedCitation":"(Sadaf et al., 2018)"},"properties":{"noteIndex":0},"schema":"https://github.com/citation-style-language/schema/raw/master/csl-citation.json"}</w:instrText>
      </w:r>
      <w:r w:rsidR="0067725A">
        <w:rPr>
          <w:rFonts w:ascii="Candara" w:hAnsi="Candara" w:cs="Arial"/>
        </w:rPr>
        <w:fldChar w:fldCharType="separate"/>
      </w:r>
      <w:r w:rsidR="0067725A" w:rsidRPr="0067725A">
        <w:rPr>
          <w:rFonts w:ascii="Candara" w:hAnsi="Candara" w:cs="Arial"/>
          <w:noProof/>
        </w:rPr>
        <w:t>(Sadaf et al., 2018)</w:t>
      </w:r>
      <w:r w:rsidR="0067725A">
        <w:rPr>
          <w:rFonts w:ascii="Candara" w:hAnsi="Candara" w:cs="Arial"/>
        </w:rPr>
        <w:fldChar w:fldCharType="end"/>
      </w:r>
      <w:r w:rsidR="00072624" w:rsidRPr="00072624">
        <w:rPr>
          <w:rFonts w:ascii="Candara" w:hAnsi="Candara" w:cs="Arial"/>
        </w:rPr>
        <w:t xml:space="preserve">. </w:t>
      </w:r>
      <w:r>
        <w:rPr>
          <w:rFonts w:ascii="Candara" w:eastAsia="Times New Roman" w:hAnsi="Candara" w:cs="Calibri"/>
          <w:color w:val="000000"/>
          <w:lang w:eastAsia="en-ID"/>
        </w:rPr>
        <w:t>F</w:t>
      </w:r>
      <w:r w:rsidRPr="00C6243A">
        <w:rPr>
          <w:rFonts w:ascii="Candara" w:eastAsia="Times New Roman" w:hAnsi="Candara" w:cs="Calibri"/>
          <w:color w:val="000000"/>
          <w:lang w:eastAsia="en-ID"/>
        </w:rPr>
        <w:t xml:space="preserve">orensic accounting </w:t>
      </w:r>
      <w:r>
        <w:rPr>
          <w:rFonts w:ascii="Candara" w:eastAsia="Times New Roman" w:hAnsi="Candara" w:cs="Calibri"/>
          <w:color w:val="000000"/>
          <w:lang w:eastAsia="en-ID"/>
        </w:rPr>
        <w:t xml:space="preserve">focuses on </w:t>
      </w:r>
      <w:r w:rsidRPr="00C6243A">
        <w:rPr>
          <w:rFonts w:ascii="Candara" w:eastAsia="Times New Roman" w:hAnsi="Candara" w:cs="Calibri"/>
          <w:color w:val="000000"/>
          <w:lang w:eastAsia="en-ID"/>
        </w:rPr>
        <w:t>the prevention and determination of</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lastRenderedPageBreak/>
        <w:t>accounting</w:t>
      </w:r>
      <w:r>
        <w:rPr>
          <w:rFonts w:ascii="Candara" w:eastAsia="Times New Roman" w:hAnsi="Candara" w:cs="Calibri"/>
          <w:color w:val="000000"/>
          <w:lang w:eastAsia="en-ID"/>
        </w:rPr>
        <w:t xml:space="preserve"> </w:t>
      </w:r>
      <w:r w:rsidRPr="00A9408E">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sidR="0067725A">
        <w:rPr>
          <w:rFonts w:ascii="Candara" w:hAnsi="Candara" w:cs="Arial"/>
        </w:rPr>
        <w:fldChar w:fldCharType="begin" w:fldLock="1"/>
      </w:r>
      <w:r w:rsidR="0067725A">
        <w:rPr>
          <w:rFonts w:ascii="Candara" w:hAnsi="Candara" w:cs="Arial"/>
        </w:rPr>
        <w:instrText>ADDIN CSL_CITATION {"citationItems":[{"id":"ITEM-1","itemData":{"DOI":"10.1016/S1361-3723(18)30098-8","ISSN":"1361-3723","author":[{"dropping-particle":"","family":"Arboleda","given":"Francisco Javier Moreno","non-dropping-particle":"","parse-names":false,"suffix":""},{"dropping-particle":"","family":"Luna","given":"Alberto Guzman","non-dropping-particle":"","parse-names":false,"suffix":""},{"dropping-particle":"","family":"Torres","given":"Ingrid-Durley","non-dropping-particle":"","parse-names":false,"suffix":""}],"container-title":"Computer Fraud &amp; Security","id":"ITEM-1","issue":"10","issued":{"date-parts":[["2018"]]},"page":"13-19","publisher":"Elsevier Ltd","title":"Fraud detection-oriented operators in a data warehouse based on forensic accounting techniques","type":"article-journal","volume":"2018"},"uris":["http://www.mendeley.com/documents/?uuid=7fd62240-b8fc-48e8-8672-9e4a947e23b2"]}],"mendeley":{"formattedCitation":"(Arboleda et al., 2018)","plainTextFormattedCitation":"(Arboleda et al., 2018)","previouslyFormattedCitation":"(Arboleda et al., 2018)"},"properties":{"noteIndex":0},"schema":"https://github.com/citation-style-language/schema/raw/master/csl-citation.json"}</w:instrText>
      </w:r>
      <w:r w:rsidR="0067725A">
        <w:rPr>
          <w:rFonts w:ascii="Candara" w:hAnsi="Candara" w:cs="Arial"/>
        </w:rPr>
        <w:fldChar w:fldCharType="separate"/>
      </w:r>
      <w:r w:rsidR="0067725A" w:rsidRPr="0067725A">
        <w:rPr>
          <w:rFonts w:ascii="Candara" w:hAnsi="Candara" w:cs="Arial"/>
          <w:noProof/>
        </w:rPr>
        <w:t>(Arboleda et al., 2018)</w:t>
      </w:r>
      <w:r w:rsidR="0067725A">
        <w:rPr>
          <w:rFonts w:ascii="Candara" w:hAnsi="Candara" w:cs="Arial"/>
        </w:rPr>
        <w:fldChar w:fldCharType="end"/>
      </w:r>
      <w:r w:rsidR="00072624" w:rsidRPr="00072624">
        <w:rPr>
          <w:rFonts w:ascii="Candara" w:hAnsi="Candara" w:cs="Arial"/>
        </w:rPr>
        <w:t xml:space="preserve">. </w:t>
      </w:r>
      <w:r>
        <w:rPr>
          <w:rFonts w:ascii="Candara" w:eastAsia="Times New Roman" w:hAnsi="Candara" w:cs="Calibri"/>
          <w:color w:val="000000"/>
          <w:lang w:eastAsia="en-ID"/>
        </w:rPr>
        <w:t>I</w:t>
      </w:r>
      <w:r w:rsidRPr="00C6243A">
        <w:rPr>
          <w:rFonts w:ascii="Candara" w:eastAsia="Times New Roman" w:hAnsi="Candara" w:cs="Calibri"/>
          <w:color w:val="000000"/>
          <w:lang w:eastAsia="en-ID"/>
        </w:rPr>
        <w:t>n</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addition to using traditional methods such as recalculation, sampling, confirmation</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and analytical procedures</w:t>
      </w:r>
      <w:r>
        <w:rPr>
          <w:rFonts w:ascii="Candara" w:eastAsia="Times New Roman" w:hAnsi="Candara" w:cs="Calibri"/>
          <w:color w:val="000000"/>
          <w:lang w:eastAsia="en-ID"/>
        </w:rPr>
        <w:t>, f</w:t>
      </w:r>
      <w:r w:rsidRPr="00C6243A">
        <w:rPr>
          <w:rFonts w:ascii="Candara" w:eastAsia="Times New Roman" w:hAnsi="Candara" w:cs="Calibri"/>
          <w:color w:val="000000"/>
          <w:lang w:eastAsia="en-ID"/>
        </w:rPr>
        <w:t xml:space="preserve">orensic accounting also uses sophisticated statistical techniques and criminal investigation techniques </w:t>
      </w:r>
      <w:r w:rsidR="0067725A">
        <w:rPr>
          <w:rFonts w:ascii="Candara" w:hAnsi="Candara" w:cs="Arial"/>
        </w:rPr>
        <w:fldChar w:fldCharType="begin" w:fldLock="1"/>
      </w:r>
      <w:r w:rsidR="0067725A">
        <w:rPr>
          <w:rFonts w:ascii="Candara" w:hAnsi="Candara" w:cs="Arial"/>
        </w:rPr>
        <w:instrText>ADDIN CSL_CITATION {"citationItems":[{"id":"ITEM-1","itemData":{"author":[{"dropping-particle":"","family":"Özcan","given":"Üyesi Ahmet","non-dropping-particle":"","parse-names":false,"suffix":""}],"container-title":"MANAS Journal of Social Studies","id":"ITEM-1","issue":"2","issued":{"date-parts":[["2019"]]},"page":"1744-1760","title":"ANALYZING THE IMPACT OF FORENSIC ACCOUNTING ON THE DETECTION OF FINANCIAL INFORMATION MANIPULATION 1 Adana Alparslan Türkeş Bilim ve Teknoloji Üniversitesi , İşletme Fakültes i 1 . INTRODUCTION Financial statements are major way through which a firm disse","type":"article-journal","volume":"8"},"uris":["http://www.mendeley.com/documents/?uuid=a139fdbf-da37-4e0f-a299-f8b9b6a30d80"]}],"mendeley":{"formattedCitation":"(Özcan, 2019)","plainTextFormattedCitation":"(Özcan, 2019)","previouslyFormattedCitation":"(Özcan, 2019)"},"properties":{"noteIndex":0},"schema":"https://github.com/citation-style-language/schema/raw/master/csl-citation.json"}</w:instrText>
      </w:r>
      <w:r w:rsidR="0067725A">
        <w:rPr>
          <w:rFonts w:ascii="Candara" w:hAnsi="Candara" w:cs="Arial"/>
        </w:rPr>
        <w:fldChar w:fldCharType="separate"/>
      </w:r>
      <w:r w:rsidR="0067725A" w:rsidRPr="0067725A">
        <w:rPr>
          <w:rFonts w:ascii="Candara" w:hAnsi="Candara" w:cs="Arial"/>
          <w:noProof/>
        </w:rPr>
        <w:t>(Özcan, 2019)</w:t>
      </w:r>
      <w:r w:rsidR="0067725A">
        <w:rPr>
          <w:rFonts w:ascii="Candara" w:hAnsi="Candara" w:cs="Arial"/>
        </w:rPr>
        <w:fldChar w:fldCharType="end"/>
      </w:r>
      <w:r w:rsidR="00072624" w:rsidRPr="00072624">
        <w:rPr>
          <w:rFonts w:ascii="Candara" w:hAnsi="Candara" w:cs="Arial"/>
        </w:rPr>
        <w:t>.</w:t>
      </w:r>
    </w:p>
    <w:p w14:paraId="2B81D999" w14:textId="77777777" w:rsidR="00072624" w:rsidRPr="00072624" w:rsidRDefault="00072624" w:rsidP="00290CF2">
      <w:pPr>
        <w:spacing w:after="0" w:line="240" w:lineRule="auto"/>
        <w:ind w:firstLine="450"/>
        <w:jc w:val="both"/>
        <w:rPr>
          <w:rFonts w:ascii="Candara" w:hAnsi="Candara" w:cs="Arial"/>
        </w:rPr>
      </w:pPr>
    </w:p>
    <w:p w14:paraId="6C78B021" w14:textId="74CF2A47" w:rsidR="000E4EB1" w:rsidRPr="00485793" w:rsidRDefault="00A414D6" w:rsidP="00290CF2">
      <w:pPr>
        <w:spacing w:after="120"/>
        <w:jc w:val="center"/>
        <w:rPr>
          <w:rFonts w:ascii="Candara" w:hAnsi="Candara" w:cs="Times New Roman"/>
          <w:b/>
          <w:sz w:val="28"/>
          <w:szCs w:val="28"/>
        </w:rPr>
      </w:pPr>
      <w:r>
        <w:rPr>
          <w:rFonts w:ascii="Candara" w:hAnsi="Candara" w:cs="Times New Roman"/>
          <w:b/>
          <w:sz w:val="28"/>
          <w:szCs w:val="28"/>
        </w:rPr>
        <w:t xml:space="preserve">RESEARCH </w:t>
      </w:r>
      <w:r w:rsidR="00290CF2">
        <w:rPr>
          <w:rFonts w:ascii="Candara" w:hAnsi="Candara" w:cs="Times New Roman"/>
          <w:b/>
          <w:sz w:val="28"/>
          <w:szCs w:val="28"/>
        </w:rPr>
        <w:t>MET</w:t>
      </w:r>
      <w:r>
        <w:rPr>
          <w:rFonts w:ascii="Candara" w:hAnsi="Candara" w:cs="Times New Roman"/>
          <w:b/>
          <w:sz w:val="28"/>
          <w:szCs w:val="28"/>
        </w:rPr>
        <w:t>HOD</w:t>
      </w:r>
    </w:p>
    <w:p w14:paraId="4506B9C8" w14:textId="31AC6B94" w:rsidR="00027E82" w:rsidRPr="00027E82" w:rsidRDefault="0073750C" w:rsidP="00027E82">
      <w:pPr>
        <w:autoSpaceDE w:val="0"/>
        <w:autoSpaceDN w:val="0"/>
        <w:adjustRightInd w:val="0"/>
        <w:spacing w:after="0" w:line="240" w:lineRule="auto"/>
        <w:ind w:firstLine="426"/>
        <w:jc w:val="both"/>
        <w:rPr>
          <w:rFonts w:ascii="Candara" w:hAnsi="Candara" w:cs="Arial"/>
        </w:rPr>
      </w:pPr>
      <w:r w:rsidRPr="00A9408E">
        <w:rPr>
          <w:rFonts w:ascii="Candara" w:eastAsia="Times New Roman" w:hAnsi="Candara" w:cs="Calibri"/>
          <w:color w:val="000000"/>
          <w:lang w:eastAsia="en-ID"/>
        </w:rPr>
        <w:t xml:space="preserve">This was a qualitative study which was carried out in three stages, namely library research, field research, and data analysis. The population of this research consisted of curators. The sampling was carried out by purposive sampling and the inclusion criteria were curators who had practiced for at least three years and had </w:t>
      </w:r>
      <w:r w:rsidR="00D26188">
        <w:rPr>
          <w:rFonts w:ascii="Candara" w:eastAsia="Times New Roman" w:hAnsi="Candara" w:cs="Calibri"/>
          <w:color w:val="000000"/>
          <w:lang w:eastAsia="en-ID"/>
        </w:rPr>
        <w:t xml:space="preserve">experiences in </w:t>
      </w:r>
      <w:r w:rsidRPr="00A9408E">
        <w:rPr>
          <w:rFonts w:ascii="Candara" w:eastAsia="Times New Roman" w:hAnsi="Candara" w:cs="Calibri"/>
          <w:color w:val="000000"/>
          <w:lang w:eastAsia="en-ID"/>
        </w:rPr>
        <w:t>resolv</w:t>
      </w:r>
      <w:r w:rsidR="00D26188">
        <w:rPr>
          <w:rFonts w:ascii="Candara" w:eastAsia="Times New Roman" w:hAnsi="Candara" w:cs="Calibri"/>
          <w:color w:val="000000"/>
          <w:lang w:eastAsia="en-ID"/>
        </w:rPr>
        <w:t>ing</w:t>
      </w:r>
      <w:r w:rsidRPr="00A9408E">
        <w:rPr>
          <w:rFonts w:ascii="Candara" w:eastAsia="Times New Roman" w:hAnsi="Candara" w:cs="Calibri"/>
          <w:color w:val="000000"/>
          <w:lang w:eastAsia="en-ID"/>
        </w:rPr>
        <w:t xml:space="preserve"> bankruptcy asset cases. The purposive sampling technique was used so the research results could be well targeted</w:t>
      </w:r>
      <w:r>
        <w:rPr>
          <w:rFonts w:ascii="Candara" w:eastAsia="Times New Roman" w:hAnsi="Candara" w:cs="Calibri"/>
          <w:color w:val="000000"/>
          <w:lang w:eastAsia="en-ID"/>
        </w:rPr>
        <w:t xml:space="preserve"> </w:t>
      </w:r>
      <w:r w:rsidR="0067725A">
        <w:rPr>
          <w:rFonts w:ascii="Candara" w:hAnsi="Candara" w:cs="Arial"/>
        </w:rPr>
        <w:fldChar w:fldCharType="begin" w:fldLock="1"/>
      </w:r>
      <w:r w:rsidR="0067725A">
        <w:rPr>
          <w:rFonts w:ascii="Candara" w:hAnsi="Candara" w:cs="Arial"/>
        </w:rPr>
        <w:instrText>ADDIN CSL_CITATION {"citationItems":[{"id":"ITEM-1","itemData":{"author":[{"dropping-particle":"","family":"Arikunto","given":"Suharsimi","non-dropping-particle":"","parse-names":false,"suffix":""}],"edition":"6","id":"ITEM-1","issued":{"date-parts":[["2019"]]},"publisher":"Rineka Cipta","publisher-place":"Jakarta","title":"Prosedur Penelitian : suatu pendekatan praktik","type":"book"},"uris":["http://www.mendeley.com/documents/?uuid=9d47615a-5522-41a6-adb7-09a0bde5e1a1"]}],"mendeley":{"formattedCitation":"(Arikunto, 2019)","plainTextFormattedCitation":"(Arikunto, 2019)","previouslyFormattedCitation":"(Arikunto, 2019)"},"properties":{"noteIndex":0},"schema":"https://github.com/citation-style-language/schema/raw/master/csl-citation.json"}</w:instrText>
      </w:r>
      <w:r w:rsidR="0067725A">
        <w:rPr>
          <w:rFonts w:ascii="Candara" w:hAnsi="Candara" w:cs="Arial"/>
        </w:rPr>
        <w:fldChar w:fldCharType="separate"/>
      </w:r>
      <w:r w:rsidR="0067725A" w:rsidRPr="0067725A">
        <w:rPr>
          <w:rFonts w:ascii="Candara" w:hAnsi="Candara" w:cs="Arial"/>
          <w:noProof/>
        </w:rPr>
        <w:t>(Arikunto, 2019)</w:t>
      </w:r>
      <w:r w:rsidR="0067725A">
        <w:rPr>
          <w:rFonts w:ascii="Candara" w:hAnsi="Candara" w:cs="Arial"/>
        </w:rPr>
        <w:fldChar w:fldCharType="end"/>
      </w:r>
      <w:r w:rsidR="00027E82" w:rsidRPr="00027E82">
        <w:rPr>
          <w:rFonts w:ascii="Candara" w:hAnsi="Candara" w:cs="Arial"/>
        </w:rPr>
        <w:t xml:space="preserve">. </w:t>
      </w:r>
    </w:p>
    <w:p w14:paraId="2E121043" w14:textId="070A553A" w:rsidR="00027E82" w:rsidRPr="00027E82" w:rsidRDefault="004A7A12" w:rsidP="00027E82">
      <w:pPr>
        <w:autoSpaceDE w:val="0"/>
        <w:autoSpaceDN w:val="0"/>
        <w:adjustRightInd w:val="0"/>
        <w:spacing w:after="0" w:line="240" w:lineRule="auto"/>
        <w:ind w:firstLine="426"/>
        <w:jc w:val="both"/>
        <w:rPr>
          <w:rFonts w:ascii="Candara" w:hAnsi="Candara" w:cs="Arial"/>
        </w:rPr>
      </w:pPr>
      <w:r w:rsidRPr="00C6243A">
        <w:rPr>
          <w:rFonts w:ascii="Candara" w:eastAsia="Times New Roman" w:hAnsi="Candara" w:cs="Calibri"/>
          <w:color w:val="000000"/>
          <w:lang w:eastAsia="en-ID"/>
        </w:rPr>
        <w:t xml:space="preserve">The data collection technique in this study </w:t>
      </w:r>
      <w:r>
        <w:rPr>
          <w:rFonts w:ascii="Candara" w:eastAsia="Times New Roman" w:hAnsi="Candara" w:cs="Calibri"/>
          <w:color w:val="000000"/>
          <w:lang w:eastAsia="en-ID"/>
        </w:rPr>
        <w:t xml:space="preserve">was </w:t>
      </w:r>
      <w:r w:rsidRPr="00A9408E">
        <w:rPr>
          <w:rFonts w:ascii="Candara" w:eastAsia="Times New Roman" w:hAnsi="Candara" w:cs="Calibri"/>
          <w:color w:val="000000"/>
          <w:lang w:eastAsia="en-ID"/>
        </w:rPr>
        <w:t>semi-structured interviews</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To</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facilitate the transcription process</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the researchers used</w:t>
      </w:r>
      <w:r>
        <w:rPr>
          <w:rFonts w:ascii="Candara" w:eastAsia="Times New Roman" w:hAnsi="Candara" w:cs="Calibri"/>
          <w:color w:val="000000"/>
          <w:lang w:eastAsia="en-ID"/>
        </w:rPr>
        <w:t xml:space="preserve"> a </w:t>
      </w:r>
      <w:r w:rsidRPr="00A9408E">
        <w:rPr>
          <w:rFonts w:ascii="Candara" w:eastAsia="Times New Roman" w:hAnsi="Candara" w:cs="Calibri"/>
          <w:color w:val="000000"/>
          <w:lang w:eastAsia="en-ID"/>
        </w:rPr>
        <w:t>voice</w:t>
      </w:r>
      <w:r w:rsidR="00D26188">
        <w:rPr>
          <w:rFonts w:ascii="Candara" w:eastAsia="Times New Roman" w:hAnsi="Candara" w:cs="Calibri"/>
          <w:color w:val="000000"/>
          <w:lang w:eastAsia="en-ID"/>
        </w:rPr>
        <w:t xml:space="preserve"> </w:t>
      </w:r>
      <w:r w:rsidRPr="00A9408E">
        <w:rPr>
          <w:rFonts w:ascii="Candara" w:eastAsia="Times New Roman" w:hAnsi="Candara" w:cs="Calibri"/>
          <w:color w:val="000000"/>
          <w:lang w:eastAsia="en-ID"/>
        </w:rPr>
        <w:t>recording</w:t>
      </w:r>
      <w:r w:rsidR="00D26188">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tool</w:t>
      </w:r>
      <w:r w:rsidR="00D26188">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after </w:t>
      </w:r>
      <w:r w:rsidRPr="00C6243A">
        <w:rPr>
          <w:rFonts w:ascii="Candara" w:eastAsia="Times New Roman" w:hAnsi="Candara" w:cs="Calibri"/>
          <w:color w:val="000000"/>
          <w:lang w:eastAsia="en-ID"/>
        </w:rPr>
        <w:t xml:space="preserve">asking </w:t>
      </w:r>
      <w:r>
        <w:rPr>
          <w:rFonts w:ascii="Candara" w:eastAsia="Times New Roman" w:hAnsi="Candara" w:cs="Calibri"/>
          <w:color w:val="000000"/>
          <w:lang w:eastAsia="en-ID"/>
        </w:rPr>
        <w:t xml:space="preserve">for </w:t>
      </w:r>
      <w:r w:rsidRPr="00C6243A">
        <w:rPr>
          <w:rFonts w:ascii="Candara" w:eastAsia="Times New Roman" w:hAnsi="Candara" w:cs="Calibri"/>
          <w:color w:val="000000"/>
          <w:lang w:eastAsia="en-ID"/>
        </w:rPr>
        <w:t xml:space="preserve">permission </w:t>
      </w:r>
      <w:r>
        <w:rPr>
          <w:rFonts w:ascii="Candara" w:eastAsia="Times New Roman" w:hAnsi="Candara" w:cs="Calibri"/>
          <w:color w:val="000000"/>
          <w:lang w:eastAsia="en-ID"/>
        </w:rPr>
        <w:t xml:space="preserve">to </w:t>
      </w:r>
      <w:r w:rsidRPr="00C6243A">
        <w:rPr>
          <w:rFonts w:ascii="Candara" w:eastAsia="Times New Roman" w:hAnsi="Candara" w:cs="Calibri"/>
          <w:color w:val="000000"/>
          <w:lang w:eastAsia="en-ID"/>
        </w:rPr>
        <w:t>the informants.</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After the transcription process was carried out, the researcher</w:t>
      </w:r>
      <w:r>
        <w:rPr>
          <w:rFonts w:ascii="Candara" w:eastAsia="Times New Roman" w:hAnsi="Candara" w:cs="Calibri"/>
          <w:color w:val="000000"/>
          <w:lang w:eastAsia="en-ID"/>
        </w:rPr>
        <w:t xml:space="preserve">s then </w:t>
      </w:r>
      <w:r w:rsidRPr="00C6243A">
        <w:rPr>
          <w:rFonts w:ascii="Candara" w:eastAsia="Times New Roman" w:hAnsi="Candara" w:cs="Calibri"/>
          <w:color w:val="000000"/>
          <w:lang w:eastAsia="en-ID"/>
        </w:rPr>
        <w:t>confirm</w:t>
      </w:r>
      <w:r>
        <w:rPr>
          <w:rFonts w:ascii="Candara" w:eastAsia="Times New Roman" w:hAnsi="Candara" w:cs="Calibri"/>
          <w:color w:val="000000"/>
          <w:lang w:eastAsia="en-ID"/>
        </w:rPr>
        <w:t xml:space="preserve">ed the results to </w:t>
      </w:r>
      <w:r w:rsidRPr="00C6243A">
        <w:rPr>
          <w:rFonts w:ascii="Candara" w:eastAsia="Times New Roman" w:hAnsi="Candara" w:cs="Calibri"/>
          <w:color w:val="000000"/>
          <w:lang w:eastAsia="en-ID"/>
        </w:rPr>
        <w:t>the informants</w:t>
      </w:r>
      <w:r>
        <w:rPr>
          <w:rFonts w:ascii="Candara" w:eastAsia="Times New Roman" w:hAnsi="Candara" w:cs="Calibri"/>
          <w:color w:val="000000"/>
          <w:lang w:eastAsia="en-ID"/>
        </w:rPr>
        <w:t xml:space="preserve">, followed by checking </w:t>
      </w:r>
      <w:r w:rsidRPr="00C6243A">
        <w:rPr>
          <w:rFonts w:ascii="Candara" w:eastAsia="Times New Roman" w:hAnsi="Candara" w:cs="Calibri"/>
          <w:color w:val="000000"/>
          <w:lang w:eastAsia="en-ID"/>
        </w:rPr>
        <w:t>the validity of the data.</w:t>
      </w:r>
      <w:r>
        <w:rPr>
          <w:rFonts w:ascii="Candara" w:eastAsia="Times New Roman" w:hAnsi="Candara" w:cs="Calibri"/>
          <w:color w:val="000000"/>
          <w:lang w:eastAsia="en-ID"/>
        </w:rPr>
        <w:t xml:space="preserve"> T</w:t>
      </w:r>
      <w:r w:rsidRPr="00C6243A">
        <w:rPr>
          <w:rFonts w:ascii="Candara" w:eastAsia="Times New Roman" w:hAnsi="Candara" w:cs="Calibri"/>
          <w:color w:val="000000"/>
          <w:lang w:eastAsia="en-ID"/>
        </w:rPr>
        <w:t xml:space="preserve">he </w:t>
      </w:r>
      <w:r>
        <w:rPr>
          <w:rFonts w:ascii="Candara" w:eastAsia="Times New Roman" w:hAnsi="Candara" w:cs="Calibri"/>
          <w:color w:val="000000"/>
          <w:lang w:eastAsia="en-ID"/>
        </w:rPr>
        <w:t xml:space="preserve">data </w:t>
      </w:r>
      <w:r w:rsidRPr="00C6243A">
        <w:rPr>
          <w:rFonts w:ascii="Candara" w:eastAsia="Times New Roman" w:hAnsi="Candara" w:cs="Calibri"/>
          <w:color w:val="000000"/>
          <w:lang w:eastAsia="en-ID"/>
        </w:rPr>
        <w:t xml:space="preserve">validity in this study </w:t>
      </w:r>
      <w:r>
        <w:rPr>
          <w:rFonts w:ascii="Candara" w:eastAsia="Times New Roman" w:hAnsi="Candara" w:cs="Calibri"/>
          <w:color w:val="000000"/>
          <w:lang w:eastAsia="en-ID"/>
        </w:rPr>
        <w:t xml:space="preserve">was tested using </w:t>
      </w:r>
      <w:r w:rsidRPr="00C6243A">
        <w:rPr>
          <w:rFonts w:ascii="Candara" w:eastAsia="Times New Roman" w:hAnsi="Candara" w:cs="Calibri"/>
          <w:color w:val="000000"/>
          <w:lang w:eastAsia="en-ID"/>
        </w:rPr>
        <w:t>two kinds of triangulation, namely triangulation of techniques and sources</w:t>
      </w:r>
      <w:r>
        <w:rPr>
          <w:rFonts w:ascii="Candara" w:eastAsia="Times New Roman" w:hAnsi="Candara" w:cs="Calibri"/>
          <w:color w:val="000000"/>
          <w:lang w:eastAsia="en-ID"/>
        </w:rPr>
        <w:t xml:space="preserve"> </w:t>
      </w:r>
      <w:r w:rsidR="0067725A">
        <w:rPr>
          <w:rFonts w:ascii="Candara" w:hAnsi="Candara" w:cs="Arial"/>
        </w:rPr>
        <w:fldChar w:fldCharType="begin" w:fldLock="1"/>
      </w:r>
      <w:r w:rsidR="0067725A">
        <w:rPr>
          <w:rFonts w:ascii="Candara" w:hAnsi="Candara" w:cs="Arial"/>
        </w:rPr>
        <w:instrText>ADDIN CSL_CITATION {"citationItems":[{"id":"ITEM-1","itemData":{"ISBN":"9795140515","author":[{"dropping-particle":"","family":"Moleong","given":"Lexy J","non-dropping-particle":"","parse-names":false,"suffix":""}],"id":"ITEM-1","issued":{"date-parts":[["2021"]]},"publisher":"PT. Remaja Rosdakarya","publisher-place":"Bandung","title":"Metodologi Penelitian Kualitatif (Edisi Revisi)","type":"book"},"uris":["http://www.mendeley.com/documents/?uuid=2a436193-8122-4fd8-ad70-f289a4c6ea89"]}],"mendeley":{"formattedCitation":"(Moleong, 2021)","plainTextFormattedCitation":"(Moleong, 2021)","previouslyFormattedCitation":"(Moleong, 2021)"},"properties":{"noteIndex":0},"schema":"https://github.com/citation-style-language/schema/raw/master/csl-citation.json"}</w:instrText>
      </w:r>
      <w:r w:rsidR="0067725A">
        <w:rPr>
          <w:rFonts w:ascii="Candara" w:hAnsi="Candara" w:cs="Arial"/>
        </w:rPr>
        <w:fldChar w:fldCharType="separate"/>
      </w:r>
      <w:r w:rsidR="0067725A" w:rsidRPr="0067725A">
        <w:rPr>
          <w:rFonts w:ascii="Candara" w:hAnsi="Candara" w:cs="Arial"/>
          <w:noProof/>
        </w:rPr>
        <w:t>(Moleong, 2021)</w:t>
      </w:r>
      <w:r w:rsidR="0067725A">
        <w:rPr>
          <w:rFonts w:ascii="Candara" w:hAnsi="Candara" w:cs="Arial"/>
        </w:rPr>
        <w:fldChar w:fldCharType="end"/>
      </w:r>
      <w:r w:rsidR="00027E82" w:rsidRPr="00027E82">
        <w:rPr>
          <w:rFonts w:ascii="Candara" w:hAnsi="Candara" w:cs="Arial"/>
        </w:rPr>
        <w:t>.</w:t>
      </w:r>
    </w:p>
    <w:p w14:paraId="4A7497CC" w14:textId="38EB868E" w:rsidR="00027E82" w:rsidRDefault="004A7A12" w:rsidP="009809BA">
      <w:pPr>
        <w:autoSpaceDE w:val="0"/>
        <w:autoSpaceDN w:val="0"/>
        <w:adjustRightInd w:val="0"/>
        <w:spacing w:after="0" w:line="240" w:lineRule="auto"/>
        <w:ind w:firstLine="426"/>
        <w:jc w:val="both"/>
        <w:rPr>
          <w:rFonts w:ascii="Candara" w:hAnsi="Candara" w:cs="Arial"/>
        </w:rPr>
      </w:pPr>
      <w:r>
        <w:rPr>
          <w:rFonts w:ascii="Candara" w:eastAsia="Times New Roman" w:hAnsi="Candara" w:cs="Calibri"/>
          <w:color w:val="000000"/>
          <w:lang w:eastAsia="en-ID"/>
        </w:rPr>
        <w:t>The d</w:t>
      </w:r>
      <w:r w:rsidRPr="00C6243A">
        <w:rPr>
          <w:rFonts w:ascii="Candara" w:eastAsia="Times New Roman" w:hAnsi="Candara" w:cs="Calibri"/>
          <w:color w:val="000000"/>
          <w:lang w:eastAsia="en-ID"/>
        </w:rPr>
        <w:t>ata analysis in this study use</w:t>
      </w:r>
      <w:r>
        <w:rPr>
          <w:rFonts w:ascii="Candara" w:eastAsia="Times New Roman" w:hAnsi="Candara" w:cs="Calibri"/>
          <w:color w:val="000000"/>
          <w:lang w:eastAsia="en-ID"/>
        </w:rPr>
        <w:t>d</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content analysis</w:t>
      </w:r>
      <w:r>
        <w:rPr>
          <w:rFonts w:ascii="Candara" w:eastAsia="Times New Roman" w:hAnsi="Candara" w:cs="Calibri"/>
          <w:color w:val="000000"/>
          <w:lang w:eastAsia="en-ID"/>
        </w:rPr>
        <w:t xml:space="preserve">, namely a </w:t>
      </w:r>
      <w:r w:rsidRPr="0091688A">
        <w:rPr>
          <w:rFonts w:ascii="Candara" w:eastAsia="Times New Roman" w:hAnsi="Candara" w:cs="Calibri"/>
          <w:color w:val="000000"/>
          <w:lang w:eastAsia="en-ID"/>
        </w:rPr>
        <w:t>relational analysis</w:t>
      </w:r>
      <w:r>
        <w:rPr>
          <w:rFonts w:ascii="Candara" w:eastAsia="Times New Roman" w:hAnsi="Candara" w:cs="Calibri"/>
          <w:color w:val="000000"/>
          <w:lang w:eastAsia="en-ID"/>
        </w:rPr>
        <w:t>,</w:t>
      </w:r>
      <w:r w:rsidR="00D26188">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because</w:t>
      </w:r>
      <w:r w:rsidR="00D26188">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this research not only examin</w:t>
      </w:r>
      <w:r>
        <w:rPr>
          <w:rFonts w:ascii="Candara" w:eastAsia="Times New Roman" w:hAnsi="Candara" w:cs="Calibri"/>
          <w:color w:val="000000"/>
          <w:lang w:eastAsia="en-ID"/>
        </w:rPr>
        <w:t>ed</w:t>
      </w:r>
      <w:r w:rsidRPr="00C6243A">
        <w:rPr>
          <w:rFonts w:ascii="Candara" w:eastAsia="Times New Roman" w:hAnsi="Candara" w:cs="Calibri"/>
          <w:color w:val="000000"/>
          <w:lang w:eastAsia="en-ID"/>
        </w:rPr>
        <w:t xml:space="preserve"> concepts but also involve</w:t>
      </w:r>
      <w:r>
        <w:rPr>
          <w:rFonts w:ascii="Candara" w:eastAsia="Times New Roman" w:hAnsi="Candara" w:cs="Calibri"/>
          <w:color w:val="000000"/>
          <w:lang w:eastAsia="en-ID"/>
        </w:rPr>
        <w:t>d</w:t>
      </w:r>
      <w:r w:rsidRPr="00C6243A">
        <w:rPr>
          <w:rFonts w:ascii="Candara" w:eastAsia="Times New Roman" w:hAnsi="Candara" w:cs="Calibri"/>
          <w:color w:val="000000"/>
          <w:lang w:eastAsia="en-ID"/>
        </w:rPr>
        <w:t xml:space="preserve"> the relationship between</w:t>
      </w:r>
      <w:r w:rsidR="00D26188">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concepts</w:t>
      </w:r>
      <w:r>
        <w:rPr>
          <w:rFonts w:ascii="Candara" w:hAnsi="Candara" w:cs="Arial"/>
        </w:rPr>
        <w:t xml:space="preserve"> </w:t>
      </w:r>
      <w:r w:rsidR="0067725A">
        <w:rPr>
          <w:rFonts w:ascii="Candara" w:hAnsi="Candara" w:cs="Arial"/>
        </w:rPr>
        <w:fldChar w:fldCharType="begin" w:fldLock="1"/>
      </w:r>
      <w:r w:rsidR="00193C72">
        <w:rPr>
          <w:rFonts w:ascii="Candara" w:hAnsi="Candara" w:cs="Arial"/>
        </w:rPr>
        <w:instrText>ADDIN CSL_CITATION {"citationItems":[{"id":"ITEM-1","itemData":{"author":[{"dropping-particle":"","family":"Sharp","given":"Ewan","non-dropping-particle":"","parse-names":false,"suffix":""}],"edition":"1st editio","id":"ITEM-1","issued":{"date-parts":[["2018"]]},"publisher":"ED-TECH PRESS","title":"Invitation to Qualitative Fieldwork : A Multilogical Approach","type":"book"},"uris":["http://www.mendeley.com/documents/?uuid=043c01b0-ceb5-442c-ba87-942872e103f4"]}],"mendeley":{"formattedCitation":"(Sharp, 2018)","plainTextFormattedCitation":"(Sharp, 2018)","previouslyFormattedCitation":"(Sharp, 2018)"},"properties":{"noteIndex":0},"schema":"https://github.com/citation-style-language/schema/raw/master/csl-citation.json"}</w:instrText>
      </w:r>
      <w:r w:rsidR="0067725A">
        <w:rPr>
          <w:rFonts w:ascii="Candara" w:hAnsi="Candara" w:cs="Arial"/>
        </w:rPr>
        <w:fldChar w:fldCharType="separate"/>
      </w:r>
      <w:r w:rsidR="009809BA">
        <w:rPr>
          <w:rFonts w:ascii="Candara" w:hAnsi="Candara" w:cs="Arial"/>
          <w:noProof/>
        </w:rPr>
        <w:t>(Sharp, 2020</w:t>
      </w:r>
      <w:r w:rsidR="0067725A" w:rsidRPr="0067725A">
        <w:rPr>
          <w:rFonts w:ascii="Candara" w:hAnsi="Candara" w:cs="Arial"/>
          <w:noProof/>
        </w:rPr>
        <w:t>)</w:t>
      </w:r>
      <w:r w:rsidR="0067725A">
        <w:rPr>
          <w:rFonts w:ascii="Candara" w:hAnsi="Candara" w:cs="Arial"/>
        </w:rPr>
        <w:fldChar w:fldCharType="end"/>
      </w:r>
      <w:r w:rsidR="00027E82" w:rsidRPr="00027E82">
        <w:rPr>
          <w:rFonts w:ascii="Candara" w:hAnsi="Candara" w:cs="Arial"/>
        </w:rPr>
        <w:t xml:space="preserve">. </w:t>
      </w:r>
      <w:r w:rsidRPr="00C6243A">
        <w:rPr>
          <w:rFonts w:ascii="Candara" w:eastAsia="Times New Roman" w:hAnsi="Candara" w:cs="Calibri"/>
          <w:color w:val="000000"/>
          <w:lang w:eastAsia="en-ID"/>
        </w:rPr>
        <w:t xml:space="preserve">The approach used in </w:t>
      </w:r>
      <w:r w:rsidR="00D26188">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 xml:space="preserve">data analysis </w:t>
      </w:r>
      <w:r>
        <w:rPr>
          <w:rFonts w:ascii="Candara" w:eastAsia="Times New Roman" w:hAnsi="Candara" w:cs="Calibri"/>
          <w:color w:val="000000"/>
          <w:lang w:eastAsia="en-ID"/>
        </w:rPr>
        <w:t>wa</w:t>
      </w:r>
      <w:r w:rsidRPr="00C6243A">
        <w:rPr>
          <w:rFonts w:ascii="Candara" w:eastAsia="Times New Roman" w:hAnsi="Candara" w:cs="Calibri"/>
          <w:color w:val="000000"/>
          <w:lang w:eastAsia="en-ID"/>
        </w:rPr>
        <w:t>s an interpretative</w:t>
      </w:r>
      <w:r w:rsidR="00D26188">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approach</w:t>
      </w:r>
      <w:r>
        <w:rPr>
          <w:rFonts w:ascii="Candara" w:hAnsi="Candara" w:cs="Arial"/>
        </w:rPr>
        <w:t xml:space="preserve"> </w:t>
      </w:r>
      <w:r w:rsidR="00193C72">
        <w:rPr>
          <w:rFonts w:ascii="Candara" w:hAnsi="Candara" w:cs="Arial"/>
        </w:rPr>
        <w:fldChar w:fldCharType="begin" w:fldLock="1"/>
      </w:r>
      <w:r w:rsidR="00AE53DB">
        <w:rPr>
          <w:rFonts w:ascii="Candara" w:hAnsi="Candara" w:cs="Arial"/>
        </w:rPr>
        <w:instrText>ADDIN CSL_CITATION {"citationItems":[{"id":"ITEM-1","itemData":{"author":[{"dropping-particle":"","family":"Lune","given":"Howars (Hunter College)","non-dropping-particle":"","parse-names":false,"suffix":""},{"dropping-particle":"","family":"Berg","given":"Bruce L. (California State University)","non-dropping-particle":"","parse-names":false,"suffix":""}],"edition":"9th Editio","id":"ITEM-1","issued":{"date-parts":[["2017"]]},"publisher":"Pearson","publisher-place":"Boston","title":"Qualitative Research Methods for the Social Sciences","type":"book"},"uris":["http://www.mendeley.com/documents/?uuid=0cb55013-82dc-4d3d-b5d0-3c6b6638e109"]}],"mendeley":{"formattedCitation":"(Lune &amp; Berg, 2017)","plainTextFormattedCitation":"(Lune &amp; Berg, 2017)","previouslyFormattedCitation":"(Lune &amp; Berg, 2017)"},"properties":{"noteIndex":0},"schema":"https://github.com/citation-style-language/schema/raw/master/csl-citation.json"}</w:instrText>
      </w:r>
      <w:r w:rsidR="00193C72">
        <w:rPr>
          <w:rFonts w:ascii="Candara" w:hAnsi="Candara" w:cs="Arial"/>
        </w:rPr>
        <w:fldChar w:fldCharType="separate"/>
      </w:r>
      <w:r w:rsidR="00193C72" w:rsidRPr="00193C72">
        <w:rPr>
          <w:rFonts w:ascii="Candara" w:hAnsi="Candara" w:cs="Arial"/>
          <w:noProof/>
        </w:rPr>
        <w:t>(Lune &amp; Berg, 2017)</w:t>
      </w:r>
      <w:r w:rsidR="00193C72">
        <w:rPr>
          <w:rFonts w:ascii="Candara" w:hAnsi="Candara" w:cs="Arial"/>
        </w:rPr>
        <w:fldChar w:fldCharType="end"/>
      </w:r>
      <w:r w:rsidR="00027E82" w:rsidRPr="00027E82">
        <w:rPr>
          <w:rFonts w:ascii="Candara" w:hAnsi="Candara" w:cs="Arial"/>
        </w:rPr>
        <w:t xml:space="preserve">. </w:t>
      </w:r>
      <w:r w:rsidRPr="00C6243A">
        <w:rPr>
          <w:rFonts w:ascii="Candara" w:eastAsia="Times New Roman" w:hAnsi="Candara" w:cs="Calibri"/>
          <w:color w:val="000000"/>
          <w:lang w:eastAsia="en-ID"/>
        </w:rPr>
        <w:t>In addition, th</w:t>
      </w:r>
      <w:r>
        <w:rPr>
          <w:rFonts w:ascii="Candara" w:eastAsia="Times New Roman" w:hAnsi="Candara" w:cs="Calibri"/>
          <w:color w:val="000000"/>
          <w:lang w:eastAsia="en-ID"/>
        </w:rPr>
        <w:t xml:space="preserve">e data analysis also </w:t>
      </w:r>
      <w:r w:rsidRPr="00C6243A">
        <w:rPr>
          <w:rFonts w:ascii="Candara" w:eastAsia="Times New Roman" w:hAnsi="Candara" w:cs="Calibri"/>
          <w:color w:val="000000"/>
          <w:lang w:eastAsia="en-ID"/>
        </w:rPr>
        <w:t>us</w:t>
      </w:r>
      <w:r>
        <w:rPr>
          <w:rFonts w:ascii="Candara" w:eastAsia="Times New Roman" w:hAnsi="Candara" w:cs="Calibri"/>
          <w:color w:val="000000"/>
          <w:lang w:eastAsia="en-ID"/>
        </w:rPr>
        <w:t>ed</w:t>
      </w:r>
      <w:r w:rsidRPr="00C6243A">
        <w:rPr>
          <w:rFonts w:ascii="Candara" w:eastAsia="Times New Roman" w:hAnsi="Candara" w:cs="Calibri"/>
          <w:color w:val="000000"/>
          <w:lang w:eastAsia="en-ID"/>
        </w:rPr>
        <w:t xml:space="preserve"> the help of </w:t>
      </w:r>
      <w:r w:rsidRPr="0091688A">
        <w:rPr>
          <w:rFonts w:ascii="Candara" w:eastAsia="Times New Roman" w:hAnsi="Candara" w:cs="Calibri"/>
          <w:color w:val="000000"/>
          <w:lang w:eastAsia="en-ID"/>
        </w:rPr>
        <w:t>Computer Assisted Qualitative Data Analysis Software</w:t>
      </w:r>
      <w:r w:rsidRPr="00C6243A">
        <w:rPr>
          <w:rFonts w:ascii="Candara" w:eastAsia="Times New Roman" w:hAnsi="Candara" w:cs="Calibri"/>
          <w:i/>
          <w:iCs/>
          <w:color w:val="000000"/>
          <w:lang w:eastAsia="en-ID"/>
        </w:rPr>
        <w:t>, </w:t>
      </w:r>
      <w:r w:rsidRPr="00C6243A">
        <w:rPr>
          <w:rFonts w:ascii="Candara" w:eastAsia="Times New Roman" w:hAnsi="Candara" w:cs="Calibri"/>
          <w:color w:val="000000"/>
          <w:lang w:eastAsia="en-ID"/>
        </w:rPr>
        <w:t xml:space="preserve">namely </w:t>
      </w:r>
      <w:proofErr w:type="spellStart"/>
      <w:r w:rsidRPr="00C6243A">
        <w:rPr>
          <w:rFonts w:ascii="Candara" w:eastAsia="Times New Roman" w:hAnsi="Candara" w:cs="Calibri"/>
          <w:color w:val="000000"/>
          <w:lang w:eastAsia="en-ID"/>
        </w:rPr>
        <w:t>Nvivo</w:t>
      </w:r>
      <w:proofErr w:type="spellEnd"/>
      <w:r w:rsidRPr="00C6243A">
        <w:rPr>
          <w:rFonts w:ascii="Candara" w:eastAsia="Times New Roman" w:hAnsi="Candara" w:cs="Calibri"/>
          <w:color w:val="000000"/>
          <w:lang w:eastAsia="en-ID"/>
        </w:rPr>
        <w:t xml:space="preserve"> 11</w:t>
      </w:r>
      <w:r w:rsidR="00027E82" w:rsidRPr="00027E82">
        <w:rPr>
          <w:rFonts w:ascii="Candara" w:hAnsi="Candara" w:cs="Arial"/>
        </w:rPr>
        <w:t>.</w:t>
      </w:r>
    </w:p>
    <w:p w14:paraId="2CDB9EB5" w14:textId="77777777" w:rsidR="007C24E3" w:rsidRPr="00FB2550" w:rsidRDefault="007C24E3" w:rsidP="00C83406">
      <w:pPr>
        <w:tabs>
          <w:tab w:val="left" w:pos="2830"/>
        </w:tabs>
        <w:spacing w:after="0" w:line="240" w:lineRule="auto"/>
        <w:jc w:val="both"/>
        <w:rPr>
          <w:rFonts w:ascii="Candara" w:hAnsi="Candara" w:cs="Times New Roman"/>
          <w:lang w:val="id-ID"/>
        </w:rPr>
      </w:pPr>
    </w:p>
    <w:p w14:paraId="00645542" w14:textId="380AEE84" w:rsidR="000E4EB1" w:rsidRPr="00485793" w:rsidRDefault="00A414D6" w:rsidP="00290CF2">
      <w:pPr>
        <w:tabs>
          <w:tab w:val="left" w:pos="2830"/>
        </w:tabs>
        <w:spacing w:after="120" w:line="240" w:lineRule="auto"/>
        <w:jc w:val="center"/>
        <w:rPr>
          <w:rFonts w:ascii="Candara" w:hAnsi="Candara" w:cs="Times New Roman"/>
          <w:b/>
          <w:sz w:val="28"/>
          <w:szCs w:val="28"/>
        </w:rPr>
      </w:pPr>
      <w:r>
        <w:rPr>
          <w:rFonts w:ascii="Candara" w:hAnsi="Candara" w:cs="Times New Roman"/>
          <w:b/>
          <w:sz w:val="28"/>
          <w:szCs w:val="28"/>
        </w:rPr>
        <w:t xml:space="preserve">RESULTS AND DISCUSSION </w:t>
      </w:r>
    </w:p>
    <w:p w14:paraId="49BFC5AA" w14:textId="2BDCA735" w:rsidR="00027E82" w:rsidRPr="00C97946" w:rsidRDefault="00DD68F1" w:rsidP="00027E82">
      <w:pPr>
        <w:spacing w:after="0" w:line="240" w:lineRule="auto"/>
        <w:ind w:firstLine="450"/>
        <w:jc w:val="both"/>
        <w:rPr>
          <w:rFonts w:ascii="Candara" w:hAnsi="Candara" w:cstheme="minorHAnsi"/>
        </w:rPr>
      </w:pPr>
      <w:r w:rsidRPr="00C6243A">
        <w:rPr>
          <w:rFonts w:ascii="Candara" w:eastAsia="Times New Roman" w:hAnsi="Candara" w:cs="Calibri"/>
          <w:color w:val="000000"/>
          <w:lang w:eastAsia="en-ID"/>
        </w:rPr>
        <w:t xml:space="preserve">There were 10 informants in this study, </w:t>
      </w:r>
      <w:r w:rsidR="00D26188">
        <w:rPr>
          <w:rFonts w:ascii="Candara" w:eastAsia="Times New Roman" w:hAnsi="Candara" w:cs="Calibri"/>
          <w:color w:val="000000"/>
          <w:lang w:eastAsia="en-ID"/>
        </w:rPr>
        <w:t xml:space="preserve">nine </w:t>
      </w:r>
      <w:r w:rsidRPr="00C6243A">
        <w:rPr>
          <w:rFonts w:ascii="Candara" w:eastAsia="Times New Roman" w:hAnsi="Candara" w:cs="Calibri"/>
          <w:color w:val="000000"/>
          <w:lang w:eastAsia="en-ID"/>
        </w:rPr>
        <w:t xml:space="preserve">of whom </w:t>
      </w:r>
      <w:r>
        <w:rPr>
          <w:rFonts w:ascii="Candara" w:eastAsia="Times New Roman" w:hAnsi="Candara" w:cs="Calibri"/>
          <w:color w:val="000000"/>
          <w:lang w:eastAsia="en-ID"/>
        </w:rPr>
        <w:t xml:space="preserve">had a </w:t>
      </w:r>
      <w:r w:rsidRPr="00C6243A">
        <w:rPr>
          <w:rFonts w:ascii="Candara" w:eastAsia="Times New Roman" w:hAnsi="Candara" w:cs="Calibri"/>
          <w:color w:val="000000"/>
          <w:lang w:eastAsia="en-ID"/>
        </w:rPr>
        <w:t xml:space="preserve">law </w:t>
      </w:r>
      <w:r>
        <w:rPr>
          <w:rFonts w:ascii="Candara" w:eastAsia="Times New Roman" w:hAnsi="Candara" w:cs="Calibri"/>
          <w:color w:val="000000"/>
          <w:lang w:eastAsia="en-ID"/>
        </w:rPr>
        <w:t xml:space="preserve">degree </w:t>
      </w:r>
      <w:r w:rsidRPr="00C6243A">
        <w:rPr>
          <w:rFonts w:ascii="Candara" w:eastAsia="Times New Roman" w:hAnsi="Candara" w:cs="Calibri"/>
          <w:color w:val="000000"/>
          <w:lang w:eastAsia="en-ID"/>
        </w:rPr>
        <w:t xml:space="preserve">and 1 informant </w:t>
      </w:r>
      <w:r>
        <w:rPr>
          <w:rFonts w:ascii="Candara" w:eastAsia="Times New Roman" w:hAnsi="Candara" w:cs="Calibri"/>
          <w:color w:val="000000"/>
          <w:lang w:eastAsia="en-ID"/>
        </w:rPr>
        <w:t xml:space="preserve">had </w:t>
      </w:r>
      <w:r w:rsidRPr="00C6243A">
        <w:rPr>
          <w:rFonts w:ascii="Candara" w:eastAsia="Times New Roman" w:hAnsi="Candara" w:cs="Calibri"/>
          <w:color w:val="000000"/>
          <w:lang w:eastAsia="en-ID"/>
        </w:rPr>
        <w:t>an accounting degree. </w:t>
      </w:r>
      <w:r>
        <w:rPr>
          <w:rFonts w:ascii="Candara" w:eastAsia="Times New Roman" w:hAnsi="Candara" w:cs="Calibri"/>
          <w:color w:val="000000"/>
          <w:lang w:eastAsia="en-ID"/>
        </w:rPr>
        <w:t xml:space="preserve">In fact, </w:t>
      </w:r>
      <w:r w:rsidRPr="00C6243A">
        <w:rPr>
          <w:rFonts w:ascii="Candara" w:eastAsia="Times New Roman" w:hAnsi="Candara" w:cs="Calibri"/>
          <w:color w:val="000000"/>
          <w:lang w:eastAsia="en-ID"/>
        </w:rPr>
        <w:t xml:space="preserve">50% of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informants ha</w:t>
      </w:r>
      <w:r>
        <w:rPr>
          <w:rFonts w:ascii="Candara" w:eastAsia="Times New Roman" w:hAnsi="Candara" w:cs="Calibri"/>
          <w:color w:val="000000"/>
          <w:lang w:eastAsia="en-ID"/>
        </w:rPr>
        <w:t>d</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worked as a</w:t>
      </w:r>
      <w:r w:rsidRPr="00C6243A">
        <w:rPr>
          <w:rFonts w:ascii="Candara" w:eastAsia="Times New Roman" w:hAnsi="Candara" w:cs="Calibri"/>
          <w:color w:val="000000"/>
          <w:lang w:eastAsia="en-ID"/>
        </w:rPr>
        <w:t xml:space="preserve"> curator for more than </w:t>
      </w:r>
      <w:r>
        <w:rPr>
          <w:rFonts w:ascii="Candara" w:eastAsia="Times New Roman" w:hAnsi="Candara" w:cs="Calibri"/>
          <w:color w:val="000000"/>
          <w:lang w:eastAsia="en-ID"/>
        </w:rPr>
        <w:t xml:space="preserve">six </w:t>
      </w:r>
      <w:r w:rsidRPr="00C6243A">
        <w:rPr>
          <w:rFonts w:ascii="Candara" w:eastAsia="Times New Roman" w:hAnsi="Candara" w:cs="Calibri"/>
          <w:color w:val="000000"/>
          <w:lang w:eastAsia="en-ID"/>
        </w:rPr>
        <w:t xml:space="preserve">years and the </w:t>
      </w:r>
      <w:r>
        <w:rPr>
          <w:rFonts w:ascii="Candara" w:eastAsia="Times New Roman" w:hAnsi="Candara" w:cs="Calibri"/>
          <w:color w:val="000000"/>
          <w:lang w:eastAsia="en-ID"/>
        </w:rPr>
        <w:t>other</w:t>
      </w:r>
      <w:r w:rsidR="00D26188">
        <w:rPr>
          <w:rFonts w:ascii="Candara" w:eastAsia="Times New Roman" w:hAnsi="Candara" w:cs="Calibri"/>
          <w:color w:val="000000"/>
          <w:lang w:eastAsia="en-ID"/>
        </w:rPr>
        <w:t>s</w:t>
      </w:r>
      <w:r>
        <w:rPr>
          <w:rFonts w:ascii="Candara" w:eastAsia="Times New Roman" w:hAnsi="Candara" w:cs="Calibri"/>
          <w:color w:val="000000"/>
          <w:lang w:eastAsia="en-ID"/>
        </w:rPr>
        <w:t xml:space="preserve"> had worked as a curator </w:t>
      </w:r>
      <w:r w:rsidRPr="00C6243A">
        <w:rPr>
          <w:rFonts w:ascii="Candara" w:eastAsia="Times New Roman" w:hAnsi="Candara" w:cs="Calibri"/>
          <w:color w:val="000000"/>
          <w:lang w:eastAsia="en-ID"/>
        </w:rPr>
        <w:t xml:space="preserve">for </w:t>
      </w:r>
      <w:r>
        <w:rPr>
          <w:rFonts w:ascii="Candara" w:eastAsia="Times New Roman" w:hAnsi="Candara" w:cs="Calibri"/>
          <w:color w:val="000000"/>
          <w:lang w:eastAsia="en-ID"/>
        </w:rPr>
        <w:t xml:space="preserve">three </w:t>
      </w:r>
      <w:r w:rsidRPr="00C6243A">
        <w:rPr>
          <w:rFonts w:ascii="Candara" w:eastAsia="Times New Roman" w:hAnsi="Candara" w:cs="Calibri"/>
          <w:color w:val="000000"/>
          <w:lang w:eastAsia="en-ID"/>
        </w:rPr>
        <w:t xml:space="preserve">to </w:t>
      </w:r>
      <w:r>
        <w:rPr>
          <w:rFonts w:ascii="Candara" w:eastAsia="Times New Roman" w:hAnsi="Candara" w:cs="Calibri"/>
          <w:color w:val="000000"/>
          <w:lang w:eastAsia="en-ID"/>
        </w:rPr>
        <w:t xml:space="preserve">six </w:t>
      </w:r>
      <w:r w:rsidRPr="00C6243A">
        <w:rPr>
          <w:rFonts w:ascii="Candara" w:eastAsia="Times New Roman" w:hAnsi="Candara" w:cs="Calibri"/>
          <w:color w:val="000000"/>
          <w:lang w:eastAsia="en-ID"/>
        </w:rPr>
        <w:t>years</w:t>
      </w:r>
      <w:r w:rsidR="00027E82" w:rsidRPr="00C97946">
        <w:rPr>
          <w:rFonts w:ascii="Candara" w:hAnsi="Candara" w:cstheme="minorHAnsi"/>
        </w:rPr>
        <w:t>.</w:t>
      </w:r>
    </w:p>
    <w:p w14:paraId="5D0EF05C" w14:textId="7CA47172" w:rsidR="00027E82" w:rsidRPr="00C97946" w:rsidRDefault="00A414D6" w:rsidP="00290CF2">
      <w:pPr>
        <w:spacing w:before="120" w:after="0" w:line="240" w:lineRule="auto"/>
        <w:rPr>
          <w:rFonts w:ascii="Candara" w:hAnsi="Candara" w:cstheme="minorHAnsi"/>
          <w:b/>
          <w:bCs/>
        </w:rPr>
      </w:pPr>
      <w:r>
        <w:rPr>
          <w:rFonts w:ascii="Candara" w:hAnsi="Candara" w:cstheme="minorHAnsi"/>
          <w:b/>
          <w:bCs/>
        </w:rPr>
        <w:t xml:space="preserve">Inductive </w:t>
      </w:r>
      <w:r w:rsidR="00290CF2">
        <w:rPr>
          <w:rFonts w:ascii="Candara" w:hAnsi="Candara" w:cstheme="minorHAnsi"/>
          <w:b/>
          <w:bCs/>
        </w:rPr>
        <w:t>Anal</w:t>
      </w:r>
      <w:r>
        <w:rPr>
          <w:rFonts w:ascii="Candara" w:hAnsi="Candara" w:cstheme="minorHAnsi"/>
          <w:b/>
          <w:bCs/>
        </w:rPr>
        <w:t>y</w:t>
      </w:r>
      <w:r w:rsidR="00290CF2">
        <w:rPr>
          <w:rFonts w:ascii="Candara" w:hAnsi="Candara" w:cstheme="minorHAnsi"/>
          <w:b/>
          <w:bCs/>
        </w:rPr>
        <w:t xml:space="preserve">sis </w:t>
      </w:r>
    </w:p>
    <w:p w14:paraId="2127DEF4" w14:textId="25718FF9" w:rsidR="00027E82" w:rsidRPr="00C97946" w:rsidRDefault="00A414D6" w:rsidP="00027E82">
      <w:pPr>
        <w:pStyle w:val="ListParagraph"/>
        <w:numPr>
          <w:ilvl w:val="0"/>
          <w:numId w:val="19"/>
        </w:numPr>
        <w:spacing w:after="0" w:line="240" w:lineRule="auto"/>
        <w:ind w:left="360"/>
        <w:rPr>
          <w:rFonts w:ascii="Candara" w:hAnsi="Candara" w:cstheme="minorHAnsi"/>
        </w:rPr>
      </w:pPr>
      <w:r>
        <w:rPr>
          <w:rFonts w:ascii="Candara" w:hAnsi="Candara" w:cstheme="minorHAnsi"/>
        </w:rPr>
        <w:t>Bankruptcy</w:t>
      </w:r>
    </w:p>
    <w:p w14:paraId="11A0EED7" w14:textId="2A4F24D0" w:rsidR="00027E82" w:rsidRPr="00C97946" w:rsidRDefault="00AB286D" w:rsidP="00027E82">
      <w:pPr>
        <w:pStyle w:val="ListParagraph"/>
        <w:numPr>
          <w:ilvl w:val="0"/>
          <w:numId w:val="20"/>
        </w:numPr>
        <w:spacing w:after="0" w:line="240" w:lineRule="auto"/>
        <w:rPr>
          <w:rFonts w:ascii="Candara" w:hAnsi="Candara" w:cstheme="minorHAnsi"/>
        </w:rPr>
      </w:pPr>
      <w:r>
        <w:rPr>
          <w:rFonts w:ascii="Candara" w:hAnsi="Candara" w:cstheme="minorHAnsi"/>
        </w:rPr>
        <w:t>Bankruptcy Understanding</w:t>
      </w:r>
    </w:p>
    <w:p w14:paraId="4B88E42C" w14:textId="1BF5BD8E" w:rsidR="00027E82" w:rsidRDefault="00895902" w:rsidP="00290CF2">
      <w:pPr>
        <w:autoSpaceDE w:val="0"/>
        <w:autoSpaceDN w:val="0"/>
        <w:adjustRightInd w:val="0"/>
        <w:spacing w:after="0" w:line="240" w:lineRule="auto"/>
        <w:ind w:left="360" w:firstLine="360"/>
        <w:jc w:val="both"/>
        <w:rPr>
          <w:rFonts w:ascii="Candara" w:hAnsi="Candara" w:cstheme="minorHAnsi"/>
          <w:i/>
          <w:iCs/>
        </w:rPr>
      </w:pPr>
      <w:r>
        <w:rPr>
          <w:rFonts w:ascii="Candara" w:eastAsia="Times New Roman" w:hAnsi="Candara" w:cs="Calibri"/>
          <w:color w:val="000000"/>
          <w:lang w:eastAsia="en-ID"/>
        </w:rPr>
        <w:t xml:space="preserve">There were nine </w:t>
      </w:r>
      <w:r w:rsidRPr="00C6243A">
        <w:rPr>
          <w:rFonts w:ascii="Candara" w:eastAsia="Times New Roman" w:hAnsi="Candara" w:cs="Calibri"/>
          <w:color w:val="000000"/>
          <w:lang w:eastAsia="en-ID"/>
        </w:rPr>
        <w:t xml:space="preserve">out of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 xml:space="preserve">10 informants </w:t>
      </w:r>
      <w:r>
        <w:rPr>
          <w:rFonts w:ascii="Candara" w:eastAsia="Times New Roman" w:hAnsi="Candara" w:cs="Calibri"/>
          <w:color w:val="000000"/>
          <w:lang w:eastAsia="en-ID"/>
        </w:rPr>
        <w:t xml:space="preserve">who </w:t>
      </w:r>
      <w:r w:rsidRPr="00C6243A">
        <w:rPr>
          <w:rFonts w:ascii="Candara" w:eastAsia="Times New Roman" w:hAnsi="Candara" w:cs="Calibri"/>
          <w:color w:val="000000"/>
          <w:lang w:eastAsia="en-ID"/>
        </w:rPr>
        <w:t>stated that bankruptcy is a general confiscation of bankrupt</w:t>
      </w:r>
      <w:r>
        <w:rPr>
          <w:rFonts w:ascii="Candara" w:eastAsia="Times New Roman" w:hAnsi="Candara" w:cs="Calibri"/>
          <w:color w:val="000000"/>
          <w:lang w:eastAsia="en-ID"/>
        </w:rPr>
        <w:t>cy</w:t>
      </w:r>
      <w:r w:rsidRPr="00C6243A">
        <w:rPr>
          <w:rFonts w:ascii="Candara" w:eastAsia="Times New Roman" w:hAnsi="Candara" w:cs="Calibri"/>
          <w:color w:val="000000"/>
          <w:lang w:eastAsia="en-ID"/>
        </w:rPr>
        <w:t xml:space="preserve"> assets to protect the interests of creditors </w:t>
      </w:r>
      <w:r>
        <w:rPr>
          <w:rFonts w:ascii="Candara" w:eastAsia="Times New Roman" w:hAnsi="Candara" w:cs="Calibri"/>
          <w:color w:val="000000"/>
          <w:lang w:eastAsia="en-ID"/>
        </w:rPr>
        <w:t xml:space="preserve">as shown </w:t>
      </w:r>
      <w:r w:rsidRPr="00C6243A">
        <w:rPr>
          <w:rFonts w:ascii="Candara" w:eastAsia="Times New Roman" w:hAnsi="Candara" w:cs="Calibri"/>
          <w:color w:val="000000"/>
          <w:lang w:eastAsia="en-ID"/>
        </w:rPr>
        <w:t xml:space="preserve">in </w:t>
      </w:r>
      <w:r>
        <w:rPr>
          <w:rFonts w:ascii="Candara" w:eastAsia="Times New Roman" w:hAnsi="Candara" w:cs="Calibri"/>
          <w:color w:val="000000"/>
          <w:lang w:eastAsia="en-ID"/>
        </w:rPr>
        <w:t>T</w:t>
      </w:r>
      <w:r w:rsidRPr="00C6243A">
        <w:rPr>
          <w:rFonts w:ascii="Candara" w:eastAsia="Times New Roman" w:hAnsi="Candara" w:cs="Calibri"/>
          <w:color w:val="000000"/>
          <w:lang w:eastAsia="en-ID"/>
        </w:rPr>
        <w:t>able 2.</w:t>
      </w:r>
      <w:r w:rsidR="00D26188">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For example, </w:t>
      </w:r>
      <w:r w:rsidR="00D26188">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statement from informant C, </w:t>
      </w:r>
      <w:r w:rsidRPr="00C6243A">
        <w:rPr>
          <w:rFonts w:ascii="Candara" w:eastAsia="Times New Roman" w:hAnsi="Candara" w:cs="Calibri"/>
          <w:i/>
          <w:iCs/>
          <w:color w:val="000000"/>
          <w:lang w:eastAsia="en-ID"/>
        </w:rPr>
        <w:t xml:space="preserve">"If </w:t>
      </w:r>
      <w:r>
        <w:rPr>
          <w:rFonts w:ascii="Candara" w:eastAsia="Times New Roman" w:hAnsi="Candara" w:cs="Calibri"/>
          <w:i/>
          <w:iCs/>
          <w:color w:val="000000"/>
          <w:lang w:eastAsia="en-ID"/>
        </w:rPr>
        <w:t xml:space="preserve">there has been </w:t>
      </w:r>
      <w:r w:rsidRPr="00C6243A">
        <w:rPr>
          <w:rFonts w:ascii="Candara" w:eastAsia="Times New Roman" w:hAnsi="Candara" w:cs="Calibri"/>
          <w:i/>
          <w:iCs/>
          <w:color w:val="000000"/>
          <w:lang w:eastAsia="en-ID"/>
        </w:rPr>
        <w:t>a bankruptcy decision from the judge, it means th</w:t>
      </w:r>
      <w:r>
        <w:rPr>
          <w:rFonts w:ascii="Candara" w:eastAsia="Times New Roman" w:hAnsi="Candara" w:cs="Calibri"/>
          <w:i/>
          <w:iCs/>
          <w:color w:val="000000"/>
          <w:lang w:eastAsia="en-ID"/>
        </w:rPr>
        <w:t xml:space="preserve">ere will be the </w:t>
      </w:r>
      <w:r w:rsidRPr="00C6243A">
        <w:rPr>
          <w:rFonts w:ascii="Candara" w:eastAsia="Times New Roman" w:hAnsi="Candara" w:cs="Calibri"/>
          <w:i/>
          <w:iCs/>
          <w:color w:val="000000"/>
          <w:lang w:eastAsia="en-ID"/>
        </w:rPr>
        <w:t>settle</w:t>
      </w:r>
      <w:r>
        <w:rPr>
          <w:rFonts w:ascii="Candara" w:eastAsia="Times New Roman" w:hAnsi="Candara" w:cs="Calibri"/>
          <w:i/>
          <w:iCs/>
          <w:color w:val="000000"/>
          <w:lang w:eastAsia="en-ID"/>
        </w:rPr>
        <w:t>ment of</w:t>
      </w:r>
      <w:r w:rsidRPr="00C6243A">
        <w:rPr>
          <w:rFonts w:ascii="Candara" w:eastAsia="Times New Roman" w:hAnsi="Candara" w:cs="Calibri"/>
          <w:i/>
          <w:iCs/>
          <w:color w:val="000000"/>
          <w:lang w:eastAsia="en-ID"/>
        </w:rPr>
        <w:t xml:space="preserve"> it</w:t>
      </w:r>
      <w:r>
        <w:rPr>
          <w:rFonts w:ascii="Candara" w:eastAsia="Times New Roman" w:hAnsi="Candara" w:cs="Calibri"/>
          <w:i/>
          <w:iCs/>
          <w:color w:val="000000"/>
          <w:lang w:eastAsia="en-ID"/>
        </w:rPr>
        <w:t>,</w:t>
      </w:r>
      <w:r w:rsidRPr="00C6243A">
        <w:rPr>
          <w:rFonts w:ascii="Candara" w:eastAsia="Times New Roman" w:hAnsi="Candara" w:cs="Calibri"/>
          <w:i/>
          <w:iCs/>
          <w:color w:val="000000"/>
          <w:lang w:eastAsia="en-ID"/>
        </w:rPr>
        <w:t xml:space="preserve"> </w:t>
      </w:r>
      <w:r>
        <w:rPr>
          <w:rFonts w:ascii="Candara" w:eastAsia="Times New Roman" w:hAnsi="Candara" w:cs="Calibri"/>
          <w:i/>
          <w:iCs/>
          <w:color w:val="000000"/>
          <w:lang w:eastAsia="en-ID"/>
        </w:rPr>
        <w:t>that is to</w:t>
      </w:r>
      <w:r w:rsidRPr="00C6243A">
        <w:rPr>
          <w:rFonts w:ascii="Candara" w:eastAsia="Times New Roman" w:hAnsi="Candara" w:cs="Calibri"/>
          <w:i/>
          <w:iCs/>
          <w:color w:val="000000"/>
          <w:lang w:eastAsia="en-ID"/>
        </w:rPr>
        <w:t xml:space="preserve"> sell assets </w:t>
      </w:r>
      <w:r>
        <w:rPr>
          <w:rFonts w:ascii="Candara" w:eastAsia="Times New Roman" w:hAnsi="Candara" w:cs="Calibri"/>
          <w:i/>
          <w:iCs/>
          <w:color w:val="000000"/>
          <w:lang w:eastAsia="en-ID"/>
        </w:rPr>
        <w:t xml:space="preserve">in exchange for </w:t>
      </w:r>
      <w:r w:rsidRPr="00C6243A">
        <w:rPr>
          <w:rFonts w:ascii="Candara" w:eastAsia="Times New Roman" w:hAnsi="Candara" w:cs="Calibri"/>
          <w:i/>
          <w:iCs/>
          <w:color w:val="000000"/>
          <w:lang w:eastAsia="en-ID"/>
        </w:rPr>
        <w:t>cash and distribut</w:t>
      </w:r>
      <w:r>
        <w:rPr>
          <w:rFonts w:ascii="Candara" w:eastAsia="Times New Roman" w:hAnsi="Candara" w:cs="Calibri"/>
          <w:i/>
          <w:iCs/>
          <w:color w:val="000000"/>
          <w:lang w:eastAsia="en-ID"/>
        </w:rPr>
        <w:t>e</w:t>
      </w:r>
      <w:r w:rsidRPr="00C6243A">
        <w:rPr>
          <w:rFonts w:ascii="Candara" w:eastAsia="Times New Roman" w:hAnsi="Candara" w:cs="Calibri"/>
          <w:i/>
          <w:iCs/>
          <w:color w:val="000000"/>
          <w:lang w:eastAsia="en-ID"/>
        </w:rPr>
        <w:t xml:space="preserve"> </w:t>
      </w:r>
      <w:r>
        <w:rPr>
          <w:rFonts w:ascii="Candara" w:eastAsia="Times New Roman" w:hAnsi="Candara" w:cs="Calibri"/>
          <w:i/>
          <w:iCs/>
          <w:color w:val="000000"/>
          <w:lang w:eastAsia="en-ID"/>
        </w:rPr>
        <w:t xml:space="preserve">it </w:t>
      </w:r>
      <w:r w:rsidRPr="00C6243A">
        <w:rPr>
          <w:rFonts w:ascii="Candara" w:eastAsia="Times New Roman" w:hAnsi="Candara" w:cs="Calibri"/>
          <w:i/>
          <w:iCs/>
          <w:color w:val="000000"/>
          <w:lang w:eastAsia="en-ID"/>
        </w:rPr>
        <w:t>to creditors</w:t>
      </w:r>
      <w:r w:rsidR="00027E82" w:rsidRPr="00C97946">
        <w:rPr>
          <w:rFonts w:ascii="Candara" w:hAnsi="Candara" w:cstheme="minorHAnsi"/>
          <w:i/>
          <w:iCs/>
        </w:rPr>
        <w:t>.”</w:t>
      </w:r>
    </w:p>
    <w:p w14:paraId="524416B7" w14:textId="77777777" w:rsidR="00290CF2" w:rsidRDefault="00290CF2">
      <w:pPr>
        <w:rPr>
          <w:rFonts w:ascii="Goudy Old Style" w:hAnsi="Goudy Old Style" w:cstheme="minorHAnsi"/>
          <w:b/>
          <w:bCs/>
          <w:sz w:val="20"/>
          <w:szCs w:val="20"/>
        </w:rPr>
      </w:pPr>
      <w:r>
        <w:rPr>
          <w:rFonts w:ascii="Goudy Old Style" w:hAnsi="Goudy Old Style" w:cstheme="minorHAnsi"/>
          <w:b/>
          <w:bCs/>
          <w:sz w:val="20"/>
          <w:szCs w:val="20"/>
        </w:rPr>
        <w:br w:type="page"/>
      </w:r>
    </w:p>
    <w:p w14:paraId="4D4A23B8" w14:textId="384F3AEF" w:rsidR="00552588" w:rsidRPr="00F1130D" w:rsidRDefault="00552588" w:rsidP="00552588">
      <w:pPr>
        <w:spacing w:after="0" w:line="240" w:lineRule="auto"/>
        <w:ind w:left="360"/>
        <w:jc w:val="center"/>
        <w:rPr>
          <w:rFonts w:ascii="Goudy Old Style" w:hAnsi="Goudy Old Style" w:cstheme="minorHAnsi"/>
          <w:b/>
          <w:bCs/>
          <w:sz w:val="20"/>
          <w:szCs w:val="20"/>
        </w:rPr>
      </w:pPr>
      <w:r w:rsidRPr="00F1130D">
        <w:rPr>
          <w:rFonts w:ascii="Goudy Old Style" w:hAnsi="Goudy Old Style" w:cstheme="minorHAnsi"/>
          <w:b/>
          <w:bCs/>
          <w:sz w:val="20"/>
          <w:szCs w:val="20"/>
        </w:rPr>
        <w:lastRenderedPageBreak/>
        <w:t>Tab</w:t>
      </w:r>
      <w:r w:rsidR="00AB286D">
        <w:rPr>
          <w:rFonts w:ascii="Goudy Old Style" w:hAnsi="Goudy Old Style" w:cstheme="minorHAnsi"/>
          <w:b/>
          <w:bCs/>
          <w:sz w:val="20"/>
          <w:szCs w:val="20"/>
        </w:rPr>
        <w:t>le</w:t>
      </w:r>
      <w:r w:rsidRPr="00F1130D">
        <w:rPr>
          <w:rFonts w:ascii="Goudy Old Style" w:hAnsi="Goudy Old Style" w:cstheme="minorHAnsi"/>
          <w:b/>
          <w:bCs/>
          <w:sz w:val="20"/>
          <w:szCs w:val="20"/>
        </w:rPr>
        <w:t xml:space="preserve"> 2. </w:t>
      </w:r>
      <w:r w:rsidR="00AB286D">
        <w:rPr>
          <w:rFonts w:ascii="Goudy Old Style" w:hAnsi="Goudy Old Style" w:cstheme="minorHAnsi"/>
          <w:b/>
          <w:bCs/>
          <w:sz w:val="20"/>
          <w:szCs w:val="20"/>
        </w:rPr>
        <w:t>Bankruptcy Understanding</w:t>
      </w:r>
    </w:p>
    <w:tbl>
      <w:tblPr>
        <w:tblW w:w="8229" w:type="dxa"/>
        <w:jc w:val="center"/>
        <w:tblLook w:val="04A0" w:firstRow="1" w:lastRow="0" w:firstColumn="1" w:lastColumn="0" w:noHBand="0" w:noVBand="1"/>
      </w:tblPr>
      <w:tblGrid>
        <w:gridCol w:w="2006"/>
        <w:gridCol w:w="520"/>
        <w:gridCol w:w="494"/>
        <w:gridCol w:w="487"/>
        <w:gridCol w:w="546"/>
        <w:gridCol w:w="461"/>
        <w:gridCol w:w="461"/>
        <w:gridCol w:w="556"/>
        <w:gridCol w:w="553"/>
        <w:gridCol w:w="461"/>
        <w:gridCol w:w="461"/>
        <w:gridCol w:w="1268"/>
      </w:tblGrid>
      <w:tr w:rsidR="00552588" w:rsidRPr="00F1130D" w14:paraId="5DD89362" w14:textId="77777777" w:rsidTr="00102FB5">
        <w:trPr>
          <w:trHeight w:val="300"/>
          <w:jc w:val="center"/>
        </w:trPr>
        <w:tc>
          <w:tcPr>
            <w:tcW w:w="1961" w:type="dxa"/>
            <w:vMerge w:val="restart"/>
            <w:tcBorders>
              <w:top w:val="single" w:sz="4" w:space="0" w:color="auto"/>
              <w:bottom w:val="single" w:sz="4" w:space="0" w:color="auto"/>
            </w:tcBorders>
            <w:shd w:val="clear" w:color="auto" w:fill="auto"/>
            <w:noWrap/>
            <w:vAlign w:val="center"/>
            <w:hideMark/>
          </w:tcPr>
          <w:p w14:paraId="304922B6" w14:textId="12AB90E2" w:rsidR="00552588" w:rsidRPr="00F1130D" w:rsidRDefault="00552588" w:rsidP="00290CF2">
            <w:pPr>
              <w:spacing w:after="0" w:line="240" w:lineRule="auto"/>
              <w:ind w:left="21"/>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Indi</w:t>
            </w:r>
            <w:r w:rsidR="00A414D6">
              <w:rPr>
                <w:rFonts w:ascii="Goudy Old Style" w:eastAsia="Times New Roman" w:hAnsi="Goudy Old Style" w:cstheme="minorHAnsi"/>
                <w:b/>
                <w:bCs/>
                <w:color w:val="000000"/>
                <w:sz w:val="20"/>
                <w:szCs w:val="20"/>
              </w:rPr>
              <w:t>c</w:t>
            </w:r>
            <w:r w:rsidRPr="00F1130D">
              <w:rPr>
                <w:rFonts w:ascii="Goudy Old Style" w:eastAsia="Times New Roman" w:hAnsi="Goudy Old Style" w:cstheme="minorHAnsi"/>
                <w:b/>
                <w:bCs/>
                <w:color w:val="000000"/>
                <w:sz w:val="20"/>
                <w:szCs w:val="20"/>
              </w:rPr>
              <w:t>ator</w:t>
            </w:r>
          </w:p>
        </w:tc>
        <w:tc>
          <w:tcPr>
            <w:tcW w:w="5000" w:type="dxa"/>
            <w:gridSpan w:val="10"/>
            <w:tcBorders>
              <w:top w:val="single" w:sz="4" w:space="0" w:color="auto"/>
              <w:bottom w:val="single" w:sz="4" w:space="0" w:color="auto"/>
            </w:tcBorders>
            <w:shd w:val="clear" w:color="auto" w:fill="auto"/>
            <w:noWrap/>
            <w:vAlign w:val="bottom"/>
            <w:hideMark/>
          </w:tcPr>
          <w:p w14:paraId="00C563EE" w14:textId="5A38D613"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Informan</w:t>
            </w:r>
            <w:r w:rsidR="00A414D6">
              <w:rPr>
                <w:rFonts w:ascii="Goudy Old Style" w:eastAsia="Times New Roman" w:hAnsi="Goudy Old Style" w:cstheme="minorHAnsi"/>
                <w:b/>
                <w:bCs/>
                <w:color w:val="000000"/>
                <w:sz w:val="20"/>
                <w:szCs w:val="20"/>
              </w:rPr>
              <w:t>ts</w:t>
            </w:r>
          </w:p>
        </w:tc>
        <w:tc>
          <w:tcPr>
            <w:tcW w:w="1268" w:type="dxa"/>
            <w:vMerge w:val="restart"/>
            <w:tcBorders>
              <w:top w:val="single" w:sz="4" w:space="0" w:color="auto"/>
              <w:bottom w:val="single" w:sz="4" w:space="0" w:color="auto"/>
            </w:tcBorders>
            <w:shd w:val="clear" w:color="auto" w:fill="auto"/>
            <w:noWrap/>
            <w:vAlign w:val="center"/>
            <w:hideMark/>
          </w:tcPr>
          <w:p w14:paraId="2F9763B3" w14:textId="5C49266B"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Fre</w:t>
            </w:r>
            <w:r w:rsidR="00A414D6">
              <w:rPr>
                <w:rFonts w:ascii="Goudy Old Style" w:eastAsia="Times New Roman" w:hAnsi="Goudy Old Style" w:cstheme="minorHAnsi"/>
                <w:b/>
                <w:bCs/>
                <w:color w:val="000000"/>
                <w:sz w:val="20"/>
                <w:szCs w:val="20"/>
              </w:rPr>
              <w:t>quency</w:t>
            </w:r>
          </w:p>
        </w:tc>
      </w:tr>
      <w:tr w:rsidR="00552588" w:rsidRPr="00F1130D" w14:paraId="3937A291" w14:textId="77777777" w:rsidTr="00102FB5">
        <w:trPr>
          <w:trHeight w:val="300"/>
          <w:jc w:val="center"/>
        </w:trPr>
        <w:tc>
          <w:tcPr>
            <w:tcW w:w="1961" w:type="dxa"/>
            <w:vMerge/>
            <w:tcBorders>
              <w:bottom w:val="single" w:sz="4" w:space="0" w:color="auto"/>
            </w:tcBorders>
            <w:vAlign w:val="center"/>
            <w:hideMark/>
          </w:tcPr>
          <w:p w14:paraId="589AF546" w14:textId="77777777" w:rsidR="00552588" w:rsidRPr="00F1130D" w:rsidRDefault="00552588" w:rsidP="002A69EE">
            <w:pPr>
              <w:spacing w:after="0" w:line="240" w:lineRule="auto"/>
              <w:rPr>
                <w:rFonts w:ascii="Goudy Old Style" w:eastAsia="Times New Roman" w:hAnsi="Goudy Old Style" w:cstheme="minorHAnsi"/>
                <w:color w:val="000000"/>
                <w:sz w:val="20"/>
                <w:szCs w:val="20"/>
              </w:rPr>
            </w:pPr>
          </w:p>
        </w:tc>
        <w:tc>
          <w:tcPr>
            <w:tcW w:w="520" w:type="dxa"/>
            <w:tcBorders>
              <w:top w:val="single" w:sz="4" w:space="0" w:color="auto"/>
              <w:bottom w:val="single" w:sz="4" w:space="0" w:color="auto"/>
            </w:tcBorders>
            <w:shd w:val="clear" w:color="auto" w:fill="auto"/>
            <w:noWrap/>
            <w:vAlign w:val="bottom"/>
            <w:hideMark/>
          </w:tcPr>
          <w:p w14:paraId="4BC05858"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A</w:t>
            </w:r>
          </w:p>
        </w:tc>
        <w:tc>
          <w:tcPr>
            <w:tcW w:w="494" w:type="dxa"/>
            <w:tcBorders>
              <w:top w:val="single" w:sz="4" w:space="0" w:color="auto"/>
              <w:bottom w:val="single" w:sz="4" w:space="0" w:color="auto"/>
            </w:tcBorders>
            <w:shd w:val="clear" w:color="auto" w:fill="auto"/>
            <w:noWrap/>
            <w:vAlign w:val="bottom"/>
            <w:hideMark/>
          </w:tcPr>
          <w:p w14:paraId="2D0A009C"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B</w:t>
            </w:r>
          </w:p>
        </w:tc>
        <w:tc>
          <w:tcPr>
            <w:tcW w:w="487" w:type="dxa"/>
            <w:tcBorders>
              <w:top w:val="single" w:sz="4" w:space="0" w:color="auto"/>
              <w:bottom w:val="single" w:sz="4" w:space="0" w:color="auto"/>
            </w:tcBorders>
            <w:shd w:val="clear" w:color="auto" w:fill="auto"/>
            <w:noWrap/>
            <w:vAlign w:val="bottom"/>
            <w:hideMark/>
          </w:tcPr>
          <w:p w14:paraId="73C635F0"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C</w:t>
            </w:r>
          </w:p>
        </w:tc>
        <w:tc>
          <w:tcPr>
            <w:tcW w:w="546" w:type="dxa"/>
            <w:tcBorders>
              <w:top w:val="single" w:sz="4" w:space="0" w:color="auto"/>
              <w:bottom w:val="single" w:sz="4" w:space="0" w:color="auto"/>
            </w:tcBorders>
            <w:shd w:val="clear" w:color="auto" w:fill="auto"/>
            <w:noWrap/>
            <w:vAlign w:val="bottom"/>
            <w:hideMark/>
          </w:tcPr>
          <w:p w14:paraId="16102D27"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D</w:t>
            </w:r>
          </w:p>
        </w:tc>
        <w:tc>
          <w:tcPr>
            <w:tcW w:w="461" w:type="dxa"/>
            <w:tcBorders>
              <w:top w:val="single" w:sz="4" w:space="0" w:color="auto"/>
              <w:bottom w:val="single" w:sz="4" w:space="0" w:color="auto"/>
            </w:tcBorders>
            <w:shd w:val="clear" w:color="auto" w:fill="auto"/>
            <w:noWrap/>
            <w:vAlign w:val="bottom"/>
            <w:hideMark/>
          </w:tcPr>
          <w:p w14:paraId="05A0F97A"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E</w:t>
            </w:r>
          </w:p>
        </w:tc>
        <w:tc>
          <w:tcPr>
            <w:tcW w:w="461" w:type="dxa"/>
            <w:tcBorders>
              <w:top w:val="single" w:sz="4" w:space="0" w:color="auto"/>
              <w:bottom w:val="single" w:sz="4" w:space="0" w:color="auto"/>
            </w:tcBorders>
            <w:shd w:val="clear" w:color="auto" w:fill="auto"/>
            <w:noWrap/>
            <w:vAlign w:val="bottom"/>
            <w:hideMark/>
          </w:tcPr>
          <w:p w14:paraId="0B8F7BAA"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F</w:t>
            </w:r>
          </w:p>
        </w:tc>
        <w:tc>
          <w:tcPr>
            <w:tcW w:w="556" w:type="dxa"/>
            <w:tcBorders>
              <w:top w:val="single" w:sz="4" w:space="0" w:color="auto"/>
              <w:bottom w:val="single" w:sz="4" w:space="0" w:color="auto"/>
            </w:tcBorders>
            <w:shd w:val="clear" w:color="auto" w:fill="auto"/>
            <w:noWrap/>
            <w:vAlign w:val="bottom"/>
            <w:hideMark/>
          </w:tcPr>
          <w:p w14:paraId="1A87E108"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G</w:t>
            </w:r>
          </w:p>
        </w:tc>
        <w:tc>
          <w:tcPr>
            <w:tcW w:w="553" w:type="dxa"/>
            <w:tcBorders>
              <w:top w:val="single" w:sz="4" w:space="0" w:color="auto"/>
              <w:bottom w:val="single" w:sz="4" w:space="0" w:color="auto"/>
            </w:tcBorders>
            <w:shd w:val="clear" w:color="auto" w:fill="auto"/>
            <w:noWrap/>
            <w:vAlign w:val="bottom"/>
            <w:hideMark/>
          </w:tcPr>
          <w:p w14:paraId="69D0B331"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H</w:t>
            </w:r>
          </w:p>
        </w:tc>
        <w:tc>
          <w:tcPr>
            <w:tcW w:w="461" w:type="dxa"/>
            <w:tcBorders>
              <w:top w:val="single" w:sz="4" w:space="0" w:color="auto"/>
              <w:bottom w:val="single" w:sz="4" w:space="0" w:color="auto"/>
            </w:tcBorders>
            <w:shd w:val="clear" w:color="auto" w:fill="auto"/>
            <w:noWrap/>
            <w:vAlign w:val="bottom"/>
            <w:hideMark/>
          </w:tcPr>
          <w:p w14:paraId="06773CFD"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I</w:t>
            </w:r>
          </w:p>
        </w:tc>
        <w:tc>
          <w:tcPr>
            <w:tcW w:w="461" w:type="dxa"/>
            <w:tcBorders>
              <w:top w:val="single" w:sz="4" w:space="0" w:color="auto"/>
              <w:bottom w:val="single" w:sz="4" w:space="0" w:color="auto"/>
            </w:tcBorders>
            <w:shd w:val="clear" w:color="auto" w:fill="auto"/>
            <w:noWrap/>
            <w:vAlign w:val="bottom"/>
            <w:hideMark/>
          </w:tcPr>
          <w:p w14:paraId="276B75C0"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J</w:t>
            </w:r>
          </w:p>
        </w:tc>
        <w:tc>
          <w:tcPr>
            <w:tcW w:w="1268" w:type="dxa"/>
            <w:vMerge/>
            <w:tcBorders>
              <w:bottom w:val="single" w:sz="4" w:space="0" w:color="auto"/>
            </w:tcBorders>
            <w:vAlign w:val="center"/>
            <w:hideMark/>
          </w:tcPr>
          <w:p w14:paraId="6091174C" w14:textId="77777777" w:rsidR="00552588" w:rsidRPr="00F1130D" w:rsidRDefault="00552588" w:rsidP="002A69EE">
            <w:pPr>
              <w:spacing w:after="0" w:line="240" w:lineRule="auto"/>
              <w:rPr>
                <w:rFonts w:ascii="Goudy Old Style" w:eastAsia="Times New Roman" w:hAnsi="Goudy Old Style" w:cstheme="minorHAnsi"/>
                <w:color w:val="000000"/>
                <w:sz w:val="20"/>
                <w:szCs w:val="20"/>
              </w:rPr>
            </w:pPr>
          </w:p>
        </w:tc>
      </w:tr>
      <w:tr w:rsidR="00552588" w:rsidRPr="00F1130D" w14:paraId="146CDCE5" w14:textId="77777777" w:rsidTr="00102FB5">
        <w:trPr>
          <w:trHeight w:val="521"/>
          <w:jc w:val="center"/>
        </w:trPr>
        <w:tc>
          <w:tcPr>
            <w:tcW w:w="1961" w:type="dxa"/>
            <w:tcBorders>
              <w:top w:val="single" w:sz="4" w:space="0" w:color="auto"/>
              <w:bottom w:val="single" w:sz="4" w:space="0" w:color="auto"/>
            </w:tcBorders>
            <w:shd w:val="clear" w:color="auto" w:fill="auto"/>
            <w:vAlign w:val="bottom"/>
            <w:hideMark/>
          </w:tcPr>
          <w:p w14:paraId="266453FE" w14:textId="725179F6" w:rsidR="00552588" w:rsidRPr="00F1130D" w:rsidRDefault="00AB286D" w:rsidP="00290CF2">
            <w:pPr>
              <w:spacing w:after="0" w:line="240" w:lineRule="auto"/>
              <w:jc w:val="both"/>
              <w:rPr>
                <w:rFonts w:ascii="Goudy Old Style" w:eastAsia="Times New Roman" w:hAnsi="Goudy Old Style" w:cstheme="minorHAnsi"/>
                <w:color w:val="000000"/>
                <w:sz w:val="20"/>
                <w:szCs w:val="20"/>
              </w:rPr>
            </w:pPr>
            <w:r w:rsidRPr="00C6243A">
              <w:rPr>
                <w:rFonts w:ascii="Goudy Old Style" w:eastAsia="Times New Roman" w:hAnsi="Goudy Old Style" w:cs="Times New Roman"/>
                <w:sz w:val="20"/>
                <w:szCs w:val="20"/>
                <w:lang w:eastAsia="en-ID"/>
              </w:rPr>
              <w:t>General confiscation</w:t>
            </w:r>
            <w:r w:rsidRPr="00C6243A">
              <w:rPr>
                <w:rFonts w:ascii="Goudy Old Style" w:eastAsia="Times New Roman" w:hAnsi="Goudy Old Style" w:cs="Times New Roman"/>
                <w:i/>
                <w:iCs/>
                <w:sz w:val="20"/>
                <w:szCs w:val="20"/>
                <w:lang w:eastAsia="en-ID"/>
              </w:rPr>
              <w:t xml:space="preserve"> </w:t>
            </w:r>
            <w:r w:rsidRPr="00C6243A">
              <w:rPr>
                <w:rFonts w:ascii="Goudy Old Style" w:eastAsia="Times New Roman" w:hAnsi="Goudy Old Style" w:cs="Times New Roman"/>
                <w:sz w:val="20"/>
                <w:szCs w:val="20"/>
                <w:lang w:eastAsia="en-ID"/>
              </w:rPr>
              <w:t>of</w:t>
            </w:r>
            <w:r w:rsidRPr="00C6243A">
              <w:rPr>
                <w:rFonts w:ascii="Goudy Old Style" w:eastAsia="Times New Roman" w:hAnsi="Goudy Old Style" w:cs="Times New Roman"/>
                <w:i/>
                <w:iCs/>
                <w:sz w:val="20"/>
                <w:szCs w:val="20"/>
                <w:lang w:eastAsia="en-ID"/>
              </w:rPr>
              <w:t> </w:t>
            </w:r>
            <w:r w:rsidRPr="00C6243A">
              <w:rPr>
                <w:rFonts w:ascii="Goudy Old Style" w:eastAsia="Times New Roman" w:hAnsi="Goudy Old Style" w:cs="Times New Roman"/>
                <w:sz w:val="20"/>
                <w:szCs w:val="20"/>
                <w:lang w:eastAsia="en-ID"/>
              </w:rPr>
              <w:t>bankrupt</w:t>
            </w:r>
            <w:r>
              <w:rPr>
                <w:rFonts w:ascii="Goudy Old Style" w:eastAsia="Times New Roman" w:hAnsi="Goudy Old Style" w:cs="Times New Roman"/>
                <w:sz w:val="20"/>
                <w:szCs w:val="20"/>
                <w:lang w:eastAsia="en-ID"/>
              </w:rPr>
              <w:t>cy</w:t>
            </w:r>
            <w:r w:rsidRPr="00C6243A">
              <w:rPr>
                <w:rFonts w:ascii="Goudy Old Style" w:eastAsia="Times New Roman" w:hAnsi="Goudy Old Style" w:cs="Times New Roman"/>
                <w:sz w:val="20"/>
                <w:szCs w:val="20"/>
                <w:lang w:eastAsia="en-ID"/>
              </w:rPr>
              <w:t> assets to protect the interests of creditors</w:t>
            </w:r>
          </w:p>
        </w:tc>
        <w:tc>
          <w:tcPr>
            <w:tcW w:w="520" w:type="dxa"/>
            <w:tcBorders>
              <w:top w:val="single" w:sz="4" w:space="0" w:color="auto"/>
              <w:bottom w:val="single" w:sz="4" w:space="0" w:color="auto"/>
            </w:tcBorders>
            <w:shd w:val="clear" w:color="auto" w:fill="auto"/>
            <w:noWrap/>
            <w:vAlign w:val="center"/>
            <w:hideMark/>
          </w:tcPr>
          <w:p w14:paraId="71F6FD67"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94" w:type="dxa"/>
            <w:tcBorders>
              <w:top w:val="single" w:sz="4" w:space="0" w:color="auto"/>
              <w:bottom w:val="single" w:sz="4" w:space="0" w:color="auto"/>
            </w:tcBorders>
            <w:shd w:val="clear" w:color="auto" w:fill="auto"/>
            <w:noWrap/>
            <w:vAlign w:val="center"/>
            <w:hideMark/>
          </w:tcPr>
          <w:p w14:paraId="2B645939"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87" w:type="dxa"/>
            <w:tcBorders>
              <w:top w:val="single" w:sz="4" w:space="0" w:color="auto"/>
              <w:bottom w:val="single" w:sz="4" w:space="0" w:color="auto"/>
            </w:tcBorders>
            <w:shd w:val="clear" w:color="auto" w:fill="auto"/>
            <w:noWrap/>
            <w:vAlign w:val="center"/>
            <w:hideMark/>
          </w:tcPr>
          <w:p w14:paraId="43BF9C79"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46" w:type="dxa"/>
            <w:tcBorders>
              <w:top w:val="single" w:sz="4" w:space="0" w:color="auto"/>
              <w:bottom w:val="single" w:sz="4" w:space="0" w:color="auto"/>
            </w:tcBorders>
            <w:shd w:val="clear" w:color="auto" w:fill="auto"/>
            <w:noWrap/>
            <w:vAlign w:val="center"/>
            <w:hideMark/>
          </w:tcPr>
          <w:p w14:paraId="28E2B3B6"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bottom w:val="single" w:sz="4" w:space="0" w:color="auto"/>
            </w:tcBorders>
            <w:shd w:val="clear" w:color="auto" w:fill="auto"/>
            <w:noWrap/>
            <w:vAlign w:val="center"/>
            <w:hideMark/>
          </w:tcPr>
          <w:p w14:paraId="1C151A39"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bottom w:val="single" w:sz="4" w:space="0" w:color="auto"/>
            </w:tcBorders>
            <w:shd w:val="clear" w:color="auto" w:fill="auto"/>
            <w:noWrap/>
            <w:vAlign w:val="center"/>
            <w:hideMark/>
          </w:tcPr>
          <w:p w14:paraId="709BACA9"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6" w:type="dxa"/>
            <w:tcBorders>
              <w:top w:val="single" w:sz="4" w:space="0" w:color="auto"/>
              <w:bottom w:val="single" w:sz="4" w:space="0" w:color="auto"/>
            </w:tcBorders>
            <w:shd w:val="clear" w:color="auto" w:fill="auto"/>
            <w:noWrap/>
            <w:vAlign w:val="center"/>
            <w:hideMark/>
          </w:tcPr>
          <w:p w14:paraId="1F3BB2D4"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3" w:type="dxa"/>
            <w:tcBorders>
              <w:top w:val="single" w:sz="4" w:space="0" w:color="auto"/>
              <w:bottom w:val="single" w:sz="4" w:space="0" w:color="auto"/>
            </w:tcBorders>
            <w:shd w:val="clear" w:color="auto" w:fill="auto"/>
            <w:noWrap/>
            <w:vAlign w:val="center"/>
            <w:hideMark/>
          </w:tcPr>
          <w:p w14:paraId="504823FD"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bottom w:val="single" w:sz="4" w:space="0" w:color="auto"/>
            </w:tcBorders>
            <w:shd w:val="clear" w:color="auto" w:fill="auto"/>
            <w:noWrap/>
            <w:vAlign w:val="center"/>
            <w:hideMark/>
          </w:tcPr>
          <w:p w14:paraId="7A998ADB"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bottom w:val="single" w:sz="4" w:space="0" w:color="auto"/>
            </w:tcBorders>
            <w:shd w:val="clear" w:color="auto" w:fill="auto"/>
            <w:noWrap/>
            <w:vAlign w:val="center"/>
            <w:hideMark/>
          </w:tcPr>
          <w:p w14:paraId="6F70ED9D"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1268" w:type="dxa"/>
            <w:tcBorders>
              <w:top w:val="single" w:sz="4" w:space="0" w:color="auto"/>
              <w:bottom w:val="single" w:sz="4" w:space="0" w:color="auto"/>
            </w:tcBorders>
            <w:shd w:val="clear" w:color="auto" w:fill="auto"/>
            <w:noWrap/>
            <w:vAlign w:val="center"/>
            <w:hideMark/>
          </w:tcPr>
          <w:p w14:paraId="5A589C31"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9</w:t>
            </w:r>
          </w:p>
        </w:tc>
      </w:tr>
    </w:tbl>
    <w:p w14:paraId="2F62EF8B" w14:textId="0F6EDF52" w:rsidR="00552588" w:rsidRPr="00F1130D" w:rsidRDefault="000A644D" w:rsidP="00290CF2">
      <w:pPr>
        <w:spacing w:after="0" w:line="240" w:lineRule="auto"/>
        <w:ind w:left="270"/>
        <w:rPr>
          <w:rFonts w:ascii="Goudy Old Style" w:eastAsia="Times New Roman" w:hAnsi="Goudy Old Style" w:cstheme="minorHAnsi"/>
          <w:color w:val="000000"/>
          <w:sz w:val="20"/>
          <w:szCs w:val="20"/>
        </w:rPr>
      </w:pPr>
      <w:r>
        <w:rPr>
          <w:rFonts w:ascii="Goudy Old Style" w:eastAsia="Times New Roman" w:hAnsi="Goudy Old Style" w:cstheme="minorHAnsi"/>
          <w:color w:val="000000"/>
          <w:sz w:val="20"/>
          <w:szCs w:val="20"/>
        </w:rPr>
        <w:t>Where</w:t>
      </w:r>
      <w:r w:rsidR="00552588" w:rsidRPr="00F1130D">
        <w:rPr>
          <w:rFonts w:ascii="Goudy Old Style" w:eastAsia="Times New Roman" w:hAnsi="Goudy Old Style" w:cstheme="minorHAnsi"/>
          <w:color w:val="000000"/>
          <w:sz w:val="20"/>
          <w:szCs w:val="20"/>
        </w:rPr>
        <w:t xml:space="preserve">: √ = </w:t>
      </w:r>
      <w:r w:rsidR="009A3314">
        <w:rPr>
          <w:rFonts w:ascii="Goudy Old Style" w:eastAsia="Times New Roman" w:hAnsi="Goudy Old Style" w:cstheme="minorHAnsi"/>
          <w:color w:val="000000"/>
          <w:sz w:val="20"/>
          <w:szCs w:val="20"/>
        </w:rPr>
        <w:t>Agree</w:t>
      </w:r>
      <w:r w:rsidR="00552588" w:rsidRPr="00F1130D">
        <w:rPr>
          <w:rFonts w:ascii="Goudy Old Style" w:eastAsia="Times New Roman" w:hAnsi="Goudy Old Style" w:cstheme="minorHAnsi"/>
          <w:color w:val="000000"/>
          <w:sz w:val="20"/>
          <w:szCs w:val="20"/>
        </w:rPr>
        <w:t xml:space="preserve">, X = </w:t>
      </w:r>
      <w:r w:rsidR="009A3314">
        <w:rPr>
          <w:rFonts w:ascii="Goudy Old Style" w:eastAsia="Times New Roman" w:hAnsi="Goudy Old Style" w:cstheme="minorHAnsi"/>
          <w:color w:val="000000"/>
          <w:sz w:val="20"/>
          <w:szCs w:val="20"/>
        </w:rPr>
        <w:t>Disagree</w:t>
      </w:r>
      <w:r w:rsidR="00552588" w:rsidRPr="00F1130D">
        <w:rPr>
          <w:rFonts w:ascii="Goudy Old Style" w:eastAsia="Times New Roman" w:hAnsi="Goudy Old Style" w:cstheme="minorHAnsi"/>
          <w:color w:val="000000"/>
          <w:sz w:val="20"/>
          <w:szCs w:val="20"/>
        </w:rPr>
        <w:t xml:space="preserve">, - = </w:t>
      </w:r>
      <w:r w:rsidR="009A3314">
        <w:rPr>
          <w:rFonts w:ascii="Goudy Old Style" w:eastAsia="Times New Roman" w:hAnsi="Goudy Old Style" w:cstheme="minorHAnsi"/>
          <w:color w:val="000000"/>
          <w:sz w:val="20"/>
          <w:szCs w:val="20"/>
        </w:rPr>
        <w:t>Not Stating</w:t>
      </w:r>
    </w:p>
    <w:p w14:paraId="21464A95" w14:textId="20817858" w:rsidR="00552588" w:rsidRPr="009A3314" w:rsidRDefault="00552588" w:rsidP="00290CF2">
      <w:pPr>
        <w:pStyle w:val="ListParagraph"/>
        <w:numPr>
          <w:ilvl w:val="0"/>
          <w:numId w:val="20"/>
        </w:numPr>
        <w:spacing w:before="120" w:after="0" w:line="240" w:lineRule="auto"/>
        <w:contextualSpacing w:val="0"/>
        <w:rPr>
          <w:rFonts w:ascii="Candara" w:hAnsi="Candara" w:cstheme="minorHAnsi"/>
        </w:rPr>
      </w:pPr>
      <w:r w:rsidRPr="009A3314">
        <w:rPr>
          <w:rFonts w:ascii="Candara" w:hAnsi="Candara" w:cstheme="minorHAnsi"/>
        </w:rPr>
        <w:t>Perpe</w:t>
      </w:r>
      <w:r w:rsidR="00ED77D7">
        <w:rPr>
          <w:rFonts w:ascii="Candara" w:hAnsi="Candara" w:cstheme="minorHAnsi"/>
        </w:rPr>
        <w:t>t</w:t>
      </w:r>
      <w:r w:rsidRPr="009A3314">
        <w:rPr>
          <w:rFonts w:ascii="Candara" w:hAnsi="Candara" w:cstheme="minorHAnsi"/>
        </w:rPr>
        <w:t xml:space="preserve">rator </w:t>
      </w:r>
      <w:r w:rsidR="008E5EDF">
        <w:rPr>
          <w:rFonts w:ascii="Candara" w:hAnsi="Candara" w:cstheme="minorHAnsi"/>
        </w:rPr>
        <w:t xml:space="preserve">of </w:t>
      </w:r>
      <w:r w:rsidRPr="009A3314">
        <w:rPr>
          <w:rFonts w:ascii="Candara" w:hAnsi="Candara" w:cstheme="minorHAnsi"/>
        </w:rPr>
        <w:t>bankruptcy fraud</w:t>
      </w:r>
    </w:p>
    <w:p w14:paraId="20A7F871" w14:textId="02E12123" w:rsidR="00552588" w:rsidRPr="0010786A" w:rsidRDefault="008E5EDF" w:rsidP="00290CF2">
      <w:pPr>
        <w:pStyle w:val="ListParagraph"/>
        <w:spacing w:after="0" w:line="240" w:lineRule="auto"/>
        <w:ind w:left="360" w:firstLine="360"/>
        <w:contextualSpacing w:val="0"/>
        <w:jc w:val="both"/>
        <w:rPr>
          <w:rFonts w:ascii="Candara" w:hAnsi="Candara" w:cstheme="minorHAnsi"/>
        </w:rPr>
      </w:pPr>
      <w:r w:rsidRPr="00C6243A">
        <w:rPr>
          <w:rFonts w:ascii="Candara" w:eastAsia="Times New Roman" w:hAnsi="Candara" w:cs="Calibri"/>
          <w:color w:val="000000"/>
          <w:lang w:eastAsia="en-ID"/>
        </w:rPr>
        <w:t>All</w:t>
      </w:r>
      <w:r>
        <w:rPr>
          <w:rFonts w:ascii="Candara" w:eastAsia="Times New Roman" w:hAnsi="Candara" w:cs="Calibri"/>
          <w:color w:val="000000"/>
          <w:lang w:eastAsia="en-ID"/>
        </w:rPr>
        <w:t xml:space="preserve"> the</w:t>
      </w:r>
      <w:r w:rsidRPr="00C6243A">
        <w:rPr>
          <w:rFonts w:ascii="Candara" w:eastAsia="Times New Roman" w:hAnsi="Candara" w:cs="Calibri"/>
          <w:color w:val="000000"/>
          <w:lang w:eastAsia="en-ID"/>
        </w:rPr>
        <w:t xml:space="preserve"> informants stated that th</w:t>
      </w:r>
      <w:r>
        <w:rPr>
          <w:rFonts w:ascii="Candara" w:eastAsia="Times New Roman" w:hAnsi="Candara" w:cs="Calibri"/>
          <w:color w:val="000000"/>
          <w:lang w:eastAsia="en-ID"/>
        </w:rPr>
        <w:t xml:space="preserve">e ones that </w:t>
      </w:r>
      <w:r w:rsidRPr="00C6243A">
        <w:rPr>
          <w:rFonts w:ascii="Candara" w:eastAsia="Times New Roman" w:hAnsi="Candara" w:cs="Calibri"/>
          <w:color w:val="000000"/>
          <w:lang w:eastAsia="en-ID"/>
        </w:rPr>
        <w:t xml:space="preserve">could become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perpetrators of</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bankruptcy </w:t>
      </w:r>
      <w:r w:rsidRPr="00833844">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sidRPr="00833844">
        <w:rPr>
          <w:rFonts w:ascii="Candara" w:eastAsia="Times New Roman" w:hAnsi="Candara" w:cs="Calibri"/>
          <w:color w:val="000000"/>
          <w:lang w:eastAsia="en-ID"/>
        </w:rPr>
        <w:t>are</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debtors, creditors</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or </w:t>
      </w:r>
      <w:r w:rsidRPr="00C6243A">
        <w:rPr>
          <w:rFonts w:ascii="Candara" w:eastAsia="Times New Roman" w:hAnsi="Candara" w:cs="Calibri"/>
          <w:color w:val="000000"/>
          <w:lang w:eastAsia="en-ID"/>
        </w:rPr>
        <w:t>curators as stated by informant D</w:t>
      </w:r>
      <w:r>
        <w:rPr>
          <w:rFonts w:ascii="Candara" w:eastAsia="Times New Roman" w:hAnsi="Candara" w:cs="Calibri"/>
          <w:color w:val="000000"/>
          <w:lang w:eastAsia="en-ID"/>
        </w:rPr>
        <w:t xml:space="preserve"> in the following</w:t>
      </w:r>
      <w:r w:rsidR="00552588" w:rsidRPr="0010786A">
        <w:rPr>
          <w:rFonts w:ascii="Candara" w:hAnsi="Candara" w:cstheme="minorHAnsi"/>
        </w:rPr>
        <w:t>:</w:t>
      </w:r>
    </w:p>
    <w:p w14:paraId="66F2D75F" w14:textId="548F2420" w:rsidR="00552588" w:rsidRPr="0010786A" w:rsidRDefault="00552588" w:rsidP="00552588">
      <w:pPr>
        <w:pStyle w:val="ListParagraph"/>
        <w:spacing w:after="0" w:line="240" w:lineRule="auto"/>
        <w:contextualSpacing w:val="0"/>
        <w:jc w:val="both"/>
        <w:rPr>
          <w:rFonts w:ascii="Candara" w:hAnsi="Candara" w:cstheme="minorHAnsi"/>
        </w:rPr>
      </w:pPr>
      <w:r w:rsidRPr="0010786A">
        <w:rPr>
          <w:rFonts w:ascii="Candara" w:hAnsi="Candara" w:cstheme="minorHAnsi"/>
          <w:i/>
          <w:iCs/>
        </w:rPr>
        <w:t>“</w:t>
      </w:r>
      <w:r w:rsidR="004B366E">
        <w:rPr>
          <w:rFonts w:ascii="Candara" w:eastAsia="Times New Roman" w:hAnsi="Candara" w:cs="Calibri"/>
          <w:i/>
          <w:iCs/>
          <w:color w:val="000000"/>
          <w:lang w:eastAsia="en-ID"/>
        </w:rPr>
        <w:t xml:space="preserve">In relation to </w:t>
      </w:r>
      <w:r w:rsidR="004B366E" w:rsidRPr="00C6243A">
        <w:rPr>
          <w:rFonts w:ascii="Candara" w:eastAsia="Times New Roman" w:hAnsi="Candara" w:cs="Calibri"/>
          <w:i/>
          <w:iCs/>
          <w:color w:val="000000"/>
          <w:lang w:eastAsia="en-ID"/>
        </w:rPr>
        <w:t xml:space="preserve">the potential for fraud, all </w:t>
      </w:r>
      <w:r w:rsidR="004B366E">
        <w:rPr>
          <w:rFonts w:ascii="Candara" w:eastAsia="Times New Roman" w:hAnsi="Candara" w:cs="Calibri"/>
          <w:i/>
          <w:iCs/>
          <w:color w:val="000000"/>
          <w:lang w:eastAsia="en-ID"/>
        </w:rPr>
        <w:t xml:space="preserve">the </w:t>
      </w:r>
      <w:r w:rsidR="004B366E" w:rsidRPr="00C6243A">
        <w:rPr>
          <w:rFonts w:ascii="Candara" w:eastAsia="Times New Roman" w:hAnsi="Candara" w:cs="Calibri"/>
          <w:i/>
          <w:iCs/>
          <w:color w:val="000000"/>
          <w:lang w:eastAsia="en-ID"/>
        </w:rPr>
        <w:t xml:space="preserve">parties involved in </w:t>
      </w:r>
      <w:r w:rsidR="004B366E">
        <w:rPr>
          <w:rFonts w:ascii="Candara" w:eastAsia="Times New Roman" w:hAnsi="Candara" w:cs="Calibri"/>
          <w:i/>
          <w:iCs/>
          <w:color w:val="000000"/>
          <w:lang w:eastAsia="en-ID"/>
        </w:rPr>
        <w:t xml:space="preserve">a </w:t>
      </w:r>
      <w:r w:rsidR="004B366E" w:rsidRPr="00C6243A">
        <w:rPr>
          <w:rFonts w:ascii="Candara" w:eastAsia="Times New Roman" w:hAnsi="Candara" w:cs="Calibri"/>
          <w:i/>
          <w:iCs/>
          <w:color w:val="000000"/>
          <w:lang w:eastAsia="en-ID"/>
        </w:rPr>
        <w:t>bankruptcy process may commit fraud.</w:t>
      </w:r>
      <w:r w:rsidR="004B366E">
        <w:rPr>
          <w:rFonts w:ascii="Candara" w:eastAsia="Times New Roman" w:hAnsi="Candara" w:cs="Calibri"/>
          <w:i/>
          <w:iCs/>
          <w:color w:val="000000"/>
          <w:lang w:eastAsia="en-ID"/>
        </w:rPr>
        <w:t xml:space="preserve"> Some of t</w:t>
      </w:r>
      <w:r w:rsidR="004B366E" w:rsidRPr="00C6243A">
        <w:rPr>
          <w:rFonts w:ascii="Candara" w:eastAsia="Times New Roman" w:hAnsi="Candara" w:cs="Calibri"/>
          <w:i/>
          <w:iCs/>
          <w:color w:val="000000"/>
          <w:lang w:eastAsia="en-ID"/>
        </w:rPr>
        <w:t xml:space="preserve">he potential fraud that may be </w:t>
      </w:r>
      <w:r w:rsidR="004B366E">
        <w:rPr>
          <w:rFonts w:ascii="Candara" w:eastAsia="Times New Roman" w:hAnsi="Candara" w:cs="Calibri"/>
          <w:i/>
          <w:iCs/>
          <w:color w:val="000000"/>
          <w:lang w:eastAsia="en-ID"/>
        </w:rPr>
        <w:t xml:space="preserve">committed </w:t>
      </w:r>
      <w:r w:rsidR="004B366E" w:rsidRPr="00C6243A">
        <w:rPr>
          <w:rFonts w:ascii="Candara" w:eastAsia="Times New Roman" w:hAnsi="Candara" w:cs="Calibri"/>
          <w:i/>
          <w:iCs/>
          <w:color w:val="000000"/>
          <w:lang w:eastAsia="en-ID"/>
        </w:rPr>
        <w:t>by creditors or debtors</w:t>
      </w:r>
      <w:r w:rsidR="004B366E">
        <w:rPr>
          <w:rFonts w:ascii="Candara" w:eastAsia="Times New Roman" w:hAnsi="Candara" w:cs="Calibri"/>
          <w:i/>
          <w:iCs/>
          <w:color w:val="000000"/>
          <w:lang w:eastAsia="en-ID"/>
        </w:rPr>
        <w:t xml:space="preserve"> are </w:t>
      </w:r>
      <w:r w:rsidR="004B366E" w:rsidRPr="00C6243A">
        <w:rPr>
          <w:rFonts w:ascii="Candara" w:eastAsia="Times New Roman" w:hAnsi="Candara" w:cs="Calibri"/>
          <w:i/>
          <w:iCs/>
          <w:color w:val="000000"/>
          <w:lang w:eastAsia="en-ID"/>
        </w:rPr>
        <w:t xml:space="preserve">collusion between creditors and debtors </w:t>
      </w:r>
      <w:r w:rsidR="004B366E">
        <w:rPr>
          <w:rFonts w:ascii="Candara" w:eastAsia="Times New Roman" w:hAnsi="Candara" w:cs="Calibri"/>
          <w:i/>
          <w:iCs/>
          <w:color w:val="000000"/>
          <w:lang w:eastAsia="en-ID"/>
        </w:rPr>
        <w:t>in relation to</w:t>
      </w:r>
      <w:r w:rsidR="004B366E" w:rsidRPr="00C6243A">
        <w:rPr>
          <w:rFonts w:ascii="Candara" w:eastAsia="Times New Roman" w:hAnsi="Candara" w:cs="Calibri"/>
          <w:i/>
          <w:iCs/>
          <w:color w:val="000000"/>
          <w:lang w:eastAsia="en-ID"/>
        </w:rPr>
        <w:t xml:space="preserve"> fictitious creditors, or those who falsify their bills.</w:t>
      </w:r>
      <w:r w:rsidR="004B366E">
        <w:rPr>
          <w:rFonts w:ascii="Candara" w:eastAsia="Times New Roman" w:hAnsi="Candara" w:cs="Calibri"/>
          <w:i/>
          <w:iCs/>
          <w:color w:val="000000"/>
          <w:lang w:eastAsia="en-ID"/>
        </w:rPr>
        <w:t xml:space="preserve"> </w:t>
      </w:r>
      <w:r w:rsidR="004B366E" w:rsidRPr="00C6243A">
        <w:rPr>
          <w:rFonts w:ascii="Candara" w:eastAsia="Times New Roman" w:hAnsi="Candara" w:cs="Calibri"/>
          <w:i/>
          <w:iCs/>
          <w:color w:val="000000"/>
          <w:lang w:eastAsia="en-ID"/>
        </w:rPr>
        <w:t xml:space="preserve">In addition, there is the potential for debtors to transfer their assets so </w:t>
      </w:r>
      <w:r w:rsidR="004B366E">
        <w:rPr>
          <w:rFonts w:ascii="Candara" w:eastAsia="Times New Roman" w:hAnsi="Candara" w:cs="Calibri"/>
          <w:i/>
          <w:iCs/>
          <w:color w:val="000000"/>
          <w:lang w:eastAsia="en-ID"/>
        </w:rPr>
        <w:t xml:space="preserve">these assets are excluded from </w:t>
      </w:r>
      <w:r w:rsidR="004B366E" w:rsidRPr="00C6243A">
        <w:rPr>
          <w:rFonts w:ascii="Candara" w:eastAsia="Times New Roman" w:hAnsi="Candara" w:cs="Calibri"/>
          <w:i/>
          <w:iCs/>
          <w:color w:val="000000"/>
          <w:lang w:eastAsia="en-ID"/>
        </w:rPr>
        <w:t xml:space="preserve">the bankruptcy </w:t>
      </w:r>
      <w:r w:rsidR="004B366E">
        <w:rPr>
          <w:rFonts w:ascii="Candara" w:eastAsia="Times New Roman" w:hAnsi="Candara" w:cs="Calibri"/>
          <w:i/>
          <w:iCs/>
          <w:color w:val="000000"/>
          <w:lang w:eastAsia="en-ID"/>
        </w:rPr>
        <w:t xml:space="preserve">assets </w:t>
      </w:r>
      <w:r w:rsidR="004B366E" w:rsidRPr="00C6243A">
        <w:rPr>
          <w:rFonts w:ascii="Candara" w:eastAsia="Times New Roman" w:hAnsi="Candara" w:cs="Calibri"/>
          <w:i/>
          <w:iCs/>
          <w:color w:val="000000"/>
          <w:lang w:eastAsia="en-ID"/>
        </w:rPr>
        <w:t>or to hide their assets.</w:t>
      </w:r>
      <w:r w:rsidR="004B366E">
        <w:rPr>
          <w:rFonts w:ascii="Candara" w:eastAsia="Times New Roman" w:hAnsi="Candara" w:cs="Calibri"/>
          <w:i/>
          <w:iCs/>
          <w:color w:val="000000"/>
          <w:lang w:eastAsia="en-ID"/>
        </w:rPr>
        <w:t xml:space="preserve"> Someone </w:t>
      </w:r>
      <w:r w:rsidR="004B366E" w:rsidRPr="00C6243A">
        <w:rPr>
          <w:rFonts w:ascii="Candara" w:eastAsia="Times New Roman" w:hAnsi="Candara" w:cs="Calibri"/>
          <w:i/>
          <w:iCs/>
          <w:color w:val="000000"/>
          <w:lang w:eastAsia="en-ID"/>
        </w:rPr>
        <w:t xml:space="preserve">who has </w:t>
      </w:r>
      <w:r w:rsidR="004B366E">
        <w:rPr>
          <w:rFonts w:ascii="Candara" w:eastAsia="Times New Roman" w:hAnsi="Candara" w:cs="Calibri"/>
          <w:i/>
          <w:iCs/>
          <w:color w:val="000000"/>
          <w:lang w:eastAsia="en-ID"/>
        </w:rPr>
        <w:t xml:space="preserve">a </w:t>
      </w:r>
      <w:r w:rsidR="004B366E" w:rsidRPr="00C6243A">
        <w:rPr>
          <w:rFonts w:ascii="Candara" w:eastAsia="Times New Roman" w:hAnsi="Candara" w:cs="Calibri"/>
          <w:i/>
          <w:iCs/>
          <w:color w:val="000000"/>
          <w:lang w:eastAsia="en-ID"/>
        </w:rPr>
        <w:t>bad</w:t>
      </w:r>
      <w:r w:rsidR="004B366E">
        <w:rPr>
          <w:rFonts w:ascii="Candara" w:eastAsia="Times New Roman" w:hAnsi="Candara" w:cs="Calibri"/>
          <w:i/>
          <w:iCs/>
          <w:color w:val="000000"/>
          <w:lang w:eastAsia="en-ID"/>
        </w:rPr>
        <w:t xml:space="preserve"> </w:t>
      </w:r>
      <w:r w:rsidR="004B366E" w:rsidRPr="00C6243A">
        <w:rPr>
          <w:rFonts w:ascii="Candara" w:eastAsia="Times New Roman" w:hAnsi="Candara" w:cs="Calibri"/>
          <w:i/>
          <w:iCs/>
          <w:color w:val="000000"/>
          <w:lang w:eastAsia="en-ID"/>
        </w:rPr>
        <w:t>intention incurs as much debt as possible</w:t>
      </w:r>
      <w:r w:rsidR="004B366E">
        <w:rPr>
          <w:rFonts w:ascii="Candara" w:eastAsia="Times New Roman" w:hAnsi="Candara" w:cs="Calibri"/>
          <w:i/>
          <w:iCs/>
          <w:color w:val="000000"/>
          <w:lang w:eastAsia="en-ID"/>
        </w:rPr>
        <w:t>,</w:t>
      </w:r>
      <w:r w:rsidR="004B366E" w:rsidRPr="00C6243A">
        <w:rPr>
          <w:rFonts w:ascii="Candara" w:eastAsia="Times New Roman" w:hAnsi="Candara" w:cs="Calibri"/>
          <w:i/>
          <w:iCs/>
          <w:color w:val="000000"/>
          <w:lang w:eastAsia="en-ID"/>
        </w:rPr>
        <w:t xml:space="preserve"> </w:t>
      </w:r>
      <w:r w:rsidR="004B366E">
        <w:rPr>
          <w:rFonts w:ascii="Candara" w:eastAsia="Times New Roman" w:hAnsi="Candara" w:cs="Calibri"/>
          <w:i/>
          <w:iCs/>
          <w:color w:val="000000"/>
          <w:lang w:eastAsia="en-ID"/>
        </w:rPr>
        <w:t xml:space="preserve">then he </w:t>
      </w:r>
      <w:r w:rsidR="004B366E" w:rsidRPr="00C6243A">
        <w:rPr>
          <w:rFonts w:ascii="Candara" w:eastAsia="Times New Roman" w:hAnsi="Candara" w:cs="Calibri"/>
          <w:i/>
          <w:iCs/>
          <w:color w:val="000000"/>
          <w:lang w:eastAsia="en-ID"/>
        </w:rPr>
        <w:t xml:space="preserve">subsequently </w:t>
      </w:r>
      <w:r w:rsidR="004B366E">
        <w:rPr>
          <w:rFonts w:ascii="Candara" w:eastAsia="Times New Roman" w:hAnsi="Candara" w:cs="Calibri"/>
          <w:i/>
          <w:iCs/>
          <w:color w:val="000000"/>
          <w:lang w:eastAsia="en-ID"/>
        </w:rPr>
        <w:t xml:space="preserve">files </w:t>
      </w:r>
      <w:r w:rsidR="004B366E" w:rsidRPr="00C6243A">
        <w:rPr>
          <w:rFonts w:ascii="Candara" w:eastAsia="Times New Roman" w:hAnsi="Candara" w:cs="Calibri"/>
          <w:i/>
          <w:iCs/>
          <w:color w:val="000000"/>
          <w:lang w:eastAsia="en-ID"/>
        </w:rPr>
        <w:t xml:space="preserve">for bankruptcy to </w:t>
      </w:r>
      <w:r w:rsidR="004B366E">
        <w:rPr>
          <w:rFonts w:ascii="Candara" w:eastAsia="Times New Roman" w:hAnsi="Candara" w:cs="Calibri"/>
          <w:i/>
          <w:iCs/>
          <w:color w:val="000000"/>
          <w:lang w:eastAsia="en-ID"/>
        </w:rPr>
        <w:t xml:space="preserve">avoid </w:t>
      </w:r>
      <w:r w:rsidR="004B366E" w:rsidRPr="00C6243A">
        <w:rPr>
          <w:rFonts w:ascii="Candara" w:eastAsia="Times New Roman" w:hAnsi="Candara" w:cs="Calibri"/>
          <w:i/>
          <w:iCs/>
          <w:color w:val="000000"/>
          <w:lang w:eastAsia="en-ID"/>
        </w:rPr>
        <w:t>pay</w:t>
      </w:r>
      <w:r w:rsidR="004B366E">
        <w:rPr>
          <w:rFonts w:ascii="Candara" w:eastAsia="Times New Roman" w:hAnsi="Candara" w:cs="Calibri"/>
          <w:i/>
          <w:iCs/>
          <w:color w:val="000000"/>
          <w:lang w:eastAsia="en-ID"/>
        </w:rPr>
        <w:t>ing</w:t>
      </w:r>
      <w:r w:rsidR="004B366E" w:rsidRPr="00C6243A">
        <w:rPr>
          <w:rFonts w:ascii="Candara" w:eastAsia="Times New Roman" w:hAnsi="Candara" w:cs="Calibri"/>
          <w:i/>
          <w:iCs/>
          <w:color w:val="000000"/>
          <w:lang w:eastAsia="en-ID"/>
        </w:rPr>
        <w:t xml:space="preserve"> his debts </w:t>
      </w:r>
      <w:r w:rsidR="004B366E">
        <w:rPr>
          <w:rFonts w:ascii="Candara" w:eastAsia="Times New Roman" w:hAnsi="Candara" w:cs="Calibri"/>
          <w:i/>
          <w:iCs/>
          <w:color w:val="000000"/>
          <w:lang w:eastAsia="en-ID"/>
        </w:rPr>
        <w:t xml:space="preserve">after </w:t>
      </w:r>
      <w:r w:rsidR="004B366E" w:rsidRPr="00C6243A">
        <w:rPr>
          <w:rFonts w:ascii="Candara" w:eastAsia="Times New Roman" w:hAnsi="Candara" w:cs="Calibri"/>
          <w:i/>
          <w:iCs/>
          <w:color w:val="000000"/>
          <w:lang w:eastAsia="en-ID"/>
        </w:rPr>
        <w:t xml:space="preserve">hiding his </w:t>
      </w:r>
      <w:r w:rsidR="004B366E">
        <w:rPr>
          <w:rFonts w:ascii="Candara" w:eastAsia="Times New Roman" w:hAnsi="Candara" w:cs="Calibri"/>
          <w:i/>
          <w:iCs/>
          <w:color w:val="000000"/>
          <w:lang w:eastAsia="en-ID"/>
        </w:rPr>
        <w:t>assets</w:t>
      </w:r>
      <w:r w:rsidR="004B366E" w:rsidRPr="00C6243A">
        <w:rPr>
          <w:rFonts w:ascii="Candara" w:eastAsia="Times New Roman" w:hAnsi="Candara" w:cs="Calibri"/>
          <w:i/>
          <w:iCs/>
          <w:color w:val="000000"/>
          <w:lang w:eastAsia="en-ID"/>
        </w:rPr>
        <w:t>.</w:t>
      </w:r>
      <w:r w:rsidR="004B366E">
        <w:rPr>
          <w:rFonts w:ascii="Candara" w:eastAsia="Times New Roman" w:hAnsi="Candara" w:cs="Calibri"/>
          <w:i/>
          <w:iCs/>
          <w:color w:val="000000"/>
          <w:lang w:eastAsia="en-ID"/>
        </w:rPr>
        <w:t xml:space="preserve"> C</w:t>
      </w:r>
      <w:r w:rsidR="004B366E" w:rsidRPr="00C6243A">
        <w:rPr>
          <w:rFonts w:ascii="Candara" w:eastAsia="Times New Roman" w:hAnsi="Candara" w:cs="Calibri"/>
          <w:i/>
          <w:iCs/>
          <w:color w:val="000000"/>
          <w:lang w:eastAsia="en-ID"/>
        </w:rPr>
        <w:t>ollaborat</w:t>
      </w:r>
      <w:r w:rsidR="004B366E">
        <w:rPr>
          <w:rFonts w:ascii="Candara" w:eastAsia="Times New Roman" w:hAnsi="Candara" w:cs="Calibri"/>
          <w:i/>
          <w:iCs/>
          <w:color w:val="000000"/>
          <w:lang w:eastAsia="en-ID"/>
        </w:rPr>
        <w:t>ing</w:t>
      </w:r>
      <w:r w:rsidR="004B366E" w:rsidRPr="00C6243A">
        <w:rPr>
          <w:rFonts w:ascii="Candara" w:eastAsia="Times New Roman" w:hAnsi="Candara" w:cs="Calibri"/>
          <w:i/>
          <w:iCs/>
          <w:color w:val="000000"/>
          <w:lang w:eastAsia="en-ID"/>
        </w:rPr>
        <w:t xml:space="preserve"> with other parties to create fictitious debts</w:t>
      </w:r>
      <w:r w:rsidR="004B366E">
        <w:rPr>
          <w:rFonts w:ascii="Candara" w:eastAsia="Times New Roman" w:hAnsi="Candara" w:cs="Calibri"/>
          <w:i/>
          <w:iCs/>
          <w:color w:val="000000"/>
          <w:lang w:eastAsia="en-ID"/>
        </w:rPr>
        <w:t xml:space="preserve">, abusing </w:t>
      </w:r>
      <w:r w:rsidR="004B366E" w:rsidRPr="00C6243A">
        <w:rPr>
          <w:rFonts w:ascii="Candara" w:eastAsia="Times New Roman" w:hAnsi="Candara" w:cs="Calibri"/>
          <w:i/>
          <w:iCs/>
          <w:color w:val="000000"/>
          <w:lang w:eastAsia="en-ID"/>
        </w:rPr>
        <w:t xml:space="preserve">bankruptcy as a “camouflage” to cover up his bad </w:t>
      </w:r>
      <w:r w:rsidR="004B366E">
        <w:rPr>
          <w:rFonts w:ascii="Candara" w:eastAsia="Times New Roman" w:hAnsi="Candara" w:cs="Calibri"/>
          <w:i/>
          <w:iCs/>
          <w:color w:val="000000"/>
          <w:lang w:eastAsia="en-ID"/>
        </w:rPr>
        <w:t xml:space="preserve">intention </w:t>
      </w:r>
      <w:r w:rsidR="004B366E" w:rsidRPr="00C6243A">
        <w:rPr>
          <w:rFonts w:ascii="Candara" w:eastAsia="Times New Roman" w:hAnsi="Candara" w:cs="Calibri"/>
          <w:i/>
          <w:iCs/>
          <w:color w:val="000000"/>
          <w:lang w:eastAsia="en-ID"/>
        </w:rPr>
        <w:t xml:space="preserve">by transferring </w:t>
      </w:r>
      <w:r w:rsidR="004B366E">
        <w:rPr>
          <w:rFonts w:ascii="Candara" w:eastAsia="Times New Roman" w:hAnsi="Candara" w:cs="Calibri"/>
          <w:i/>
          <w:iCs/>
          <w:color w:val="000000"/>
          <w:lang w:eastAsia="en-ID"/>
        </w:rPr>
        <w:t xml:space="preserve">both </w:t>
      </w:r>
      <w:r w:rsidR="004B366E" w:rsidRPr="00C6243A">
        <w:rPr>
          <w:rFonts w:ascii="Candara" w:eastAsia="Times New Roman" w:hAnsi="Candara" w:cs="Calibri"/>
          <w:i/>
          <w:iCs/>
          <w:color w:val="000000"/>
          <w:lang w:eastAsia="en-ID"/>
        </w:rPr>
        <w:t xml:space="preserve">capital and </w:t>
      </w:r>
      <w:r w:rsidR="004B366E">
        <w:rPr>
          <w:rFonts w:ascii="Candara" w:eastAsia="Times New Roman" w:hAnsi="Candara" w:cs="Calibri"/>
          <w:i/>
          <w:iCs/>
          <w:color w:val="000000"/>
          <w:lang w:eastAsia="en-ID"/>
        </w:rPr>
        <w:t xml:space="preserve">assets </w:t>
      </w:r>
      <w:r w:rsidR="004B366E" w:rsidRPr="00C6243A">
        <w:rPr>
          <w:rFonts w:ascii="Candara" w:eastAsia="Times New Roman" w:hAnsi="Candara" w:cs="Calibri"/>
          <w:i/>
          <w:iCs/>
          <w:color w:val="000000"/>
          <w:lang w:eastAsia="en-ID"/>
        </w:rPr>
        <w:t xml:space="preserve">to a newly </w:t>
      </w:r>
      <w:r w:rsidR="004B366E">
        <w:rPr>
          <w:rFonts w:ascii="Candara" w:eastAsia="Times New Roman" w:hAnsi="Candara" w:cs="Calibri"/>
          <w:i/>
          <w:iCs/>
          <w:color w:val="000000"/>
          <w:lang w:eastAsia="en-ID"/>
        </w:rPr>
        <w:t xml:space="preserve">established </w:t>
      </w:r>
      <w:r w:rsidR="004B366E" w:rsidRPr="00C6243A">
        <w:rPr>
          <w:rFonts w:ascii="Candara" w:eastAsia="Times New Roman" w:hAnsi="Candara" w:cs="Calibri"/>
          <w:i/>
          <w:iCs/>
          <w:color w:val="000000"/>
          <w:lang w:eastAsia="en-ID"/>
        </w:rPr>
        <w:t>company.</w:t>
      </w:r>
      <w:r w:rsidR="004B366E">
        <w:rPr>
          <w:rFonts w:ascii="Candara" w:eastAsia="Times New Roman" w:hAnsi="Candara" w:cs="Calibri"/>
          <w:i/>
          <w:iCs/>
          <w:color w:val="000000"/>
          <w:lang w:eastAsia="en-ID"/>
        </w:rPr>
        <w:t xml:space="preserve"> </w:t>
      </w:r>
      <w:r w:rsidR="004B366E" w:rsidRPr="00C6243A">
        <w:rPr>
          <w:rFonts w:ascii="Candara" w:eastAsia="Times New Roman" w:hAnsi="Candara" w:cs="Calibri"/>
          <w:i/>
          <w:iCs/>
          <w:color w:val="000000"/>
          <w:lang w:eastAsia="en-ID"/>
        </w:rPr>
        <w:t xml:space="preserve">The matters </w:t>
      </w:r>
      <w:r w:rsidR="004B366E">
        <w:rPr>
          <w:rFonts w:ascii="Candara" w:eastAsia="Times New Roman" w:hAnsi="Candara" w:cs="Calibri"/>
          <w:i/>
          <w:iCs/>
          <w:color w:val="000000"/>
          <w:lang w:eastAsia="en-ID"/>
        </w:rPr>
        <w:t xml:space="preserve">regulated </w:t>
      </w:r>
      <w:r w:rsidR="004B366E" w:rsidRPr="00C6243A">
        <w:rPr>
          <w:rFonts w:ascii="Candara" w:eastAsia="Times New Roman" w:hAnsi="Candara" w:cs="Calibri"/>
          <w:i/>
          <w:iCs/>
          <w:color w:val="000000"/>
          <w:lang w:eastAsia="en-ID"/>
        </w:rPr>
        <w:t>in Articles 41 and 42 of the Bankruptcy</w:t>
      </w:r>
      <w:r w:rsidR="00D26188">
        <w:rPr>
          <w:rFonts w:ascii="Candara" w:eastAsia="Times New Roman" w:hAnsi="Candara" w:cs="Calibri"/>
          <w:i/>
          <w:iCs/>
          <w:color w:val="000000"/>
          <w:lang w:eastAsia="en-ID"/>
        </w:rPr>
        <w:t xml:space="preserve"> </w:t>
      </w:r>
      <w:r w:rsidR="004B366E" w:rsidRPr="00C6243A">
        <w:rPr>
          <w:rFonts w:ascii="Candara" w:eastAsia="Times New Roman" w:hAnsi="Candara" w:cs="Calibri"/>
          <w:i/>
          <w:iCs/>
          <w:color w:val="000000"/>
          <w:lang w:eastAsia="en-ID"/>
        </w:rPr>
        <w:t>Law</w:t>
      </w:r>
      <w:r w:rsidRPr="0010786A">
        <w:rPr>
          <w:rFonts w:ascii="Candara" w:hAnsi="Candara" w:cstheme="minorHAnsi"/>
          <w:i/>
          <w:iCs/>
        </w:rPr>
        <w:t>.”</w:t>
      </w:r>
      <w:r w:rsidRPr="0010786A">
        <w:rPr>
          <w:rFonts w:ascii="Candara" w:hAnsi="Candara" w:cstheme="minorHAnsi"/>
        </w:rPr>
        <w:t xml:space="preserve"> (Informan</w:t>
      </w:r>
      <w:r w:rsidR="004B366E">
        <w:rPr>
          <w:rFonts w:ascii="Candara" w:hAnsi="Candara" w:cstheme="minorHAnsi"/>
        </w:rPr>
        <w:t>t</w:t>
      </w:r>
      <w:r w:rsidRPr="0010786A">
        <w:rPr>
          <w:rFonts w:ascii="Candara" w:hAnsi="Candara" w:cstheme="minorHAnsi"/>
        </w:rPr>
        <w:t xml:space="preserve"> D)</w:t>
      </w:r>
    </w:p>
    <w:p w14:paraId="0D3D4CEE" w14:textId="63F1F1E6" w:rsidR="00552588" w:rsidRPr="0010786A" w:rsidRDefault="009A3314" w:rsidP="00552588">
      <w:pPr>
        <w:pStyle w:val="ListParagraph"/>
        <w:spacing w:after="0" w:line="240" w:lineRule="auto"/>
        <w:ind w:left="360"/>
        <w:contextualSpacing w:val="0"/>
        <w:rPr>
          <w:rFonts w:ascii="Candara" w:hAnsi="Candara" w:cstheme="minorHAnsi"/>
        </w:rPr>
      </w:pPr>
      <w:r>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 xml:space="preserve">description of the </w:t>
      </w:r>
      <w:r>
        <w:rPr>
          <w:rFonts w:ascii="Candara" w:eastAsia="Times New Roman" w:hAnsi="Candara" w:cs="Calibri"/>
          <w:color w:val="000000"/>
          <w:lang w:eastAsia="en-ID"/>
        </w:rPr>
        <w:t xml:space="preserve">informants’ </w:t>
      </w:r>
      <w:r w:rsidRPr="00C6243A">
        <w:rPr>
          <w:rFonts w:ascii="Candara" w:eastAsia="Times New Roman" w:hAnsi="Candara" w:cs="Calibri"/>
          <w:color w:val="000000"/>
          <w:lang w:eastAsia="en-ID"/>
        </w:rPr>
        <w:t xml:space="preserve">answers can be seen in </w:t>
      </w:r>
      <w:r>
        <w:rPr>
          <w:rFonts w:ascii="Candara" w:eastAsia="Times New Roman" w:hAnsi="Candara" w:cs="Calibri"/>
          <w:color w:val="000000"/>
          <w:lang w:eastAsia="en-ID"/>
        </w:rPr>
        <w:t>T</w:t>
      </w:r>
      <w:r w:rsidRPr="00C6243A">
        <w:rPr>
          <w:rFonts w:ascii="Candara" w:eastAsia="Times New Roman" w:hAnsi="Candara" w:cs="Calibri"/>
          <w:color w:val="000000"/>
          <w:lang w:eastAsia="en-ID"/>
        </w:rPr>
        <w:t>able 3</w:t>
      </w:r>
      <w:r w:rsidR="00552588" w:rsidRPr="0010786A">
        <w:rPr>
          <w:rFonts w:ascii="Candara" w:hAnsi="Candara" w:cstheme="minorHAnsi"/>
        </w:rPr>
        <w:t>.</w:t>
      </w:r>
    </w:p>
    <w:p w14:paraId="7FCD13C6" w14:textId="62C9EAFE" w:rsidR="00552588" w:rsidRPr="00F1130D" w:rsidRDefault="00552588" w:rsidP="00102FB5">
      <w:pPr>
        <w:pStyle w:val="ListParagraph"/>
        <w:spacing w:after="0" w:line="240" w:lineRule="auto"/>
        <w:ind w:left="360"/>
        <w:jc w:val="center"/>
        <w:rPr>
          <w:rFonts w:ascii="Goudy Old Style" w:hAnsi="Goudy Old Style" w:cstheme="minorHAnsi"/>
          <w:b/>
          <w:bCs/>
          <w:sz w:val="20"/>
          <w:szCs w:val="20"/>
        </w:rPr>
      </w:pPr>
      <w:r w:rsidRPr="00F1130D">
        <w:rPr>
          <w:rFonts w:ascii="Goudy Old Style" w:hAnsi="Goudy Old Style" w:cstheme="minorHAnsi"/>
          <w:b/>
          <w:bCs/>
          <w:sz w:val="20"/>
          <w:szCs w:val="20"/>
        </w:rPr>
        <w:t>Tab</w:t>
      </w:r>
      <w:r w:rsidR="009A3314">
        <w:rPr>
          <w:rFonts w:ascii="Goudy Old Style" w:hAnsi="Goudy Old Style" w:cstheme="minorHAnsi"/>
          <w:b/>
          <w:bCs/>
          <w:sz w:val="20"/>
          <w:szCs w:val="20"/>
        </w:rPr>
        <w:t>le</w:t>
      </w:r>
      <w:r w:rsidRPr="00F1130D">
        <w:rPr>
          <w:rFonts w:ascii="Goudy Old Style" w:hAnsi="Goudy Old Style" w:cstheme="minorHAnsi"/>
          <w:b/>
          <w:bCs/>
          <w:sz w:val="20"/>
          <w:szCs w:val="20"/>
        </w:rPr>
        <w:t xml:space="preserve"> 3. Perpe</w:t>
      </w:r>
      <w:r w:rsidR="009A3314">
        <w:rPr>
          <w:rFonts w:ascii="Goudy Old Style" w:hAnsi="Goudy Old Style" w:cstheme="minorHAnsi"/>
          <w:b/>
          <w:bCs/>
          <w:sz w:val="20"/>
          <w:szCs w:val="20"/>
        </w:rPr>
        <w:t>t</w:t>
      </w:r>
      <w:r w:rsidRPr="00F1130D">
        <w:rPr>
          <w:rFonts w:ascii="Goudy Old Style" w:hAnsi="Goudy Old Style" w:cstheme="minorHAnsi"/>
          <w:b/>
          <w:bCs/>
          <w:sz w:val="20"/>
          <w:szCs w:val="20"/>
        </w:rPr>
        <w:t xml:space="preserve">rator </w:t>
      </w:r>
      <w:r w:rsidR="009A3314">
        <w:rPr>
          <w:rFonts w:ascii="Goudy Old Style" w:hAnsi="Goudy Old Style" w:cstheme="minorHAnsi"/>
          <w:b/>
          <w:bCs/>
          <w:sz w:val="20"/>
          <w:szCs w:val="20"/>
        </w:rPr>
        <w:t xml:space="preserve">of </w:t>
      </w:r>
      <w:r w:rsidRPr="00F1130D">
        <w:rPr>
          <w:rFonts w:ascii="Goudy Old Style" w:hAnsi="Goudy Old Style" w:cstheme="minorHAnsi"/>
          <w:b/>
          <w:bCs/>
          <w:sz w:val="20"/>
          <w:szCs w:val="20"/>
        </w:rPr>
        <w:t xml:space="preserve">Bankruptcy </w:t>
      </w:r>
      <w:r w:rsidRPr="009A3314">
        <w:rPr>
          <w:rFonts w:ascii="Goudy Old Style" w:hAnsi="Goudy Old Style" w:cstheme="minorHAnsi"/>
          <w:b/>
          <w:bCs/>
          <w:sz w:val="20"/>
          <w:szCs w:val="20"/>
        </w:rPr>
        <w:t>Fraud</w:t>
      </w:r>
    </w:p>
    <w:tbl>
      <w:tblPr>
        <w:tblW w:w="8280" w:type="dxa"/>
        <w:tblInd w:w="378" w:type="dxa"/>
        <w:tblLook w:val="04A0" w:firstRow="1" w:lastRow="0" w:firstColumn="1" w:lastColumn="0" w:noHBand="0" w:noVBand="1"/>
      </w:tblPr>
      <w:tblGrid>
        <w:gridCol w:w="1980"/>
        <w:gridCol w:w="520"/>
        <w:gridCol w:w="494"/>
        <w:gridCol w:w="487"/>
        <w:gridCol w:w="546"/>
        <w:gridCol w:w="461"/>
        <w:gridCol w:w="461"/>
        <w:gridCol w:w="556"/>
        <w:gridCol w:w="553"/>
        <w:gridCol w:w="461"/>
        <w:gridCol w:w="461"/>
        <w:gridCol w:w="1300"/>
      </w:tblGrid>
      <w:tr w:rsidR="00552588" w:rsidRPr="00F1130D" w14:paraId="08A2F846" w14:textId="77777777" w:rsidTr="00102FB5">
        <w:trPr>
          <w:trHeight w:val="300"/>
        </w:trPr>
        <w:tc>
          <w:tcPr>
            <w:tcW w:w="1980" w:type="dxa"/>
            <w:vMerge w:val="restart"/>
            <w:tcBorders>
              <w:top w:val="single" w:sz="4" w:space="0" w:color="auto"/>
              <w:bottom w:val="single" w:sz="4" w:space="0" w:color="auto"/>
            </w:tcBorders>
            <w:shd w:val="clear" w:color="auto" w:fill="auto"/>
            <w:noWrap/>
            <w:vAlign w:val="center"/>
            <w:hideMark/>
          </w:tcPr>
          <w:p w14:paraId="797C9454" w14:textId="0D2128C4"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Indi</w:t>
            </w:r>
            <w:r w:rsidR="009A3314">
              <w:rPr>
                <w:rFonts w:ascii="Goudy Old Style" w:eastAsia="Times New Roman" w:hAnsi="Goudy Old Style" w:cstheme="minorHAnsi"/>
                <w:b/>
                <w:bCs/>
                <w:color w:val="000000"/>
                <w:sz w:val="20"/>
                <w:szCs w:val="20"/>
              </w:rPr>
              <w:t>c</w:t>
            </w:r>
            <w:r w:rsidRPr="00F1130D">
              <w:rPr>
                <w:rFonts w:ascii="Goudy Old Style" w:eastAsia="Times New Roman" w:hAnsi="Goudy Old Style" w:cstheme="minorHAnsi"/>
                <w:b/>
                <w:bCs/>
                <w:color w:val="000000"/>
                <w:sz w:val="20"/>
                <w:szCs w:val="20"/>
              </w:rPr>
              <w:t>ator</w:t>
            </w:r>
            <w:r w:rsidR="009A3314">
              <w:rPr>
                <w:rFonts w:ascii="Goudy Old Style" w:eastAsia="Times New Roman" w:hAnsi="Goudy Old Style" w:cstheme="minorHAnsi"/>
                <w:b/>
                <w:bCs/>
                <w:color w:val="000000"/>
                <w:sz w:val="20"/>
                <w:szCs w:val="20"/>
              </w:rPr>
              <w:t>s</w:t>
            </w:r>
          </w:p>
        </w:tc>
        <w:tc>
          <w:tcPr>
            <w:tcW w:w="5000" w:type="dxa"/>
            <w:gridSpan w:val="10"/>
            <w:tcBorders>
              <w:top w:val="single" w:sz="4" w:space="0" w:color="auto"/>
              <w:bottom w:val="single" w:sz="4" w:space="0" w:color="auto"/>
            </w:tcBorders>
            <w:shd w:val="clear" w:color="auto" w:fill="auto"/>
            <w:noWrap/>
            <w:vAlign w:val="bottom"/>
            <w:hideMark/>
          </w:tcPr>
          <w:p w14:paraId="3B534F08" w14:textId="43A265B1"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Informan</w:t>
            </w:r>
            <w:r w:rsidR="009A3314">
              <w:rPr>
                <w:rFonts w:ascii="Goudy Old Style" w:eastAsia="Times New Roman" w:hAnsi="Goudy Old Style" w:cstheme="minorHAnsi"/>
                <w:b/>
                <w:bCs/>
                <w:color w:val="000000"/>
                <w:sz w:val="20"/>
                <w:szCs w:val="20"/>
              </w:rPr>
              <w:t>ts</w:t>
            </w:r>
          </w:p>
        </w:tc>
        <w:tc>
          <w:tcPr>
            <w:tcW w:w="1300" w:type="dxa"/>
            <w:vMerge w:val="restart"/>
            <w:tcBorders>
              <w:top w:val="single" w:sz="4" w:space="0" w:color="auto"/>
              <w:bottom w:val="single" w:sz="4" w:space="0" w:color="auto"/>
            </w:tcBorders>
            <w:shd w:val="clear" w:color="auto" w:fill="auto"/>
            <w:noWrap/>
            <w:vAlign w:val="center"/>
            <w:hideMark/>
          </w:tcPr>
          <w:p w14:paraId="060BAAC5" w14:textId="6AD1D229"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Fre</w:t>
            </w:r>
            <w:r w:rsidR="009A3314">
              <w:rPr>
                <w:rFonts w:ascii="Goudy Old Style" w:eastAsia="Times New Roman" w:hAnsi="Goudy Old Style" w:cstheme="minorHAnsi"/>
                <w:b/>
                <w:bCs/>
                <w:color w:val="000000"/>
                <w:sz w:val="20"/>
                <w:szCs w:val="20"/>
              </w:rPr>
              <w:t>quency</w:t>
            </w:r>
          </w:p>
        </w:tc>
      </w:tr>
      <w:tr w:rsidR="00552588" w:rsidRPr="00F1130D" w14:paraId="30C5FDE1" w14:textId="77777777" w:rsidTr="00102FB5">
        <w:trPr>
          <w:trHeight w:val="300"/>
        </w:trPr>
        <w:tc>
          <w:tcPr>
            <w:tcW w:w="1980" w:type="dxa"/>
            <w:vMerge/>
            <w:tcBorders>
              <w:bottom w:val="single" w:sz="4" w:space="0" w:color="auto"/>
            </w:tcBorders>
            <w:vAlign w:val="center"/>
            <w:hideMark/>
          </w:tcPr>
          <w:p w14:paraId="6F1B4B73" w14:textId="77777777" w:rsidR="00552588" w:rsidRPr="00F1130D" w:rsidRDefault="00552588" w:rsidP="002A69EE">
            <w:pPr>
              <w:spacing w:after="0" w:line="240" w:lineRule="auto"/>
              <w:rPr>
                <w:rFonts w:ascii="Goudy Old Style" w:eastAsia="Times New Roman" w:hAnsi="Goudy Old Style" w:cstheme="minorHAnsi"/>
                <w:color w:val="000000"/>
                <w:sz w:val="20"/>
                <w:szCs w:val="20"/>
              </w:rPr>
            </w:pPr>
          </w:p>
        </w:tc>
        <w:tc>
          <w:tcPr>
            <w:tcW w:w="520" w:type="dxa"/>
            <w:tcBorders>
              <w:top w:val="single" w:sz="4" w:space="0" w:color="auto"/>
              <w:bottom w:val="single" w:sz="4" w:space="0" w:color="auto"/>
            </w:tcBorders>
            <w:shd w:val="clear" w:color="auto" w:fill="auto"/>
            <w:noWrap/>
            <w:vAlign w:val="bottom"/>
            <w:hideMark/>
          </w:tcPr>
          <w:p w14:paraId="052A798F"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A</w:t>
            </w:r>
          </w:p>
        </w:tc>
        <w:tc>
          <w:tcPr>
            <w:tcW w:w="494" w:type="dxa"/>
            <w:tcBorders>
              <w:top w:val="single" w:sz="4" w:space="0" w:color="auto"/>
              <w:bottom w:val="single" w:sz="4" w:space="0" w:color="auto"/>
            </w:tcBorders>
            <w:shd w:val="clear" w:color="auto" w:fill="auto"/>
            <w:noWrap/>
            <w:vAlign w:val="bottom"/>
            <w:hideMark/>
          </w:tcPr>
          <w:p w14:paraId="49862350"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B</w:t>
            </w:r>
          </w:p>
        </w:tc>
        <w:tc>
          <w:tcPr>
            <w:tcW w:w="487" w:type="dxa"/>
            <w:tcBorders>
              <w:top w:val="single" w:sz="4" w:space="0" w:color="auto"/>
              <w:bottom w:val="single" w:sz="4" w:space="0" w:color="auto"/>
            </w:tcBorders>
            <w:shd w:val="clear" w:color="auto" w:fill="auto"/>
            <w:noWrap/>
            <w:vAlign w:val="bottom"/>
            <w:hideMark/>
          </w:tcPr>
          <w:p w14:paraId="3A058F07"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C</w:t>
            </w:r>
          </w:p>
        </w:tc>
        <w:tc>
          <w:tcPr>
            <w:tcW w:w="546" w:type="dxa"/>
            <w:tcBorders>
              <w:top w:val="single" w:sz="4" w:space="0" w:color="auto"/>
              <w:bottom w:val="single" w:sz="4" w:space="0" w:color="auto"/>
            </w:tcBorders>
            <w:shd w:val="clear" w:color="auto" w:fill="auto"/>
            <w:noWrap/>
            <w:vAlign w:val="bottom"/>
            <w:hideMark/>
          </w:tcPr>
          <w:p w14:paraId="024CC6A7"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D</w:t>
            </w:r>
          </w:p>
        </w:tc>
        <w:tc>
          <w:tcPr>
            <w:tcW w:w="461" w:type="dxa"/>
            <w:tcBorders>
              <w:top w:val="single" w:sz="4" w:space="0" w:color="auto"/>
              <w:bottom w:val="single" w:sz="4" w:space="0" w:color="auto"/>
            </w:tcBorders>
            <w:shd w:val="clear" w:color="auto" w:fill="auto"/>
            <w:noWrap/>
            <w:vAlign w:val="bottom"/>
            <w:hideMark/>
          </w:tcPr>
          <w:p w14:paraId="566DB69B"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E</w:t>
            </w:r>
          </w:p>
        </w:tc>
        <w:tc>
          <w:tcPr>
            <w:tcW w:w="461" w:type="dxa"/>
            <w:tcBorders>
              <w:top w:val="single" w:sz="4" w:space="0" w:color="auto"/>
              <w:bottom w:val="single" w:sz="4" w:space="0" w:color="auto"/>
            </w:tcBorders>
            <w:shd w:val="clear" w:color="auto" w:fill="auto"/>
            <w:noWrap/>
            <w:vAlign w:val="bottom"/>
            <w:hideMark/>
          </w:tcPr>
          <w:p w14:paraId="4A032C28"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F</w:t>
            </w:r>
          </w:p>
        </w:tc>
        <w:tc>
          <w:tcPr>
            <w:tcW w:w="556" w:type="dxa"/>
            <w:tcBorders>
              <w:top w:val="single" w:sz="4" w:space="0" w:color="auto"/>
              <w:bottom w:val="single" w:sz="4" w:space="0" w:color="auto"/>
            </w:tcBorders>
            <w:shd w:val="clear" w:color="auto" w:fill="auto"/>
            <w:noWrap/>
            <w:vAlign w:val="bottom"/>
            <w:hideMark/>
          </w:tcPr>
          <w:p w14:paraId="76C1CED3"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G</w:t>
            </w:r>
          </w:p>
        </w:tc>
        <w:tc>
          <w:tcPr>
            <w:tcW w:w="553" w:type="dxa"/>
            <w:tcBorders>
              <w:top w:val="single" w:sz="4" w:space="0" w:color="auto"/>
              <w:bottom w:val="single" w:sz="4" w:space="0" w:color="auto"/>
            </w:tcBorders>
            <w:shd w:val="clear" w:color="auto" w:fill="auto"/>
            <w:noWrap/>
            <w:vAlign w:val="bottom"/>
            <w:hideMark/>
          </w:tcPr>
          <w:p w14:paraId="04285BC2"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H</w:t>
            </w:r>
          </w:p>
        </w:tc>
        <w:tc>
          <w:tcPr>
            <w:tcW w:w="461" w:type="dxa"/>
            <w:tcBorders>
              <w:top w:val="single" w:sz="4" w:space="0" w:color="auto"/>
              <w:bottom w:val="single" w:sz="4" w:space="0" w:color="auto"/>
            </w:tcBorders>
            <w:shd w:val="clear" w:color="auto" w:fill="auto"/>
            <w:noWrap/>
            <w:vAlign w:val="bottom"/>
            <w:hideMark/>
          </w:tcPr>
          <w:p w14:paraId="1B54D28F"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I</w:t>
            </w:r>
          </w:p>
        </w:tc>
        <w:tc>
          <w:tcPr>
            <w:tcW w:w="461" w:type="dxa"/>
            <w:tcBorders>
              <w:top w:val="single" w:sz="4" w:space="0" w:color="auto"/>
              <w:bottom w:val="single" w:sz="4" w:space="0" w:color="auto"/>
            </w:tcBorders>
            <w:shd w:val="clear" w:color="auto" w:fill="auto"/>
            <w:noWrap/>
            <w:vAlign w:val="bottom"/>
            <w:hideMark/>
          </w:tcPr>
          <w:p w14:paraId="201E6A74" w14:textId="77777777" w:rsidR="00552588" w:rsidRPr="00F1130D" w:rsidRDefault="00552588" w:rsidP="002A69EE">
            <w:pPr>
              <w:spacing w:after="0" w:line="240" w:lineRule="auto"/>
              <w:jc w:val="center"/>
              <w:rPr>
                <w:rFonts w:ascii="Goudy Old Style" w:eastAsia="Times New Roman" w:hAnsi="Goudy Old Style" w:cstheme="minorHAnsi"/>
                <w:b/>
                <w:bCs/>
                <w:color w:val="000000"/>
                <w:sz w:val="20"/>
                <w:szCs w:val="20"/>
              </w:rPr>
            </w:pPr>
            <w:r w:rsidRPr="00F1130D">
              <w:rPr>
                <w:rFonts w:ascii="Goudy Old Style" w:eastAsia="Times New Roman" w:hAnsi="Goudy Old Style" w:cstheme="minorHAnsi"/>
                <w:b/>
                <w:bCs/>
                <w:color w:val="000000"/>
                <w:sz w:val="20"/>
                <w:szCs w:val="20"/>
              </w:rPr>
              <w:t>J</w:t>
            </w:r>
          </w:p>
        </w:tc>
        <w:tc>
          <w:tcPr>
            <w:tcW w:w="1300" w:type="dxa"/>
            <w:vMerge/>
            <w:tcBorders>
              <w:bottom w:val="single" w:sz="4" w:space="0" w:color="auto"/>
            </w:tcBorders>
            <w:vAlign w:val="center"/>
            <w:hideMark/>
          </w:tcPr>
          <w:p w14:paraId="49E6A7F3" w14:textId="77777777" w:rsidR="00552588" w:rsidRPr="00F1130D" w:rsidRDefault="00552588" w:rsidP="002A69EE">
            <w:pPr>
              <w:spacing w:after="0" w:line="240" w:lineRule="auto"/>
              <w:rPr>
                <w:rFonts w:ascii="Goudy Old Style" w:eastAsia="Times New Roman" w:hAnsi="Goudy Old Style" w:cstheme="minorHAnsi"/>
                <w:color w:val="000000"/>
                <w:sz w:val="20"/>
                <w:szCs w:val="20"/>
              </w:rPr>
            </w:pPr>
          </w:p>
        </w:tc>
      </w:tr>
      <w:tr w:rsidR="00552588" w:rsidRPr="00F1130D" w14:paraId="15CB6A99" w14:textId="77777777" w:rsidTr="00102FB5">
        <w:trPr>
          <w:trHeight w:val="300"/>
        </w:trPr>
        <w:tc>
          <w:tcPr>
            <w:tcW w:w="1980" w:type="dxa"/>
            <w:tcBorders>
              <w:top w:val="single" w:sz="4" w:space="0" w:color="auto"/>
            </w:tcBorders>
            <w:shd w:val="clear" w:color="auto" w:fill="auto"/>
            <w:vAlign w:val="bottom"/>
            <w:hideMark/>
          </w:tcPr>
          <w:p w14:paraId="36A96A18" w14:textId="494DD7E4" w:rsidR="00552588" w:rsidRPr="00F1130D" w:rsidRDefault="00552588" w:rsidP="002A69EE">
            <w:pPr>
              <w:spacing w:after="0" w:line="240" w:lineRule="auto"/>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Deb</w:t>
            </w:r>
            <w:r w:rsidR="009A3314">
              <w:rPr>
                <w:rFonts w:ascii="Goudy Old Style" w:eastAsia="Times New Roman" w:hAnsi="Goudy Old Style" w:cstheme="minorHAnsi"/>
                <w:color w:val="000000"/>
                <w:sz w:val="20"/>
                <w:szCs w:val="20"/>
              </w:rPr>
              <w:t>tor</w:t>
            </w:r>
          </w:p>
        </w:tc>
        <w:tc>
          <w:tcPr>
            <w:tcW w:w="520" w:type="dxa"/>
            <w:tcBorders>
              <w:top w:val="single" w:sz="4" w:space="0" w:color="auto"/>
            </w:tcBorders>
            <w:shd w:val="clear" w:color="auto" w:fill="auto"/>
            <w:noWrap/>
            <w:vAlign w:val="center"/>
            <w:hideMark/>
          </w:tcPr>
          <w:p w14:paraId="1C57EDE4"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94" w:type="dxa"/>
            <w:tcBorders>
              <w:top w:val="single" w:sz="4" w:space="0" w:color="auto"/>
            </w:tcBorders>
            <w:shd w:val="clear" w:color="auto" w:fill="auto"/>
            <w:noWrap/>
            <w:vAlign w:val="center"/>
            <w:hideMark/>
          </w:tcPr>
          <w:p w14:paraId="744E0F21"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87" w:type="dxa"/>
            <w:tcBorders>
              <w:top w:val="single" w:sz="4" w:space="0" w:color="auto"/>
            </w:tcBorders>
            <w:shd w:val="clear" w:color="auto" w:fill="auto"/>
            <w:noWrap/>
            <w:vAlign w:val="center"/>
            <w:hideMark/>
          </w:tcPr>
          <w:p w14:paraId="71A753E1"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46" w:type="dxa"/>
            <w:tcBorders>
              <w:top w:val="single" w:sz="4" w:space="0" w:color="auto"/>
            </w:tcBorders>
            <w:shd w:val="clear" w:color="auto" w:fill="auto"/>
            <w:noWrap/>
            <w:vAlign w:val="center"/>
            <w:hideMark/>
          </w:tcPr>
          <w:p w14:paraId="3B49D859"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1AFDA0AE"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0F09FE98"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6" w:type="dxa"/>
            <w:tcBorders>
              <w:top w:val="single" w:sz="4" w:space="0" w:color="auto"/>
            </w:tcBorders>
            <w:shd w:val="clear" w:color="auto" w:fill="auto"/>
            <w:noWrap/>
            <w:vAlign w:val="center"/>
            <w:hideMark/>
          </w:tcPr>
          <w:p w14:paraId="0D78B65C"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3" w:type="dxa"/>
            <w:tcBorders>
              <w:top w:val="single" w:sz="4" w:space="0" w:color="auto"/>
            </w:tcBorders>
            <w:shd w:val="clear" w:color="auto" w:fill="auto"/>
            <w:noWrap/>
            <w:vAlign w:val="center"/>
            <w:hideMark/>
          </w:tcPr>
          <w:p w14:paraId="6AF8902E"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5CC02DB8"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53A6D32B"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1300" w:type="dxa"/>
            <w:tcBorders>
              <w:top w:val="single" w:sz="4" w:space="0" w:color="auto"/>
            </w:tcBorders>
            <w:shd w:val="clear" w:color="auto" w:fill="auto"/>
            <w:noWrap/>
            <w:vAlign w:val="center"/>
            <w:hideMark/>
          </w:tcPr>
          <w:p w14:paraId="420004F8"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10</w:t>
            </w:r>
          </w:p>
        </w:tc>
      </w:tr>
      <w:tr w:rsidR="00552588" w:rsidRPr="00F1130D" w14:paraId="68063A41" w14:textId="77777777" w:rsidTr="00102FB5">
        <w:trPr>
          <w:trHeight w:val="300"/>
        </w:trPr>
        <w:tc>
          <w:tcPr>
            <w:tcW w:w="1980" w:type="dxa"/>
            <w:shd w:val="clear" w:color="auto" w:fill="auto"/>
            <w:noWrap/>
            <w:vAlign w:val="bottom"/>
            <w:hideMark/>
          </w:tcPr>
          <w:p w14:paraId="37C53484" w14:textId="679CD2E8" w:rsidR="00552588" w:rsidRPr="00F1130D" w:rsidRDefault="009A3314" w:rsidP="002A69EE">
            <w:pPr>
              <w:spacing w:after="0" w:line="240" w:lineRule="auto"/>
              <w:rPr>
                <w:rFonts w:ascii="Goudy Old Style" w:eastAsia="Times New Roman" w:hAnsi="Goudy Old Style" w:cstheme="minorHAnsi"/>
                <w:color w:val="000000"/>
                <w:sz w:val="20"/>
                <w:szCs w:val="20"/>
              </w:rPr>
            </w:pPr>
            <w:r>
              <w:rPr>
                <w:rFonts w:ascii="Goudy Old Style" w:eastAsia="Times New Roman" w:hAnsi="Goudy Old Style" w:cstheme="minorHAnsi"/>
                <w:color w:val="000000"/>
                <w:sz w:val="20"/>
                <w:szCs w:val="20"/>
              </w:rPr>
              <w:t>C</w:t>
            </w:r>
            <w:r w:rsidR="00552588" w:rsidRPr="00F1130D">
              <w:rPr>
                <w:rFonts w:ascii="Goudy Old Style" w:eastAsia="Times New Roman" w:hAnsi="Goudy Old Style" w:cstheme="minorHAnsi"/>
                <w:color w:val="000000"/>
                <w:sz w:val="20"/>
                <w:szCs w:val="20"/>
              </w:rPr>
              <w:t>reditor</w:t>
            </w:r>
          </w:p>
        </w:tc>
        <w:tc>
          <w:tcPr>
            <w:tcW w:w="520" w:type="dxa"/>
            <w:shd w:val="clear" w:color="auto" w:fill="auto"/>
            <w:noWrap/>
            <w:vAlign w:val="center"/>
            <w:hideMark/>
          </w:tcPr>
          <w:p w14:paraId="237C89FD"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7BC6872C"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0A3CA224"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5324FBFE"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4CE432F6"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6983F296"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05FE61ED"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0AFF7720"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0589B8AE"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0F7EAB94"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1300" w:type="dxa"/>
            <w:shd w:val="clear" w:color="auto" w:fill="auto"/>
            <w:noWrap/>
            <w:vAlign w:val="bottom"/>
            <w:hideMark/>
          </w:tcPr>
          <w:p w14:paraId="0989015E"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10</w:t>
            </w:r>
          </w:p>
        </w:tc>
      </w:tr>
      <w:tr w:rsidR="00552588" w:rsidRPr="00F1130D" w14:paraId="3210AD55" w14:textId="77777777" w:rsidTr="00102FB5">
        <w:trPr>
          <w:trHeight w:val="300"/>
        </w:trPr>
        <w:tc>
          <w:tcPr>
            <w:tcW w:w="1980" w:type="dxa"/>
            <w:tcBorders>
              <w:bottom w:val="single" w:sz="4" w:space="0" w:color="auto"/>
            </w:tcBorders>
            <w:shd w:val="clear" w:color="auto" w:fill="auto"/>
            <w:noWrap/>
            <w:vAlign w:val="bottom"/>
            <w:hideMark/>
          </w:tcPr>
          <w:p w14:paraId="51F5B7EA" w14:textId="60D68710" w:rsidR="00552588" w:rsidRPr="00F1130D" w:rsidRDefault="009A3314" w:rsidP="002A69EE">
            <w:pPr>
              <w:spacing w:after="0" w:line="240" w:lineRule="auto"/>
              <w:rPr>
                <w:rFonts w:ascii="Goudy Old Style" w:eastAsia="Times New Roman" w:hAnsi="Goudy Old Style" w:cstheme="minorHAnsi"/>
                <w:color w:val="000000"/>
                <w:sz w:val="20"/>
                <w:szCs w:val="20"/>
              </w:rPr>
            </w:pPr>
            <w:r>
              <w:rPr>
                <w:rFonts w:ascii="Goudy Old Style" w:eastAsia="Times New Roman" w:hAnsi="Goudy Old Style" w:cstheme="minorHAnsi"/>
                <w:color w:val="000000"/>
                <w:sz w:val="20"/>
                <w:szCs w:val="20"/>
              </w:rPr>
              <w:t>C</w:t>
            </w:r>
            <w:r w:rsidR="00552588" w:rsidRPr="00F1130D">
              <w:rPr>
                <w:rFonts w:ascii="Goudy Old Style" w:eastAsia="Times New Roman" w:hAnsi="Goudy Old Style" w:cstheme="minorHAnsi"/>
                <w:color w:val="000000"/>
                <w:sz w:val="20"/>
                <w:szCs w:val="20"/>
              </w:rPr>
              <w:t>urator</w:t>
            </w:r>
          </w:p>
        </w:tc>
        <w:tc>
          <w:tcPr>
            <w:tcW w:w="520" w:type="dxa"/>
            <w:tcBorders>
              <w:bottom w:val="single" w:sz="4" w:space="0" w:color="auto"/>
            </w:tcBorders>
            <w:shd w:val="clear" w:color="auto" w:fill="auto"/>
            <w:noWrap/>
            <w:vAlign w:val="center"/>
            <w:hideMark/>
          </w:tcPr>
          <w:p w14:paraId="5A9D5FDA"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94" w:type="dxa"/>
            <w:tcBorders>
              <w:bottom w:val="single" w:sz="4" w:space="0" w:color="auto"/>
            </w:tcBorders>
            <w:shd w:val="clear" w:color="auto" w:fill="auto"/>
            <w:noWrap/>
            <w:vAlign w:val="center"/>
            <w:hideMark/>
          </w:tcPr>
          <w:p w14:paraId="627311D9"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87" w:type="dxa"/>
            <w:tcBorders>
              <w:bottom w:val="single" w:sz="4" w:space="0" w:color="auto"/>
            </w:tcBorders>
            <w:shd w:val="clear" w:color="auto" w:fill="auto"/>
            <w:noWrap/>
            <w:vAlign w:val="center"/>
            <w:hideMark/>
          </w:tcPr>
          <w:p w14:paraId="7380A1FF"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46" w:type="dxa"/>
            <w:tcBorders>
              <w:bottom w:val="single" w:sz="4" w:space="0" w:color="auto"/>
            </w:tcBorders>
            <w:shd w:val="clear" w:color="auto" w:fill="auto"/>
            <w:noWrap/>
            <w:vAlign w:val="center"/>
            <w:hideMark/>
          </w:tcPr>
          <w:p w14:paraId="28D3B09E"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5C2B7656"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0A67B263"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6" w:type="dxa"/>
            <w:tcBorders>
              <w:bottom w:val="single" w:sz="4" w:space="0" w:color="auto"/>
            </w:tcBorders>
            <w:shd w:val="clear" w:color="auto" w:fill="auto"/>
            <w:noWrap/>
            <w:vAlign w:val="center"/>
            <w:hideMark/>
          </w:tcPr>
          <w:p w14:paraId="47333E15"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3" w:type="dxa"/>
            <w:tcBorders>
              <w:bottom w:val="single" w:sz="4" w:space="0" w:color="auto"/>
            </w:tcBorders>
            <w:shd w:val="clear" w:color="auto" w:fill="auto"/>
            <w:noWrap/>
            <w:vAlign w:val="center"/>
            <w:hideMark/>
          </w:tcPr>
          <w:p w14:paraId="13E1755D"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4B601A12"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40D5019A"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1300" w:type="dxa"/>
            <w:tcBorders>
              <w:bottom w:val="single" w:sz="4" w:space="0" w:color="auto"/>
            </w:tcBorders>
            <w:shd w:val="clear" w:color="auto" w:fill="auto"/>
            <w:noWrap/>
            <w:vAlign w:val="bottom"/>
            <w:hideMark/>
          </w:tcPr>
          <w:p w14:paraId="46AB3B59"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10</w:t>
            </w:r>
          </w:p>
        </w:tc>
      </w:tr>
    </w:tbl>
    <w:p w14:paraId="44D67437" w14:textId="5F2BDC23" w:rsidR="00552588" w:rsidRDefault="000A644D" w:rsidP="009C20B3">
      <w:pPr>
        <w:pStyle w:val="ListParagraph"/>
        <w:spacing w:after="0" w:line="240" w:lineRule="auto"/>
        <w:ind w:left="450"/>
        <w:rPr>
          <w:rFonts w:eastAsia="Times New Roman" w:cstheme="minorHAnsi"/>
          <w:color w:val="000000"/>
        </w:rPr>
      </w:pPr>
      <w:r>
        <w:rPr>
          <w:rFonts w:ascii="Goudy Old Style" w:eastAsia="Times New Roman" w:hAnsi="Goudy Old Style" w:cstheme="minorHAnsi"/>
          <w:color w:val="000000"/>
          <w:sz w:val="20"/>
          <w:szCs w:val="20"/>
        </w:rPr>
        <w:t>Where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Agree</w:t>
      </w:r>
      <w:r w:rsidRPr="00F1130D">
        <w:rPr>
          <w:rFonts w:ascii="Goudy Old Style" w:eastAsia="Times New Roman" w:hAnsi="Goudy Old Style" w:cstheme="minorHAnsi"/>
          <w:color w:val="000000"/>
          <w:sz w:val="20"/>
          <w:szCs w:val="20"/>
        </w:rPr>
        <w:t xml:space="preserve">, X = </w:t>
      </w:r>
      <w:r>
        <w:rPr>
          <w:rFonts w:ascii="Goudy Old Style" w:eastAsia="Times New Roman" w:hAnsi="Goudy Old Style" w:cstheme="minorHAnsi"/>
          <w:color w:val="000000"/>
          <w:sz w:val="20"/>
          <w:szCs w:val="20"/>
        </w:rPr>
        <w:t>Disagree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Not Stating</w:t>
      </w:r>
    </w:p>
    <w:p w14:paraId="570F111B" w14:textId="5AA134BA" w:rsidR="00552588" w:rsidRPr="0010786A" w:rsidRDefault="00552588" w:rsidP="00102FB5">
      <w:pPr>
        <w:pStyle w:val="ListParagraph"/>
        <w:numPr>
          <w:ilvl w:val="0"/>
          <w:numId w:val="20"/>
        </w:numPr>
        <w:spacing w:before="120" w:after="0" w:line="240" w:lineRule="auto"/>
        <w:contextualSpacing w:val="0"/>
        <w:rPr>
          <w:rFonts w:ascii="Candara" w:hAnsi="Candara" w:cstheme="minorHAnsi"/>
        </w:rPr>
      </w:pPr>
      <w:r w:rsidRPr="0010786A">
        <w:rPr>
          <w:rFonts w:ascii="Candara" w:hAnsi="Candara" w:cstheme="minorHAnsi"/>
        </w:rPr>
        <w:t>Poten</w:t>
      </w:r>
      <w:r w:rsidR="009A3314">
        <w:rPr>
          <w:rFonts w:ascii="Candara" w:hAnsi="Candara" w:cstheme="minorHAnsi"/>
        </w:rPr>
        <w:t>tial</w:t>
      </w:r>
      <w:r w:rsidRPr="0010786A">
        <w:rPr>
          <w:rFonts w:ascii="Candara" w:hAnsi="Candara" w:cstheme="minorHAnsi"/>
        </w:rPr>
        <w:t xml:space="preserve"> </w:t>
      </w:r>
      <w:r w:rsidR="000A644D">
        <w:rPr>
          <w:rFonts w:ascii="Candara" w:hAnsi="Candara" w:cstheme="minorHAnsi"/>
        </w:rPr>
        <w:t xml:space="preserve">of </w:t>
      </w:r>
      <w:r w:rsidR="009A3314">
        <w:rPr>
          <w:rFonts w:ascii="Candara" w:hAnsi="Candara" w:cstheme="minorHAnsi"/>
        </w:rPr>
        <w:t>F</w:t>
      </w:r>
      <w:r w:rsidRPr="009A3314">
        <w:rPr>
          <w:rFonts w:ascii="Candara" w:hAnsi="Candara" w:cstheme="minorHAnsi"/>
        </w:rPr>
        <w:t>raud</w:t>
      </w:r>
    </w:p>
    <w:p w14:paraId="78100EC0" w14:textId="0BAF2F27" w:rsidR="00552588" w:rsidRPr="0010786A" w:rsidRDefault="009A3314" w:rsidP="00102FB5">
      <w:pPr>
        <w:pStyle w:val="ListParagraph"/>
        <w:spacing w:after="0" w:line="240" w:lineRule="auto"/>
        <w:ind w:left="360" w:firstLine="360"/>
        <w:contextualSpacing w:val="0"/>
        <w:jc w:val="both"/>
        <w:rPr>
          <w:rFonts w:ascii="Candara" w:hAnsi="Candara" w:cstheme="minorHAnsi"/>
        </w:rPr>
      </w:pPr>
      <w:r w:rsidRPr="00C6243A">
        <w:rPr>
          <w:rFonts w:ascii="Candara" w:eastAsia="Times New Roman" w:hAnsi="Candara" w:cs="Calibri"/>
          <w:color w:val="000000"/>
          <w:lang w:eastAsia="en-ID"/>
        </w:rPr>
        <w:t xml:space="preserve">Table 4 </w:t>
      </w:r>
      <w:r>
        <w:rPr>
          <w:rFonts w:ascii="Candara" w:eastAsia="Times New Roman" w:hAnsi="Candara" w:cs="Calibri"/>
          <w:color w:val="000000"/>
          <w:lang w:eastAsia="en-ID"/>
        </w:rPr>
        <w:t xml:space="preserve">shows the </w:t>
      </w:r>
      <w:r w:rsidRPr="00C6243A">
        <w:rPr>
          <w:rFonts w:ascii="Candara" w:eastAsia="Times New Roman" w:hAnsi="Candara" w:cs="Calibri"/>
          <w:color w:val="000000"/>
          <w:lang w:eastAsia="en-ID"/>
        </w:rPr>
        <w:t xml:space="preserve">informants' answers </w:t>
      </w:r>
      <w:r>
        <w:rPr>
          <w:rFonts w:ascii="Candara" w:eastAsia="Times New Roman" w:hAnsi="Candara" w:cs="Calibri"/>
          <w:color w:val="000000"/>
          <w:lang w:eastAsia="en-ID"/>
        </w:rPr>
        <w:t xml:space="preserve">related to the </w:t>
      </w:r>
      <w:r w:rsidRPr="00C6243A">
        <w:rPr>
          <w:rFonts w:ascii="Candara" w:eastAsia="Times New Roman" w:hAnsi="Candara" w:cs="Calibri"/>
          <w:color w:val="000000"/>
          <w:lang w:eastAsia="en-ID"/>
        </w:rPr>
        <w:t xml:space="preserve">potential </w:t>
      </w:r>
      <w:r>
        <w:rPr>
          <w:rFonts w:ascii="Candara" w:eastAsia="Times New Roman" w:hAnsi="Candara" w:cs="Calibri"/>
          <w:color w:val="000000"/>
          <w:lang w:eastAsia="en-ID"/>
        </w:rPr>
        <w:t xml:space="preserve">of </w:t>
      </w:r>
      <w:r w:rsidRPr="00C6243A">
        <w:rPr>
          <w:rFonts w:ascii="Candara" w:eastAsia="Times New Roman" w:hAnsi="Candara" w:cs="Calibri"/>
          <w:color w:val="000000"/>
          <w:lang w:eastAsia="en-ID"/>
        </w:rPr>
        <w:t>fraud</w:t>
      </w:r>
      <w:r w:rsidR="00552588" w:rsidRPr="0010786A">
        <w:rPr>
          <w:rFonts w:ascii="Candara" w:hAnsi="Candara" w:cstheme="minorHAnsi"/>
        </w:rPr>
        <w:t>.</w:t>
      </w:r>
    </w:p>
    <w:p w14:paraId="32927BE8" w14:textId="106C80B0" w:rsidR="00552588" w:rsidRPr="00210571" w:rsidRDefault="00552588" w:rsidP="00102FB5">
      <w:pPr>
        <w:pStyle w:val="ListParagraph"/>
        <w:spacing w:after="0" w:line="240" w:lineRule="auto"/>
        <w:ind w:left="360"/>
        <w:jc w:val="center"/>
        <w:rPr>
          <w:rFonts w:ascii="Goudy Old Style" w:hAnsi="Goudy Old Style" w:cstheme="minorHAnsi"/>
          <w:b/>
          <w:bCs/>
          <w:sz w:val="20"/>
          <w:szCs w:val="20"/>
        </w:rPr>
      </w:pPr>
      <w:r w:rsidRPr="00210571">
        <w:rPr>
          <w:rFonts w:ascii="Goudy Old Style" w:hAnsi="Goudy Old Style" w:cstheme="minorHAnsi"/>
          <w:b/>
          <w:bCs/>
          <w:sz w:val="20"/>
          <w:szCs w:val="20"/>
        </w:rPr>
        <w:t>Tab</w:t>
      </w:r>
      <w:r w:rsidR="000A644D">
        <w:rPr>
          <w:rFonts w:ascii="Goudy Old Style" w:hAnsi="Goudy Old Style" w:cstheme="minorHAnsi"/>
          <w:b/>
          <w:bCs/>
          <w:sz w:val="20"/>
          <w:szCs w:val="20"/>
        </w:rPr>
        <w:t>le</w:t>
      </w:r>
      <w:r w:rsidRPr="00210571">
        <w:rPr>
          <w:rFonts w:ascii="Goudy Old Style" w:hAnsi="Goudy Old Style" w:cstheme="minorHAnsi"/>
          <w:b/>
          <w:bCs/>
          <w:sz w:val="20"/>
          <w:szCs w:val="20"/>
        </w:rPr>
        <w:t xml:space="preserve"> 4. </w:t>
      </w:r>
      <w:r w:rsidR="000A644D">
        <w:rPr>
          <w:rFonts w:ascii="Goudy Old Style" w:hAnsi="Goudy Old Style" w:cstheme="minorHAnsi"/>
          <w:b/>
          <w:bCs/>
          <w:sz w:val="20"/>
          <w:szCs w:val="20"/>
        </w:rPr>
        <w:t xml:space="preserve">Potential of </w:t>
      </w:r>
      <w:r w:rsidRPr="000A644D">
        <w:rPr>
          <w:rFonts w:ascii="Goudy Old Style" w:hAnsi="Goudy Old Style" w:cstheme="minorHAnsi"/>
          <w:b/>
          <w:bCs/>
          <w:sz w:val="20"/>
          <w:szCs w:val="20"/>
        </w:rPr>
        <w:t>Fraud</w:t>
      </w:r>
    </w:p>
    <w:tbl>
      <w:tblPr>
        <w:tblW w:w="8280" w:type="dxa"/>
        <w:tblInd w:w="378" w:type="dxa"/>
        <w:tblLook w:val="04A0" w:firstRow="1" w:lastRow="0" w:firstColumn="1" w:lastColumn="0" w:noHBand="0" w:noVBand="1"/>
      </w:tblPr>
      <w:tblGrid>
        <w:gridCol w:w="1980"/>
        <w:gridCol w:w="520"/>
        <w:gridCol w:w="494"/>
        <w:gridCol w:w="487"/>
        <w:gridCol w:w="546"/>
        <w:gridCol w:w="461"/>
        <w:gridCol w:w="461"/>
        <w:gridCol w:w="556"/>
        <w:gridCol w:w="553"/>
        <w:gridCol w:w="461"/>
        <w:gridCol w:w="461"/>
        <w:gridCol w:w="1300"/>
      </w:tblGrid>
      <w:tr w:rsidR="00552588" w:rsidRPr="00210571" w14:paraId="2DCCD185" w14:textId="77777777" w:rsidTr="00102FB5">
        <w:trPr>
          <w:trHeight w:val="300"/>
        </w:trPr>
        <w:tc>
          <w:tcPr>
            <w:tcW w:w="1980" w:type="dxa"/>
            <w:vMerge w:val="restart"/>
            <w:tcBorders>
              <w:top w:val="single" w:sz="4" w:space="0" w:color="auto"/>
              <w:bottom w:val="single" w:sz="4" w:space="0" w:color="auto"/>
            </w:tcBorders>
            <w:shd w:val="clear" w:color="auto" w:fill="auto"/>
            <w:noWrap/>
            <w:vAlign w:val="center"/>
            <w:hideMark/>
          </w:tcPr>
          <w:p w14:paraId="38A83FEF" w14:textId="7E67094E"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Indi</w:t>
            </w:r>
            <w:r w:rsidR="000A644D">
              <w:rPr>
                <w:rFonts w:ascii="Goudy Old Style" w:eastAsia="Times New Roman" w:hAnsi="Goudy Old Style" w:cstheme="minorHAnsi"/>
                <w:b/>
                <w:bCs/>
                <w:color w:val="000000"/>
                <w:sz w:val="20"/>
                <w:szCs w:val="20"/>
              </w:rPr>
              <w:t>c</w:t>
            </w:r>
            <w:r w:rsidRPr="00210571">
              <w:rPr>
                <w:rFonts w:ascii="Goudy Old Style" w:eastAsia="Times New Roman" w:hAnsi="Goudy Old Style" w:cstheme="minorHAnsi"/>
                <w:b/>
                <w:bCs/>
                <w:color w:val="000000"/>
                <w:sz w:val="20"/>
                <w:szCs w:val="20"/>
              </w:rPr>
              <w:t>ator</w:t>
            </w:r>
            <w:r w:rsidR="000A644D">
              <w:rPr>
                <w:rFonts w:ascii="Goudy Old Style" w:eastAsia="Times New Roman" w:hAnsi="Goudy Old Style" w:cstheme="minorHAnsi"/>
                <w:b/>
                <w:bCs/>
                <w:color w:val="000000"/>
                <w:sz w:val="20"/>
                <w:szCs w:val="20"/>
              </w:rPr>
              <w:t>s</w:t>
            </w:r>
          </w:p>
        </w:tc>
        <w:tc>
          <w:tcPr>
            <w:tcW w:w="5000" w:type="dxa"/>
            <w:gridSpan w:val="10"/>
            <w:tcBorders>
              <w:top w:val="single" w:sz="4" w:space="0" w:color="auto"/>
              <w:bottom w:val="single" w:sz="4" w:space="0" w:color="auto"/>
            </w:tcBorders>
            <w:shd w:val="clear" w:color="auto" w:fill="auto"/>
            <w:noWrap/>
            <w:vAlign w:val="bottom"/>
            <w:hideMark/>
          </w:tcPr>
          <w:p w14:paraId="29A986B2" w14:textId="451BD7D1"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Informan</w:t>
            </w:r>
            <w:r w:rsidR="000A644D">
              <w:rPr>
                <w:rFonts w:ascii="Goudy Old Style" w:eastAsia="Times New Roman" w:hAnsi="Goudy Old Style" w:cstheme="minorHAnsi"/>
                <w:b/>
                <w:bCs/>
                <w:color w:val="000000"/>
                <w:sz w:val="20"/>
                <w:szCs w:val="20"/>
              </w:rPr>
              <w:t>ts</w:t>
            </w:r>
          </w:p>
        </w:tc>
        <w:tc>
          <w:tcPr>
            <w:tcW w:w="1300" w:type="dxa"/>
            <w:vMerge w:val="restart"/>
            <w:tcBorders>
              <w:top w:val="single" w:sz="4" w:space="0" w:color="auto"/>
              <w:bottom w:val="single" w:sz="4" w:space="0" w:color="auto"/>
            </w:tcBorders>
            <w:shd w:val="clear" w:color="auto" w:fill="auto"/>
            <w:noWrap/>
            <w:vAlign w:val="center"/>
            <w:hideMark/>
          </w:tcPr>
          <w:p w14:paraId="67A13074" w14:textId="7A4620C6"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Fre</w:t>
            </w:r>
            <w:r w:rsidR="000A644D">
              <w:rPr>
                <w:rFonts w:ascii="Goudy Old Style" w:eastAsia="Times New Roman" w:hAnsi="Goudy Old Style" w:cstheme="minorHAnsi"/>
                <w:b/>
                <w:bCs/>
                <w:color w:val="000000"/>
                <w:sz w:val="20"/>
                <w:szCs w:val="20"/>
              </w:rPr>
              <w:t>quency</w:t>
            </w:r>
          </w:p>
        </w:tc>
      </w:tr>
      <w:tr w:rsidR="00552588" w:rsidRPr="00F1130D" w14:paraId="6D288790" w14:textId="77777777" w:rsidTr="00102FB5">
        <w:trPr>
          <w:trHeight w:val="300"/>
        </w:trPr>
        <w:tc>
          <w:tcPr>
            <w:tcW w:w="1980" w:type="dxa"/>
            <w:vMerge/>
            <w:tcBorders>
              <w:top w:val="single" w:sz="4" w:space="0" w:color="auto"/>
              <w:bottom w:val="single" w:sz="4" w:space="0" w:color="auto"/>
            </w:tcBorders>
            <w:vAlign w:val="center"/>
            <w:hideMark/>
          </w:tcPr>
          <w:p w14:paraId="258EAD11" w14:textId="77777777" w:rsidR="00552588" w:rsidRPr="00F1130D" w:rsidRDefault="00552588" w:rsidP="002A69EE">
            <w:pPr>
              <w:spacing w:after="0" w:line="240" w:lineRule="auto"/>
              <w:rPr>
                <w:rFonts w:ascii="Goudy Old Style" w:eastAsia="Times New Roman" w:hAnsi="Goudy Old Style" w:cstheme="minorHAnsi"/>
                <w:color w:val="000000"/>
                <w:sz w:val="20"/>
                <w:szCs w:val="20"/>
              </w:rPr>
            </w:pPr>
          </w:p>
        </w:tc>
        <w:tc>
          <w:tcPr>
            <w:tcW w:w="520" w:type="dxa"/>
            <w:tcBorders>
              <w:top w:val="single" w:sz="4" w:space="0" w:color="auto"/>
              <w:bottom w:val="single" w:sz="4" w:space="0" w:color="auto"/>
            </w:tcBorders>
            <w:shd w:val="clear" w:color="auto" w:fill="auto"/>
            <w:noWrap/>
            <w:vAlign w:val="bottom"/>
            <w:hideMark/>
          </w:tcPr>
          <w:p w14:paraId="6D921F2B"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A</w:t>
            </w:r>
          </w:p>
        </w:tc>
        <w:tc>
          <w:tcPr>
            <w:tcW w:w="494" w:type="dxa"/>
            <w:tcBorders>
              <w:top w:val="single" w:sz="4" w:space="0" w:color="auto"/>
              <w:bottom w:val="single" w:sz="4" w:space="0" w:color="auto"/>
            </w:tcBorders>
            <w:shd w:val="clear" w:color="auto" w:fill="auto"/>
            <w:noWrap/>
            <w:vAlign w:val="bottom"/>
            <w:hideMark/>
          </w:tcPr>
          <w:p w14:paraId="19C2A517"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B</w:t>
            </w:r>
          </w:p>
        </w:tc>
        <w:tc>
          <w:tcPr>
            <w:tcW w:w="487" w:type="dxa"/>
            <w:tcBorders>
              <w:top w:val="single" w:sz="4" w:space="0" w:color="auto"/>
              <w:bottom w:val="single" w:sz="4" w:space="0" w:color="auto"/>
            </w:tcBorders>
            <w:shd w:val="clear" w:color="auto" w:fill="auto"/>
            <w:noWrap/>
            <w:vAlign w:val="bottom"/>
            <w:hideMark/>
          </w:tcPr>
          <w:p w14:paraId="5B442F8E"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C</w:t>
            </w:r>
          </w:p>
        </w:tc>
        <w:tc>
          <w:tcPr>
            <w:tcW w:w="546" w:type="dxa"/>
            <w:tcBorders>
              <w:top w:val="single" w:sz="4" w:space="0" w:color="auto"/>
              <w:bottom w:val="single" w:sz="4" w:space="0" w:color="auto"/>
            </w:tcBorders>
            <w:shd w:val="clear" w:color="auto" w:fill="auto"/>
            <w:noWrap/>
            <w:vAlign w:val="bottom"/>
            <w:hideMark/>
          </w:tcPr>
          <w:p w14:paraId="61E1505F"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D</w:t>
            </w:r>
          </w:p>
        </w:tc>
        <w:tc>
          <w:tcPr>
            <w:tcW w:w="461" w:type="dxa"/>
            <w:tcBorders>
              <w:top w:val="single" w:sz="4" w:space="0" w:color="auto"/>
              <w:bottom w:val="single" w:sz="4" w:space="0" w:color="auto"/>
            </w:tcBorders>
            <w:shd w:val="clear" w:color="auto" w:fill="auto"/>
            <w:noWrap/>
            <w:vAlign w:val="bottom"/>
            <w:hideMark/>
          </w:tcPr>
          <w:p w14:paraId="1BD53B09"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E</w:t>
            </w:r>
          </w:p>
        </w:tc>
        <w:tc>
          <w:tcPr>
            <w:tcW w:w="461" w:type="dxa"/>
            <w:tcBorders>
              <w:top w:val="single" w:sz="4" w:space="0" w:color="auto"/>
              <w:bottom w:val="single" w:sz="4" w:space="0" w:color="auto"/>
            </w:tcBorders>
            <w:shd w:val="clear" w:color="auto" w:fill="auto"/>
            <w:noWrap/>
            <w:vAlign w:val="bottom"/>
            <w:hideMark/>
          </w:tcPr>
          <w:p w14:paraId="5E4678AC"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F</w:t>
            </w:r>
          </w:p>
        </w:tc>
        <w:tc>
          <w:tcPr>
            <w:tcW w:w="556" w:type="dxa"/>
            <w:tcBorders>
              <w:top w:val="single" w:sz="4" w:space="0" w:color="auto"/>
              <w:bottom w:val="single" w:sz="4" w:space="0" w:color="auto"/>
            </w:tcBorders>
            <w:shd w:val="clear" w:color="auto" w:fill="auto"/>
            <w:noWrap/>
            <w:vAlign w:val="bottom"/>
            <w:hideMark/>
          </w:tcPr>
          <w:p w14:paraId="5090455C"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G</w:t>
            </w:r>
          </w:p>
        </w:tc>
        <w:tc>
          <w:tcPr>
            <w:tcW w:w="553" w:type="dxa"/>
            <w:tcBorders>
              <w:top w:val="single" w:sz="4" w:space="0" w:color="auto"/>
              <w:bottom w:val="single" w:sz="4" w:space="0" w:color="auto"/>
            </w:tcBorders>
            <w:shd w:val="clear" w:color="auto" w:fill="auto"/>
            <w:noWrap/>
            <w:vAlign w:val="bottom"/>
            <w:hideMark/>
          </w:tcPr>
          <w:p w14:paraId="49C1C352"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H</w:t>
            </w:r>
          </w:p>
        </w:tc>
        <w:tc>
          <w:tcPr>
            <w:tcW w:w="461" w:type="dxa"/>
            <w:tcBorders>
              <w:top w:val="single" w:sz="4" w:space="0" w:color="auto"/>
              <w:bottom w:val="single" w:sz="4" w:space="0" w:color="auto"/>
            </w:tcBorders>
            <w:shd w:val="clear" w:color="auto" w:fill="auto"/>
            <w:noWrap/>
            <w:vAlign w:val="bottom"/>
            <w:hideMark/>
          </w:tcPr>
          <w:p w14:paraId="296F0605"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I</w:t>
            </w:r>
          </w:p>
        </w:tc>
        <w:tc>
          <w:tcPr>
            <w:tcW w:w="461" w:type="dxa"/>
            <w:tcBorders>
              <w:top w:val="single" w:sz="4" w:space="0" w:color="auto"/>
              <w:bottom w:val="single" w:sz="4" w:space="0" w:color="auto"/>
            </w:tcBorders>
            <w:shd w:val="clear" w:color="auto" w:fill="auto"/>
            <w:noWrap/>
            <w:vAlign w:val="bottom"/>
            <w:hideMark/>
          </w:tcPr>
          <w:p w14:paraId="2346B081" w14:textId="77777777" w:rsidR="00552588" w:rsidRPr="00210571" w:rsidRDefault="00552588"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J</w:t>
            </w:r>
          </w:p>
        </w:tc>
        <w:tc>
          <w:tcPr>
            <w:tcW w:w="1300" w:type="dxa"/>
            <w:vMerge/>
            <w:tcBorders>
              <w:bottom w:val="single" w:sz="4" w:space="0" w:color="auto"/>
            </w:tcBorders>
            <w:vAlign w:val="center"/>
            <w:hideMark/>
          </w:tcPr>
          <w:p w14:paraId="69EE11AA" w14:textId="77777777" w:rsidR="00552588" w:rsidRPr="00F1130D" w:rsidRDefault="00552588" w:rsidP="002A69EE">
            <w:pPr>
              <w:spacing w:after="0" w:line="240" w:lineRule="auto"/>
              <w:rPr>
                <w:rFonts w:ascii="Goudy Old Style" w:eastAsia="Times New Roman" w:hAnsi="Goudy Old Style" w:cstheme="minorHAnsi"/>
                <w:color w:val="000000"/>
                <w:sz w:val="20"/>
                <w:szCs w:val="20"/>
              </w:rPr>
            </w:pPr>
          </w:p>
        </w:tc>
      </w:tr>
      <w:tr w:rsidR="00552588" w:rsidRPr="00F1130D" w14:paraId="6B37D78E" w14:textId="77777777" w:rsidTr="00102FB5">
        <w:trPr>
          <w:trHeight w:val="300"/>
        </w:trPr>
        <w:tc>
          <w:tcPr>
            <w:tcW w:w="1980" w:type="dxa"/>
            <w:tcBorders>
              <w:top w:val="single" w:sz="4" w:space="0" w:color="auto"/>
            </w:tcBorders>
            <w:shd w:val="clear" w:color="auto" w:fill="auto"/>
            <w:vAlign w:val="bottom"/>
            <w:hideMark/>
          </w:tcPr>
          <w:p w14:paraId="46E5933A" w14:textId="1BBE9073" w:rsidR="00552588" w:rsidRPr="00F1130D" w:rsidRDefault="000A644D" w:rsidP="002A69EE">
            <w:pPr>
              <w:spacing w:after="0" w:line="240" w:lineRule="auto"/>
              <w:rPr>
                <w:rFonts w:ascii="Goudy Old Style" w:eastAsia="Times New Roman" w:hAnsi="Goudy Old Style" w:cstheme="minorHAnsi"/>
                <w:color w:val="000000"/>
                <w:sz w:val="20"/>
                <w:szCs w:val="20"/>
              </w:rPr>
            </w:pPr>
            <w:r>
              <w:rPr>
                <w:rFonts w:ascii="Goudy Old Style" w:eastAsia="Times New Roman" w:hAnsi="Goudy Old Style" w:cstheme="minorHAnsi"/>
                <w:color w:val="000000"/>
                <w:sz w:val="20"/>
                <w:szCs w:val="20"/>
              </w:rPr>
              <w:t>Before a decision</w:t>
            </w:r>
          </w:p>
        </w:tc>
        <w:tc>
          <w:tcPr>
            <w:tcW w:w="520" w:type="dxa"/>
            <w:tcBorders>
              <w:top w:val="single" w:sz="4" w:space="0" w:color="auto"/>
            </w:tcBorders>
            <w:shd w:val="clear" w:color="auto" w:fill="auto"/>
            <w:noWrap/>
            <w:vAlign w:val="center"/>
            <w:hideMark/>
          </w:tcPr>
          <w:p w14:paraId="704DF1E8"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94" w:type="dxa"/>
            <w:tcBorders>
              <w:top w:val="single" w:sz="4" w:space="0" w:color="auto"/>
            </w:tcBorders>
            <w:shd w:val="clear" w:color="auto" w:fill="auto"/>
            <w:noWrap/>
            <w:vAlign w:val="center"/>
            <w:hideMark/>
          </w:tcPr>
          <w:p w14:paraId="79464950"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87" w:type="dxa"/>
            <w:tcBorders>
              <w:top w:val="single" w:sz="4" w:space="0" w:color="auto"/>
            </w:tcBorders>
            <w:shd w:val="clear" w:color="auto" w:fill="auto"/>
            <w:noWrap/>
            <w:vAlign w:val="center"/>
            <w:hideMark/>
          </w:tcPr>
          <w:p w14:paraId="187781F8"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46" w:type="dxa"/>
            <w:tcBorders>
              <w:top w:val="single" w:sz="4" w:space="0" w:color="auto"/>
            </w:tcBorders>
            <w:shd w:val="clear" w:color="auto" w:fill="auto"/>
            <w:noWrap/>
            <w:vAlign w:val="center"/>
            <w:hideMark/>
          </w:tcPr>
          <w:p w14:paraId="3BC1BCF8"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127B4093"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1D691003"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6" w:type="dxa"/>
            <w:tcBorders>
              <w:top w:val="single" w:sz="4" w:space="0" w:color="auto"/>
            </w:tcBorders>
            <w:shd w:val="clear" w:color="auto" w:fill="auto"/>
            <w:noWrap/>
            <w:vAlign w:val="center"/>
            <w:hideMark/>
          </w:tcPr>
          <w:p w14:paraId="6297F6F0"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3" w:type="dxa"/>
            <w:tcBorders>
              <w:top w:val="single" w:sz="4" w:space="0" w:color="auto"/>
            </w:tcBorders>
            <w:shd w:val="clear" w:color="auto" w:fill="auto"/>
            <w:noWrap/>
            <w:vAlign w:val="center"/>
            <w:hideMark/>
          </w:tcPr>
          <w:p w14:paraId="7AE949B3"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62BD432C"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11C6E599"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1300" w:type="dxa"/>
            <w:tcBorders>
              <w:top w:val="single" w:sz="4" w:space="0" w:color="auto"/>
            </w:tcBorders>
            <w:shd w:val="clear" w:color="auto" w:fill="auto"/>
            <w:noWrap/>
            <w:vAlign w:val="center"/>
            <w:hideMark/>
          </w:tcPr>
          <w:p w14:paraId="1662E6AA"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10</w:t>
            </w:r>
          </w:p>
        </w:tc>
      </w:tr>
      <w:tr w:rsidR="00552588" w:rsidRPr="00F1130D" w14:paraId="7FEE650B" w14:textId="77777777" w:rsidTr="00102FB5">
        <w:trPr>
          <w:trHeight w:val="300"/>
        </w:trPr>
        <w:tc>
          <w:tcPr>
            <w:tcW w:w="1980" w:type="dxa"/>
            <w:tcBorders>
              <w:bottom w:val="single" w:sz="4" w:space="0" w:color="auto"/>
            </w:tcBorders>
            <w:shd w:val="clear" w:color="auto" w:fill="auto"/>
            <w:noWrap/>
            <w:vAlign w:val="bottom"/>
            <w:hideMark/>
          </w:tcPr>
          <w:p w14:paraId="58554D95" w14:textId="194EF5DA" w:rsidR="00552588" w:rsidRPr="00F1130D" w:rsidRDefault="000A644D" w:rsidP="002A69EE">
            <w:pPr>
              <w:spacing w:after="0" w:line="240" w:lineRule="auto"/>
              <w:rPr>
                <w:rFonts w:ascii="Goudy Old Style" w:eastAsia="Times New Roman" w:hAnsi="Goudy Old Style" w:cstheme="minorHAnsi"/>
                <w:color w:val="000000"/>
                <w:sz w:val="20"/>
                <w:szCs w:val="20"/>
              </w:rPr>
            </w:pPr>
            <w:r>
              <w:rPr>
                <w:rFonts w:ascii="Goudy Old Style" w:eastAsia="Times New Roman" w:hAnsi="Goudy Old Style" w:cstheme="minorHAnsi"/>
                <w:color w:val="000000"/>
                <w:sz w:val="20"/>
                <w:szCs w:val="20"/>
              </w:rPr>
              <w:t>After a decision</w:t>
            </w:r>
          </w:p>
        </w:tc>
        <w:tc>
          <w:tcPr>
            <w:tcW w:w="520" w:type="dxa"/>
            <w:tcBorders>
              <w:bottom w:val="single" w:sz="4" w:space="0" w:color="auto"/>
            </w:tcBorders>
            <w:shd w:val="clear" w:color="auto" w:fill="auto"/>
            <w:noWrap/>
            <w:vAlign w:val="center"/>
            <w:hideMark/>
          </w:tcPr>
          <w:p w14:paraId="5B8E35A7"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94" w:type="dxa"/>
            <w:tcBorders>
              <w:bottom w:val="single" w:sz="4" w:space="0" w:color="auto"/>
            </w:tcBorders>
            <w:shd w:val="clear" w:color="auto" w:fill="auto"/>
            <w:noWrap/>
            <w:vAlign w:val="center"/>
            <w:hideMark/>
          </w:tcPr>
          <w:p w14:paraId="79AD306A"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87" w:type="dxa"/>
            <w:tcBorders>
              <w:bottom w:val="single" w:sz="4" w:space="0" w:color="auto"/>
            </w:tcBorders>
            <w:shd w:val="clear" w:color="auto" w:fill="auto"/>
            <w:noWrap/>
            <w:vAlign w:val="center"/>
            <w:hideMark/>
          </w:tcPr>
          <w:p w14:paraId="0427502B"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46" w:type="dxa"/>
            <w:tcBorders>
              <w:bottom w:val="single" w:sz="4" w:space="0" w:color="auto"/>
            </w:tcBorders>
            <w:shd w:val="clear" w:color="auto" w:fill="auto"/>
            <w:noWrap/>
            <w:vAlign w:val="center"/>
            <w:hideMark/>
          </w:tcPr>
          <w:p w14:paraId="733B2642"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3F37AB5C"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55B5CC27"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6" w:type="dxa"/>
            <w:tcBorders>
              <w:bottom w:val="single" w:sz="4" w:space="0" w:color="auto"/>
            </w:tcBorders>
            <w:shd w:val="clear" w:color="auto" w:fill="auto"/>
            <w:noWrap/>
            <w:vAlign w:val="center"/>
            <w:hideMark/>
          </w:tcPr>
          <w:p w14:paraId="3A65C4F1"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553" w:type="dxa"/>
            <w:tcBorders>
              <w:bottom w:val="single" w:sz="4" w:space="0" w:color="auto"/>
            </w:tcBorders>
            <w:shd w:val="clear" w:color="auto" w:fill="auto"/>
            <w:noWrap/>
            <w:vAlign w:val="center"/>
            <w:hideMark/>
          </w:tcPr>
          <w:p w14:paraId="6D41240B"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7710B9AC"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57AFE91A"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w:t>
            </w:r>
          </w:p>
        </w:tc>
        <w:tc>
          <w:tcPr>
            <w:tcW w:w="1300" w:type="dxa"/>
            <w:tcBorders>
              <w:bottom w:val="single" w:sz="4" w:space="0" w:color="auto"/>
            </w:tcBorders>
            <w:shd w:val="clear" w:color="auto" w:fill="auto"/>
            <w:noWrap/>
            <w:vAlign w:val="bottom"/>
            <w:hideMark/>
          </w:tcPr>
          <w:p w14:paraId="128E80C3" w14:textId="77777777" w:rsidR="00552588" w:rsidRPr="00F1130D" w:rsidRDefault="00552588" w:rsidP="002A69EE">
            <w:pPr>
              <w:spacing w:after="0" w:line="240" w:lineRule="auto"/>
              <w:jc w:val="center"/>
              <w:rPr>
                <w:rFonts w:ascii="Goudy Old Style" w:eastAsia="Times New Roman" w:hAnsi="Goudy Old Style" w:cstheme="minorHAnsi"/>
                <w:color w:val="000000"/>
                <w:sz w:val="20"/>
                <w:szCs w:val="20"/>
              </w:rPr>
            </w:pPr>
            <w:r w:rsidRPr="00F1130D">
              <w:rPr>
                <w:rFonts w:ascii="Goudy Old Style" w:eastAsia="Times New Roman" w:hAnsi="Goudy Old Style" w:cstheme="minorHAnsi"/>
                <w:color w:val="000000"/>
                <w:sz w:val="20"/>
                <w:szCs w:val="20"/>
              </w:rPr>
              <w:t>10</w:t>
            </w:r>
          </w:p>
        </w:tc>
      </w:tr>
    </w:tbl>
    <w:p w14:paraId="5094CD05" w14:textId="6120363C" w:rsidR="00027E82" w:rsidRDefault="000A644D" w:rsidP="00FB67D1">
      <w:pPr>
        <w:autoSpaceDE w:val="0"/>
        <w:autoSpaceDN w:val="0"/>
        <w:adjustRightInd w:val="0"/>
        <w:spacing w:after="0" w:line="240" w:lineRule="auto"/>
        <w:ind w:firstLine="360"/>
        <w:jc w:val="both"/>
        <w:rPr>
          <w:rFonts w:ascii="Candara" w:hAnsi="Candara" w:cstheme="minorHAnsi"/>
          <w:i/>
          <w:iCs/>
        </w:rPr>
      </w:pPr>
      <w:r>
        <w:rPr>
          <w:rFonts w:ascii="Goudy Old Style" w:eastAsia="Times New Roman" w:hAnsi="Goudy Old Style" w:cstheme="minorHAnsi"/>
          <w:color w:val="000000"/>
          <w:sz w:val="20"/>
          <w:szCs w:val="20"/>
        </w:rPr>
        <w:t>Where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Agree</w:t>
      </w:r>
      <w:r w:rsidRPr="00F1130D">
        <w:rPr>
          <w:rFonts w:ascii="Goudy Old Style" w:eastAsia="Times New Roman" w:hAnsi="Goudy Old Style" w:cstheme="minorHAnsi"/>
          <w:color w:val="000000"/>
          <w:sz w:val="20"/>
          <w:szCs w:val="20"/>
        </w:rPr>
        <w:t xml:space="preserve">, X = </w:t>
      </w:r>
      <w:r>
        <w:rPr>
          <w:rFonts w:ascii="Goudy Old Style" w:eastAsia="Times New Roman" w:hAnsi="Goudy Old Style" w:cstheme="minorHAnsi"/>
          <w:color w:val="000000"/>
          <w:sz w:val="20"/>
          <w:szCs w:val="20"/>
        </w:rPr>
        <w:t>Disagree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Not Stating</w:t>
      </w:r>
    </w:p>
    <w:p w14:paraId="62824039" w14:textId="39F8909C" w:rsidR="003F6965" w:rsidRPr="00424EB1" w:rsidRDefault="00286250" w:rsidP="00102FB5">
      <w:pPr>
        <w:spacing w:before="120" w:after="0" w:line="240" w:lineRule="auto"/>
        <w:ind w:left="360" w:firstLine="360"/>
        <w:jc w:val="both"/>
        <w:rPr>
          <w:rFonts w:ascii="Candara" w:hAnsi="Candara" w:cstheme="minorHAnsi"/>
        </w:rPr>
      </w:pPr>
      <w:r>
        <w:rPr>
          <w:rFonts w:ascii="Candara" w:eastAsia="Times New Roman" w:hAnsi="Candara" w:cs="Calibri"/>
          <w:color w:val="000000"/>
          <w:lang w:eastAsia="en-ID"/>
        </w:rPr>
        <w:t>F</w:t>
      </w:r>
      <w:r w:rsidRPr="00C6243A">
        <w:rPr>
          <w:rFonts w:ascii="Candara" w:eastAsia="Times New Roman" w:hAnsi="Candara" w:cs="Calibri"/>
          <w:color w:val="000000"/>
          <w:lang w:eastAsia="en-ID"/>
        </w:rPr>
        <w:t>rom the above table, it can</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be concluded that all the informants agree</w:t>
      </w:r>
      <w:r>
        <w:rPr>
          <w:rFonts w:ascii="Candara" w:eastAsia="Times New Roman" w:hAnsi="Candara" w:cs="Calibri"/>
          <w:color w:val="000000"/>
          <w:lang w:eastAsia="en-ID"/>
        </w:rPr>
        <w:t>d</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with </w:t>
      </w:r>
      <w:r w:rsidRPr="00C6243A">
        <w:rPr>
          <w:rFonts w:ascii="Candara" w:eastAsia="Times New Roman" w:hAnsi="Candara" w:cs="Calibri"/>
          <w:color w:val="000000"/>
          <w:lang w:eastAsia="en-ID"/>
        </w:rPr>
        <w:t>the potential for bankruptcy </w:t>
      </w:r>
      <w:r w:rsidRPr="00CB1FD7">
        <w:rPr>
          <w:rFonts w:ascii="Candara" w:eastAsia="Times New Roman" w:hAnsi="Candara" w:cs="Calibri"/>
          <w:color w:val="000000"/>
          <w:lang w:eastAsia="en-ID"/>
        </w:rPr>
        <w:t>fraud</w:t>
      </w:r>
      <w:r w:rsidRPr="00C6243A">
        <w:rPr>
          <w:rFonts w:ascii="Candara" w:eastAsia="Times New Roman" w:hAnsi="Candara" w:cs="Calibri"/>
          <w:i/>
          <w:iCs/>
          <w:color w:val="000000"/>
          <w:lang w:eastAsia="en-ID"/>
        </w:rPr>
        <w:t> </w:t>
      </w:r>
      <w:r w:rsidRPr="00C6243A">
        <w:rPr>
          <w:rFonts w:ascii="Candara" w:eastAsia="Times New Roman" w:hAnsi="Candara" w:cs="Calibri"/>
          <w:color w:val="000000"/>
          <w:lang w:eastAsia="en-ID"/>
        </w:rPr>
        <w:t>to occur</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both before and after the court decision </w:t>
      </w:r>
      <w:r>
        <w:rPr>
          <w:rFonts w:ascii="Candara" w:eastAsia="Times New Roman" w:hAnsi="Candara" w:cs="Calibri"/>
          <w:color w:val="000000"/>
          <w:lang w:eastAsia="en-ID"/>
        </w:rPr>
        <w:t xml:space="preserve">as </w:t>
      </w:r>
      <w:r w:rsidRPr="00C6243A">
        <w:rPr>
          <w:rFonts w:ascii="Candara" w:eastAsia="Times New Roman" w:hAnsi="Candara" w:cs="Calibri"/>
          <w:color w:val="000000"/>
          <w:lang w:eastAsia="en-ID"/>
        </w:rPr>
        <w:t>seen from the answers of informants A and D</w:t>
      </w:r>
      <w:r>
        <w:rPr>
          <w:rFonts w:ascii="Candara" w:eastAsia="Times New Roman" w:hAnsi="Candara" w:cs="Calibri"/>
          <w:color w:val="000000"/>
          <w:lang w:eastAsia="en-ID"/>
        </w:rPr>
        <w:t xml:space="preserve"> in the following</w:t>
      </w:r>
      <w:r w:rsidR="003F6965" w:rsidRPr="00424EB1">
        <w:rPr>
          <w:rFonts w:ascii="Candara" w:hAnsi="Candara" w:cstheme="minorHAnsi"/>
        </w:rPr>
        <w:t>:</w:t>
      </w:r>
    </w:p>
    <w:p w14:paraId="39E6B0FC" w14:textId="1269B259" w:rsidR="003F6965" w:rsidRPr="00424EB1" w:rsidRDefault="003F6965" w:rsidP="003F6965">
      <w:pPr>
        <w:spacing w:after="0" w:line="240" w:lineRule="auto"/>
        <w:ind w:left="720"/>
        <w:jc w:val="both"/>
        <w:rPr>
          <w:rFonts w:ascii="Candara" w:hAnsi="Candara" w:cstheme="minorHAnsi"/>
        </w:rPr>
      </w:pPr>
      <w:r w:rsidRPr="00424EB1">
        <w:rPr>
          <w:rFonts w:ascii="Candara" w:hAnsi="Candara" w:cstheme="minorHAnsi"/>
          <w:i/>
          <w:iCs/>
        </w:rPr>
        <w:t>"</w:t>
      </w:r>
      <w:r w:rsidR="004B366E" w:rsidRPr="00C6243A">
        <w:rPr>
          <w:rFonts w:ascii="Candara" w:eastAsia="Times New Roman" w:hAnsi="Candara" w:cs="Calibri"/>
          <w:i/>
          <w:iCs/>
          <w:color w:val="000000"/>
          <w:lang w:eastAsia="en-ID"/>
        </w:rPr>
        <w:t xml:space="preserve">All </w:t>
      </w:r>
      <w:r w:rsidR="004B366E">
        <w:rPr>
          <w:rFonts w:ascii="Candara" w:eastAsia="Times New Roman" w:hAnsi="Candara" w:cs="Calibri"/>
          <w:i/>
          <w:iCs/>
          <w:color w:val="000000"/>
          <w:lang w:eastAsia="en-ID"/>
        </w:rPr>
        <w:t xml:space="preserve">parties have the possibility. Be it the </w:t>
      </w:r>
      <w:r w:rsidR="004B366E" w:rsidRPr="00C6243A">
        <w:rPr>
          <w:rFonts w:ascii="Candara" w:eastAsia="Times New Roman" w:hAnsi="Candara" w:cs="Calibri"/>
          <w:i/>
          <w:iCs/>
          <w:color w:val="000000"/>
          <w:lang w:eastAsia="en-ID"/>
        </w:rPr>
        <w:t>debtor, creditor</w:t>
      </w:r>
      <w:r w:rsidR="004B366E">
        <w:rPr>
          <w:rFonts w:ascii="Candara" w:eastAsia="Times New Roman" w:hAnsi="Candara" w:cs="Calibri"/>
          <w:i/>
          <w:iCs/>
          <w:color w:val="000000"/>
          <w:lang w:eastAsia="en-ID"/>
        </w:rPr>
        <w:t>,</w:t>
      </w:r>
      <w:r w:rsidR="004B366E" w:rsidRPr="00C6243A">
        <w:rPr>
          <w:rFonts w:ascii="Candara" w:eastAsia="Times New Roman" w:hAnsi="Candara" w:cs="Calibri"/>
          <w:i/>
          <w:iCs/>
          <w:color w:val="000000"/>
          <w:lang w:eastAsia="en-ID"/>
        </w:rPr>
        <w:t xml:space="preserve"> and even curator</w:t>
      </w:r>
      <w:r w:rsidR="004B366E">
        <w:rPr>
          <w:rFonts w:ascii="Candara" w:eastAsia="Times New Roman" w:hAnsi="Candara" w:cs="Calibri"/>
          <w:i/>
          <w:iCs/>
          <w:color w:val="000000"/>
          <w:lang w:eastAsia="en-ID"/>
        </w:rPr>
        <w:t>,</w:t>
      </w:r>
      <w:r w:rsidR="004B366E" w:rsidRPr="00C6243A">
        <w:rPr>
          <w:rFonts w:ascii="Candara" w:eastAsia="Times New Roman" w:hAnsi="Candara" w:cs="Calibri"/>
          <w:i/>
          <w:iCs/>
          <w:color w:val="000000"/>
          <w:lang w:eastAsia="en-ID"/>
        </w:rPr>
        <w:t xml:space="preserve"> </w:t>
      </w:r>
      <w:r w:rsidR="004B366E">
        <w:rPr>
          <w:rFonts w:ascii="Candara" w:eastAsia="Times New Roman" w:hAnsi="Candara" w:cs="Calibri"/>
          <w:i/>
          <w:iCs/>
          <w:color w:val="000000"/>
          <w:lang w:eastAsia="en-ID"/>
        </w:rPr>
        <w:t xml:space="preserve">either </w:t>
      </w:r>
      <w:r w:rsidR="004B366E" w:rsidRPr="00C6243A">
        <w:rPr>
          <w:rFonts w:ascii="Candara" w:eastAsia="Times New Roman" w:hAnsi="Candara" w:cs="Calibri"/>
          <w:i/>
          <w:iCs/>
          <w:color w:val="000000"/>
          <w:lang w:eastAsia="en-ID"/>
        </w:rPr>
        <w:t xml:space="preserve">before </w:t>
      </w:r>
      <w:r w:rsidR="004B366E">
        <w:rPr>
          <w:rFonts w:ascii="Candara" w:eastAsia="Times New Roman" w:hAnsi="Candara" w:cs="Calibri"/>
          <w:i/>
          <w:iCs/>
          <w:color w:val="000000"/>
          <w:lang w:eastAsia="en-ID"/>
        </w:rPr>
        <w:t xml:space="preserve">or </w:t>
      </w:r>
      <w:r w:rsidR="004B366E" w:rsidRPr="00C6243A">
        <w:rPr>
          <w:rFonts w:ascii="Candara" w:eastAsia="Times New Roman" w:hAnsi="Candara" w:cs="Calibri"/>
          <w:i/>
          <w:iCs/>
          <w:color w:val="000000"/>
          <w:lang w:eastAsia="en-ID"/>
        </w:rPr>
        <w:t>after the court decision</w:t>
      </w:r>
      <w:r w:rsidRPr="00424EB1">
        <w:rPr>
          <w:rFonts w:ascii="Candara" w:hAnsi="Candara" w:cstheme="minorHAnsi"/>
          <w:i/>
          <w:iCs/>
        </w:rPr>
        <w:t>.”</w:t>
      </w:r>
      <w:r w:rsidRPr="00424EB1">
        <w:rPr>
          <w:rFonts w:ascii="Candara" w:hAnsi="Candara" w:cstheme="minorHAnsi"/>
        </w:rPr>
        <w:t xml:space="preserve"> (Informan</w:t>
      </w:r>
      <w:r w:rsidR="004B366E">
        <w:rPr>
          <w:rFonts w:ascii="Candara" w:hAnsi="Candara" w:cstheme="minorHAnsi"/>
        </w:rPr>
        <w:t>t</w:t>
      </w:r>
      <w:r w:rsidRPr="00424EB1">
        <w:rPr>
          <w:rFonts w:ascii="Candara" w:hAnsi="Candara" w:cstheme="minorHAnsi"/>
        </w:rPr>
        <w:t xml:space="preserve"> A)</w:t>
      </w:r>
    </w:p>
    <w:p w14:paraId="778A175F" w14:textId="3971377B" w:rsidR="00027E82" w:rsidRDefault="003F6965" w:rsidP="00102FB5">
      <w:pPr>
        <w:autoSpaceDE w:val="0"/>
        <w:autoSpaceDN w:val="0"/>
        <w:adjustRightInd w:val="0"/>
        <w:spacing w:after="0" w:line="240" w:lineRule="auto"/>
        <w:ind w:left="720" w:hanging="90"/>
        <w:jc w:val="both"/>
        <w:rPr>
          <w:rFonts w:ascii="Candara" w:hAnsi="Candara" w:cstheme="minorHAnsi"/>
          <w:i/>
          <w:iCs/>
        </w:rPr>
      </w:pPr>
      <w:r w:rsidRPr="00424EB1">
        <w:rPr>
          <w:rFonts w:ascii="Candara" w:hAnsi="Candara" w:cstheme="minorHAnsi"/>
          <w:i/>
          <w:iCs/>
        </w:rPr>
        <w:t xml:space="preserve"> "</w:t>
      </w:r>
      <w:r w:rsidR="004B366E" w:rsidRPr="004B366E">
        <w:rPr>
          <w:rFonts w:ascii="Candara" w:eastAsia="Times New Roman" w:hAnsi="Candara" w:cs="Calibri"/>
          <w:i/>
          <w:iCs/>
          <w:color w:val="000000"/>
          <w:lang w:eastAsia="en-ID"/>
        </w:rPr>
        <w:t xml:space="preserve"> </w:t>
      </w:r>
      <w:r w:rsidR="004B366E" w:rsidRPr="00C6243A">
        <w:rPr>
          <w:rFonts w:ascii="Candara" w:eastAsia="Times New Roman" w:hAnsi="Candara" w:cs="Calibri"/>
          <w:i/>
          <w:iCs/>
          <w:color w:val="000000"/>
          <w:lang w:eastAsia="en-ID"/>
        </w:rPr>
        <w:t>It c</w:t>
      </w:r>
      <w:r w:rsidR="004B366E">
        <w:rPr>
          <w:rFonts w:ascii="Candara" w:eastAsia="Times New Roman" w:hAnsi="Candara" w:cs="Calibri"/>
          <w:i/>
          <w:iCs/>
          <w:color w:val="000000"/>
          <w:lang w:eastAsia="en-ID"/>
        </w:rPr>
        <w:t xml:space="preserve">an </w:t>
      </w:r>
      <w:r w:rsidR="004B366E" w:rsidRPr="00C6243A">
        <w:rPr>
          <w:rFonts w:ascii="Candara" w:eastAsia="Times New Roman" w:hAnsi="Candara" w:cs="Calibri"/>
          <w:i/>
          <w:iCs/>
          <w:color w:val="000000"/>
          <w:lang w:eastAsia="en-ID"/>
        </w:rPr>
        <w:t xml:space="preserve">be </w:t>
      </w:r>
      <w:r w:rsidR="004B366E">
        <w:rPr>
          <w:rFonts w:ascii="Candara" w:eastAsia="Times New Roman" w:hAnsi="Candara" w:cs="Calibri"/>
          <w:i/>
          <w:iCs/>
          <w:color w:val="000000"/>
          <w:lang w:eastAsia="en-ID"/>
        </w:rPr>
        <w:t xml:space="preserve">both </w:t>
      </w:r>
      <w:r w:rsidR="004B366E" w:rsidRPr="00C6243A">
        <w:rPr>
          <w:rFonts w:ascii="Candara" w:eastAsia="Times New Roman" w:hAnsi="Candara" w:cs="Calibri"/>
          <w:i/>
          <w:iCs/>
          <w:color w:val="000000"/>
          <w:lang w:eastAsia="en-ID"/>
        </w:rPr>
        <w:t xml:space="preserve">before </w:t>
      </w:r>
      <w:r w:rsidR="004B366E">
        <w:rPr>
          <w:rFonts w:ascii="Candara" w:eastAsia="Times New Roman" w:hAnsi="Candara" w:cs="Calibri"/>
          <w:i/>
          <w:iCs/>
          <w:color w:val="000000"/>
          <w:lang w:eastAsia="en-ID"/>
        </w:rPr>
        <w:t xml:space="preserve">and </w:t>
      </w:r>
      <w:r w:rsidR="004B366E" w:rsidRPr="00C6243A">
        <w:rPr>
          <w:rFonts w:ascii="Candara" w:eastAsia="Times New Roman" w:hAnsi="Candara" w:cs="Calibri"/>
          <w:i/>
          <w:iCs/>
          <w:color w:val="000000"/>
          <w:lang w:eastAsia="en-ID"/>
        </w:rPr>
        <w:t>after the court decision</w:t>
      </w:r>
      <w:r w:rsidRPr="00424EB1">
        <w:rPr>
          <w:rFonts w:ascii="Candara" w:hAnsi="Candara" w:cstheme="minorHAnsi"/>
          <w:i/>
          <w:iCs/>
        </w:rPr>
        <w:t>."</w:t>
      </w:r>
      <w:r w:rsidRPr="00424EB1">
        <w:rPr>
          <w:rFonts w:ascii="Candara" w:hAnsi="Candara" w:cstheme="minorHAnsi"/>
        </w:rPr>
        <w:t xml:space="preserve"> (Informan</w:t>
      </w:r>
      <w:r w:rsidR="004B366E">
        <w:rPr>
          <w:rFonts w:ascii="Candara" w:hAnsi="Candara" w:cstheme="minorHAnsi"/>
        </w:rPr>
        <w:t>t</w:t>
      </w:r>
      <w:r w:rsidRPr="00424EB1">
        <w:rPr>
          <w:rFonts w:ascii="Candara" w:hAnsi="Candara" w:cstheme="minorHAnsi"/>
        </w:rPr>
        <w:t xml:space="preserve"> D)</w:t>
      </w:r>
    </w:p>
    <w:p w14:paraId="732B6B49" w14:textId="7ADF17E7" w:rsidR="003F6965" w:rsidRPr="00424EB1" w:rsidRDefault="004B366E" w:rsidP="00102FB5">
      <w:pPr>
        <w:pStyle w:val="ListParagraph"/>
        <w:numPr>
          <w:ilvl w:val="0"/>
          <w:numId w:val="19"/>
        </w:numPr>
        <w:spacing w:before="120" w:after="0" w:line="240" w:lineRule="auto"/>
        <w:ind w:left="360"/>
        <w:contextualSpacing w:val="0"/>
        <w:rPr>
          <w:rFonts w:ascii="Candara" w:hAnsi="Candara" w:cstheme="minorHAnsi"/>
        </w:rPr>
      </w:pPr>
      <w:r>
        <w:rPr>
          <w:rFonts w:ascii="Candara" w:hAnsi="Candara" w:cstheme="minorHAnsi"/>
        </w:rPr>
        <w:t>Relationship between C</w:t>
      </w:r>
      <w:r w:rsidR="003F6965" w:rsidRPr="00424EB1">
        <w:rPr>
          <w:rFonts w:ascii="Candara" w:hAnsi="Candara" w:cstheme="minorHAnsi"/>
        </w:rPr>
        <w:t xml:space="preserve">urator </w:t>
      </w:r>
      <w:r>
        <w:rPr>
          <w:rFonts w:ascii="Candara" w:hAnsi="Candara" w:cstheme="minorHAnsi"/>
        </w:rPr>
        <w:t>and Bankruptcy</w:t>
      </w:r>
    </w:p>
    <w:p w14:paraId="63BFC1DC" w14:textId="655679CF" w:rsidR="003F6965" w:rsidRPr="00424EB1" w:rsidRDefault="006B1EB1" w:rsidP="00102FB5">
      <w:pPr>
        <w:pStyle w:val="ListParagraph"/>
        <w:spacing w:after="0" w:line="240" w:lineRule="auto"/>
        <w:ind w:left="0" w:firstLine="360"/>
        <w:jc w:val="both"/>
        <w:rPr>
          <w:rFonts w:ascii="Candara" w:hAnsi="Candara" w:cstheme="minorHAnsi"/>
        </w:rPr>
      </w:pPr>
      <w:r w:rsidRPr="00C6243A">
        <w:rPr>
          <w:rFonts w:ascii="Candara" w:eastAsia="Times New Roman" w:hAnsi="Candara" w:cs="Calibri"/>
          <w:color w:val="000000"/>
          <w:lang w:eastAsia="en-ID"/>
        </w:rPr>
        <w:t>The management</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of bankruptcy </w:t>
      </w:r>
      <w:r w:rsidRPr="00CB1FD7">
        <w:rPr>
          <w:rFonts w:ascii="Candara" w:eastAsia="Times New Roman" w:hAnsi="Candara" w:cs="Calibri"/>
          <w:color w:val="000000"/>
          <w:lang w:eastAsia="en-ID"/>
        </w:rPr>
        <w:t>assets</w:t>
      </w:r>
      <w:r>
        <w:rPr>
          <w:rFonts w:ascii="Candara" w:eastAsia="Times New Roman" w:hAnsi="Candara" w:cs="Calibri"/>
          <w:i/>
          <w:iCs/>
          <w:color w:val="000000"/>
          <w:lang w:eastAsia="en-ID"/>
        </w:rPr>
        <w:t xml:space="preserve"> </w:t>
      </w:r>
      <w:r w:rsidR="00657D07" w:rsidRPr="00657D07">
        <w:rPr>
          <w:rFonts w:ascii="Candara" w:eastAsia="Times New Roman" w:hAnsi="Candara" w:cs="Calibri"/>
          <w:color w:val="000000"/>
          <w:lang w:eastAsia="en-ID"/>
        </w:rPr>
        <w:t>has</w:t>
      </w:r>
      <w:r w:rsidR="00657D07">
        <w:rPr>
          <w:rFonts w:ascii="Candara" w:eastAsia="Times New Roman" w:hAnsi="Candara" w:cs="Calibri"/>
          <w:i/>
          <w:iCs/>
          <w:color w:val="000000"/>
          <w:lang w:eastAsia="en-ID"/>
        </w:rPr>
        <w:t xml:space="preserve"> </w:t>
      </w:r>
      <w:r>
        <w:rPr>
          <w:rFonts w:ascii="Candara" w:eastAsia="Times New Roman" w:hAnsi="Candara" w:cs="Calibri"/>
          <w:color w:val="000000"/>
          <w:lang w:eastAsia="en-ID"/>
        </w:rPr>
        <w:t xml:space="preserve">started to be </w:t>
      </w:r>
      <w:r w:rsidRPr="00C6243A">
        <w:rPr>
          <w:rFonts w:ascii="Candara" w:eastAsia="Times New Roman" w:hAnsi="Candara" w:cs="Calibri"/>
          <w:color w:val="000000"/>
          <w:lang w:eastAsia="en-ID"/>
        </w:rPr>
        <w:t>carried out since the panel of judges reads the decision.</w:t>
      </w:r>
      <w:r w:rsidR="00657D07">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The curator is obliged to announce the bankruptcy decision </w:t>
      </w:r>
      <w:r w:rsidRPr="00C6243A">
        <w:rPr>
          <w:rFonts w:ascii="Candara" w:eastAsia="Times New Roman" w:hAnsi="Candara" w:cs="Calibri"/>
          <w:color w:val="000000"/>
          <w:lang w:eastAsia="en-ID"/>
        </w:rPr>
        <w:lastRenderedPageBreak/>
        <w:t>through</w:t>
      </w:r>
      <w:r w:rsidR="00657D07">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the media and state </w:t>
      </w:r>
      <w:r>
        <w:rPr>
          <w:rFonts w:ascii="Candara" w:eastAsia="Times New Roman" w:hAnsi="Candara" w:cs="Calibri"/>
          <w:color w:val="000000"/>
          <w:lang w:eastAsia="en-ID"/>
        </w:rPr>
        <w:t xml:space="preserve">media </w:t>
      </w:r>
      <w:r w:rsidRPr="00C6243A">
        <w:rPr>
          <w:rFonts w:ascii="Candara" w:eastAsia="Times New Roman" w:hAnsi="Candara" w:cs="Calibri"/>
          <w:color w:val="000000"/>
          <w:lang w:eastAsia="en-ID"/>
        </w:rPr>
        <w:t xml:space="preserve">in accordance with the provisions of the KPKPU Law. The curator </w:t>
      </w:r>
      <w:r>
        <w:rPr>
          <w:rFonts w:ascii="Candara" w:eastAsia="Times New Roman" w:hAnsi="Candara" w:cs="Calibri"/>
          <w:color w:val="000000"/>
          <w:lang w:eastAsia="en-ID"/>
        </w:rPr>
        <w:t xml:space="preserve">is </w:t>
      </w:r>
      <w:r w:rsidRPr="00C6243A">
        <w:rPr>
          <w:rFonts w:ascii="Candara" w:eastAsia="Times New Roman" w:hAnsi="Candara" w:cs="Calibri"/>
          <w:color w:val="000000"/>
          <w:lang w:eastAsia="en-ID"/>
        </w:rPr>
        <w:t xml:space="preserve">also </w:t>
      </w:r>
      <w:r>
        <w:rPr>
          <w:rFonts w:ascii="Candara" w:eastAsia="Times New Roman" w:hAnsi="Candara" w:cs="Calibri"/>
          <w:color w:val="000000"/>
          <w:lang w:eastAsia="en-ID"/>
        </w:rPr>
        <w:t xml:space="preserve">obliged to create </w:t>
      </w:r>
      <w:r w:rsidRPr="00C6243A">
        <w:rPr>
          <w:rFonts w:ascii="Candara" w:eastAsia="Times New Roman" w:hAnsi="Candara" w:cs="Calibri"/>
          <w:color w:val="000000"/>
          <w:lang w:eastAsia="en-ID"/>
        </w:rPr>
        <w:t>a list of bankrupt</w:t>
      </w:r>
      <w:r>
        <w:rPr>
          <w:rFonts w:ascii="Candara" w:eastAsia="Times New Roman" w:hAnsi="Candara" w:cs="Calibri"/>
          <w:color w:val="000000"/>
          <w:lang w:eastAsia="en-ID"/>
        </w:rPr>
        <w:t>cy</w:t>
      </w:r>
      <w:r w:rsidRPr="00C6243A">
        <w:rPr>
          <w:rFonts w:ascii="Candara" w:eastAsia="Times New Roman" w:hAnsi="Candara" w:cs="Calibri"/>
          <w:color w:val="000000"/>
          <w:lang w:eastAsia="en-ID"/>
        </w:rPr>
        <w:t xml:space="preserve"> assets and then appoint a Public Apprais</w:t>
      </w:r>
      <w:r>
        <w:rPr>
          <w:rFonts w:ascii="Candara" w:eastAsia="Times New Roman" w:hAnsi="Candara" w:cs="Calibri"/>
          <w:color w:val="000000"/>
          <w:lang w:eastAsia="en-ID"/>
        </w:rPr>
        <w:t xml:space="preserve">er’s </w:t>
      </w:r>
      <w:r w:rsidRPr="00C6243A">
        <w:rPr>
          <w:rFonts w:ascii="Candara" w:eastAsia="Times New Roman" w:hAnsi="Candara" w:cs="Calibri"/>
          <w:color w:val="000000"/>
          <w:lang w:eastAsia="en-ID"/>
        </w:rPr>
        <w:t>Office (KJPP) to sell the bankrupt</w:t>
      </w:r>
      <w:r>
        <w:rPr>
          <w:rFonts w:ascii="Candara" w:eastAsia="Times New Roman" w:hAnsi="Candara" w:cs="Calibri"/>
          <w:color w:val="000000"/>
          <w:lang w:eastAsia="en-ID"/>
        </w:rPr>
        <w:t>cy</w:t>
      </w:r>
      <w:r w:rsidRPr="00C6243A">
        <w:rPr>
          <w:rFonts w:ascii="Candara" w:eastAsia="Times New Roman" w:hAnsi="Candara" w:cs="Calibri"/>
          <w:color w:val="000000"/>
          <w:lang w:eastAsia="en-ID"/>
        </w:rPr>
        <w:t xml:space="preserve"> assets either through auction</w:t>
      </w:r>
      <w:r w:rsidR="00657D07">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or private</w:t>
      </w:r>
      <w:r>
        <w:rPr>
          <w:rFonts w:ascii="Candara" w:eastAsia="Times New Roman" w:hAnsi="Candara" w:cs="Calibri"/>
          <w:color w:val="000000"/>
          <w:lang w:eastAsia="en-ID"/>
        </w:rPr>
        <w:t xml:space="preserve"> sales</w:t>
      </w:r>
      <w:r w:rsidRPr="00C6243A">
        <w:rPr>
          <w:rFonts w:ascii="Candara" w:eastAsia="Times New Roman" w:hAnsi="Candara" w:cs="Calibri"/>
          <w:color w:val="000000"/>
          <w:lang w:eastAsia="en-ID"/>
        </w:rPr>
        <w:t>.</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After</w:t>
      </w:r>
      <w:r>
        <w:rPr>
          <w:rFonts w:ascii="Candara" w:eastAsia="Times New Roman" w:hAnsi="Candara" w:cs="Calibri"/>
          <w:color w:val="000000"/>
          <w:lang w:eastAsia="en-ID"/>
        </w:rPr>
        <w:t>wards</w:t>
      </w:r>
      <w:r w:rsidRPr="00C6243A">
        <w:rPr>
          <w:rFonts w:ascii="Candara" w:eastAsia="Times New Roman" w:hAnsi="Candara" w:cs="Calibri"/>
          <w:color w:val="000000"/>
          <w:lang w:eastAsia="en-ID"/>
        </w:rPr>
        <w:t xml:space="preserve">, the curator will distribute the proceeds from the sale of </w:t>
      </w:r>
      <w:r>
        <w:rPr>
          <w:rFonts w:ascii="Candara" w:eastAsia="Times New Roman" w:hAnsi="Candara" w:cs="Calibri"/>
          <w:color w:val="000000"/>
          <w:lang w:eastAsia="en-ID"/>
        </w:rPr>
        <w:t>the</w:t>
      </w:r>
      <w:r w:rsidR="00657D07">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assets to creditors. </w:t>
      </w:r>
      <w:r>
        <w:rPr>
          <w:rFonts w:ascii="Candara" w:eastAsia="Times New Roman" w:hAnsi="Candara" w:cs="Calibri"/>
          <w:color w:val="000000"/>
          <w:lang w:eastAsia="en-ID"/>
        </w:rPr>
        <w:t xml:space="preserve">This matter is explained by </w:t>
      </w:r>
      <w:r w:rsidRPr="00C6243A">
        <w:rPr>
          <w:rFonts w:ascii="Candara" w:eastAsia="Times New Roman" w:hAnsi="Candara" w:cs="Calibri"/>
          <w:color w:val="000000"/>
          <w:lang w:eastAsia="en-ID"/>
        </w:rPr>
        <w:t>informants E and H as follows</w:t>
      </w:r>
      <w:r w:rsidR="003F6965" w:rsidRPr="00424EB1">
        <w:rPr>
          <w:rFonts w:ascii="Candara" w:hAnsi="Candara" w:cstheme="minorHAnsi"/>
        </w:rPr>
        <w:t>:</w:t>
      </w:r>
    </w:p>
    <w:p w14:paraId="4E7CF5F4" w14:textId="010C2C34" w:rsidR="003F6965" w:rsidRPr="00424EB1" w:rsidRDefault="003F6965" w:rsidP="00102FB5">
      <w:pPr>
        <w:pStyle w:val="ListParagraph"/>
        <w:spacing w:after="0" w:line="240" w:lineRule="auto"/>
        <w:ind w:left="360"/>
        <w:jc w:val="both"/>
        <w:rPr>
          <w:rFonts w:ascii="Candara" w:hAnsi="Candara" w:cstheme="minorHAnsi"/>
        </w:rPr>
      </w:pPr>
      <w:r w:rsidRPr="00424EB1">
        <w:rPr>
          <w:rFonts w:ascii="Candara" w:hAnsi="Candara" w:cstheme="minorHAnsi"/>
          <w:i/>
          <w:iCs/>
        </w:rPr>
        <w:t>“</w:t>
      </w:r>
      <w:r w:rsidR="00895D1B">
        <w:rPr>
          <w:rFonts w:ascii="Candara" w:eastAsia="Times New Roman" w:hAnsi="Candara" w:cs="Calibri"/>
          <w:i/>
          <w:iCs/>
          <w:color w:val="000000"/>
          <w:lang w:eastAsia="en-ID"/>
        </w:rPr>
        <w:t xml:space="preserve">The settlement has started to be </w:t>
      </w:r>
      <w:r w:rsidR="00895D1B" w:rsidRPr="00C6243A">
        <w:rPr>
          <w:rFonts w:ascii="Candara" w:eastAsia="Times New Roman" w:hAnsi="Candara" w:cs="Calibri"/>
          <w:i/>
          <w:iCs/>
          <w:color w:val="000000"/>
          <w:lang w:eastAsia="en-ID"/>
        </w:rPr>
        <w:t xml:space="preserve">carried out </w:t>
      </w:r>
      <w:r w:rsidR="00895D1B">
        <w:rPr>
          <w:rFonts w:ascii="Candara" w:eastAsia="Times New Roman" w:hAnsi="Candara" w:cs="Calibri"/>
          <w:i/>
          <w:iCs/>
          <w:color w:val="000000"/>
          <w:lang w:eastAsia="en-ID"/>
        </w:rPr>
        <w:t xml:space="preserve">since </w:t>
      </w:r>
      <w:r w:rsidR="00895D1B" w:rsidRPr="00C6243A">
        <w:rPr>
          <w:rFonts w:ascii="Candara" w:eastAsia="Times New Roman" w:hAnsi="Candara" w:cs="Calibri"/>
          <w:i/>
          <w:iCs/>
          <w:color w:val="000000"/>
          <w:lang w:eastAsia="en-ID"/>
        </w:rPr>
        <w:t xml:space="preserve">the </w:t>
      </w:r>
      <w:r w:rsidR="00895D1B">
        <w:rPr>
          <w:rFonts w:ascii="Candara" w:eastAsia="Times New Roman" w:hAnsi="Candara" w:cs="Calibri"/>
          <w:i/>
          <w:iCs/>
          <w:color w:val="000000"/>
          <w:lang w:eastAsia="en-ID"/>
        </w:rPr>
        <w:t xml:space="preserve">declaration of the </w:t>
      </w:r>
      <w:r w:rsidR="00895D1B" w:rsidRPr="00C6243A">
        <w:rPr>
          <w:rFonts w:ascii="Candara" w:eastAsia="Times New Roman" w:hAnsi="Candara" w:cs="Calibri"/>
          <w:i/>
          <w:iCs/>
          <w:color w:val="000000"/>
          <w:lang w:eastAsia="en-ID"/>
        </w:rPr>
        <w:t xml:space="preserve">bankruptcy decision by the panel of judges until before the bankruptcy </w:t>
      </w:r>
      <w:r w:rsidR="00895D1B">
        <w:rPr>
          <w:rFonts w:ascii="Candara" w:eastAsia="Times New Roman" w:hAnsi="Candara" w:cs="Calibri"/>
          <w:i/>
          <w:iCs/>
          <w:color w:val="000000"/>
          <w:lang w:eastAsia="en-ID"/>
        </w:rPr>
        <w:t xml:space="preserve">assets are </w:t>
      </w:r>
      <w:r w:rsidR="00895D1B" w:rsidRPr="00C6243A">
        <w:rPr>
          <w:rFonts w:ascii="Candara" w:eastAsia="Times New Roman" w:hAnsi="Candara" w:cs="Calibri"/>
          <w:i/>
          <w:iCs/>
          <w:color w:val="000000"/>
          <w:lang w:eastAsia="en-ID"/>
        </w:rPr>
        <w:t xml:space="preserve">settled </w:t>
      </w:r>
      <w:r w:rsidR="00895D1B">
        <w:rPr>
          <w:rFonts w:ascii="Candara" w:eastAsia="Times New Roman" w:hAnsi="Candara" w:cs="Calibri"/>
          <w:i/>
          <w:iCs/>
          <w:color w:val="000000"/>
          <w:lang w:eastAsia="en-ID"/>
        </w:rPr>
        <w:t xml:space="preserve">through </w:t>
      </w:r>
      <w:r w:rsidR="00895D1B" w:rsidRPr="00C6243A">
        <w:rPr>
          <w:rFonts w:ascii="Candara" w:eastAsia="Times New Roman" w:hAnsi="Candara" w:cs="Calibri"/>
          <w:i/>
          <w:iCs/>
          <w:color w:val="000000"/>
          <w:lang w:eastAsia="en-ID"/>
        </w:rPr>
        <w:t xml:space="preserve">public auction. The curator announces the bankruptcy decision in national and local mass media </w:t>
      </w:r>
      <w:r w:rsidR="00895D1B">
        <w:rPr>
          <w:rFonts w:ascii="Candara" w:eastAsia="Times New Roman" w:hAnsi="Candara" w:cs="Calibri"/>
          <w:i/>
          <w:iCs/>
          <w:color w:val="000000"/>
          <w:lang w:eastAsia="en-ID"/>
        </w:rPr>
        <w:t xml:space="preserve">which </w:t>
      </w:r>
      <w:r w:rsidR="00895D1B" w:rsidRPr="00C6243A">
        <w:rPr>
          <w:rFonts w:ascii="Candara" w:eastAsia="Times New Roman" w:hAnsi="Candara" w:cs="Calibri"/>
          <w:i/>
          <w:iCs/>
          <w:color w:val="000000"/>
          <w:lang w:eastAsia="en-ID"/>
        </w:rPr>
        <w:t>cover the jurisdiction of the bankrupt debtor</w:t>
      </w:r>
      <w:r w:rsidR="00657D07">
        <w:rPr>
          <w:rFonts w:ascii="Candara" w:eastAsia="Times New Roman" w:hAnsi="Candara" w:cs="Calibri"/>
          <w:i/>
          <w:iCs/>
          <w:color w:val="000000"/>
          <w:lang w:eastAsia="en-ID"/>
        </w:rPr>
        <w:t xml:space="preserve">; </w:t>
      </w:r>
      <w:r w:rsidR="00895D1B">
        <w:rPr>
          <w:rFonts w:ascii="Candara" w:eastAsia="Times New Roman" w:hAnsi="Candara" w:cs="Calibri"/>
          <w:i/>
          <w:iCs/>
          <w:color w:val="000000"/>
          <w:lang w:eastAsia="en-ID"/>
        </w:rPr>
        <w:t>t</w:t>
      </w:r>
      <w:r w:rsidR="00895D1B" w:rsidRPr="00C6243A">
        <w:rPr>
          <w:rFonts w:ascii="Candara" w:eastAsia="Times New Roman" w:hAnsi="Candara" w:cs="Calibri"/>
          <w:i/>
          <w:iCs/>
          <w:color w:val="000000"/>
          <w:lang w:eastAsia="en-ID"/>
        </w:rPr>
        <w:t>hen contact</w:t>
      </w:r>
      <w:r w:rsidR="00895D1B">
        <w:rPr>
          <w:rFonts w:ascii="Candara" w:eastAsia="Times New Roman" w:hAnsi="Candara" w:cs="Calibri"/>
          <w:i/>
          <w:iCs/>
          <w:color w:val="000000"/>
          <w:lang w:eastAsia="en-ID"/>
        </w:rPr>
        <w:t>s</w:t>
      </w:r>
      <w:r w:rsidR="00895D1B" w:rsidRPr="00C6243A">
        <w:rPr>
          <w:rFonts w:ascii="Candara" w:eastAsia="Times New Roman" w:hAnsi="Candara" w:cs="Calibri"/>
          <w:i/>
          <w:iCs/>
          <w:color w:val="000000"/>
          <w:lang w:eastAsia="en-ID"/>
        </w:rPr>
        <w:t xml:space="preserve"> all </w:t>
      </w:r>
      <w:r w:rsidR="00895D1B">
        <w:rPr>
          <w:rFonts w:ascii="Candara" w:eastAsia="Times New Roman" w:hAnsi="Candara" w:cs="Calibri"/>
          <w:i/>
          <w:iCs/>
          <w:color w:val="000000"/>
          <w:lang w:eastAsia="en-ID"/>
        </w:rPr>
        <w:t xml:space="preserve">the </w:t>
      </w:r>
      <w:r w:rsidR="00895D1B" w:rsidRPr="00C6243A">
        <w:rPr>
          <w:rFonts w:ascii="Candara" w:eastAsia="Times New Roman" w:hAnsi="Candara" w:cs="Calibri"/>
          <w:i/>
          <w:iCs/>
          <w:color w:val="000000"/>
          <w:lang w:eastAsia="en-ID"/>
        </w:rPr>
        <w:t>creditors who are registered with the debtor in writing, contact</w:t>
      </w:r>
      <w:r w:rsidR="00895D1B">
        <w:rPr>
          <w:rFonts w:ascii="Candara" w:eastAsia="Times New Roman" w:hAnsi="Candara" w:cs="Calibri"/>
          <w:i/>
          <w:iCs/>
          <w:color w:val="000000"/>
          <w:lang w:eastAsia="en-ID"/>
        </w:rPr>
        <w:t>s</w:t>
      </w:r>
      <w:r w:rsidR="00895D1B" w:rsidRPr="00C6243A">
        <w:rPr>
          <w:rFonts w:ascii="Candara" w:eastAsia="Times New Roman" w:hAnsi="Candara" w:cs="Calibri"/>
          <w:i/>
          <w:iCs/>
          <w:color w:val="000000"/>
          <w:lang w:eastAsia="en-ID"/>
        </w:rPr>
        <w:t xml:space="preserve"> the bankrupt debtor to request all data, information</w:t>
      </w:r>
      <w:r w:rsidR="00895D1B">
        <w:rPr>
          <w:rFonts w:ascii="Candara" w:eastAsia="Times New Roman" w:hAnsi="Candara" w:cs="Calibri"/>
          <w:i/>
          <w:iCs/>
          <w:color w:val="000000"/>
          <w:lang w:eastAsia="en-ID"/>
        </w:rPr>
        <w:t>,</w:t>
      </w:r>
      <w:r w:rsidR="00895D1B" w:rsidRPr="00C6243A">
        <w:rPr>
          <w:rFonts w:ascii="Candara" w:eastAsia="Times New Roman" w:hAnsi="Candara" w:cs="Calibri"/>
          <w:i/>
          <w:iCs/>
          <w:color w:val="000000"/>
          <w:lang w:eastAsia="en-ID"/>
        </w:rPr>
        <w:t xml:space="preserve"> and documents that show the debtor's asset</w:t>
      </w:r>
      <w:r w:rsidR="00657D07">
        <w:rPr>
          <w:rFonts w:ascii="Candara" w:eastAsia="Times New Roman" w:hAnsi="Candara" w:cs="Calibri"/>
          <w:i/>
          <w:iCs/>
          <w:color w:val="000000"/>
          <w:lang w:eastAsia="en-ID"/>
        </w:rPr>
        <w:t xml:space="preserve"> </w:t>
      </w:r>
      <w:r w:rsidR="00657D07" w:rsidRPr="00C6243A">
        <w:rPr>
          <w:rFonts w:ascii="Candara" w:eastAsia="Times New Roman" w:hAnsi="Candara" w:cs="Calibri"/>
          <w:i/>
          <w:iCs/>
          <w:color w:val="000000"/>
          <w:lang w:eastAsia="en-ID"/>
        </w:rPr>
        <w:t>ownership</w:t>
      </w:r>
      <w:r w:rsidR="00895D1B" w:rsidRPr="00C6243A">
        <w:rPr>
          <w:rFonts w:ascii="Candara" w:eastAsia="Times New Roman" w:hAnsi="Candara" w:cs="Calibri"/>
          <w:i/>
          <w:iCs/>
          <w:color w:val="000000"/>
          <w:lang w:eastAsia="en-ID"/>
        </w:rPr>
        <w:t>,</w:t>
      </w:r>
      <w:r w:rsidR="00657D07">
        <w:rPr>
          <w:rFonts w:ascii="Candara" w:eastAsia="Times New Roman" w:hAnsi="Candara" w:cs="Calibri"/>
          <w:i/>
          <w:iCs/>
          <w:color w:val="000000"/>
          <w:lang w:eastAsia="en-ID"/>
        </w:rPr>
        <w:t xml:space="preserve"> </w:t>
      </w:r>
      <w:r w:rsidR="00895D1B" w:rsidRPr="00C6243A">
        <w:rPr>
          <w:rFonts w:ascii="Candara" w:eastAsia="Times New Roman" w:hAnsi="Candara" w:cs="Calibri"/>
          <w:i/>
          <w:iCs/>
          <w:color w:val="000000"/>
          <w:lang w:eastAsia="en-ID"/>
        </w:rPr>
        <w:t xml:space="preserve">whether </w:t>
      </w:r>
      <w:r w:rsidR="00895D1B">
        <w:rPr>
          <w:rFonts w:ascii="Candara" w:eastAsia="Times New Roman" w:hAnsi="Candara" w:cs="Calibri"/>
          <w:i/>
          <w:iCs/>
          <w:color w:val="000000"/>
          <w:lang w:eastAsia="en-ID"/>
        </w:rPr>
        <w:t xml:space="preserve">bound by property </w:t>
      </w:r>
      <w:r w:rsidR="00895D1B" w:rsidRPr="00C6243A">
        <w:rPr>
          <w:rFonts w:ascii="Candara" w:eastAsia="Times New Roman" w:hAnsi="Candara" w:cs="Calibri"/>
          <w:i/>
          <w:iCs/>
          <w:color w:val="000000"/>
          <w:lang w:eastAsia="en-ID"/>
        </w:rPr>
        <w:t xml:space="preserve">rights or not, whether </w:t>
      </w:r>
      <w:r w:rsidR="00895D1B">
        <w:rPr>
          <w:rFonts w:ascii="Candara" w:eastAsia="Times New Roman" w:hAnsi="Candara" w:cs="Calibri"/>
          <w:i/>
          <w:iCs/>
          <w:color w:val="000000"/>
          <w:lang w:eastAsia="en-ID"/>
        </w:rPr>
        <w:t xml:space="preserve">under the supervision of </w:t>
      </w:r>
      <w:r w:rsidR="00895D1B" w:rsidRPr="00C6243A">
        <w:rPr>
          <w:rFonts w:ascii="Candara" w:eastAsia="Times New Roman" w:hAnsi="Candara" w:cs="Calibri"/>
          <w:i/>
          <w:iCs/>
          <w:color w:val="000000"/>
          <w:lang w:eastAsia="en-ID"/>
        </w:rPr>
        <w:t>legal entities or individuals.</w:t>
      </w:r>
      <w:r w:rsidR="00895D1B">
        <w:rPr>
          <w:rFonts w:ascii="Candara" w:eastAsia="Times New Roman" w:hAnsi="Candara" w:cs="Calibri"/>
          <w:i/>
          <w:iCs/>
          <w:color w:val="000000"/>
          <w:lang w:eastAsia="en-ID"/>
        </w:rPr>
        <w:t xml:space="preserve"> He then creates </w:t>
      </w:r>
      <w:r w:rsidR="00895D1B" w:rsidRPr="00C6243A">
        <w:rPr>
          <w:rFonts w:ascii="Candara" w:eastAsia="Times New Roman" w:hAnsi="Candara" w:cs="Calibri"/>
          <w:i/>
          <w:iCs/>
          <w:color w:val="000000"/>
          <w:lang w:eastAsia="en-ID"/>
        </w:rPr>
        <w:t xml:space="preserve">a list of </w:t>
      </w:r>
      <w:r w:rsidR="00895D1B">
        <w:rPr>
          <w:rFonts w:ascii="Candara" w:eastAsia="Times New Roman" w:hAnsi="Candara" w:cs="Calibri"/>
          <w:i/>
          <w:iCs/>
          <w:color w:val="000000"/>
          <w:lang w:eastAsia="en-ID"/>
        </w:rPr>
        <w:t xml:space="preserve">the </w:t>
      </w:r>
      <w:r w:rsidR="00895D1B" w:rsidRPr="00C6243A">
        <w:rPr>
          <w:rFonts w:ascii="Candara" w:eastAsia="Times New Roman" w:hAnsi="Candara" w:cs="Calibri"/>
          <w:i/>
          <w:iCs/>
          <w:color w:val="000000"/>
          <w:lang w:eastAsia="en-ID"/>
        </w:rPr>
        <w:t>bankrupt</w:t>
      </w:r>
      <w:r w:rsidR="00895D1B">
        <w:rPr>
          <w:rFonts w:ascii="Candara" w:eastAsia="Times New Roman" w:hAnsi="Candara" w:cs="Calibri"/>
          <w:i/>
          <w:iCs/>
          <w:color w:val="000000"/>
          <w:lang w:eastAsia="en-ID"/>
        </w:rPr>
        <w:t>cy</w:t>
      </w:r>
      <w:r w:rsidR="00895D1B" w:rsidRPr="00C6243A">
        <w:rPr>
          <w:rFonts w:ascii="Candara" w:eastAsia="Times New Roman" w:hAnsi="Candara" w:cs="Calibri"/>
          <w:i/>
          <w:iCs/>
          <w:color w:val="000000"/>
          <w:lang w:eastAsia="en-ID"/>
        </w:rPr>
        <w:t xml:space="preserve"> assets </w:t>
      </w:r>
      <w:r w:rsidR="00895D1B">
        <w:rPr>
          <w:rFonts w:ascii="Candara" w:eastAsia="Times New Roman" w:hAnsi="Candara" w:cs="Calibri"/>
          <w:i/>
          <w:iCs/>
          <w:color w:val="000000"/>
          <w:lang w:eastAsia="en-ID"/>
        </w:rPr>
        <w:t>to</w:t>
      </w:r>
      <w:r w:rsidR="00657D07">
        <w:rPr>
          <w:rFonts w:ascii="Candara" w:eastAsia="Times New Roman" w:hAnsi="Candara" w:cs="Calibri"/>
          <w:i/>
          <w:iCs/>
          <w:color w:val="000000"/>
          <w:lang w:eastAsia="en-ID"/>
        </w:rPr>
        <w:t xml:space="preserve"> be</w:t>
      </w:r>
      <w:r w:rsidR="00895D1B">
        <w:rPr>
          <w:rFonts w:ascii="Candara" w:eastAsia="Times New Roman" w:hAnsi="Candara" w:cs="Calibri"/>
          <w:i/>
          <w:iCs/>
          <w:color w:val="000000"/>
          <w:lang w:eastAsia="en-ID"/>
        </w:rPr>
        <w:t xml:space="preserve"> submitted to </w:t>
      </w:r>
      <w:r w:rsidR="00895D1B" w:rsidRPr="00C6243A">
        <w:rPr>
          <w:rFonts w:ascii="Candara" w:eastAsia="Times New Roman" w:hAnsi="Candara" w:cs="Calibri"/>
          <w:i/>
          <w:iCs/>
          <w:color w:val="000000"/>
          <w:lang w:eastAsia="en-ID"/>
        </w:rPr>
        <w:t>the supervis</w:t>
      </w:r>
      <w:r w:rsidR="00895D1B">
        <w:rPr>
          <w:rFonts w:ascii="Candara" w:eastAsia="Times New Roman" w:hAnsi="Candara" w:cs="Calibri"/>
          <w:i/>
          <w:iCs/>
          <w:color w:val="000000"/>
          <w:lang w:eastAsia="en-ID"/>
        </w:rPr>
        <w:t>ing</w:t>
      </w:r>
      <w:r w:rsidR="00895D1B" w:rsidRPr="00C6243A">
        <w:rPr>
          <w:rFonts w:ascii="Candara" w:eastAsia="Times New Roman" w:hAnsi="Candara" w:cs="Calibri"/>
          <w:i/>
          <w:iCs/>
          <w:color w:val="000000"/>
          <w:lang w:eastAsia="en-ID"/>
        </w:rPr>
        <w:t xml:space="preserve"> judge</w:t>
      </w:r>
      <w:r w:rsidR="00895D1B">
        <w:rPr>
          <w:rFonts w:ascii="Candara" w:eastAsia="Times New Roman" w:hAnsi="Candara" w:cs="Calibri"/>
          <w:i/>
          <w:iCs/>
          <w:color w:val="000000"/>
          <w:lang w:eastAsia="en-ID"/>
        </w:rPr>
        <w:t xml:space="preserve"> for approval</w:t>
      </w:r>
      <w:r w:rsidR="00895D1B" w:rsidRPr="00C6243A">
        <w:rPr>
          <w:rFonts w:ascii="Candara" w:eastAsia="Times New Roman" w:hAnsi="Candara" w:cs="Calibri"/>
          <w:i/>
          <w:iCs/>
          <w:color w:val="000000"/>
          <w:lang w:eastAsia="en-ID"/>
        </w:rPr>
        <w:t>, conduct</w:t>
      </w:r>
      <w:r w:rsidR="00895D1B">
        <w:rPr>
          <w:rFonts w:ascii="Candara" w:eastAsia="Times New Roman" w:hAnsi="Candara" w:cs="Calibri"/>
          <w:i/>
          <w:iCs/>
          <w:color w:val="000000"/>
          <w:lang w:eastAsia="en-ID"/>
        </w:rPr>
        <w:t>s</w:t>
      </w:r>
      <w:r w:rsidR="00895D1B" w:rsidRPr="00C6243A">
        <w:rPr>
          <w:rFonts w:ascii="Candara" w:eastAsia="Times New Roman" w:hAnsi="Candara" w:cs="Calibri"/>
          <w:i/>
          <w:iCs/>
          <w:color w:val="000000"/>
          <w:lang w:eastAsia="en-ID"/>
        </w:rPr>
        <w:t xml:space="preserve"> creditor meetings and debt </w:t>
      </w:r>
      <w:r w:rsidR="00895D1B">
        <w:rPr>
          <w:rFonts w:ascii="Candara" w:eastAsia="Times New Roman" w:hAnsi="Candara" w:cs="Calibri"/>
          <w:i/>
          <w:iCs/>
          <w:color w:val="000000"/>
          <w:lang w:eastAsia="en-ID"/>
        </w:rPr>
        <w:t>validation</w:t>
      </w:r>
      <w:r w:rsidR="00895D1B" w:rsidRPr="00C6243A">
        <w:rPr>
          <w:rFonts w:ascii="Candara" w:eastAsia="Times New Roman" w:hAnsi="Candara" w:cs="Calibri"/>
          <w:i/>
          <w:iCs/>
          <w:color w:val="000000"/>
          <w:lang w:eastAsia="en-ID"/>
        </w:rPr>
        <w:t xml:space="preserve">, </w:t>
      </w:r>
      <w:r w:rsidR="00895D1B">
        <w:rPr>
          <w:rFonts w:ascii="Candara" w:eastAsia="Times New Roman" w:hAnsi="Candara" w:cs="Calibri"/>
          <w:i/>
          <w:iCs/>
          <w:color w:val="000000"/>
          <w:lang w:eastAsia="en-ID"/>
        </w:rPr>
        <w:t xml:space="preserve">makes a peace agreement </w:t>
      </w:r>
      <w:r w:rsidR="00895D1B" w:rsidRPr="00C6243A">
        <w:rPr>
          <w:rFonts w:ascii="Candara" w:eastAsia="Times New Roman" w:hAnsi="Candara" w:cs="Calibri"/>
          <w:i/>
          <w:iCs/>
          <w:color w:val="000000"/>
          <w:lang w:eastAsia="en-ID"/>
        </w:rPr>
        <w:t>if the debtor</w:t>
      </w:r>
      <w:r w:rsidR="00895D1B">
        <w:rPr>
          <w:rFonts w:ascii="Candara" w:eastAsia="Times New Roman" w:hAnsi="Candara" w:cs="Calibri"/>
          <w:i/>
          <w:iCs/>
          <w:color w:val="000000"/>
          <w:lang w:eastAsia="en-ID"/>
        </w:rPr>
        <w:t xml:space="preserve"> requests for it</w:t>
      </w:r>
      <w:r w:rsidR="00895D1B" w:rsidRPr="00C6243A">
        <w:rPr>
          <w:rFonts w:ascii="Candara" w:eastAsia="Times New Roman" w:hAnsi="Candara" w:cs="Calibri"/>
          <w:i/>
          <w:iCs/>
          <w:color w:val="000000"/>
          <w:lang w:eastAsia="en-ID"/>
        </w:rPr>
        <w:t>, make</w:t>
      </w:r>
      <w:r w:rsidR="00895D1B">
        <w:rPr>
          <w:rFonts w:ascii="Candara" w:eastAsia="Times New Roman" w:hAnsi="Candara" w:cs="Calibri"/>
          <w:i/>
          <w:iCs/>
          <w:color w:val="000000"/>
          <w:lang w:eastAsia="en-ID"/>
        </w:rPr>
        <w:t>s</w:t>
      </w:r>
      <w:r w:rsidR="00895D1B" w:rsidRPr="00C6243A">
        <w:rPr>
          <w:rFonts w:ascii="Candara" w:eastAsia="Times New Roman" w:hAnsi="Candara" w:cs="Calibri"/>
          <w:i/>
          <w:iCs/>
          <w:color w:val="000000"/>
          <w:lang w:eastAsia="en-ID"/>
        </w:rPr>
        <w:t xml:space="preserve"> a list of </w:t>
      </w:r>
      <w:r w:rsidR="00895D1B">
        <w:rPr>
          <w:rFonts w:ascii="Candara" w:eastAsia="Times New Roman" w:hAnsi="Candara" w:cs="Calibri"/>
          <w:i/>
          <w:iCs/>
          <w:color w:val="000000"/>
          <w:lang w:eastAsia="en-ID"/>
        </w:rPr>
        <w:t xml:space="preserve">acknowledged and </w:t>
      </w:r>
      <w:r w:rsidR="00895D1B" w:rsidRPr="00C6243A">
        <w:rPr>
          <w:rFonts w:ascii="Candara" w:eastAsia="Times New Roman" w:hAnsi="Candara" w:cs="Calibri"/>
          <w:i/>
          <w:iCs/>
          <w:color w:val="000000"/>
          <w:lang w:eastAsia="en-ID"/>
        </w:rPr>
        <w:t xml:space="preserve">temporarily </w:t>
      </w:r>
      <w:r w:rsidR="00895D1B">
        <w:rPr>
          <w:rFonts w:ascii="Candara" w:eastAsia="Times New Roman" w:hAnsi="Candara" w:cs="Calibri"/>
          <w:i/>
          <w:iCs/>
          <w:color w:val="000000"/>
          <w:lang w:eastAsia="en-ID"/>
        </w:rPr>
        <w:t xml:space="preserve">acknowledged </w:t>
      </w:r>
      <w:r w:rsidR="00895D1B" w:rsidRPr="00C6243A">
        <w:rPr>
          <w:rFonts w:ascii="Candara" w:eastAsia="Times New Roman" w:hAnsi="Candara" w:cs="Calibri"/>
          <w:i/>
          <w:iCs/>
          <w:color w:val="000000"/>
          <w:lang w:eastAsia="en-ID"/>
        </w:rPr>
        <w:t>receivables</w:t>
      </w:r>
      <w:r w:rsidRPr="00424EB1">
        <w:rPr>
          <w:rFonts w:ascii="Candara" w:hAnsi="Candara" w:cstheme="minorHAnsi"/>
          <w:i/>
          <w:iCs/>
        </w:rPr>
        <w:t>.”</w:t>
      </w:r>
      <w:r w:rsidRPr="00424EB1">
        <w:rPr>
          <w:rFonts w:ascii="Candara" w:hAnsi="Candara" w:cstheme="minorHAnsi"/>
        </w:rPr>
        <w:t xml:space="preserve"> (Informan</w:t>
      </w:r>
      <w:r w:rsidR="00895D1B">
        <w:rPr>
          <w:rFonts w:ascii="Candara" w:hAnsi="Candara" w:cstheme="minorHAnsi"/>
        </w:rPr>
        <w:t>t</w:t>
      </w:r>
      <w:r w:rsidRPr="00424EB1">
        <w:rPr>
          <w:rFonts w:ascii="Candara" w:hAnsi="Candara" w:cstheme="minorHAnsi"/>
        </w:rPr>
        <w:t xml:space="preserve"> E) </w:t>
      </w:r>
    </w:p>
    <w:p w14:paraId="2AF47419" w14:textId="7439FDF8" w:rsidR="003F6965" w:rsidRPr="00424EB1" w:rsidRDefault="003F6965" w:rsidP="00102FB5">
      <w:pPr>
        <w:pStyle w:val="ListParagraph"/>
        <w:spacing w:before="120" w:after="0" w:line="240" w:lineRule="auto"/>
        <w:ind w:left="360"/>
        <w:contextualSpacing w:val="0"/>
        <w:jc w:val="both"/>
        <w:rPr>
          <w:rFonts w:ascii="Candara" w:hAnsi="Candara" w:cstheme="minorHAnsi"/>
        </w:rPr>
      </w:pPr>
      <w:r w:rsidRPr="00424EB1">
        <w:rPr>
          <w:rFonts w:ascii="Candara" w:hAnsi="Candara" w:cstheme="minorHAnsi"/>
          <w:i/>
          <w:iCs/>
        </w:rPr>
        <w:t>“</w:t>
      </w:r>
      <w:r w:rsidR="005164EB" w:rsidRPr="00C6243A">
        <w:rPr>
          <w:rFonts w:ascii="Candara" w:eastAsia="Times New Roman" w:hAnsi="Candara" w:cs="Calibri"/>
          <w:i/>
          <w:iCs/>
          <w:color w:val="000000"/>
          <w:lang w:eastAsia="en-ID"/>
        </w:rPr>
        <w:t>The settlement of bankrupt</w:t>
      </w:r>
      <w:r w:rsidR="005164EB">
        <w:rPr>
          <w:rFonts w:ascii="Candara" w:eastAsia="Times New Roman" w:hAnsi="Candara" w:cs="Calibri"/>
          <w:i/>
          <w:iCs/>
          <w:color w:val="000000"/>
          <w:lang w:eastAsia="en-ID"/>
        </w:rPr>
        <w:t>cy</w:t>
      </w:r>
      <w:r w:rsidR="005164EB" w:rsidRPr="00C6243A">
        <w:rPr>
          <w:rFonts w:ascii="Candara" w:eastAsia="Times New Roman" w:hAnsi="Candara" w:cs="Calibri"/>
          <w:i/>
          <w:iCs/>
          <w:color w:val="000000"/>
          <w:lang w:eastAsia="en-ID"/>
        </w:rPr>
        <w:t xml:space="preserve"> assets begins after the </w:t>
      </w:r>
      <w:r w:rsidR="005164EB">
        <w:rPr>
          <w:rFonts w:ascii="Candara" w:eastAsia="Times New Roman" w:hAnsi="Candara" w:cs="Calibri"/>
          <w:i/>
          <w:iCs/>
          <w:color w:val="000000"/>
          <w:lang w:eastAsia="en-ID"/>
        </w:rPr>
        <w:t xml:space="preserve">debtor is </w:t>
      </w:r>
      <w:r w:rsidR="005164EB" w:rsidRPr="00C6243A">
        <w:rPr>
          <w:rFonts w:ascii="Candara" w:eastAsia="Times New Roman" w:hAnsi="Candara" w:cs="Calibri"/>
          <w:i/>
          <w:iCs/>
          <w:color w:val="000000"/>
          <w:lang w:eastAsia="en-ID"/>
        </w:rPr>
        <w:t xml:space="preserve">unable to pay and the business is </w:t>
      </w:r>
      <w:r w:rsidR="005164EB">
        <w:rPr>
          <w:rFonts w:ascii="Candara" w:eastAsia="Times New Roman" w:hAnsi="Candara" w:cs="Calibri"/>
          <w:i/>
          <w:iCs/>
          <w:color w:val="000000"/>
          <w:lang w:eastAsia="en-ID"/>
        </w:rPr>
        <w:t>not continued</w:t>
      </w:r>
      <w:r w:rsidR="005164EB" w:rsidRPr="00C6243A">
        <w:rPr>
          <w:rFonts w:ascii="Candara" w:eastAsia="Times New Roman" w:hAnsi="Candara" w:cs="Calibri"/>
          <w:i/>
          <w:iCs/>
          <w:color w:val="000000"/>
          <w:lang w:eastAsia="en-ID"/>
        </w:rPr>
        <w:t>.</w:t>
      </w:r>
      <w:r w:rsidR="005164EB">
        <w:rPr>
          <w:rFonts w:ascii="Candara" w:eastAsia="Times New Roman" w:hAnsi="Candara" w:cs="Calibri"/>
          <w:i/>
          <w:iCs/>
          <w:color w:val="000000"/>
          <w:lang w:eastAsia="en-ID"/>
        </w:rPr>
        <w:t xml:space="preserve"> </w:t>
      </w:r>
      <w:r w:rsidR="005164EB" w:rsidRPr="00C6243A">
        <w:rPr>
          <w:rFonts w:ascii="Candara" w:eastAsia="Times New Roman" w:hAnsi="Candara" w:cs="Calibri"/>
          <w:i/>
          <w:iCs/>
          <w:color w:val="000000"/>
          <w:lang w:eastAsia="en-ID"/>
        </w:rPr>
        <w:t xml:space="preserve">The curator submits an application for </w:t>
      </w:r>
      <w:r w:rsidR="005164EB">
        <w:rPr>
          <w:rFonts w:ascii="Candara" w:eastAsia="Times New Roman" w:hAnsi="Candara" w:cs="Calibri"/>
          <w:i/>
          <w:iCs/>
          <w:color w:val="000000"/>
          <w:lang w:eastAsia="en-ID"/>
        </w:rPr>
        <w:t xml:space="preserve">valuing </w:t>
      </w:r>
      <w:r w:rsidR="005164EB" w:rsidRPr="00C6243A">
        <w:rPr>
          <w:rFonts w:ascii="Candara" w:eastAsia="Times New Roman" w:hAnsi="Candara" w:cs="Calibri"/>
          <w:i/>
          <w:iCs/>
          <w:color w:val="000000"/>
          <w:lang w:eastAsia="en-ID"/>
        </w:rPr>
        <w:t xml:space="preserve">the bankruptcy </w:t>
      </w:r>
      <w:r w:rsidR="005164EB">
        <w:rPr>
          <w:rFonts w:ascii="Candara" w:eastAsia="Times New Roman" w:hAnsi="Candara" w:cs="Calibri"/>
          <w:i/>
          <w:iCs/>
          <w:color w:val="000000"/>
          <w:lang w:eastAsia="en-ID"/>
        </w:rPr>
        <w:t xml:space="preserve">assets </w:t>
      </w:r>
      <w:r w:rsidR="005164EB" w:rsidRPr="00C6243A">
        <w:rPr>
          <w:rFonts w:ascii="Candara" w:eastAsia="Times New Roman" w:hAnsi="Candara" w:cs="Calibri"/>
          <w:i/>
          <w:iCs/>
          <w:color w:val="000000"/>
          <w:lang w:eastAsia="en-ID"/>
        </w:rPr>
        <w:t xml:space="preserve">to KJPP which </w:t>
      </w:r>
      <w:r w:rsidR="005164EB">
        <w:rPr>
          <w:rFonts w:ascii="Candara" w:eastAsia="Times New Roman" w:hAnsi="Candara" w:cs="Calibri"/>
          <w:i/>
          <w:iCs/>
          <w:color w:val="000000"/>
          <w:lang w:eastAsia="en-ID"/>
        </w:rPr>
        <w:t xml:space="preserve">previously have been </w:t>
      </w:r>
      <w:r w:rsidR="005164EB" w:rsidRPr="00C6243A">
        <w:rPr>
          <w:rFonts w:ascii="Candara" w:eastAsia="Times New Roman" w:hAnsi="Candara" w:cs="Calibri"/>
          <w:i/>
          <w:iCs/>
          <w:color w:val="000000"/>
          <w:lang w:eastAsia="en-ID"/>
        </w:rPr>
        <w:t>sworn in by the panel of judges who decide the case</w:t>
      </w:r>
      <w:r w:rsidR="005164EB">
        <w:rPr>
          <w:rFonts w:ascii="Candara" w:eastAsia="Times New Roman" w:hAnsi="Candara" w:cs="Calibri"/>
          <w:i/>
          <w:iCs/>
          <w:color w:val="000000"/>
          <w:lang w:eastAsia="en-ID"/>
        </w:rPr>
        <w:t>.</w:t>
      </w:r>
      <w:r w:rsidR="005164EB" w:rsidRPr="00C6243A">
        <w:rPr>
          <w:rFonts w:ascii="Candara" w:eastAsia="Times New Roman" w:hAnsi="Candara" w:cs="Calibri"/>
          <w:i/>
          <w:iCs/>
          <w:color w:val="000000"/>
          <w:lang w:eastAsia="en-ID"/>
        </w:rPr>
        <w:t xml:space="preserve"> </w:t>
      </w:r>
      <w:r w:rsidR="005164EB">
        <w:rPr>
          <w:rFonts w:ascii="Candara" w:eastAsia="Times New Roman" w:hAnsi="Candara" w:cs="Calibri"/>
          <w:i/>
          <w:iCs/>
          <w:color w:val="000000"/>
          <w:lang w:eastAsia="en-ID"/>
        </w:rPr>
        <w:t>T</w:t>
      </w:r>
      <w:r w:rsidR="005164EB" w:rsidRPr="00C6243A">
        <w:rPr>
          <w:rFonts w:ascii="Candara" w:eastAsia="Times New Roman" w:hAnsi="Candara" w:cs="Calibri"/>
          <w:i/>
          <w:iCs/>
          <w:color w:val="000000"/>
          <w:lang w:eastAsia="en-ID"/>
        </w:rPr>
        <w:t>he results of the KJPP assessment are used as the basis for submitting an application for auction to the KPKNL</w:t>
      </w:r>
      <w:r w:rsidR="005164EB">
        <w:rPr>
          <w:rFonts w:ascii="Candara" w:eastAsia="Times New Roman" w:hAnsi="Candara" w:cs="Calibri"/>
          <w:i/>
          <w:iCs/>
          <w:color w:val="000000"/>
          <w:lang w:eastAsia="en-ID"/>
        </w:rPr>
        <w:t>.</w:t>
      </w:r>
      <w:r w:rsidR="005164EB" w:rsidRPr="00C6243A">
        <w:rPr>
          <w:rFonts w:ascii="Candara" w:eastAsia="Times New Roman" w:hAnsi="Candara" w:cs="Calibri"/>
          <w:i/>
          <w:iCs/>
          <w:color w:val="000000"/>
          <w:lang w:eastAsia="en-ID"/>
        </w:rPr>
        <w:t xml:space="preserve"> </w:t>
      </w:r>
      <w:r w:rsidR="005164EB">
        <w:rPr>
          <w:rFonts w:ascii="Candara" w:eastAsia="Times New Roman" w:hAnsi="Candara" w:cs="Calibri"/>
          <w:i/>
          <w:iCs/>
          <w:color w:val="000000"/>
          <w:lang w:eastAsia="en-ID"/>
        </w:rPr>
        <w:t>I</w:t>
      </w:r>
      <w:r w:rsidR="005164EB" w:rsidRPr="00C6243A">
        <w:rPr>
          <w:rFonts w:ascii="Candara" w:eastAsia="Times New Roman" w:hAnsi="Candara" w:cs="Calibri"/>
          <w:i/>
          <w:iCs/>
          <w:color w:val="000000"/>
          <w:lang w:eastAsia="en-ID"/>
        </w:rPr>
        <w:t xml:space="preserve">f after </w:t>
      </w:r>
      <w:r w:rsidR="005164EB">
        <w:rPr>
          <w:rFonts w:ascii="Candara" w:eastAsia="Times New Roman" w:hAnsi="Candara" w:cs="Calibri"/>
          <w:i/>
          <w:iCs/>
          <w:color w:val="000000"/>
          <w:lang w:eastAsia="en-ID"/>
        </w:rPr>
        <w:t xml:space="preserve">two </w:t>
      </w:r>
      <w:r w:rsidR="005164EB" w:rsidRPr="00C6243A">
        <w:rPr>
          <w:rFonts w:ascii="Candara" w:eastAsia="Times New Roman" w:hAnsi="Candara" w:cs="Calibri"/>
          <w:i/>
          <w:iCs/>
          <w:color w:val="000000"/>
          <w:lang w:eastAsia="en-ID"/>
        </w:rPr>
        <w:t xml:space="preserve">auctions </w:t>
      </w:r>
      <w:r w:rsidR="005164EB">
        <w:rPr>
          <w:rFonts w:ascii="Candara" w:eastAsia="Times New Roman" w:hAnsi="Candara" w:cs="Calibri"/>
          <w:i/>
          <w:iCs/>
          <w:color w:val="000000"/>
          <w:lang w:eastAsia="en-ID"/>
        </w:rPr>
        <w:t xml:space="preserve">the assets are </w:t>
      </w:r>
      <w:r w:rsidR="005164EB" w:rsidRPr="00C6243A">
        <w:rPr>
          <w:rFonts w:ascii="Candara" w:eastAsia="Times New Roman" w:hAnsi="Candara" w:cs="Calibri"/>
          <w:i/>
          <w:iCs/>
          <w:color w:val="000000"/>
          <w:lang w:eastAsia="en-ID"/>
        </w:rPr>
        <w:t xml:space="preserve">not sold, </w:t>
      </w:r>
      <w:r w:rsidR="005164EB">
        <w:rPr>
          <w:rFonts w:ascii="Candara" w:eastAsia="Times New Roman" w:hAnsi="Candara" w:cs="Calibri"/>
          <w:i/>
          <w:iCs/>
          <w:color w:val="000000"/>
          <w:lang w:eastAsia="en-ID"/>
        </w:rPr>
        <w:t xml:space="preserve">the assets </w:t>
      </w:r>
      <w:r w:rsidR="005164EB" w:rsidRPr="00C6243A">
        <w:rPr>
          <w:rFonts w:ascii="Candara" w:eastAsia="Times New Roman" w:hAnsi="Candara" w:cs="Calibri"/>
          <w:i/>
          <w:iCs/>
          <w:color w:val="000000"/>
          <w:lang w:eastAsia="en-ID"/>
        </w:rPr>
        <w:t xml:space="preserve">will </w:t>
      </w:r>
      <w:r w:rsidR="005164EB">
        <w:rPr>
          <w:rFonts w:ascii="Candara" w:eastAsia="Times New Roman" w:hAnsi="Candara" w:cs="Calibri"/>
          <w:i/>
          <w:iCs/>
          <w:color w:val="000000"/>
          <w:lang w:eastAsia="en-ID"/>
        </w:rPr>
        <w:t xml:space="preserve">then </w:t>
      </w:r>
      <w:r w:rsidR="005164EB" w:rsidRPr="00C6243A">
        <w:rPr>
          <w:rFonts w:ascii="Candara" w:eastAsia="Times New Roman" w:hAnsi="Candara" w:cs="Calibri"/>
          <w:i/>
          <w:iCs/>
          <w:color w:val="000000"/>
          <w:lang w:eastAsia="en-ID"/>
        </w:rPr>
        <w:t xml:space="preserve">be </w:t>
      </w:r>
      <w:r w:rsidR="005164EB">
        <w:rPr>
          <w:rFonts w:ascii="Candara" w:eastAsia="Times New Roman" w:hAnsi="Candara" w:cs="Calibri"/>
          <w:i/>
          <w:iCs/>
          <w:color w:val="000000"/>
          <w:lang w:eastAsia="en-ID"/>
        </w:rPr>
        <w:t xml:space="preserve">sold through a private sale </w:t>
      </w:r>
      <w:r w:rsidR="005164EB" w:rsidRPr="00C6243A">
        <w:rPr>
          <w:rFonts w:ascii="Candara" w:eastAsia="Times New Roman" w:hAnsi="Candara" w:cs="Calibri"/>
          <w:i/>
          <w:iCs/>
          <w:color w:val="000000"/>
          <w:lang w:eastAsia="en-ID"/>
        </w:rPr>
        <w:t>after obtaining approval from the supervis</w:t>
      </w:r>
      <w:r w:rsidR="005164EB">
        <w:rPr>
          <w:rFonts w:ascii="Candara" w:eastAsia="Times New Roman" w:hAnsi="Candara" w:cs="Calibri"/>
          <w:i/>
          <w:iCs/>
          <w:color w:val="000000"/>
          <w:lang w:eastAsia="en-ID"/>
        </w:rPr>
        <w:t>ing</w:t>
      </w:r>
      <w:r w:rsidR="005164EB" w:rsidRPr="00C6243A">
        <w:rPr>
          <w:rFonts w:ascii="Candara" w:eastAsia="Times New Roman" w:hAnsi="Candara" w:cs="Calibri"/>
          <w:i/>
          <w:iCs/>
          <w:color w:val="000000"/>
          <w:lang w:eastAsia="en-ID"/>
        </w:rPr>
        <w:t xml:space="preserve"> judge.</w:t>
      </w:r>
      <w:r w:rsidR="005164EB">
        <w:rPr>
          <w:rFonts w:ascii="Candara" w:eastAsia="Times New Roman" w:hAnsi="Candara" w:cs="Calibri"/>
          <w:i/>
          <w:iCs/>
          <w:color w:val="000000"/>
          <w:lang w:eastAsia="en-ID"/>
        </w:rPr>
        <w:t xml:space="preserve"> </w:t>
      </w:r>
      <w:r w:rsidR="005164EB" w:rsidRPr="00C6243A">
        <w:rPr>
          <w:rFonts w:ascii="Candara" w:eastAsia="Times New Roman" w:hAnsi="Candara" w:cs="Calibri"/>
          <w:i/>
          <w:iCs/>
          <w:color w:val="000000"/>
          <w:lang w:eastAsia="en-ID"/>
        </w:rPr>
        <w:t xml:space="preserve">The results of the sale are </w:t>
      </w:r>
      <w:r w:rsidR="005164EB">
        <w:rPr>
          <w:rFonts w:ascii="Candara" w:eastAsia="Times New Roman" w:hAnsi="Candara" w:cs="Calibri"/>
          <w:i/>
          <w:iCs/>
          <w:color w:val="000000"/>
          <w:lang w:eastAsia="en-ID"/>
        </w:rPr>
        <w:t xml:space="preserve">announced </w:t>
      </w:r>
      <w:r w:rsidR="005164EB" w:rsidRPr="00C6243A">
        <w:rPr>
          <w:rFonts w:ascii="Candara" w:eastAsia="Times New Roman" w:hAnsi="Candara" w:cs="Calibri"/>
          <w:i/>
          <w:iCs/>
          <w:color w:val="000000"/>
          <w:lang w:eastAsia="en-ID"/>
        </w:rPr>
        <w:t>openly through the clerk</w:t>
      </w:r>
      <w:r w:rsidR="005164EB">
        <w:rPr>
          <w:rFonts w:ascii="Candara" w:eastAsia="Times New Roman" w:hAnsi="Candara" w:cs="Calibri"/>
          <w:i/>
          <w:iCs/>
          <w:color w:val="000000"/>
          <w:lang w:eastAsia="en-ID"/>
        </w:rPr>
        <w:t>ship</w:t>
      </w:r>
      <w:r w:rsidR="005164EB" w:rsidRPr="00C6243A">
        <w:rPr>
          <w:rFonts w:ascii="Candara" w:eastAsia="Times New Roman" w:hAnsi="Candara" w:cs="Calibri"/>
          <w:i/>
          <w:iCs/>
          <w:color w:val="000000"/>
          <w:lang w:eastAsia="en-ID"/>
        </w:rPr>
        <w:t xml:space="preserve"> of the commercial court, and then </w:t>
      </w:r>
      <w:r w:rsidR="005164EB">
        <w:rPr>
          <w:rFonts w:ascii="Candara" w:eastAsia="Times New Roman" w:hAnsi="Candara" w:cs="Calibri"/>
          <w:i/>
          <w:iCs/>
          <w:color w:val="000000"/>
          <w:lang w:eastAsia="en-ID"/>
        </w:rPr>
        <w:t xml:space="preserve">based on </w:t>
      </w:r>
      <w:r w:rsidR="005164EB" w:rsidRPr="00C6243A">
        <w:rPr>
          <w:rFonts w:ascii="Candara" w:eastAsia="Times New Roman" w:hAnsi="Candara" w:cs="Calibri"/>
          <w:i/>
          <w:iCs/>
          <w:color w:val="000000"/>
          <w:lang w:eastAsia="en-ID"/>
        </w:rPr>
        <w:t>the order of the supervis</w:t>
      </w:r>
      <w:r w:rsidR="005164EB">
        <w:rPr>
          <w:rFonts w:ascii="Candara" w:eastAsia="Times New Roman" w:hAnsi="Candara" w:cs="Calibri"/>
          <w:i/>
          <w:iCs/>
          <w:color w:val="000000"/>
          <w:lang w:eastAsia="en-ID"/>
        </w:rPr>
        <w:t>ing</w:t>
      </w:r>
      <w:r w:rsidR="005164EB" w:rsidRPr="00C6243A">
        <w:rPr>
          <w:rFonts w:ascii="Candara" w:eastAsia="Times New Roman" w:hAnsi="Candara" w:cs="Calibri"/>
          <w:i/>
          <w:iCs/>
          <w:color w:val="000000"/>
          <w:lang w:eastAsia="en-ID"/>
        </w:rPr>
        <w:t xml:space="preserve"> judge, the first, second</w:t>
      </w:r>
      <w:r w:rsidR="005164EB">
        <w:rPr>
          <w:rFonts w:ascii="Candara" w:eastAsia="Times New Roman" w:hAnsi="Candara" w:cs="Calibri"/>
          <w:i/>
          <w:iCs/>
          <w:color w:val="000000"/>
          <w:lang w:eastAsia="en-ID"/>
        </w:rPr>
        <w:t>,</w:t>
      </w:r>
      <w:r w:rsidR="005164EB" w:rsidRPr="00C6243A">
        <w:rPr>
          <w:rFonts w:ascii="Candara" w:eastAsia="Times New Roman" w:hAnsi="Candara" w:cs="Calibri"/>
          <w:i/>
          <w:iCs/>
          <w:color w:val="000000"/>
          <w:lang w:eastAsia="en-ID"/>
        </w:rPr>
        <w:t xml:space="preserve"> and so on </w:t>
      </w:r>
      <w:r w:rsidR="005164EB">
        <w:rPr>
          <w:rFonts w:ascii="Candara" w:eastAsia="Times New Roman" w:hAnsi="Candara" w:cs="Calibri"/>
          <w:i/>
          <w:iCs/>
          <w:color w:val="000000"/>
          <w:lang w:eastAsia="en-ID"/>
        </w:rPr>
        <w:t xml:space="preserve">stage of </w:t>
      </w:r>
      <w:r w:rsidR="005164EB" w:rsidRPr="00C6243A">
        <w:rPr>
          <w:rFonts w:ascii="Candara" w:eastAsia="Times New Roman" w:hAnsi="Candara" w:cs="Calibri"/>
          <w:i/>
          <w:iCs/>
          <w:color w:val="000000"/>
          <w:lang w:eastAsia="en-ID"/>
        </w:rPr>
        <w:t xml:space="preserve">distribution </w:t>
      </w:r>
      <w:r w:rsidR="005164EB">
        <w:rPr>
          <w:rFonts w:ascii="Candara" w:eastAsia="Times New Roman" w:hAnsi="Candara" w:cs="Calibri"/>
          <w:i/>
          <w:iCs/>
          <w:color w:val="000000"/>
          <w:lang w:eastAsia="en-ID"/>
        </w:rPr>
        <w:t xml:space="preserve">are </w:t>
      </w:r>
      <w:r w:rsidR="005164EB" w:rsidRPr="00C6243A">
        <w:rPr>
          <w:rFonts w:ascii="Candara" w:eastAsia="Times New Roman" w:hAnsi="Candara" w:cs="Calibri"/>
          <w:i/>
          <w:iCs/>
          <w:color w:val="000000"/>
          <w:lang w:eastAsia="en-ID"/>
        </w:rPr>
        <w:t xml:space="preserve">carried out if the </w:t>
      </w:r>
      <w:r w:rsidR="005164EB">
        <w:rPr>
          <w:rFonts w:ascii="Candara" w:eastAsia="Times New Roman" w:hAnsi="Candara" w:cs="Calibri"/>
          <w:i/>
          <w:iCs/>
          <w:color w:val="000000"/>
          <w:lang w:eastAsia="en-ID"/>
        </w:rPr>
        <w:t xml:space="preserve">assets are sold through a partial asset </w:t>
      </w:r>
      <w:r w:rsidR="005164EB" w:rsidRPr="00C6243A">
        <w:rPr>
          <w:rFonts w:ascii="Candara" w:eastAsia="Times New Roman" w:hAnsi="Candara" w:cs="Calibri"/>
          <w:i/>
          <w:iCs/>
          <w:color w:val="000000"/>
          <w:lang w:eastAsia="en-ID"/>
        </w:rPr>
        <w:t xml:space="preserve">sale. After all </w:t>
      </w:r>
      <w:r w:rsidR="005164EB">
        <w:rPr>
          <w:rFonts w:ascii="Candara" w:eastAsia="Times New Roman" w:hAnsi="Candara" w:cs="Calibri"/>
          <w:i/>
          <w:iCs/>
          <w:color w:val="000000"/>
          <w:lang w:eastAsia="en-ID"/>
        </w:rPr>
        <w:t xml:space="preserve">the </w:t>
      </w:r>
      <w:r w:rsidR="005164EB" w:rsidRPr="00C6243A">
        <w:rPr>
          <w:rFonts w:ascii="Candara" w:eastAsia="Times New Roman" w:hAnsi="Candara" w:cs="Calibri"/>
          <w:i/>
          <w:iCs/>
          <w:color w:val="000000"/>
          <w:lang w:eastAsia="en-ID"/>
        </w:rPr>
        <w:t xml:space="preserve">assets are sold and </w:t>
      </w:r>
      <w:r w:rsidR="005164EB">
        <w:rPr>
          <w:rFonts w:ascii="Candara" w:eastAsia="Times New Roman" w:hAnsi="Candara" w:cs="Calibri"/>
          <w:i/>
          <w:iCs/>
          <w:color w:val="000000"/>
          <w:lang w:eastAsia="en-ID"/>
        </w:rPr>
        <w:t xml:space="preserve">distributed, </w:t>
      </w:r>
      <w:r w:rsidR="005164EB" w:rsidRPr="00C6243A">
        <w:rPr>
          <w:rFonts w:ascii="Candara" w:eastAsia="Times New Roman" w:hAnsi="Candara" w:cs="Calibri"/>
          <w:i/>
          <w:iCs/>
          <w:color w:val="000000"/>
          <w:lang w:eastAsia="en-ID"/>
        </w:rPr>
        <w:t xml:space="preserve">and </w:t>
      </w:r>
      <w:r w:rsidR="005164EB">
        <w:rPr>
          <w:rFonts w:ascii="Candara" w:eastAsia="Times New Roman" w:hAnsi="Candara" w:cs="Calibri"/>
          <w:i/>
          <w:iCs/>
          <w:color w:val="000000"/>
          <w:lang w:eastAsia="en-ID"/>
        </w:rPr>
        <w:t xml:space="preserve">the </w:t>
      </w:r>
      <w:r w:rsidR="005164EB" w:rsidRPr="00C6243A">
        <w:rPr>
          <w:rFonts w:ascii="Candara" w:eastAsia="Times New Roman" w:hAnsi="Candara" w:cs="Calibri"/>
          <w:i/>
          <w:iCs/>
          <w:color w:val="000000"/>
          <w:lang w:eastAsia="en-ID"/>
        </w:rPr>
        <w:t xml:space="preserve">bankruptcy services and bankruptcy fees are paid, and if there are no more claims from other parties, the bankruptcy is </w:t>
      </w:r>
      <w:r w:rsidR="005164EB">
        <w:rPr>
          <w:rFonts w:ascii="Candara" w:eastAsia="Times New Roman" w:hAnsi="Candara" w:cs="Calibri"/>
          <w:i/>
          <w:iCs/>
          <w:color w:val="000000"/>
          <w:lang w:eastAsia="en-ID"/>
        </w:rPr>
        <w:t>then discharged</w:t>
      </w:r>
      <w:r w:rsidR="005164EB" w:rsidRPr="00C6243A">
        <w:rPr>
          <w:rFonts w:ascii="Candara" w:eastAsia="Times New Roman" w:hAnsi="Candara" w:cs="Calibri"/>
          <w:i/>
          <w:iCs/>
          <w:color w:val="000000"/>
          <w:lang w:eastAsia="en-ID"/>
        </w:rPr>
        <w:t>, followed by rehabilitation</w:t>
      </w:r>
      <w:r w:rsidRPr="00424EB1">
        <w:rPr>
          <w:rFonts w:ascii="Candara" w:hAnsi="Candara" w:cstheme="minorHAnsi"/>
          <w:i/>
          <w:iCs/>
        </w:rPr>
        <w:t>.”</w:t>
      </w:r>
      <w:r w:rsidRPr="00424EB1">
        <w:rPr>
          <w:rFonts w:ascii="Candara" w:hAnsi="Candara" w:cstheme="minorHAnsi"/>
        </w:rPr>
        <w:t xml:space="preserve"> (Informan</w:t>
      </w:r>
      <w:r w:rsidR="005164EB">
        <w:rPr>
          <w:rFonts w:ascii="Candara" w:hAnsi="Candara" w:cstheme="minorHAnsi"/>
        </w:rPr>
        <w:t>t</w:t>
      </w:r>
      <w:r w:rsidRPr="00424EB1">
        <w:rPr>
          <w:rFonts w:ascii="Candara" w:hAnsi="Candara" w:cstheme="minorHAnsi"/>
        </w:rPr>
        <w:t xml:space="preserve"> H)</w:t>
      </w:r>
    </w:p>
    <w:p w14:paraId="1583C4A6" w14:textId="37FE3A99" w:rsidR="003F6965" w:rsidRDefault="00125431" w:rsidP="00BD3624">
      <w:pPr>
        <w:autoSpaceDE w:val="0"/>
        <w:autoSpaceDN w:val="0"/>
        <w:adjustRightInd w:val="0"/>
        <w:spacing w:before="120" w:after="0" w:line="240" w:lineRule="auto"/>
        <w:ind w:firstLine="360"/>
        <w:jc w:val="both"/>
        <w:rPr>
          <w:rFonts w:ascii="Candara" w:hAnsi="Candara" w:cs="Arial"/>
        </w:rPr>
      </w:pPr>
      <w:r w:rsidRPr="00C6243A">
        <w:rPr>
          <w:rFonts w:ascii="Candara" w:eastAsia="Times New Roman" w:hAnsi="Candara" w:cs="Calibri"/>
          <w:color w:val="000000"/>
          <w:lang w:eastAsia="en-ID"/>
        </w:rPr>
        <w:t xml:space="preserve">Table 5 and Table 6 show the responses from each </w:t>
      </w:r>
      <w:r>
        <w:rPr>
          <w:rFonts w:ascii="Candara" w:eastAsia="Times New Roman" w:hAnsi="Candara" w:cs="Calibri"/>
          <w:color w:val="000000"/>
          <w:lang w:eastAsia="en-ID"/>
        </w:rPr>
        <w:t xml:space="preserve">of the </w:t>
      </w:r>
      <w:r w:rsidRPr="00C6243A">
        <w:rPr>
          <w:rFonts w:ascii="Candara" w:eastAsia="Times New Roman" w:hAnsi="Candara" w:cs="Calibri"/>
          <w:color w:val="000000"/>
          <w:lang w:eastAsia="en-ID"/>
        </w:rPr>
        <w:t>informant</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re</w:t>
      </w:r>
      <w:r>
        <w:rPr>
          <w:rFonts w:ascii="Candara" w:eastAsia="Times New Roman" w:hAnsi="Candara" w:cs="Calibri"/>
          <w:color w:val="000000"/>
          <w:lang w:eastAsia="en-ID"/>
        </w:rPr>
        <w:t xml:space="preserve">lated to </w:t>
      </w:r>
      <w:r w:rsidRPr="00C6243A">
        <w:rPr>
          <w:rFonts w:ascii="Candara" w:eastAsia="Times New Roman" w:hAnsi="Candara" w:cs="Calibri"/>
          <w:color w:val="000000"/>
          <w:lang w:eastAsia="en-ID"/>
        </w:rPr>
        <w:t xml:space="preserve">the mechanism for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manag</w:t>
      </w:r>
      <w:r>
        <w:rPr>
          <w:rFonts w:ascii="Candara" w:eastAsia="Times New Roman" w:hAnsi="Candara" w:cs="Calibri"/>
          <w:color w:val="000000"/>
          <w:lang w:eastAsia="en-ID"/>
        </w:rPr>
        <w:t>ement</w:t>
      </w:r>
      <w:r w:rsidRPr="00C6243A">
        <w:rPr>
          <w:rFonts w:ascii="Candara" w:eastAsia="Times New Roman" w:hAnsi="Candara" w:cs="Calibri"/>
          <w:color w:val="000000"/>
          <w:lang w:eastAsia="en-ID"/>
        </w:rPr>
        <w:t xml:space="preserve"> and settl</w:t>
      </w:r>
      <w:r>
        <w:rPr>
          <w:rFonts w:ascii="Candara" w:eastAsia="Times New Roman" w:hAnsi="Candara" w:cs="Calibri"/>
          <w:color w:val="000000"/>
          <w:lang w:eastAsia="en-ID"/>
        </w:rPr>
        <w:t>ement of</w:t>
      </w:r>
      <w:r w:rsidRPr="00C6243A">
        <w:rPr>
          <w:rFonts w:ascii="Candara" w:eastAsia="Times New Roman" w:hAnsi="Candara" w:cs="Calibri"/>
          <w:color w:val="000000"/>
          <w:lang w:eastAsia="en-ID"/>
        </w:rPr>
        <w:t> bankrupt</w:t>
      </w:r>
      <w:r>
        <w:rPr>
          <w:rFonts w:ascii="Candara" w:eastAsia="Times New Roman" w:hAnsi="Candara" w:cs="Calibri"/>
          <w:color w:val="000000"/>
          <w:lang w:eastAsia="en-ID"/>
        </w:rPr>
        <w:t>cy</w:t>
      </w:r>
      <w:r w:rsidRPr="00C6243A">
        <w:rPr>
          <w:rFonts w:ascii="Candara" w:eastAsia="Times New Roman" w:hAnsi="Candara" w:cs="Calibri"/>
          <w:color w:val="000000"/>
          <w:lang w:eastAsia="en-ID"/>
        </w:rPr>
        <w:t> assets</w:t>
      </w:r>
      <w:r w:rsidR="003F6965" w:rsidRPr="00424EB1">
        <w:rPr>
          <w:rFonts w:ascii="Candara" w:hAnsi="Candara" w:cstheme="minorHAnsi"/>
        </w:rPr>
        <w:t>.</w:t>
      </w:r>
    </w:p>
    <w:p w14:paraId="06573378" w14:textId="6B82401C" w:rsidR="003F6965" w:rsidRPr="00210571" w:rsidRDefault="003F6965" w:rsidP="00BD3624">
      <w:pPr>
        <w:pStyle w:val="ListParagraph"/>
        <w:spacing w:after="0" w:line="240" w:lineRule="auto"/>
        <w:ind w:left="0"/>
        <w:jc w:val="center"/>
        <w:rPr>
          <w:rFonts w:ascii="Goudy Old Style" w:hAnsi="Goudy Old Style" w:cstheme="minorHAnsi"/>
          <w:b/>
          <w:bCs/>
          <w:sz w:val="20"/>
          <w:szCs w:val="20"/>
        </w:rPr>
      </w:pPr>
      <w:r w:rsidRPr="00210571">
        <w:rPr>
          <w:rFonts w:ascii="Goudy Old Style" w:hAnsi="Goudy Old Style" w:cstheme="minorHAnsi"/>
          <w:b/>
          <w:bCs/>
          <w:sz w:val="20"/>
          <w:szCs w:val="20"/>
        </w:rPr>
        <w:t>Tabl</w:t>
      </w:r>
      <w:r w:rsidR="00125431">
        <w:rPr>
          <w:rFonts w:ascii="Goudy Old Style" w:hAnsi="Goudy Old Style" w:cstheme="minorHAnsi"/>
          <w:b/>
          <w:bCs/>
          <w:sz w:val="20"/>
          <w:szCs w:val="20"/>
        </w:rPr>
        <w:t>e</w:t>
      </w:r>
      <w:r w:rsidRPr="00210571">
        <w:rPr>
          <w:rFonts w:ascii="Goudy Old Style" w:hAnsi="Goudy Old Style" w:cstheme="minorHAnsi"/>
          <w:b/>
          <w:bCs/>
          <w:sz w:val="20"/>
          <w:szCs w:val="20"/>
        </w:rPr>
        <w:t xml:space="preserve"> 5. </w:t>
      </w:r>
      <w:r w:rsidR="00125431">
        <w:rPr>
          <w:rFonts w:ascii="Goudy Old Style" w:hAnsi="Goudy Old Style" w:cstheme="minorHAnsi"/>
          <w:b/>
          <w:bCs/>
          <w:sz w:val="20"/>
          <w:szCs w:val="20"/>
        </w:rPr>
        <w:t>Management of Bankruptcy Assets</w:t>
      </w:r>
    </w:p>
    <w:tbl>
      <w:tblPr>
        <w:tblW w:w="8593" w:type="dxa"/>
        <w:tblInd w:w="108" w:type="dxa"/>
        <w:tblLook w:val="04A0" w:firstRow="1" w:lastRow="0" w:firstColumn="1" w:lastColumn="0" w:noHBand="0" w:noVBand="1"/>
      </w:tblPr>
      <w:tblGrid>
        <w:gridCol w:w="2512"/>
        <w:gridCol w:w="520"/>
        <w:gridCol w:w="494"/>
        <w:gridCol w:w="487"/>
        <w:gridCol w:w="546"/>
        <w:gridCol w:w="461"/>
        <w:gridCol w:w="461"/>
        <w:gridCol w:w="556"/>
        <w:gridCol w:w="553"/>
        <w:gridCol w:w="461"/>
        <w:gridCol w:w="461"/>
        <w:gridCol w:w="1081"/>
      </w:tblGrid>
      <w:tr w:rsidR="003F6965" w:rsidRPr="00210571" w14:paraId="7830AFCF" w14:textId="77777777" w:rsidTr="00BD3624">
        <w:trPr>
          <w:trHeight w:val="300"/>
        </w:trPr>
        <w:tc>
          <w:tcPr>
            <w:tcW w:w="2512" w:type="dxa"/>
            <w:vMerge w:val="restart"/>
            <w:tcBorders>
              <w:top w:val="single" w:sz="4" w:space="0" w:color="auto"/>
              <w:bottom w:val="single" w:sz="4" w:space="0" w:color="auto"/>
            </w:tcBorders>
            <w:shd w:val="clear" w:color="auto" w:fill="auto"/>
            <w:noWrap/>
            <w:vAlign w:val="center"/>
            <w:hideMark/>
          </w:tcPr>
          <w:p w14:paraId="5A5E3252" w14:textId="52B9E305"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Indi</w:t>
            </w:r>
            <w:r w:rsidR="00125431">
              <w:rPr>
                <w:rFonts w:ascii="Goudy Old Style" w:eastAsia="Times New Roman" w:hAnsi="Goudy Old Style" w:cstheme="minorHAnsi"/>
                <w:b/>
                <w:bCs/>
                <w:color w:val="000000"/>
                <w:sz w:val="20"/>
                <w:szCs w:val="20"/>
              </w:rPr>
              <w:t>c</w:t>
            </w:r>
            <w:r w:rsidRPr="00210571">
              <w:rPr>
                <w:rFonts w:ascii="Goudy Old Style" w:eastAsia="Times New Roman" w:hAnsi="Goudy Old Style" w:cstheme="minorHAnsi"/>
                <w:b/>
                <w:bCs/>
                <w:color w:val="000000"/>
                <w:sz w:val="20"/>
                <w:szCs w:val="20"/>
              </w:rPr>
              <w:t>ator</w:t>
            </w:r>
            <w:r w:rsidR="00125431">
              <w:rPr>
                <w:rFonts w:ascii="Goudy Old Style" w:eastAsia="Times New Roman" w:hAnsi="Goudy Old Style" w:cstheme="minorHAnsi"/>
                <w:b/>
                <w:bCs/>
                <w:color w:val="000000"/>
                <w:sz w:val="20"/>
                <w:szCs w:val="20"/>
              </w:rPr>
              <w:t>s</w:t>
            </w:r>
          </w:p>
        </w:tc>
        <w:tc>
          <w:tcPr>
            <w:tcW w:w="5000" w:type="dxa"/>
            <w:gridSpan w:val="10"/>
            <w:tcBorders>
              <w:top w:val="single" w:sz="4" w:space="0" w:color="auto"/>
              <w:bottom w:val="single" w:sz="4" w:space="0" w:color="auto"/>
            </w:tcBorders>
            <w:shd w:val="clear" w:color="auto" w:fill="auto"/>
            <w:noWrap/>
            <w:vAlign w:val="bottom"/>
            <w:hideMark/>
          </w:tcPr>
          <w:p w14:paraId="6ABD68AD" w14:textId="4EACB13E"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Informan</w:t>
            </w:r>
            <w:r w:rsidR="00125431">
              <w:rPr>
                <w:rFonts w:ascii="Goudy Old Style" w:eastAsia="Times New Roman" w:hAnsi="Goudy Old Style" w:cstheme="minorHAnsi"/>
                <w:b/>
                <w:bCs/>
                <w:color w:val="000000"/>
                <w:sz w:val="20"/>
                <w:szCs w:val="20"/>
              </w:rPr>
              <w:t>ts</w:t>
            </w:r>
          </w:p>
        </w:tc>
        <w:tc>
          <w:tcPr>
            <w:tcW w:w="1081" w:type="dxa"/>
            <w:vMerge w:val="restart"/>
            <w:tcBorders>
              <w:top w:val="single" w:sz="4" w:space="0" w:color="auto"/>
              <w:bottom w:val="single" w:sz="4" w:space="0" w:color="auto"/>
            </w:tcBorders>
            <w:shd w:val="clear" w:color="auto" w:fill="auto"/>
            <w:noWrap/>
            <w:vAlign w:val="center"/>
            <w:hideMark/>
          </w:tcPr>
          <w:p w14:paraId="7F659C78" w14:textId="4038DCFD"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Fre</w:t>
            </w:r>
            <w:r w:rsidR="00125431">
              <w:rPr>
                <w:rFonts w:ascii="Goudy Old Style" w:eastAsia="Times New Roman" w:hAnsi="Goudy Old Style" w:cstheme="minorHAnsi"/>
                <w:b/>
                <w:bCs/>
                <w:color w:val="000000"/>
                <w:sz w:val="20"/>
                <w:szCs w:val="20"/>
              </w:rPr>
              <w:t>quency</w:t>
            </w:r>
          </w:p>
        </w:tc>
      </w:tr>
      <w:tr w:rsidR="003F6965" w:rsidRPr="00210571" w14:paraId="5FF348EB" w14:textId="77777777" w:rsidTr="00BD3624">
        <w:trPr>
          <w:trHeight w:val="300"/>
        </w:trPr>
        <w:tc>
          <w:tcPr>
            <w:tcW w:w="2512" w:type="dxa"/>
            <w:vMerge/>
            <w:tcBorders>
              <w:top w:val="single" w:sz="4" w:space="0" w:color="auto"/>
              <w:bottom w:val="single" w:sz="4" w:space="0" w:color="auto"/>
            </w:tcBorders>
            <w:vAlign w:val="center"/>
            <w:hideMark/>
          </w:tcPr>
          <w:p w14:paraId="7ED5A117" w14:textId="77777777" w:rsidR="003F6965" w:rsidRPr="00210571" w:rsidRDefault="003F6965" w:rsidP="002A69EE">
            <w:pPr>
              <w:spacing w:after="0" w:line="240" w:lineRule="auto"/>
              <w:rPr>
                <w:rFonts w:ascii="Goudy Old Style" w:eastAsia="Times New Roman" w:hAnsi="Goudy Old Style" w:cstheme="minorHAnsi"/>
                <w:color w:val="000000"/>
                <w:sz w:val="20"/>
                <w:szCs w:val="20"/>
              </w:rPr>
            </w:pPr>
          </w:p>
        </w:tc>
        <w:tc>
          <w:tcPr>
            <w:tcW w:w="520" w:type="dxa"/>
            <w:tcBorders>
              <w:top w:val="single" w:sz="4" w:space="0" w:color="auto"/>
              <w:bottom w:val="single" w:sz="4" w:space="0" w:color="auto"/>
            </w:tcBorders>
            <w:shd w:val="clear" w:color="auto" w:fill="auto"/>
            <w:noWrap/>
            <w:vAlign w:val="bottom"/>
            <w:hideMark/>
          </w:tcPr>
          <w:p w14:paraId="6491EA29"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A</w:t>
            </w:r>
          </w:p>
        </w:tc>
        <w:tc>
          <w:tcPr>
            <w:tcW w:w="494" w:type="dxa"/>
            <w:tcBorders>
              <w:top w:val="single" w:sz="4" w:space="0" w:color="auto"/>
              <w:bottom w:val="single" w:sz="4" w:space="0" w:color="auto"/>
            </w:tcBorders>
            <w:shd w:val="clear" w:color="auto" w:fill="auto"/>
            <w:noWrap/>
            <w:vAlign w:val="bottom"/>
            <w:hideMark/>
          </w:tcPr>
          <w:p w14:paraId="4CD11C02"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B</w:t>
            </w:r>
          </w:p>
        </w:tc>
        <w:tc>
          <w:tcPr>
            <w:tcW w:w="487" w:type="dxa"/>
            <w:tcBorders>
              <w:top w:val="single" w:sz="4" w:space="0" w:color="auto"/>
              <w:bottom w:val="single" w:sz="4" w:space="0" w:color="auto"/>
            </w:tcBorders>
            <w:shd w:val="clear" w:color="auto" w:fill="auto"/>
            <w:noWrap/>
            <w:vAlign w:val="bottom"/>
            <w:hideMark/>
          </w:tcPr>
          <w:p w14:paraId="0D2C4EE6"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C</w:t>
            </w:r>
          </w:p>
        </w:tc>
        <w:tc>
          <w:tcPr>
            <w:tcW w:w="546" w:type="dxa"/>
            <w:tcBorders>
              <w:top w:val="single" w:sz="4" w:space="0" w:color="auto"/>
              <w:bottom w:val="single" w:sz="4" w:space="0" w:color="auto"/>
            </w:tcBorders>
            <w:shd w:val="clear" w:color="auto" w:fill="auto"/>
            <w:noWrap/>
            <w:vAlign w:val="bottom"/>
            <w:hideMark/>
          </w:tcPr>
          <w:p w14:paraId="77DB7CAE"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D</w:t>
            </w:r>
          </w:p>
        </w:tc>
        <w:tc>
          <w:tcPr>
            <w:tcW w:w="461" w:type="dxa"/>
            <w:tcBorders>
              <w:top w:val="single" w:sz="4" w:space="0" w:color="auto"/>
              <w:bottom w:val="single" w:sz="4" w:space="0" w:color="auto"/>
            </w:tcBorders>
            <w:shd w:val="clear" w:color="auto" w:fill="auto"/>
            <w:noWrap/>
            <w:vAlign w:val="bottom"/>
            <w:hideMark/>
          </w:tcPr>
          <w:p w14:paraId="3A4B2914"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E</w:t>
            </w:r>
          </w:p>
        </w:tc>
        <w:tc>
          <w:tcPr>
            <w:tcW w:w="461" w:type="dxa"/>
            <w:tcBorders>
              <w:top w:val="single" w:sz="4" w:space="0" w:color="auto"/>
              <w:bottom w:val="single" w:sz="4" w:space="0" w:color="auto"/>
            </w:tcBorders>
            <w:shd w:val="clear" w:color="auto" w:fill="auto"/>
            <w:noWrap/>
            <w:vAlign w:val="bottom"/>
            <w:hideMark/>
          </w:tcPr>
          <w:p w14:paraId="7073C67E"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F</w:t>
            </w:r>
          </w:p>
        </w:tc>
        <w:tc>
          <w:tcPr>
            <w:tcW w:w="556" w:type="dxa"/>
            <w:tcBorders>
              <w:top w:val="single" w:sz="4" w:space="0" w:color="auto"/>
              <w:bottom w:val="single" w:sz="4" w:space="0" w:color="auto"/>
            </w:tcBorders>
            <w:shd w:val="clear" w:color="auto" w:fill="auto"/>
            <w:noWrap/>
            <w:vAlign w:val="bottom"/>
            <w:hideMark/>
          </w:tcPr>
          <w:p w14:paraId="2492D4FF"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G</w:t>
            </w:r>
          </w:p>
        </w:tc>
        <w:tc>
          <w:tcPr>
            <w:tcW w:w="553" w:type="dxa"/>
            <w:tcBorders>
              <w:top w:val="single" w:sz="4" w:space="0" w:color="auto"/>
              <w:bottom w:val="single" w:sz="4" w:space="0" w:color="auto"/>
            </w:tcBorders>
            <w:shd w:val="clear" w:color="auto" w:fill="auto"/>
            <w:noWrap/>
            <w:vAlign w:val="bottom"/>
            <w:hideMark/>
          </w:tcPr>
          <w:p w14:paraId="300212FA"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H</w:t>
            </w:r>
          </w:p>
        </w:tc>
        <w:tc>
          <w:tcPr>
            <w:tcW w:w="461" w:type="dxa"/>
            <w:tcBorders>
              <w:top w:val="single" w:sz="4" w:space="0" w:color="auto"/>
              <w:bottom w:val="single" w:sz="4" w:space="0" w:color="auto"/>
            </w:tcBorders>
            <w:shd w:val="clear" w:color="auto" w:fill="auto"/>
            <w:noWrap/>
            <w:vAlign w:val="bottom"/>
            <w:hideMark/>
          </w:tcPr>
          <w:p w14:paraId="5A9EE094"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I</w:t>
            </w:r>
          </w:p>
        </w:tc>
        <w:tc>
          <w:tcPr>
            <w:tcW w:w="461" w:type="dxa"/>
            <w:tcBorders>
              <w:top w:val="single" w:sz="4" w:space="0" w:color="auto"/>
              <w:bottom w:val="single" w:sz="4" w:space="0" w:color="auto"/>
            </w:tcBorders>
            <w:shd w:val="clear" w:color="auto" w:fill="auto"/>
            <w:noWrap/>
            <w:vAlign w:val="bottom"/>
            <w:hideMark/>
          </w:tcPr>
          <w:p w14:paraId="1C1A6CDA" w14:textId="77777777" w:rsidR="003F6965" w:rsidRPr="00210571" w:rsidRDefault="003F6965" w:rsidP="002A69EE">
            <w:pPr>
              <w:spacing w:after="0" w:line="240" w:lineRule="auto"/>
              <w:jc w:val="center"/>
              <w:rPr>
                <w:rFonts w:ascii="Goudy Old Style" w:eastAsia="Times New Roman" w:hAnsi="Goudy Old Style" w:cstheme="minorHAnsi"/>
                <w:b/>
                <w:bCs/>
                <w:color w:val="000000"/>
                <w:sz w:val="20"/>
                <w:szCs w:val="20"/>
              </w:rPr>
            </w:pPr>
            <w:r w:rsidRPr="00210571">
              <w:rPr>
                <w:rFonts w:ascii="Goudy Old Style" w:eastAsia="Times New Roman" w:hAnsi="Goudy Old Style" w:cstheme="minorHAnsi"/>
                <w:b/>
                <w:bCs/>
                <w:color w:val="000000"/>
                <w:sz w:val="20"/>
                <w:szCs w:val="20"/>
              </w:rPr>
              <w:t>J</w:t>
            </w:r>
          </w:p>
        </w:tc>
        <w:tc>
          <w:tcPr>
            <w:tcW w:w="1081" w:type="dxa"/>
            <w:vMerge/>
            <w:tcBorders>
              <w:top w:val="single" w:sz="4" w:space="0" w:color="auto"/>
              <w:bottom w:val="single" w:sz="4" w:space="0" w:color="auto"/>
            </w:tcBorders>
            <w:vAlign w:val="center"/>
            <w:hideMark/>
          </w:tcPr>
          <w:p w14:paraId="3CCEADEE" w14:textId="77777777" w:rsidR="003F6965" w:rsidRPr="00210571" w:rsidRDefault="003F6965" w:rsidP="002A69EE">
            <w:pPr>
              <w:spacing w:after="0" w:line="240" w:lineRule="auto"/>
              <w:rPr>
                <w:rFonts w:ascii="Goudy Old Style" w:eastAsia="Times New Roman" w:hAnsi="Goudy Old Style" w:cstheme="minorHAnsi"/>
                <w:color w:val="000000"/>
                <w:sz w:val="20"/>
                <w:szCs w:val="20"/>
              </w:rPr>
            </w:pPr>
          </w:p>
        </w:tc>
      </w:tr>
      <w:tr w:rsidR="003F6965" w:rsidRPr="00210571" w14:paraId="4FEF11FF" w14:textId="77777777" w:rsidTr="00BD3624">
        <w:trPr>
          <w:trHeight w:val="1745"/>
        </w:trPr>
        <w:tc>
          <w:tcPr>
            <w:tcW w:w="2512" w:type="dxa"/>
            <w:tcBorders>
              <w:top w:val="single" w:sz="4" w:space="0" w:color="auto"/>
            </w:tcBorders>
            <w:shd w:val="clear" w:color="auto" w:fill="auto"/>
            <w:vAlign w:val="bottom"/>
            <w:hideMark/>
          </w:tcPr>
          <w:p w14:paraId="134147D3" w14:textId="0B12B785" w:rsidR="003F6965" w:rsidRPr="00210571" w:rsidRDefault="00115F5B" w:rsidP="00BD3624">
            <w:pPr>
              <w:spacing w:after="0" w:line="240" w:lineRule="auto"/>
              <w:jc w:val="both"/>
              <w:rPr>
                <w:rFonts w:ascii="Goudy Old Style" w:eastAsia="Times New Roman" w:hAnsi="Goudy Old Style" w:cstheme="minorHAnsi"/>
                <w:color w:val="000000"/>
                <w:sz w:val="20"/>
                <w:szCs w:val="20"/>
              </w:rPr>
            </w:pPr>
            <w:r w:rsidRPr="00C6243A">
              <w:rPr>
                <w:rFonts w:ascii="Goudy Old Style" w:eastAsia="Times New Roman" w:hAnsi="Goudy Old Style" w:cs="Calibri"/>
                <w:sz w:val="20"/>
                <w:szCs w:val="20"/>
                <w:lang w:eastAsia="en-ID"/>
              </w:rPr>
              <w:t>The appointment of a curator/</w:t>
            </w:r>
            <w:r>
              <w:rPr>
                <w:rFonts w:ascii="Goudy Old Style" w:eastAsia="Times New Roman" w:hAnsi="Goudy Old Style" w:cs="Calibri"/>
                <w:sz w:val="20"/>
                <w:szCs w:val="20"/>
                <w:lang w:eastAsia="en-ID"/>
              </w:rPr>
              <w:t xml:space="preserve">Insolvency and Public Trustee’s Office </w:t>
            </w:r>
            <w:r w:rsidRPr="00C6243A">
              <w:rPr>
                <w:rFonts w:ascii="Goudy Old Style" w:eastAsia="Times New Roman" w:hAnsi="Goudy Old Style" w:cs="Calibri"/>
                <w:sz w:val="20"/>
                <w:szCs w:val="20"/>
                <w:lang w:eastAsia="en-ID"/>
              </w:rPr>
              <w:t xml:space="preserve">by the </w:t>
            </w:r>
            <w:r>
              <w:rPr>
                <w:rFonts w:ascii="Goudy Old Style" w:eastAsia="Times New Roman" w:hAnsi="Goudy Old Style" w:cs="Calibri"/>
                <w:sz w:val="20"/>
                <w:szCs w:val="20"/>
                <w:lang w:eastAsia="en-ID"/>
              </w:rPr>
              <w:t>C</w:t>
            </w:r>
            <w:r w:rsidRPr="00C6243A">
              <w:rPr>
                <w:rFonts w:ascii="Goudy Old Style" w:eastAsia="Times New Roman" w:hAnsi="Goudy Old Style" w:cs="Calibri"/>
                <w:sz w:val="20"/>
                <w:szCs w:val="20"/>
                <w:lang w:eastAsia="en-ID"/>
              </w:rPr>
              <w:t xml:space="preserve">ommercial </w:t>
            </w:r>
            <w:r>
              <w:rPr>
                <w:rFonts w:ascii="Goudy Old Style" w:eastAsia="Times New Roman" w:hAnsi="Goudy Old Style" w:cs="Calibri"/>
                <w:sz w:val="20"/>
                <w:szCs w:val="20"/>
                <w:lang w:eastAsia="en-ID"/>
              </w:rPr>
              <w:t>C</w:t>
            </w:r>
            <w:r w:rsidRPr="00C6243A">
              <w:rPr>
                <w:rFonts w:ascii="Goudy Old Style" w:eastAsia="Times New Roman" w:hAnsi="Goudy Old Style" w:cs="Calibri"/>
                <w:sz w:val="20"/>
                <w:szCs w:val="20"/>
                <w:lang w:eastAsia="en-ID"/>
              </w:rPr>
              <w:t>ourt after the judge's decision and at 00.00 on that day</w:t>
            </w:r>
            <w:r w:rsidR="00EE03FC">
              <w:rPr>
                <w:rFonts w:ascii="Goudy Old Style" w:eastAsia="Times New Roman" w:hAnsi="Goudy Old Style" w:cs="Calibri"/>
                <w:sz w:val="20"/>
                <w:szCs w:val="20"/>
                <w:lang w:eastAsia="en-ID"/>
              </w:rPr>
              <w:t>,</w:t>
            </w:r>
            <w:r w:rsidRPr="00C6243A">
              <w:rPr>
                <w:rFonts w:ascii="Goudy Old Style" w:eastAsia="Times New Roman" w:hAnsi="Goudy Old Style" w:cs="Calibri"/>
                <w:sz w:val="20"/>
                <w:szCs w:val="20"/>
                <w:lang w:eastAsia="en-ID"/>
              </w:rPr>
              <w:t xml:space="preserve"> zero tolerance</w:t>
            </w:r>
            <w:r>
              <w:rPr>
                <w:rFonts w:ascii="Goudy Old Style" w:eastAsia="Times New Roman" w:hAnsi="Goudy Old Style" w:cs="Calibri"/>
                <w:sz w:val="20"/>
                <w:szCs w:val="20"/>
                <w:lang w:eastAsia="en-ID"/>
              </w:rPr>
              <w:t xml:space="preserve"> </w:t>
            </w:r>
            <w:r w:rsidRPr="00C6243A">
              <w:rPr>
                <w:rFonts w:ascii="Goudy Old Style" w:eastAsia="Times New Roman" w:hAnsi="Goudy Old Style" w:cs="Calibri"/>
                <w:sz w:val="20"/>
                <w:szCs w:val="20"/>
                <w:lang w:eastAsia="en-ID"/>
              </w:rPr>
              <w:t>or general confiscation conditions</w:t>
            </w:r>
            <w:r w:rsidR="00EE03FC">
              <w:rPr>
                <w:rFonts w:ascii="Goudy Old Style" w:eastAsia="Times New Roman" w:hAnsi="Goudy Old Style" w:cs="Calibri"/>
                <w:sz w:val="20"/>
                <w:szCs w:val="20"/>
                <w:lang w:eastAsia="en-ID"/>
              </w:rPr>
              <w:t xml:space="preserve"> </w:t>
            </w:r>
            <w:r>
              <w:rPr>
                <w:rFonts w:ascii="Goudy Old Style" w:eastAsia="Times New Roman" w:hAnsi="Goudy Old Style" w:cs="Calibri"/>
                <w:sz w:val="20"/>
                <w:szCs w:val="20"/>
                <w:lang w:eastAsia="en-ID"/>
              </w:rPr>
              <w:t>are applicable</w:t>
            </w:r>
            <w:r w:rsidR="007D1A2E">
              <w:rPr>
                <w:rFonts w:ascii="Goudy Old Style" w:eastAsia="Times New Roman" w:hAnsi="Goudy Old Style" w:cs="Calibri"/>
                <w:sz w:val="20"/>
                <w:szCs w:val="20"/>
                <w:lang w:eastAsia="en-ID"/>
              </w:rPr>
              <w:t>.</w:t>
            </w:r>
          </w:p>
        </w:tc>
        <w:tc>
          <w:tcPr>
            <w:tcW w:w="520" w:type="dxa"/>
            <w:tcBorders>
              <w:top w:val="single" w:sz="4" w:space="0" w:color="auto"/>
            </w:tcBorders>
            <w:shd w:val="clear" w:color="auto" w:fill="auto"/>
            <w:noWrap/>
            <w:vAlign w:val="center"/>
            <w:hideMark/>
          </w:tcPr>
          <w:p w14:paraId="4A6D2512"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94" w:type="dxa"/>
            <w:tcBorders>
              <w:top w:val="single" w:sz="4" w:space="0" w:color="auto"/>
            </w:tcBorders>
            <w:shd w:val="clear" w:color="auto" w:fill="auto"/>
            <w:noWrap/>
            <w:vAlign w:val="center"/>
            <w:hideMark/>
          </w:tcPr>
          <w:p w14:paraId="5833FEF3"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87" w:type="dxa"/>
            <w:tcBorders>
              <w:top w:val="single" w:sz="4" w:space="0" w:color="auto"/>
            </w:tcBorders>
            <w:shd w:val="clear" w:color="auto" w:fill="auto"/>
            <w:noWrap/>
            <w:vAlign w:val="center"/>
            <w:hideMark/>
          </w:tcPr>
          <w:p w14:paraId="5DC8A131"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46" w:type="dxa"/>
            <w:tcBorders>
              <w:top w:val="single" w:sz="4" w:space="0" w:color="auto"/>
            </w:tcBorders>
            <w:shd w:val="clear" w:color="auto" w:fill="auto"/>
            <w:noWrap/>
            <w:vAlign w:val="center"/>
            <w:hideMark/>
          </w:tcPr>
          <w:p w14:paraId="74DCCABC"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555A8AC0"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0D89DCB7"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6" w:type="dxa"/>
            <w:tcBorders>
              <w:top w:val="single" w:sz="4" w:space="0" w:color="auto"/>
            </w:tcBorders>
            <w:shd w:val="clear" w:color="auto" w:fill="auto"/>
            <w:noWrap/>
            <w:vAlign w:val="center"/>
            <w:hideMark/>
          </w:tcPr>
          <w:p w14:paraId="7CE520B5"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3" w:type="dxa"/>
            <w:tcBorders>
              <w:top w:val="single" w:sz="4" w:space="0" w:color="auto"/>
            </w:tcBorders>
            <w:shd w:val="clear" w:color="auto" w:fill="auto"/>
            <w:noWrap/>
            <w:vAlign w:val="center"/>
            <w:hideMark/>
          </w:tcPr>
          <w:p w14:paraId="7D24C3D9"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067A6508"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20828780"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1081" w:type="dxa"/>
            <w:tcBorders>
              <w:top w:val="single" w:sz="4" w:space="0" w:color="auto"/>
            </w:tcBorders>
            <w:shd w:val="clear" w:color="auto" w:fill="auto"/>
            <w:noWrap/>
            <w:vAlign w:val="center"/>
            <w:hideMark/>
          </w:tcPr>
          <w:p w14:paraId="4A94F7B1"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10</w:t>
            </w:r>
          </w:p>
        </w:tc>
      </w:tr>
      <w:tr w:rsidR="003F6965" w:rsidRPr="00210571" w14:paraId="7E92423D" w14:textId="77777777" w:rsidTr="00BD3624">
        <w:trPr>
          <w:trHeight w:val="1278"/>
        </w:trPr>
        <w:tc>
          <w:tcPr>
            <w:tcW w:w="2512" w:type="dxa"/>
            <w:shd w:val="clear" w:color="auto" w:fill="auto"/>
            <w:vAlign w:val="bottom"/>
            <w:hideMark/>
          </w:tcPr>
          <w:p w14:paraId="21925588" w14:textId="56A18BFC" w:rsidR="003F6965" w:rsidRPr="00210571" w:rsidRDefault="00D5637D" w:rsidP="00BD3624">
            <w:pPr>
              <w:spacing w:after="0" w:line="240" w:lineRule="auto"/>
              <w:jc w:val="both"/>
              <w:rPr>
                <w:rFonts w:ascii="Goudy Old Style" w:eastAsia="Times New Roman" w:hAnsi="Goudy Old Style" w:cstheme="minorHAnsi"/>
                <w:color w:val="000000"/>
                <w:sz w:val="20"/>
                <w:szCs w:val="20"/>
              </w:rPr>
            </w:pPr>
            <w:r w:rsidRPr="00C6243A">
              <w:rPr>
                <w:rFonts w:ascii="Goudy Old Style" w:eastAsia="Times New Roman" w:hAnsi="Goudy Old Style" w:cs="Calibri"/>
                <w:sz w:val="20"/>
                <w:szCs w:val="20"/>
                <w:lang w:eastAsia="en-ID"/>
              </w:rPr>
              <w:t xml:space="preserve">The curator announces the bankruptcy decision in </w:t>
            </w:r>
            <w:r>
              <w:rPr>
                <w:rFonts w:ascii="Goudy Old Style" w:eastAsia="Times New Roman" w:hAnsi="Goudy Old Style" w:cs="Calibri"/>
                <w:sz w:val="20"/>
                <w:szCs w:val="20"/>
                <w:lang w:eastAsia="en-ID"/>
              </w:rPr>
              <w:t xml:space="preserve">both </w:t>
            </w:r>
            <w:r w:rsidRPr="00C6243A">
              <w:rPr>
                <w:rFonts w:ascii="Goudy Old Style" w:eastAsia="Times New Roman" w:hAnsi="Goudy Old Style" w:cs="Calibri"/>
                <w:sz w:val="20"/>
                <w:szCs w:val="20"/>
                <w:lang w:eastAsia="en-ID"/>
              </w:rPr>
              <w:t xml:space="preserve">national and local mass media </w:t>
            </w:r>
            <w:r>
              <w:rPr>
                <w:rFonts w:ascii="Goudy Old Style" w:eastAsia="Times New Roman" w:hAnsi="Goudy Old Style" w:cs="Calibri"/>
                <w:sz w:val="20"/>
                <w:szCs w:val="20"/>
                <w:lang w:eastAsia="en-ID"/>
              </w:rPr>
              <w:t xml:space="preserve">which </w:t>
            </w:r>
            <w:r w:rsidRPr="00C6243A">
              <w:rPr>
                <w:rFonts w:ascii="Goudy Old Style" w:eastAsia="Times New Roman" w:hAnsi="Goudy Old Style" w:cs="Calibri"/>
                <w:sz w:val="20"/>
                <w:szCs w:val="20"/>
                <w:lang w:eastAsia="en-ID"/>
              </w:rPr>
              <w:t>cover the jurisdiction of the bankrupt debtor</w:t>
            </w:r>
            <w:r>
              <w:rPr>
                <w:rFonts w:ascii="Goudy Old Style" w:eastAsia="Times New Roman" w:hAnsi="Goudy Old Style" w:cs="Calibri"/>
                <w:sz w:val="20"/>
                <w:szCs w:val="20"/>
                <w:lang w:eastAsia="en-ID"/>
              </w:rPr>
              <w:t>.</w:t>
            </w:r>
          </w:p>
        </w:tc>
        <w:tc>
          <w:tcPr>
            <w:tcW w:w="520" w:type="dxa"/>
            <w:shd w:val="clear" w:color="auto" w:fill="auto"/>
            <w:noWrap/>
            <w:vAlign w:val="center"/>
            <w:hideMark/>
          </w:tcPr>
          <w:p w14:paraId="05E7F97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2F5AAA91"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444E5012"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0B62A2C0"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620A5BEA"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42751ABE"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218FB2B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20C88342"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47602DDA"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4FCBEAD9"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1081" w:type="dxa"/>
            <w:shd w:val="clear" w:color="auto" w:fill="auto"/>
            <w:noWrap/>
            <w:vAlign w:val="center"/>
            <w:hideMark/>
          </w:tcPr>
          <w:p w14:paraId="5CFD5AD3"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8</w:t>
            </w:r>
          </w:p>
        </w:tc>
      </w:tr>
      <w:tr w:rsidR="003F6965" w:rsidRPr="00210571" w14:paraId="37475DCC" w14:textId="77777777" w:rsidTr="00BD3624">
        <w:trPr>
          <w:trHeight w:val="1062"/>
        </w:trPr>
        <w:tc>
          <w:tcPr>
            <w:tcW w:w="2512" w:type="dxa"/>
            <w:shd w:val="clear" w:color="auto" w:fill="auto"/>
            <w:vAlign w:val="bottom"/>
            <w:hideMark/>
          </w:tcPr>
          <w:p w14:paraId="4C042C73" w14:textId="5C9E080D" w:rsidR="003F6965" w:rsidRPr="00210571" w:rsidRDefault="007D1A2E" w:rsidP="00BD3624">
            <w:pPr>
              <w:spacing w:after="0" w:line="240" w:lineRule="auto"/>
              <w:jc w:val="both"/>
              <w:rPr>
                <w:rFonts w:ascii="Goudy Old Style" w:eastAsia="Times New Roman" w:hAnsi="Goudy Old Style" w:cstheme="minorHAnsi"/>
                <w:color w:val="000000"/>
                <w:sz w:val="20"/>
                <w:szCs w:val="20"/>
              </w:rPr>
            </w:pPr>
            <w:r w:rsidRPr="00C6243A">
              <w:rPr>
                <w:rFonts w:ascii="Goudy Old Style" w:eastAsia="Times New Roman" w:hAnsi="Goudy Old Style" w:cs="Calibri"/>
                <w:sz w:val="20"/>
                <w:szCs w:val="20"/>
                <w:lang w:eastAsia="en-ID"/>
              </w:rPr>
              <w:t>Then</w:t>
            </w:r>
            <w:r>
              <w:rPr>
                <w:rFonts w:ascii="Goudy Old Style" w:eastAsia="Times New Roman" w:hAnsi="Goudy Old Style" w:cs="Calibri"/>
                <w:sz w:val="20"/>
                <w:szCs w:val="20"/>
                <w:lang w:eastAsia="en-ID"/>
              </w:rPr>
              <w:t xml:space="preserve"> the curator </w:t>
            </w:r>
            <w:r w:rsidRPr="00C6243A">
              <w:rPr>
                <w:rFonts w:ascii="Goudy Old Style" w:eastAsia="Times New Roman" w:hAnsi="Goudy Old Style" w:cs="Calibri"/>
                <w:sz w:val="20"/>
                <w:szCs w:val="20"/>
                <w:lang w:eastAsia="en-ID"/>
              </w:rPr>
              <w:t>contact</w:t>
            </w:r>
            <w:r>
              <w:rPr>
                <w:rFonts w:ascii="Goudy Old Style" w:eastAsia="Times New Roman" w:hAnsi="Goudy Old Style" w:cs="Calibri"/>
                <w:sz w:val="20"/>
                <w:szCs w:val="20"/>
                <w:lang w:eastAsia="en-ID"/>
              </w:rPr>
              <w:t>s</w:t>
            </w:r>
            <w:r w:rsidRPr="00C6243A">
              <w:rPr>
                <w:rFonts w:ascii="Goudy Old Style" w:eastAsia="Times New Roman" w:hAnsi="Goudy Old Style" w:cs="Calibri"/>
                <w:sz w:val="20"/>
                <w:szCs w:val="20"/>
                <w:lang w:eastAsia="en-ID"/>
              </w:rPr>
              <w:t xml:space="preserve"> all </w:t>
            </w:r>
            <w:r>
              <w:rPr>
                <w:rFonts w:ascii="Goudy Old Style" w:eastAsia="Times New Roman" w:hAnsi="Goudy Old Style" w:cs="Calibri"/>
                <w:sz w:val="20"/>
                <w:szCs w:val="20"/>
                <w:lang w:eastAsia="en-ID"/>
              </w:rPr>
              <w:t xml:space="preserve">the </w:t>
            </w:r>
            <w:r w:rsidRPr="00C6243A">
              <w:rPr>
                <w:rFonts w:ascii="Goudy Old Style" w:eastAsia="Times New Roman" w:hAnsi="Goudy Old Style" w:cs="Calibri"/>
                <w:sz w:val="20"/>
                <w:szCs w:val="20"/>
                <w:lang w:eastAsia="en-ID"/>
              </w:rPr>
              <w:t>creditors who are registered</w:t>
            </w:r>
            <w:r w:rsidR="00EE03FC">
              <w:rPr>
                <w:rFonts w:ascii="Goudy Old Style" w:eastAsia="Times New Roman" w:hAnsi="Goudy Old Style" w:cs="Calibri"/>
                <w:sz w:val="20"/>
                <w:szCs w:val="20"/>
                <w:lang w:eastAsia="en-ID"/>
              </w:rPr>
              <w:t xml:space="preserve"> </w:t>
            </w:r>
            <w:r w:rsidRPr="00C6243A">
              <w:rPr>
                <w:rFonts w:ascii="Goudy Old Style" w:eastAsia="Times New Roman" w:hAnsi="Goudy Old Style" w:cs="Calibri"/>
                <w:sz w:val="20"/>
                <w:szCs w:val="20"/>
                <w:lang w:eastAsia="en-ID"/>
              </w:rPr>
              <w:t>with the debtor in writing</w:t>
            </w:r>
            <w:r>
              <w:rPr>
                <w:rFonts w:ascii="Goudy Old Style" w:eastAsia="Times New Roman" w:hAnsi="Goudy Old Style" w:cs="Calibri"/>
                <w:sz w:val="20"/>
                <w:szCs w:val="20"/>
                <w:lang w:eastAsia="en-ID"/>
              </w:rPr>
              <w:t>.</w:t>
            </w:r>
          </w:p>
        </w:tc>
        <w:tc>
          <w:tcPr>
            <w:tcW w:w="520" w:type="dxa"/>
            <w:shd w:val="clear" w:color="auto" w:fill="auto"/>
            <w:noWrap/>
            <w:vAlign w:val="center"/>
            <w:hideMark/>
          </w:tcPr>
          <w:p w14:paraId="572A0F38"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0396B036"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46F2CB6D"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6B72FD32"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356856E2"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7ED9EF58"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09BFFB9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25242DDF"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78007F34"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461CDAC3"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1081" w:type="dxa"/>
            <w:shd w:val="clear" w:color="auto" w:fill="auto"/>
            <w:noWrap/>
            <w:vAlign w:val="center"/>
            <w:hideMark/>
          </w:tcPr>
          <w:p w14:paraId="5C0141D5"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8</w:t>
            </w:r>
          </w:p>
        </w:tc>
      </w:tr>
      <w:tr w:rsidR="003F6965" w:rsidRPr="00210571" w14:paraId="200669F0" w14:textId="77777777" w:rsidTr="00BD3624">
        <w:trPr>
          <w:trHeight w:val="2691"/>
        </w:trPr>
        <w:tc>
          <w:tcPr>
            <w:tcW w:w="2512" w:type="dxa"/>
            <w:shd w:val="clear" w:color="auto" w:fill="auto"/>
            <w:vAlign w:val="bottom"/>
            <w:hideMark/>
          </w:tcPr>
          <w:p w14:paraId="47E637A5" w14:textId="56010179" w:rsidR="003F6965" w:rsidRPr="00210571" w:rsidRDefault="00EE03FC" w:rsidP="00BD3624">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Calibri"/>
                <w:sz w:val="20"/>
                <w:szCs w:val="20"/>
                <w:lang w:eastAsia="en-ID"/>
              </w:rPr>
              <w:lastRenderedPageBreak/>
              <w:t>The curator then c</w:t>
            </w:r>
            <w:r w:rsidR="00867B3E" w:rsidRPr="00C6243A">
              <w:rPr>
                <w:rFonts w:ascii="Goudy Old Style" w:eastAsia="Times New Roman" w:hAnsi="Goudy Old Style" w:cs="Calibri"/>
                <w:sz w:val="20"/>
                <w:szCs w:val="20"/>
                <w:lang w:eastAsia="en-ID"/>
              </w:rPr>
              <w:t>ontact</w:t>
            </w:r>
            <w:r>
              <w:rPr>
                <w:rFonts w:ascii="Goudy Old Style" w:eastAsia="Times New Roman" w:hAnsi="Goudy Old Style" w:cs="Calibri"/>
                <w:sz w:val="20"/>
                <w:szCs w:val="20"/>
                <w:lang w:eastAsia="en-ID"/>
              </w:rPr>
              <w:t>s</w:t>
            </w:r>
            <w:r w:rsidR="00867B3E" w:rsidRPr="00C6243A">
              <w:rPr>
                <w:rFonts w:ascii="Goudy Old Style" w:eastAsia="Times New Roman" w:hAnsi="Goudy Old Style" w:cs="Calibri"/>
                <w:sz w:val="20"/>
                <w:szCs w:val="20"/>
                <w:lang w:eastAsia="en-ID"/>
              </w:rPr>
              <w:t xml:space="preserve"> the bankrupt debtor to request all data, information</w:t>
            </w:r>
            <w:r w:rsidR="00867B3E">
              <w:rPr>
                <w:rFonts w:ascii="Goudy Old Style" w:eastAsia="Times New Roman" w:hAnsi="Goudy Old Style" w:cs="Calibri"/>
                <w:sz w:val="20"/>
                <w:szCs w:val="20"/>
                <w:lang w:eastAsia="en-ID"/>
              </w:rPr>
              <w:t>,</w:t>
            </w:r>
            <w:r w:rsidR="00867B3E" w:rsidRPr="00C6243A">
              <w:rPr>
                <w:rFonts w:ascii="Goudy Old Style" w:eastAsia="Times New Roman" w:hAnsi="Goudy Old Style" w:cs="Calibri"/>
                <w:sz w:val="20"/>
                <w:szCs w:val="20"/>
                <w:lang w:eastAsia="en-ID"/>
              </w:rPr>
              <w:t xml:space="preserve"> and documents </w:t>
            </w:r>
            <w:r w:rsidR="00867B3E">
              <w:rPr>
                <w:rFonts w:ascii="Goudy Old Style" w:eastAsia="Times New Roman" w:hAnsi="Goudy Old Style" w:cs="Calibri"/>
                <w:sz w:val="20"/>
                <w:szCs w:val="20"/>
                <w:lang w:eastAsia="en-ID"/>
              </w:rPr>
              <w:t xml:space="preserve">that </w:t>
            </w:r>
            <w:r w:rsidR="00867B3E" w:rsidRPr="00C6243A">
              <w:rPr>
                <w:rFonts w:ascii="Goudy Old Style" w:eastAsia="Times New Roman" w:hAnsi="Goudy Old Style" w:cs="Calibri"/>
                <w:sz w:val="20"/>
                <w:szCs w:val="20"/>
                <w:lang w:eastAsia="en-ID"/>
              </w:rPr>
              <w:t>show the debtor's asset</w:t>
            </w:r>
            <w:r>
              <w:rPr>
                <w:rFonts w:ascii="Goudy Old Style" w:eastAsia="Times New Roman" w:hAnsi="Goudy Old Style" w:cs="Calibri"/>
                <w:sz w:val="20"/>
                <w:szCs w:val="20"/>
                <w:lang w:eastAsia="en-ID"/>
              </w:rPr>
              <w:t xml:space="preserve"> </w:t>
            </w:r>
            <w:r w:rsidRPr="00C6243A">
              <w:rPr>
                <w:rFonts w:ascii="Goudy Old Style" w:eastAsia="Times New Roman" w:hAnsi="Goudy Old Style" w:cs="Calibri"/>
                <w:sz w:val="20"/>
                <w:szCs w:val="20"/>
                <w:lang w:eastAsia="en-ID"/>
              </w:rPr>
              <w:t>ownership</w:t>
            </w:r>
            <w:r w:rsidR="00867B3E" w:rsidRPr="00C6243A">
              <w:rPr>
                <w:rFonts w:ascii="Goudy Old Style" w:eastAsia="Times New Roman" w:hAnsi="Goudy Old Style" w:cs="Calibri"/>
                <w:sz w:val="20"/>
                <w:szCs w:val="20"/>
                <w:lang w:eastAsia="en-ID"/>
              </w:rPr>
              <w:t xml:space="preserve">, whether bound by </w:t>
            </w:r>
            <w:r w:rsidR="00867B3E">
              <w:rPr>
                <w:rFonts w:ascii="Goudy Old Style" w:eastAsia="Times New Roman" w:hAnsi="Goudy Old Style" w:cs="Calibri"/>
                <w:sz w:val="20"/>
                <w:szCs w:val="20"/>
                <w:lang w:eastAsia="en-ID"/>
              </w:rPr>
              <w:t xml:space="preserve">property </w:t>
            </w:r>
            <w:r w:rsidR="00867B3E" w:rsidRPr="00C6243A">
              <w:rPr>
                <w:rFonts w:ascii="Goudy Old Style" w:eastAsia="Times New Roman" w:hAnsi="Goudy Old Style" w:cs="Calibri"/>
                <w:sz w:val="20"/>
                <w:szCs w:val="20"/>
                <w:lang w:eastAsia="en-ID"/>
              </w:rPr>
              <w:t xml:space="preserve">rights or not, whether </w:t>
            </w:r>
            <w:r w:rsidR="00867B3E">
              <w:rPr>
                <w:rFonts w:ascii="Goudy Old Style" w:eastAsia="Times New Roman" w:hAnsi="Goudy Old Style" w:cs="Calibri"/>
                <w:sz w:val="20"/>
                <w:szCs w:val="20"/>
                <w:lang w:eastAsia="en-ID"/>
              </w:rPr>
              <w:t xml:space="preserve">under the supervision of </w:t>
            </w:r>
            <w:r w:rsidR="00867B3E" w:rsidRPr="00C6243A">
              <w:rPr>
                <w:rFonts w:ascii="Goudy Old Style" w:eastAsia="Times New Roman" w:hAnsi="Goudy Old Style" w:cs="Calibri"/>
                <w:sz w:val="20"/>
                <w:szCs w:val="20"/>
                <w:lang w:eastAsia="en-ID"/>
              </w:rPr>
              <w:t>legal entities</w:t>
            </w:r>
            <w:r>
              <w:rPr>
                <w:rFonts w:ascii="Goudy Old Style" w:eastAsia="Times New Roman" w:hAnsi="Goudy Old Style" w:cs="Calibri"/>
                <w:sz w:val="20"/>
                <w:szCs w:val="20"/>
                <w:lang w:eastAsia="en-ID"/>
              </w:rPr>
              <w:t xml:space="preserve"> </w:t>
            </w:r>
            <w:r w:rsidR="00867B3E" w:rsidRPr="00C6243A">
              <w:rPr>
                <w:rFonts w:ascii="Goudy Old Style" w:eastAsia="Times New Roman" w:hAnsi="Goudy Old Style" w:cs="Calibri"/>
                <w:sz w:val="20"/>
                <w:szCs w:val="20"/>
                <w:lang w:eastAsia="en-ID"/>
              </w:rPr>
              <w:t>or</w:t>
            </w:r>
            <w:r w:rsidR="00405B55">
              <w:rPr>
                <w:rFonts w:ascii="Goudy Old Style" w:eastAsia="Times New Roman" w:hAnsi="Goudy Old Style" w:cs="Calibri"/>
                <w:sz w:val="20"/>
                <w:szCs w:val="20"/>
                <w:lang w:eastAsia="en-ID"/>
              </w:rPr>
              <w:t xml:space="preserve"> </w:t>
            </w:r>
            <w:r w:rsidR="00867B3E" w:rsidRPr="00C6243A">
              <w:rPr>
                <w:rFonts w:ascii="Goudy Old Style" w:eastAsia="Times New Roman" w:hAnsi="Goudy Old Style" w:cs="Calibri"/>
                <w:sz w:val="20"/>
                <w:szCs w:val="20"/>
                <w:lang w:eastAsia="en-ID"/>
              </w:rPr>
              <w:t>individuals</w:t>
            </w:r>
            <w:r w:rsidR="00867B3E">
              <w:rPr>
                <w:rFonts w:ascii="Goudy Old Style" w:eastAsia="Times New Roman" w:hAnsi="Goudy Old Style" w:cs="Calibri"/>
                <w:sz w:val="20"/>
                <w:szCs w:val="20"/>
                <w:lang w:eastAsia="en-ID"/>
              </w:rPr>
              <w:t>.</w:t>
            </w:r>
          </w:p>
        </w:tc>
        <w:tc>
          <w:tcPr>
            <w:tcW w:w="520" w:type="dxa"/>
            <w:shd w:val="clear" w:color="auto" w:fill="auto"/>
            <w:noWrap/>
            <w:vAlign w:val="center"/>
            <w:hideMark/>
          </w:tcPr>
          <w:p w14:paraId="65F19B4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00DF6ABC"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160E63A6"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4111975F"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5AE8E21A"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3336E5A6"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5C14E1DA"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28294C27"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535B337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6CD2E22D"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1081" w:type="dxa"/>
            <w:shd w:val="clear" w:color="auto" w:fill="auto"/>
            <w:noWrap/>
            <w:vAlign w:val="center"/>
            <w:hideMark/>
          </w:tcPr>
          <w:p w14:paraId="713BD926"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8</w:t>
            </w:r>
          </w:p>
        </w:tc>
      </w:tr>
      <w:tr w:rsidR="003F6965" w:rsidRPr="00210571" w14:paraId="6B35E645" w14:textId="77777777" w:rsidTr="00BD3624">
        <w:trPr>
          <w:trHeight w:val="1088"/>
        </w:trPr>
        <w:tc>
          <w:tcPr>
            <w:tcW w:w="2512" w:type="dxa"/>
            <w:shd w:val="clear" w:color="auto" w:fill="auto"/>
            <w:vAlign w:val="bottom"/>
            <w:hideMark/>
          </w:tcPr>
          <w:p w14:paraId="311ADBA7" w14:textId="01771EA6" w:rsidR="003F6965" w:rsidRPr="00210571" w:rsidRDefault="00EE03FC" w:rsidP="00BD3624">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Calibri"/>
                <w:sz w:val="20"/>
                <w:szCs w:val="20"/>
                <w:lang w:eastAsia="en-ID"/>
              </w:rPr>
              <w:t>The curator c</w:t>
            </w:r>
            <w:r w:rsidR="00405B55">
              <w:rPr>
                <w:rFonts w:ascii="Goudy Old Style" w:eastAsia="Times New Roman" w:hAnsi="Goudy Old Style" w:cs="Calibri"/>
                <w:sz w:val="20"/>
                <w:szCs w:val="20"/>
                <w:lang w:eastAsia="en-ID"/>
              </w:rPr>
              <w:t>reat</w:t>
            </w:r>
            <w:r>
              <w:rPr>
                <w:rFonts w:ascii="Goudy Old Style" w:eastAsia="Times New Roman" w:hAnsi="Goudy Old Style" w:cs="Calibri"/>
                <w:sz w:val="20"/>
                <w:szCs w:val="20"/>
                <w:lang w:eastAsia="en-ID"/>
              </w:rPr>
              <w:t>es</w:t>
            </w:r>
            <w:r w:rsidR="00405B55" w:rsidRPr="00C6243A">
              <w:rPr>
                <w:rFonts w:ascii="Goudy Old Style" w:eastAsia="Times New Roman" w:hAnsi="Goudy Old Style" w:cs="Calibri"/>
                <w:sz w:val="20"/>
                <w:szCs w:val="20"/>
                <w:lang w:eastAsia="en-ID"/>
              </w:rPr>
              <w:t xml:space="preserve"> a list of</w:t>
            </w:r>
            <w:r w:rsidR="00405B55">
              <w:rPr>
                <w:rFonts w:ascii="Goudy Old Style" w:eastAsia="Times New Roman" w:hAnsi="Goudy Old Style" w:cs="Calibri"/>
                <w:sz w:val="20"/>
                <w:szCs w:val="20"/>
                <w:lang w:eastAsia="en-ID"/>
              </w:rPr>
              <w:t xml:space="preserve"> </w:t>
            </w:r>
            <w:r w:rsidR="00405B55" w:rsidRPr="00C6243A">
              <w:rPr>
                <w:rFonts w:ascii="Goudy Old Style" w:eastAsia="Times New Roman" w:hAnsi="Goudy Old Style" w:cs="Calibri"/>
                <w:sz w:val="20"/>
                <w:szCs w:val="20"/>
                <w:lang w:eastAsia="en-ID"/>
              </w:rPr>
              <w:t>bankrupt</w:t>
            </w:r>
            <w:r w:rsidR="00405B55">
              <w:rPr>
                <w:rFonts w:ascii="Goudy Old Style" w:eastAsia="Times New Roman" w:hAnsi="Goudy Old Style" w:cs="Calibri"/>
                <w:sz w:val="20"/>
                <w:szCs w:val="20"/>
                <w:lang w:eastAsia="en-ID"/>
              </w:rPr>
              <w:t>cy</w:t>
            </w:r>
            <w:r>
              <w:rPr>
                <w:rFonts w:ascii="Goudy Old Style" w:eastAsia="Times New Roman" w:hAnsi="Goudy Old Style" w:cs="Calibri"/>
                <w:sz w:val="20"/>
                <w:szCs w:val="20"/>
                <w:lang w:eastAsia="en-ID"/>
              </w:rPr>
              <w:t xml:space="preserve"> </w:t>
            </w:r>
            <w:r w:rsidR="00405B55" w:rsidRPr="00C6243A">
              <w:rPr>
                <w:rFonts w:ascii="Goudy Old Style" w:eastAsia="Times New Roman" w:hAnsi="Goudy Old Style" w:cs="Calibri"/>
                <w:sz w:val="20"/>
                <w:szCs w:val="20"/>
                <w:lang w:eastAsia="en-ID"/>
              </w:rPr>
              <w:t>assets</w:t>
            </w:r>
            <w:r w:rsidR="00405B55">
              <w:rPr>
                <w:rFonts w:ascii="Goudy Old Style" w:eastAsia="Times New Roman" w:hAnsi="Goudy Old Style" w:cs="Calibri"/>
                <w:sz w:val="20"/>
                <w:szCs w:val="20"/>
                <w:lang w:eastAsia="en-ID"/>
              </w:rPr>
              <w:t xml:space="preserve"> to be submitted to </w:t>
            </w:r>
            <w:r w:rsidR="00405B55" w:rsidRPr="00C6243A">
              <w:rPr>
                <w:rFonts w:ascii="Goudy Old Style" w:eastAsia="Times New Roman" w:hAnsi="Goudy Old Style" w:cs="Calibri"/>
                <w:sz w:val="20"/>
                <w:szCs w:val="20"/>
                <w:lang w:eastAsia="en-ID"/>
              </w:rPr>
              <w:t>the supervis</w:t>
            </w:r>
            <w:r w:rsidR="00405B55">
              <w:rPr>
                <w:rFonts w:ascii="Goudy Old Style" w:eastAsia="Times New Roman" w:hAnsi="Goudy Old Style" w:cs="Calibri"/>
                <w:sz w:val="20"/>
                <w:szCs w:val="20"/>
                <w:lang w:eastAsia="en-ID"/>
              </w:rPr>
              <w:t>ing</w:t>
            </w:r>
            <w:r w:rsidR="00405B55" w:rsidRPr="00C6243A">
              <w:rPr>
                <w:rFonts w:ascii="Goudy Old Style" w:eastAsia="Times New Roman" w:hAnsi="Goudy Old Style" w:cs="Calibri"/>
                <w:sz w:val="20"/>
                <w:szCs w:val="20"/>
                <w:lang w:eastAsia="en-ID"/>
              </w:rPr>
              <w:t xml:space="preserve"> judge</w:t>
            </w:r>
            <w:r w:rsidR="00405B55">
              <w:rPr>
                <w:rFonts w:ascii="Goudy Old Style" w:eastAsia="Times New Roman" w:hAnsi="Goudy Old Style" w:cs="Calibri"/>
                <w:sz w:val="20"/>
                <w:szCs w:val="20"/>
                <w:lang w:eastAsia="en-ID"/>
              </w:rPr>
              <w:t xml:space="preserve"> </w:t>
            </w:r>
            <w:r w:rsidR="00895D1B">
              <w:rPr>
                <w:rFonts w:ascii="Goudy Old Style" w:eastAsia="Times New Roman" w:hAnsi="Goudy Old Style" w:cs="Calibri"/>
                <w:sz w:val="20"/>
                <w:szCs w:val="20"/>
                <w:lang w:eastAsia="en-ID"/>
              </w:rPr>
              <w:t xml:space="preserve">for </w:t>
            </w:r>
            <w:r w:rsidR="00405B55" w:rsidRPr="00C6243A">
              <w:rPr>
                <w:rFonts w:ascii="Goudy Old Style" w:eastAsia="Times New Roman" w:hAnsi="Goudy Old Style" w:cs="Calibri"/>
                <w:sz w:val="20"/>
                <w:szCs w:val="20"/>
                <w:lang w:eastAsia="en-ID"/>
              </w:rPr>
              <w:t>approva</w:t>
            </w:r>
            <w:r w:rsidR="00405B55">
              <w:rPr>
                <w:rFonts w:ascii="Goudy Old Style" w:eastAsia="Times New Roman" w:hAnsi="Goudy Old Style" w:cs="Calibri"/>
                <w:sz w:val="20"/>
                <w:szCs w:val="20"/>
                <w:lang w:eastAsia="en-ID"/>
              </w:rPr>
              <w:t>l</w:t>
            </w:r>
            <w:r>
              <w:rPr>
                <w:rFonts w:ascii="Goudy Old Style" w:eastAsia="Times New Roman" w:hAnsi="Goudy Old Style" w:cs="Calibri"/>
                <w:sz w:val="20"/>
                <w:szCs w:val="20"/>
                <w:lang w:eastAsia="en-ID"/>
              </w:rPr>
              <w:t>.</w:t>
            </w:r>
          </w:p>
        </w:tc>
        <w:tc>
          <w:tcPr>
            <w:tcW w:w="520" w:type="dxa"/>
            <w:shd w:val="clear" w:color="auto" w:fill="auto"/>
            <w:noWrap/>
            <w:vAlign w:val="center"/>
            <w:hideMark/>
          </w:tcPr>
          <w:p w14:paraId="6E6969BC"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5D0A49D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6EC03A6F"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5F8EB965"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016B4850"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0BC1D8C4"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26A5976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39AEBC66"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7F7E730C"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3110A1B9"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1081" w:type="dxa"/>
            <w:shd w:val="clear" w:color="auto" w:fill="auto"/>
            <w:noWrap/>
            <w:vAlign w:val="center"/>
            <w:hideMark/>
          </w:tcPr>
          <w:p w14:paraId="6619148A"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9</w:t>
            </w:r>
          </w:p>
        </w:tc>
      </w:tr>
      <w:tr w:rsidR="003F6965" w:rsidRPr="00210571" w14:paraId="367022BB" w14:textId="77777777" w:rsidTr="00BD3624">
        <w:trPr>
          <w:trHeight w:val="809"/>
        </w:trPr>
        <w:tc>
          <w:tcPr>
            <w:tcW w:w="2512" w:type="dxa"/>
            <w:shd w:val="clear" w:color="auto" w:fill="auto"/>
            <w:vAlign w:val="bottom"/>
            <w:hideMark/>
          </w:tcPr>
          <w:p w14:paraId="0DCFD3BD" w14:textId="1930CDA3" w:rsidR="003F6965" w:rsidRPr="00210571" w:rsidRDefault="00EE03FC" w:rsidP="00BD3624">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Calibri"/>
                <w:sz w:val="20"/>
                <w:szCs w:val="20"/>
                <w:lang w:eastAsia="en-ID"/>
              </w:rPr>
              <w:t>The curator c</w:t>
            </w:r>
            <w:r w:rsidR="00405B55" w:rsidRPr="00C6243A">
              <w:rPr>
                <w:rFonts w:ascii="Goudy Old Style" w:eastAsia="Times New Roman" w:hAnsi="Goudy Old Style" w:cs="Calibri"/>
                <w:sz w:val="20"/>
                <w:szCs w:val="20"/>
                <w:lang w:eastAsia="en-ID"/>
              </w:rPr>
              <w:t>onduct</w:t>
            </w:r>
            <w:r>
              <w:rPr>
                <w:rFonts w:ascii="Goudy Old Style" w:eastAsia="Times New Roman" w:hAnsi="Goudy Old Style" w:cs="Calibri"/>
                <w:sz w:val="20"/>
                <w:szCs w:val="20"/>
                <w:lang w:eastAsia="en-ID"/>
              </w:rPr>
              <w:t>s</w:t>
            </w:r>
            <w:r w:rsidR="00405B55" w:rsidRPr="00C6243A">
              <w:rPr>
                <w:rFonts w:ascii="Goudy Old Style" w:eastAsia="Times New Roman" w:hAnsi="Goudy Old Style" w:cs="Calibri"/>
                <w:sz w:val="20"/>
                <w:szCs w:val="20"/>
                <w:lang w:eastAsia="en-ID"/>
              </w:rPr>
              <w:t xml:space="preserve"> creditor meetings</w:t>
            </w:r>
            <w:r w:rsidR="00405B55">
              <w:rPr>
                <w:rFonts w:ascii="Goudy Old Style" w:eastAsia="Times New Roman" w:hAnsi="Goudy Old Style" w:cs="Calibri"/>
                <w:sz w:val="20"/>
                <w:szCs w:val="20"/>
                <w:lang w:eastAsia="en-ID"/>
              </w:rPr>
              <w:t xml:space="preserve"> </w:t>
            </w:r>
            <w:r w:rsidR="00405B55" w:rsidRPr="00C6243A">
              <w:rPr>
                <w:rFonts w:ascii="Goudy Old Style" w:eastAsia="Times New Roman" w:hAnsi="Goudy Old Style" w:cs="Calibri"/>
                <w:sz w:val="20"/>
                <w:szCs w:val="20"/>
                <w:lang w:eastAsia="en-ID"/>
              </w:rPr>
              <w:t xml:space="preserve">and </w:t>
            </w:r>
            <w:r w:rsidR="00405B55">
              <w:rPr>
                <w:rFonts w:ascii="Goudy Old Style" w:eastAsia="Times New Roman" w:hAnsi="Goudy Old Style" w:cs="Calibri"/>
                <w:sz w:val="20"/>
                <w:szCs w:val="20"/>
                <w:lang w:eastAsia="en-ID"/>
              </w:rPr>
              <w:t>debt validation</w:t>
            </w:r>
          </w:p>
        </w:tc>
        <w:tc>
          <w:tcPr>
            <w:tcW w:w="520" w:type="dxa"/>
            <w:shd w:val="clear" w:color="auto" w:fill="auto"/>
            <w:noWrap/>
            <w:vAlign w:val="center"/>
            <w:hideMark/>
          </w:tcPr>
          <w:p w14:paraId="78FAB813"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45749681"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24BEB865"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43B4B2E3"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063F9126"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4FB01ABF"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31FEF737"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1D5ECD0D"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58ED3DE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206D442E"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1081" w:type="dxa"/>
            <w:shd w:val="clear" w:color="auto" w:fill="auto"/>
            <w:noWrap/>
            <w:vAlign w:val="center"/>
            <w:hideMark/>
          </w:tcPr>
          <w:p w14:paraId="1ADD4A17"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8</w:t>
            </w:r>
          </w:p>
        </w:tc>
      </w:tr>
      <w:tr w:rsidR="003F6965" w:rsidRPr="00210571" w14:paraId="1DA3420A" w14:textId="77777777" w:rsidTr="00BD3624">
        <w:trPr>
          <w:trHeight w:val="800"/>
        </w:trPr>
        <w:tc>
          <w:tcPr>
            <w:tcW w:w="2512" w:type="dxa"/>
            <w:tcBorders>
              <w:bottom w:val="single" w:sz="4" w:space="0" w:color="auto"/>
            </w:tcBorders>
            <w:shd w:val="clear" w:color="auto" w:fill="auto"/>
            <w:vAlign w:val="bottom"/>
            <w:hideMark/>
          </w:tcPr>
          <w:p w14:paraId="06F139A0" w14:textId="4E9D788E" w:rsidR="003F6965" w:rsidRPr="00210571" w:rsidRDefault="00EE03FC" w:rsidP="00BD3624">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Calibri"/>
                <w:sz w:val="20"/>
                <w:szCs w:val="20"/>
                <w:lang w:eastAsia="en-ID"/>
              </w:rPr>
              <w:t>The curator c</w:t>
            </w:r>
            <w:r w:rsidR="00405B55">
              <w:rPr>
                <w:rFonts w:ascii="Goudy Old Style" w:eastAsia="Times New Roman" w:hAnsi="Goudy Old Style" w:cs="Calibri"/>
                <w:sz w:val="20"/>
                <w:szCs w:val="20"/>
                <w:lang w:eastAsia="en-ID"/>
              </w:rPr>
              <w:t>reat</w:t>
            </w:r>
            <w:r>
              <w:rPr>
                <w:rFonts w:ascii="Goudy Old Style" w:eastAsia="Times New Roman" w:hAnsi="Goudy Old Style" w:cs="Calibri"/>
                <w:sz w:val="20"/>
                <w:szCs w:val="20"/>
                <w:lang w:eastAsia="en-ID"/>
              </w:rPr>
              <w:t>es</w:t>
            </w:r>
            <w:r w:rsidR="00405B55">
              <w:rPr>
                <w:rFonts w:ascii="Goudy Old Style" w:eastAsia="Times New Roman" w:hAnsi="Goudy Old Style" w:cs="Calibri"/>
                <w:sz w:val="20"/>
                <w:szCs w:val="20"/>
                <w:lang w:eastAsia="en-ID"/>
              </w:rPr>
              <w:t xml:space="preserve"> </w:t>
            </w:r>
            <w:r w:rsidR="00405B55" w:rsidRPr="00C6243A">
              <w:rPr>
                <w:rFonts w:ascii="Goudy Old Style" w:eastAsia="Times New Roman" w:hAnsi="Goudy Old Style" w:cs="Calibri"/>
                <w:sz w:val="20"/>
                <w:szCs w:val="20"/>
                <w:lang w:eastAsia="en-ID"/>
              </w:rPr>
              <w:t xml:space="preserve">a list of </w:t>
            </w:r>
            <w:r w:rsidR="00405B55">
              <w:rPr>
                <w:rFonts w:ascii="Goudy Old Style" w:eastAsia="Times New Roman" w:hAnsi="Goudy Old Style" w:cs="Calibri"/>
                <w:sz w:val="20"/>
                <w:szCs w:val="20"/>
                <w:lang w:eastAsia="en-ID"/>
              </w:rPr>
              <w:t>acknowledged</w:t>
            </w:r>
            <w:r w:rsidR="00405B55" w:rsidRPr="00C6243A">
              <w:rPr>
                <w:rFonts w:ascii="Goudy Old Style" w:eastAsia="Times New Roman" w:hAnsi="Goudy Old Style" w:cs="Calibri"/>
                <w:sz w:val="20"/>
                <w:szCs w:val="20"/>
                <w:lang w:eastAsia="en-ID"/>
              </w:rPr>
              <w:t xml:space="preserve"> receivables and temporarily </w:t>
            </w:r>
            <w:r w:rsidR="00405B55">
              <w:rPr>
                <w:rFonts w:ascii="Goudy Old Style" w:eastAsia="Times New Roman" w:hAnsi="Goudy Old Style" w:cs="Calibri"/>
                <w:sz w:val="20"/>
                <w:szCs w:val="20"/>
                <w:lang w:eastAsia="en-ID"/>
              </w:rPr>
              <w:t>acknowledged</w:t>
            </w:r>
            <w:r>
              <w:rPr>
                <w:rFonts w:ascii="Goudy Old Style" w:eastAsia="Times New Roman" w:hAnsi="Goudy Old Style" w:cs="Calibri"/>
                <w:sz w:val="20"/>
                <w:szCs w:val="20"/>
                <w:lang w:eastAsia="en-ID"/>
              </w:rPr>
              <w:t xml:space="preserve"> </w:t>
            </w:r>
            <w:r w:rsidR="00405B55" w:rsidRPr="00C6243A">
              <w:rPr>
                <w:rFonts w:ascii="Goudy Old Style" w:eastAsia="Times New Roman" w:hAnsi="Goudy Old Style" w:cs="Calibri"/>
                <w:sz w:val="20"/>
                <w:szCs w:val="20"/>
                <w:lang w:eastAsia="en-ID"/>
              </w:rPr>
              <w:t>receivables</w:t>
            </w:r>
          </w:p>
        </w:tc>
        <w:tc>
          <w:tcPr>
            <w:tcW w:w="520" w:type="dxa"/>
            <w:tcBorders>
              <w:bottom w:val="single" w:sz="4" w:space="0" w:color="auto"/>
            </w:tcBorders>
            <w:shd w:val="clear" w:color="auto" w:fill="auto"/>
            <w:noWrap/>
            <w:vAlign w:val="center"/>
            <w:hideMark/>
          </w:tcPr>
          <w:p w14:paraId="6F3C72DC"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94" w:type="dxa"/>
            <w:tcBorders>
              <w:bottom w:val="single" w:sz="4" w:space="0" w:color="auto"/>
            </w:tcBorders>
            <w:shd w:val="clear" w:color="auto" w:fill="auto"/>
            <w:noWrap/>
            <w:vAlign w:val="center"/>
            <w:hideMark/>
          </w:tcPr>
          <w:p w14:paraId="7D0F438D"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87" w:type="dxa"/>
            <w:tcBorders>
              <w:bottom w:val="single" w:sz="4" w:space="0" w:color="auto"/>
            </w:tcBorders>
            <w:shd w:val="clear" w:color="auto" w:fill="auto"/>
            <w:noWrap/>
            <w:vAlign w:val="center"/>
            <w:hideMark/>
          </w:tcPr>
          <w:p w14:paraId="4D9F6C23"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46" w:type="dxa"/>
            <w:tcBorders>
              <w:bottom w:val="single" w:sz="4" w:space="0" w:color="auto"/>
            </w:tcBorders>
            <w:shd w:val="clear" w:color="auto" w:fill="auto"/>
            <w:noWrap/>
            <w:vAlign w:val="center"/>
            <w:hideMark/>
          </w:tcPr>
          <w:p w14:paraId="7804548D"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592C9D42"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1F99C685"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6" w:type="dxa"/>
            <w:tcBorders>
              <w:bottom w:val="single" w:sz="4" w:space="0" w:color="auto"/>
            </w:tcBorders>
            <w:shd w:val="clear" w:color="auto" w:fill="auto"/>
            <w:noWrap/>
            <w:vAlign w:val="center"/>
            <w:hideMark/>
          </w:tcPr>
          <w:p w14:paraId="6961921D"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553" w:type="dxa"/>
            <w:tcBorders>
              <w:bottom w:val="single" w:sz="4" w:space="0" w:color="auto"/>
            </w:tcBorders>
            <w:shd w:val="clear" w:color="auto" w:fill="auto"/>
            <w:noWrap/>
            <w:vAlign w:val="center"/>
            <w:hideMark/>
          </w:tcPr>
          <w:p w14:paraId="5F2F4C68"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349324DF"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0BFA58DB"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w:t>
            </w:r>
          </w:p>
        </w:tc>
        <w:tc>
          <w:tcPr>
            <w:tcW w:w="1081" w:type="dxa"/>
            <w:tcBorders>
              <w:bottom w:val="single" w:sz="4" w:space="0" w:color="auto"/>
            </w:tcBorders>
            <w:shd w:val="clear" w:color="auto" w:fill="auto"/>
            <w:noWrap/>
            <w:vAlign w:val="center"/>
            <w:hideMark/>
          </w:tcPr>
          <w:p w14:paraId="1E2F74DF" w14:textId="77777777" w:rsidR="003F6965" w:rsidRPr="00210571" w:rsidRDefault="003F6965" w:rsidP="002A69EE">
            <w:pPr>
              <w:spacing w:after="0" w:line="240" w:lineRule="auto"/>
              <w:jc w:val="center"/>
              <w:rPr>
                <w:rFonts w:ascii="Goudy Old Style" w:eastAsia="Times New Roman" w:hAnsi="Goudy Old Style" w:cstheme="minorHAnsi"/>
                <w:color w:val="000000"/>
                <w:sz w:val="20"/>
                <w:szCs w:val="20"/>
              </w:rPr>
            </w:pPr>
            <w:r w:rsidRPr="00210571">
              <w:rPr>
                <w:rFonts w:ascii="Goudy Old Style" w:eastAsia="Times New Roman" w:hAnsi="Goudy Old Style" w:cstheme="minorHAnsi"/>
                <w:color w:val="000000"/>
                <w:sz w:val="20"/>
                <w:szCs w:val="20"/>
              </w:rPr>
              <w:t>7</w:t>
            </w:r>
          </w:p>
        </w:tc>
      </w:tr>
    </w:tbl>
    <w:p w14:paraId="1B2947DC" w14:textId="09230678" w:rsidR="003F6965" w:rsidRPr="00210571" w:rsidRDefault="000A644D" w:rsidP="00BD3624">
      <w:pPr>
        <w:pStyle w:val="ListParagraph"/>
        <w:spacing w:after="0" w:line="240" w:lineRule="auto"/>
        <w:ind w:left="90"/>
        <w:rPr>
          <w:rFonts w:ascii="Goudy Old Style" w:hAnsi="Goudy Old Style" w:cstheme="minorHAnsi"/>
          <w:sz w:val="20"/>
          <w:szCs w:val="20"/>
        </w:rPr>
      </w:pPr>
      <w:r>
        <w:rPr>
          <w:rFonts w:ascii="Goudy Old Style" w:eastAsia="Times New Roman" w:hAnsi="Goudy Old Style" w:cstheme="minorHAnsi"/>
          <w:color w:val="000000"/>
          <w:sz w:val="20"/>
          <w:szCs w:val="20"/>
        </w:rPr>
        <w:t>Where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Agree</w:t>
      </w:r>
      <w:r w:rsidRPr="00F1130D">
        <w:rPr>
          <w:rFonts w:ascii="Goudy Old Style" w:eastAsia="Times New Roman" w:hAnsi="Goudy Old Style" w:cstheme="minorHAnsi"/>
          <w:color w:val="000000"/>
          <w:sz w:val="20"/>
          <w:szCs w:val="20"/>
        </w:rPr>
        <w:t xml:space="preserve">, X = </w:t>
      </w:r>
      <w:r>
        <w:rPr>
          <w:rFonts w:ascii="Goudy Old Style" w:eastAsia="Times New Roman" w:hAnsi="Goudy Old Style" w:cstheme="minorHAnsi"/>
          <w:color w:val="000000"/>
          <w:sz w:val="20"/>
          <w:szCs w:val="20"/>
        </w:rPr>
        <w:t>Disagree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Not Stating</w:t>
      </w:r>
    </w:p>
    <w:p w14:paraId="20B8D589" w14:textId="2854B738" w:rsidR="003F6965" w:rsidRPr="0010786A" w:rsidRDefault="003F6965" w:rsidP="00BD3624">
      <w:pPr>
        <w:pStyle w:val="ListParagraph"/>
        <w:spacing w:before="120" w:after="0" w:line="240" w:lineRule="auto"/>
        <w:ind w:left="0"/>
        <w:contextualSpacing w:val="0"/>
        <w:jc w:val="center"/>
        <w:rPr>
          <w:rFonts w:ascii="Goudy Old Style" w:hAnsi="Goudy Old Style" w:cstheme="minorHAnsi"/>
          <w:b/>
          <w:bCs/>
          <w:sz w:val="20"/>
          <w:szCs w:val="20"/>
        </w:rPr>
      </w:pPr>
      <w:r w:rsidRPr="0010786A">
        <w:rPr>
          <w:rFonts w:ascii="Goudy Old Style" w:hAnsi="Goudy Old Style" w:cstheme="minorHAnsi"/>
          <w:b/>
          <w:bCs/>
          <w:sz w:val="20"/>
          <w:szCs w:val="20"/>
        </w:rPr>
        <w:t>Tab</w:t>
      </w:r>
      <w:r w:rsidR="000F6E7B">
        <w:rPr>
          <w:rFonts w:ascii="Goudy Old Style" w:hAnsi="Goudy Old Style" w:cstheme="minorHAnsi"/>
          <w:b/>
          <w:bCs/>
          <w:sz w:val="20"/>
          <w:szCs w:val="20"/>
        </w:rPr>
        <w:t>le</w:t>
      </w:r>
      <w:r w:rsidRPr="0010786A">
        <w:rPr>
          <w:rFonts w:ascii="Goudy Old Style" w:hAnsi="Goudy Old Style" w:cstheme="minorHAnsi"/>
          <w:b/>
          <w:bCs/>
          <w:sz w:val="20"/>
          <w:szCs w:val="20"/>
        </w:rPr>
        <w:t xml:space="preserve"> 6. </w:t>
      </w:r>
      <w:r w:rsidR="000F6E7B">
        <w:rPr>
          <w:rFonts w:ascii="Goudy Old Style" w:hAnsi="Goudy Old Style" w:cstheme="minorHAnsi"/>
          <w:b/>
          <w:bCs/>
          <w:sz w:val="20"/>
          <w:szCs w:val="20"/>
        </w:rPr>
        <w:t>Settlement of Bankruptcy Assets</w:t>
      </w:r>
    </w:p>
    <w:tbl>
      <w:tblPr>
        <w:tblW w:w="8601" w:type="dxa"/>
        <w:tblInd w:w="108" w:type="dxa"/>
        <w:tblLook w:val="04A0" w:firstRow="1" w:lastRow="0" w:firstColumn="1" w:lastColumn="0" w:noHBand="0" w:noVBand="1"/>
      </w:tblPr>
      <w:tblGrid>
        <w:gridCol w:w="2520"/>
        <w:gridCol w:w="520"/>
        <w:gridCol w:w="494"/>
        <w:gridCol w:w="487"/>
        <w:gridCol w:w="546"/>
        <w:gridCol w:w="461"/>
        <w:gridCol w:w="461"/>
        <w:gridCol w:w="556"/>
        <w:gridCol w:w="553"/>
        <w:gridCol w:w="461"/>
        <w:gridCol w:w="461"/>
        <w:gridCol w:w="1081"/>
      </w:tblGrid>
      <w:tr w:rsidR="003F6965" w:rsidRPr="0010786A" w14:paraId="001B8A33" w14:textId="77777777" w:rsidTr="00BD3624">
        <w:trPr>
          <w:trHeight w:val="300"/>
        </w:trPr>
        <w:tc>
          <w:tcPr>
            <w:tcW w:w="2520" w:type="dxa"/>
            <w:vMerge w:val="restart"/>
            <w:tcBorders>
              <w:top w:val="single" w:sz="4" w:space="0" w:color="auto"/>
              <w:bottom w:val="single" w:sz="4" w:space="0" w:color="auto"/>
            </w:tcBorders>
            <w:shd w:val="clear" w:color="auto" w:fill="auto"/>
            <w:noWrap/>
            <w:vAlign w:val="center"/>
            <w:hideMark/>
          </w:tcPr>
          <w:p w14:paraId="6DE4BD49" w14:textId="3E6840A4"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Indi</w:t>
            </w:r>
            <w:r w:rsidR="000F6E7B">
              <w:rPr>
                <w:rFonts w:ascii="Goudy Old Style" w:eastAsia="Times New Roman" w:hAnsi="Goudy Old Style" w:cstheme="minorHAnsi"/>
                <w:b/>
                <w:bCs/>
                <w:color w:val="000000"/>
                <w:sz w:val="20"/>
                <w:szCs w:val="20"/>
              </w:rPr>
              <w:t>c</w:t>
            </w:r>
            <w:r w:rsidRPr="0010786A">
              <w:rPr>
                <w:rFonts w:ascii="Goudy Old Style" w:eastAsia="Times New Roman" w:hAnsi="Goudy Old Style" w:cstheme="minorHAnsi"/>
                <w:b/>
                <w:bCs/>
                <w:color w:val="000000"/>
                <w:sz w:val="20"/>
                <w:szCs w:val="20"/>
              </w:rPr>
              <w:t>ator</w:t>
            </w:r>
            <w:r w:rsidR="000F6E7B">
              <w:rPr>
                <w:rFonts w:ascii="Goudy Old Style" w:eastAsia="Times New Roman" w:hAnsi="Goudy Old Style" w:cstheme="minorHAnsi"/>
                <w:b/>
                <w:bCs/>
                <w:color w:val="000000"/>
                <w:sz w:val="20"/>
                <w:szCs w:val="20"/>
              </w:rPr>
              <w:t>s</w:t>
            </w:r>
          </w:p>
        </w:tc>
        <w:tc>
          <w:tcPr>
            <w:tcW w:w="5000" w:type="dxa"/>
            <w:gridSpan w:val="10"/>
            <w:tcBorders>
              <w:top w:val="single" w:sz="4" w:space="0" w:color="auto"/>
              <w:bottom w:val="single" w:sz="4" w:space="0" w:color="auto"/>
            </w:tcBorders>
            <w:shd w:val="clear" w:color="auto" w:fill="auto"/>
            <w:noWrap/>
            <w:vAlign w:val="bottom"/>
            <w:hideMark/>
          </w:tcPr>
          <w:p w14:paraId="7B3E9586" w14:textId="3DFAA82A"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Informan</w:t>
            </w:r>
            <w:r w:rsidR="000F6E7B">
              <w:rPr>
                <w:rFonts w:ascii="Goudy Old Style" w:eastAsia="Times New Roman" w:hAnsi="Goudy Old Style" w:cstheme="minorHAnsi"/>
                <w:b/>
                <w:bCs/>
                <w:color w:val="000000"/>
                <w:sz w:val="20"/>
                <w:szCs w:val="20"/>
              </w:rPr>
              <w:t>ts</w:t>
            </w:r>
          </w:p>
        </w:tc>
        <w:tc>
          <w:tcPr>
            <w:tcW w:w="1081" w:type="dxa"/>
            <w:vMerge w:val="restart"/>
            <w:tcBorders>
              <w:top w:val="single" w:sz="4" w:space="0" w:color="auto"/>
              <w:bottom w:val="single" w:sz="4" w:space="0" w:color="auto"/>
            </w:tcBorders>
            <w:shd w:val="clear" w:color="auto" w:fill="auto"/>
            <w:noWrap/>
            <w:vAlign w:val="center"/>
            <w:hideMark/>
          </w:tcPr>
          <w:p w14:paraId="2AFB2733" w14:textId="12F2FAE0"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Fre</w:t>
            </w:r>
            <w:r w:rsidR="000F6E7B">
              <w:rPr>
                <w:rFonts w:ascii="Goudy Old Style" w:eastAsia="Times New Roman" w:hAnsi="Goudy Old Style" w:cstheme="minorHAnsi"/>
                <w:b/>
                <w:bCs/>
                <w:color w:val="000000"/>
                <w:sz w:val="20"/>
                <w:szCs w:val="20"/>
              </w:rPr>
              <w:t>quency</w:t>
            </w:r>
          </w:p>
        </w:tc>
      </w:tr>
      <w:tr w:rsidR="003F6965" w:rsidRPr="0010786A" w14:paraId="2B800B03" w14:textId="77777777" w:rsidTr="00BD3624">
        <w:trPr>
          <w:trHeight w:val="300"/>
        </w:trPr>
        <w:tc>
          <w:tcPr>
            <w:tcW w:w="2520" w:type="dxa"/>
            <w:vMerge/>
            <w:tcBorders>
              <w:top w:val="single" w:sz="4" w:space="0" w:color="auto"/>
              <w:bottom w:val="single" w:sz="4" w:space="0" w:color="auto"/>
            </w:tcBorders>
            <w:vAlign w:val="center"/>
            <w:hideMark/>
          </w:tcPr>
          <w:p w14:paraId="3B91829F" w14:textId="77777777" w:rsidR="003F6965" w:rsidRPr="0010786A" w:rsidRDefault="003F6965" w:rsidP="002A69EE">
            <w:pPr>
              <w:spacing w:after="0" w:line="240" w:lineRule="auto"/>
              <w:rPr>
                <w:rFonts w:ascii="Goudy Old Style" w:eastAsia="Times New Roman" w:hAnsi="Goudy Old Style" w:cstheme="minorHAnsi"/>
                <w:color w:val="000000"/>
                <w:sz w:val="20"/>
                <w:szCs w:val="20"/>
              </w:rPr>
            </w:pPr>
          </w:p>
        </w:tc>
        <w:tc>
          <w:tcPr>
            <w:tcW w:w="520" w:type="dxa"/>
            <w:tcBorders>
              <w:top w:val="single" w:sz="4" w:space="0" w:color="auto"/>
              <w:bottom w:val="single" w:sz="4" w:space="0" w:color="auto"/>
            </w:tcBorders>
            <w:shd w:val="clear" w:color="auto" w:fill="auto"/>
            <w:noWrap/>
            <w:vAlign w:val="bottom"/>
            <w:hideMark/>
          </w:tcPr>
          <w:p w14:paraId="584CDB2A"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A</w:t>
            </w:r>
          </w:p>
        </w:tc>
        <w:tc>
          <w:tcPr>
            <w:tcW w:w="494" w:type="dxa"/>
            <w:tcBorders>
              <w:top w:val="single" w:sz="4" w:space="0" w:color="auto"/>
              <w:bottom w:val="single" w:sz="4" w:space="0" w:color="auto"/>
            </w:tcBorders>
            <w:shd w:val="clear" w:color="auto" w:fill="auto"/>
            <w:noWrap/>
            <w:vAlign w:val="bottom"/>
            <w:hideMark/>
          </w:tcPr>
          <w:p w14:paraId="1780B479"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B</w:t>
            </w:r>
          </w:p>
        </w:tc>
        <w:tc>
          <w:tcPr>
            <w:tcW w:w="487" w:type="dxa"/>
            <w:tcBorders>
              <w:top w:val="single" w:sz="4" w:space="0" w:color="auto"/>
              <w:bottom w:val="single" w:sz="4" w:space="0" w:color="auto"/>
            </w:tcBorders>
            <w:shd w:val="clear" w:color="auto" w:fill="auto"/>
            <w:noWrap/>
            <w:vAlign w:val="bottom"/>
            <w:hideMark/>
          </w:tcPr>
          <w:p w14:paraId="3F98541C"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C</w:t>
            </w:r>
          </w:p>
        </w:tc>
        <w:tc>
          <w:tcPr>
            <w:tcW w:w="546" w:type="dxa"/>
            <w:tcBorders>
              <w:top w:val="single" w:sz="4" w:space="0" w:color="auto"/>
              <w:bottom w:val="single" w:sz="4" w:space="0" w:color="auto"/>
            </w:tcBorders>
            <w:shd w:val="clear" w:color="auto" w:fill="auto"/>
            <w:noWrap/>
            <w:vAlign w:val="bottom"/>
            <w:hideMark/>
          </w:tcPr>
          <w:p w14:paraId="51DF7AF5"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D</w:t>
            </w:r>
          </w:p>
        </w:tc>
        <w:tc>
          <w:tcPr>
            <w:tcW w:w="461" w:type="dxa"/>
            <w:tcBorders>
              <w:top w:val="single" w:sz="4" w:space="0" w:color="auto"/>
              <w:bottom w:val="single" w:sz="4" w:space="0" w:color="auto"/>
            </w:tcBorders>
            <w:shd w:val="clear" w:color="auto" w:fill="auto"/>
            <w:noWrap/>
            <w:vAlign w:val="bottom"/>
            <w:hideMark/>
          </w:tcPr>
          <w:p w14:paraId="057CD91B"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E</w:t>
            </w:r>
          </w:p>
        </w:tc>
        <w:tc>
          <w:tcPr>
            <w:tcW w:w="461" w:type="dxa"/>
            <w:tcBorders>
              <w:top w:val="single" w:sz="4" w:space="0" w:color="auto"/>
              <w:bottom w:val="single" w:sz="4" w:space="0" w:color="auto"/>
            </w:tcBorders>
            <w:shd w:val="clear" w:color="auto" w:fill="auto"/>
            <w:noWrap/>
            <w:vAlign w:val="bottom"/>
            <w:hideMark/>
          </w:tcPr>
          <w:p w14:paraId="21A19AF5"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F</w:t>
            </w:r>
          </w:p>
        </w:tc>
        <w:tc>
          <w:tcPr>
            <w:tcW w:w="556" w:type="dxa"/>
            <w:tcBorders>
              <w:top w:val="single" w:sz="4" w:space="0" w:color="auto"/>
              <w:bottom w:val="single" w:sz="4" w:space="0" w:color="auto"/>
            </w:tcBorders>
            <w:shd w:val="clear" w:color="auto" w:fill="auto"/>
            <w:noWrap/>
            <w:vAlign w:val="bottom"/>
            <w:hideMark/>
          </w:tcPr>
          <w:p w14:paraId="4FC25AAE"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G</w:t>
            </w:r>
          </w:p>
        </w:tc>
        <w:tc>
          <w:tcPr>
            <w:tcW w:w="553" w:type="dxa"/>
            <w:tcBorders>
              <w:top w:val="single" w:sz="4" w:space="0" w:color="auto"/>
              <w:bottom w:val="single" w:sz="4" w:space="0" w:color="auto"/>
            </w:tcBorders>
            <w:shd w:val="clear" w:color="auto" w:fill="auto"/>
            <w:noWrap/>
            <w:vAlign w:val="bottom"/>
            <w:hideMark/>
          </w:tcPr>
          <w:p w14:paraId="6E1DAF75"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H</w:t>
            </w:r>
          </w:p>
        </w:tc>
        <w:tc>
          <w:tcPr>
            <w:tcW w:w="461" w:type="dxa"/>
            <w:tcBorders>
              <w:top w:val="single" w:sz="4" w:space="0" w:color="auto"/>
              <w:bottom w:val="single" w:sz="4" w:space="0" w:color="auto"/>
            </w:tcBorders>
            <w:shd w:val="clear" w:color="auto" w:fill="auto"/>
            <w:noWrap/>
            <w:vAlign w:val="bottom"/>
            <w:hideMark/>
          </w:tcPr>
          <w:p w14:paraId="03E10B13"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I</w:t>
            </w:r>
          </w:p>
        </w:tc>
        <w:tc>
          <w:tcPr>
            <w:tcW w:w="461" w:type="dxa"/>
            <w:tcBorders>
              <w:top w:val="single" w:sz="4" w:space="0" w:color="auto"/>
              <w:bottom w:val="single" w:sz="4" w:space="0" w:color="auto"/>
            </w:tcBorders>
            <w:shd w:val="clear" w:color="auto" w:fill="auto"/>
            <w:noWrap/>
            <w:vAlign w:val="bottom"/>
            <w:hideMark/>
          </w:tcPr>
          <w:p w14:paraId="6B729D35" w14:textId="77777777" w:rsidR="003F6965" w:rsidRPr="0010786A" w:rsidRDefault="003F6965"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J</w:t>
            </w:r>
          </w:p>
        </w:tc>
        <w:tc>
          <w:tcPr>
            <w:tcW w:w="1081" w:type="dxa"/>
            <w:vMerge/>
            <w:tcBorders>
              <w:top w:val="single" w:sz="4" w:space="0" w:color="auto"/>
              <w:bottom w:val="single" w:sz="4" w:space="0" w:color="auto"/>
            </w:tcBorders>
            <w:vAlign w:val="center"/>
            <w:hideMark/>
          </w:tcPr>
          <w:p w14:paraId="2705FB22" w14:textId="77777777" w:rsidR="003F6965" w:rsidRPr="0010786A" w:rsidRDefault="003F6965" w:rsidP="002A69EE">
            <w:pPr>
              <w:spacing w:after="0" w:line="240" w:lineRule="auto"/>
              <w:rPr>
                <w:rFonts w:ascii="Goudy Old Style" w:eastAsia="Times New Roman" w:hAnsi="Goudy Old Style" w:cstheme="minorHAnsi"/>
                <w:color w:val="000000"/>
                <w:sz w:val="20"/>
                <w:szCs w:val="20"/>
              </w:rPr>
            </w:pPr>
          </w:p>
        </w:tc>
      </w:tr>
      <w:tr w:rsidR="00125431" w:rsidRPr="0010786A" w14:paraId="7D9ABECD" w14:textId="77777777" w:rsidTr="00BD3624">
        <w:trPr>
          <w:trHeight w:val="476"/>
        </w:trPr>
        <w:tc>
          <w:tcPr>
            <w:tcW w:w="2520" w:type="dxa"/>
            <w:tcBorders>
              <w:top w:val="single" w:sz="4" w:space="0" w:color="auto"/>
            </w:tcBorders>
            <w:shd w:val="clear" w:color="auto" w:fill="auto"/>
            <w:vAlign w:val="bottom"/>
            <w:hideMark/>
          </w:tcPr>
          <w:p w14:paraId="6A334CC0" w14:textId="0A26C6FE" w:rsidR="00125431" w:rsidRPr="0010786A" w:rsidRDefault="00125431" w:rsidP="00125431">
            <w:pPr>
              <w:spacing w:after="0" w:line="240" w:lineRule="auto"/>
              <w:jc w:val="both"/>
              <w:rPr>
                <w:rFonts w:ascii="Goudy Old Style" w:eastAsia="Times New Roman" w:hAnsi="Goudy Old Style" w:cstheme="minorHAnsi"/>
                <w:color w:val="000000"/>
                <w:sz w:val="20"/>
                <w:szCs w:val="20"/>
              </w:rPr>
            </w:pPr>
            <w:r w:rsidRPr="00C6243A">
              <w:rPr>
                <w:rFonts w:ascii="Goudy Old Style" w:eastAsia="Times New Roman" w:hAnsi="Goudy Old Style" w:cs="Calibri"/>
                <w:sz w:val="20"/>
                <w:szCs w:val="20"/>
                <w:lang w:eastAsia="en-ID"/>
              </w:rPr>
              <w:t xml:space="preserve">The curator </w:t>
            </w:r>
            <w:r>
              <w:rPr>
                <w:rFonts w:ascii="Goudy Old Style" w:eastAsia="Times New Roman" w:hAnsi="Goudy Old Style" w:cs="Calibri"/>
                <w:sz w:val="20"/>
                <w:szCs w:val="20"/>
                <w:lang w:eastAsia="en-ID"/>
              </w:rPr>
              <w:t xml:space="preserve">creates </w:t>
            </w:r>
            <w:r w:rsidRPr="00C6243A">
              <w:rPr>
                <w:rFonts w:ascii="Goudy Old Style" w:eastAsia="Times New Roman" w:hAnsi="Goudy Old Style" w:cs="Calibri"/>
                <w:sz w:val="20"/>
                <w:szCs w:val="20"/>
                <w:lang w:eastAsia="en-ID"/>
              </w:rPr>
              <w:t>a list of bankrupt</w:t>
            </w:r>
            <w:r>
              <w:rPr>
                <w:rFonts w:ascii="Goudy Old Style" w:eastAsia="Times New Roman" w:hAnsi="Goudy Old Style" w:cs="Calibri"/>
                <w:sz w:val="20"/>
                <w:szCs w:val="20"/>
                <w:lang w:eastAsia="en-ID"/>
              </w:rPr>
              <w:t>cy</w:t>
            </w:r>
            <w:r w:rsidRPr="00C6243A">
              <w:rPr>
                <w:rFonts w:ascii="Goudy Old Style" w:eastAsia="Times New Roman" w:hAnsi="Goudy Old Style" w:cs="Calibri"/>
                <w:sz w:val="20"/>
                <w:szCs w:val="20"/>
                <w:lang w:eastAsia="en-ID"/>
              </w:rPr>
              <w:t xml:space="preserve"> assets</w:t>
            </w:r>
            <w:r w:rsidR="00EE03FC">
              <w:rPr>
                <w:rFonts w:ascii="Goudy Old Style" w:eastAsia="Times New Roman" w:hAnsi="Goudy Old Style" w:cs="Calibri"/>
                <w:sz w:val="20"/>
                <w:szCs w:val="20"/>
                <w:lang w:eastAsia="en-ID"/>
              </w:rPr>
              <w:t>.</w:t>
            </w:r>
          </w:p>
        </w:tc>
        <w:tc>
          <w:tcPr>
            <w:tcW w:w="520" w:type="dxa"/>
            <w:tcBorders>
              <w:top w:val="single" w:sz="4" w:space="0" w:color="auto"/>
            </w:tcBorders>
            <w:shd w:val="clear" w:color="auto" w:fill="auto"/>
            <w:noWrap/>
            <w:vAlign w:val="center"/>
            <w:hideMark/>
          </w:tcPr>
          <w:p w14:paraId="4D1459B6"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94" w:type="dxa"/>
            <w:tcBorders>
              <w:top w:val="single" w:sz="4" w:space="0" w:color="auto"/>
            </w:tcBorders>
            <w:shd w:val="clear" w:color="auto" w:fill="auto"/>
            <w:noWrap/>
            <w:vAlign w:val="center"/>
            <w:hideMark/>
          </w:tcPr>
          <w:p w14:paraId="20C26D8A"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87" w:type="dxa"/>
            <w:tcBorders>
              <w:top w:val="single" w:sz="4" w:space="0" w:color="auto"/>
            </w:tcBorders>
            <w:shd w:val="clear" w:color="auto" w:fill="auto"/>
            <w:noWrap/>
            <w:vAlign w:val="center"/>
            <w:hideMark/>
          </w:tcPr>
          <w:p w14:paraId="5DF1197A"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46" w:type="dxa"/>
            <w:tcBorders>
              <w:top w:val="single" w:sz="4" w:space="0" w:color="auto"/>
            </w:tcBorders>
            <w:shd w:val="clear" w:color="auto" w:fill="auto"/>
            <w:noWrap/>
            <w:vAlign w:val="center"/>
            <w:hideMark/>
          </w:tcPr>
          <w:p w14:paraId="056B4F11"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00C4E851"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1D111430"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6" w:type="dxa"/>
            <w:tcBorders>
              <w:top w:val="single" w:sz="4" w:space="0" w:color="auto"/>
            </w:tcBorders>
            <w:shd w:val="clear" w:color="auto" w:fill="auto"/>
            <w:noWrap/>
            <w:vAlign w:val="center"/>
            <w:hideMark/>
          </w:tcPr>
          <w:p w14:paraId="33404816"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3" w:type="dxa"/>
            <w:tcBorders>
              <w:top w:val="single" w:sz="4" w:space="0" w:color="auto"/>
            </w:tcBorders>
            <w:shd w:val="clear" w:color="auto" w:fill="auto"/>
            <w:noWrap/>
            <w:vAlign w:val="center"/>
            <w:hideMark/>
          </w:tcPr>
          <w:p w14:paraId="441A4062"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3E24BD44"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tcBorders>
              <w:top w:val="single" w:sz="4" w:space="0" w:color="auto"/>
            </w:tcBorders>
            <w:shd w:val="clear" w:color="auto" w:fill="auto"/>
            <w:noWrap/>
            <w:vAlign w:val="center"/>
            <w:hideMark/>
          </w:tcPr>
          <w:p w14:paraId="227DAAC7"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1081" w:type="dxa"/>
            <w:tcBorders>
              <w:top w:val="single" w:sz="4" w:space="0" w:color="auto"/>
            </w:tcBorders>
            <w:shd w:val="clear" w:color="auto" w:fill="auto"/>
            <w:noWrap/>
            <w:vAlign w:val="center"/>
            <w:hideMark/>
          </w:tcPr>
          <w:p w14:paraId="4A0D5C4C"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9</w:t>
            </w:r>
          </w:p>
        </w:tc>
      </w:tr>
      <w:tr w:rsidR="00125431" w:rsidRPr="0010786A" w14:paraId="41F8FEFE" w14:textId="77777777" w:rsidTr="00BD3624">
        <w:trPr>
          <w:trHeight w:val="540"/>
        </w:trPr>
        <w:tc>
          <w:tcPr>
            <w:tcW w:w="2520" w:type="dxa"/>
            <w:shd w:val="clear" w:color="auto" w:fill="auto"/>
            <w:vAlign w:val="bottom"/>
            <w:hideMark/>
          </w:tcPr>
          <w:p w14:paraId="3496AD98" w14:textId="606CD361" w:rsidR="00125431" w:rsidRPr="0010786A" w:rsidRDefault="00125431" w:rsidP="00125431">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Calibri"/>
                <w:sz w:val="20"/>
                <w:szCs w:val="20"/>
                <w:lang w:eastAsia="en-ID"/>
              </w:rPr>
              <w:t>The c</w:t>
            </w:r>
            <w:r w:rsidRPr="00C6243A">
              <w:rPr>
                <w:rFonts w:ascii="Goudy Old Style" w:eastAsia="Times New Roman" w:hAnsi="Goudy Old Style" w:cs="Calibri"/>
                <w:sz w:val="20"/>
                <w:szCs w:val="20"/>
                <w:lang w:eastAsia="en-ID"/>
              </w:rPr>
              <w:t xml:space="preserve">urator appoints </w:t>
            </w:r>
            <w:r w:rsidR="00EE03FC">
              <w:rPr>
                <w:rFonts w:ascii="Goudy Old Style" w:eastAsia="Times New Roman" w:hAnsi="Goudy Old Style" w:cs="Calibri"/>
                <w:sz w:val="20"/>
                <w:szCs w:val="20"/>
                <w:lang w:eastAsia="en-ID"/>
              </w:rPr>
              <w:t xml:space="preserve">a </w:t>
            </w:r>
            <w:r w:rsidRPr="00C6243A">
              <w:rPr>
                <w:rFonts w:ascii="Goudy Old Style" w:eastAsia="Times New Roman" w:hAnsi="Goudy Old Style" w:cs="Calibri"/>
                <w:sz w:val="20"/>
                <w:szCs w:val="20"/>
                <w:lang w:eastAsia="en-ID"/>
              </w:rPr>
              <w:t>Public Apprais</w:t>
            </w:r>
            <w:r>
              <w:rPr>
                <w:rFonts w:ascii="Goudy Old Style" w:eastAsia="Times New Roman" w:hAnsi="Goudy Old Style" w:cs="Calibri"/>
                <w:sz w:val="20"/>
                <w:szCs w:val="20"/>
                <w:lang w:eastAsia="en-ID"/>
              </w:rPr>
              <w:t>er’s</w:t>
            </w:r>
            <w:r w:rsidRPr="00C6243A">
              <w:rPr>
                <w:rFonts w:ascii="Goudy Old Style" w:eastAsia="Times New Roman" w:hAnsi="Goudy Old Style" w:cs="Calibri"/>
                <w:sz w:val="20"/>
                <w:szCs w:val="20"/>
                <w:lang w:eastAsia="en-ID"/>
              </w:rPr>
              <w:t xml:space="preserve"> Office</w:t>
            </w:r>
            <w:r w:rsidR="00EE03FC">
              <w:rPr>
                <w:rFonts w:ascii="Goudy Old Style" w:eastAsia="Times New Roman" w:hAnsi="Goudy Old Style" w:cs="Calibri"/>
                <w:sz w:val="20"/>
                <w:szCs w:val="20"/>
                <w:lang w:eastAsia="en-ID"/>
              </w:rPr>
              <w:t>.</w:t>
            </w:r>
          </w:p>
        </w:tc>
        <w:tc>
          <w:tcPr>
            <w:tcW w:w="520" w:type="dxa"/>
            <w:shd w:val="clear" w:color="auto" w:fill="auto"/>
            <w:noWrap/>
            <w:vAlign w:val="center"/>
            <w:hideMark/>
          </w:tcPr>
          <w:p w14:paraId="138E6215"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58558C81"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64FC18A3"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364A1502"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5314C7DD"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5F4456D4"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5BC3F248"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0732AA3F"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3DB9F08E"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214E3DDF"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1081" w:type="dxa"/>
            <w:shd w:val="clear" w:color="auto" w:fill="auto"/>
            <w:noWrap/>
            <w:vAlign w:val="center"/>
            <w:hideMark/>
          </w:tcPr>
          <w:p w14:paraId="51A85606"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7</w:t>
            </w:r>
          </w:p>
        </w:tc>
      </w:tr>
      <w:tr w:rsidR="00125431" w:rsidRPr="0010786A" w14:paraId="224BEF7D" w14:textId="77777777" w:rsidTr="00BD3624">
        <w:trPr>
          <w:trHeight w:val="999"/>
        </w:trPr>
        <w:tc>
          <w:tcPr>
            <w:tcW w:w="2520" w:type="dxa"/>
            <w:shd w:val="clear" w:color="auto" w:fill="auto"/>
            <w:vAlign w:val="bottom"/>
            <w:hideMark/>
          </w:tcPr>
          <w:p w14:paraId="085B35D0" w14:textId="529B221A" w:rsidR="00125431" w:rsidRPr="0010786A" w:rsidRDefault="00EE03FC" w:rsidP="00125431">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Calibri"/>
                <w:sz w:val="20"/>
                <w:szCs w:val="20"/>
                <w:lang w:eastAsia="en-ID"/>
              </w:rPr>
              <w:t>The curator s</w:t>
            </w:r>
            <w:r w:rsidR="00125431" w:rsidRPr="00C6243A">
              <w:rPr>
                <w:rFonts w:ascii="Goudy Old Style" w:eastAsia="Times New Roman" w:hAnsi="Goudy Old Style" w:cs="Calibri"/>
                <w:sz w:val="20"/>
                <w:szCs w:val="20"/>
                <w:lang w:eastAsia="en-ID"/>
              </w:rPr>
              <w:t>ell</w:t>
            </w:r>
            <w:r>
              <w:rPr>
                <w:rFonts w:ascii="Goudy Old Style" w:eastAsia="Times New Roman" w:hAnsi="Goudy Old Style" w:cs="Calibri"/>
                <w:sz w:val="20"/>
                <w:szCs w:val="20"/>
                <w:lang w:eastAsia="en-ID"/>
              </w:rPr>
              <w:t xml:space="preserve">s </w:t>
            </w:r>
            <w:r w:rsidR="00125431" w:rsidRPr="00C6243A">
              <w:rPr>
                <w:rFonts w:ascii="Goudy Old Style" w:eastAsia="Times New Roman" w:hAnsi="Goudy Old Style" w:cs="Calibri"/>
                <w:sz w:val="20"/>
                <w:szCs w:val="20"/>
                <w:lang w:eastAsia="en-ID"/>
              </w:rPr>
              <w:t>bankrupt</w:t>
            </w:r>
            <w:r w:rsidR="00125431">
              <w:rPr>
                <w:rFonts w:ascii="Goudy Old Style" w:eastAsia="Times New Roman" w:hAnsi="Goudy Old Style" w:cs="Calibri"/>
                <w:sz w:val="20"/>
                <w:szCs w:val="20"/>
                <w:lang w:eastAsia="en-ID"/>
              </w:rPr>
              <w:t>cy</w:t>
            </w:r>
            <w:r w:rsidR="00125431" w:rsidRPr="00C6243A">
              <w:rPr>
                <w:rFonts w:ascii="Goudy Old Style" w:eastAsia="Times New Roman" w:hAnsi="Goudy Old Style" w:cs="Calibri"/>
                <w:sz w:val="20"/>
                <w:szCs w:val="20"/>
                <w:lang w:eastAsia="en-ID"/>
              </w:rPr>
              <w:t xml:space="preserve"> assets (liquidation) either through auction</w:t>
            </w:r>
            <w:r>
              <w:rPr>
                <w:rFonts w:ascii="Goudy Old Style" w:eastAsia="Times New Roman" w:hAnsi="Goudy Old Style" w:cs="Calibri"/>
                <w:sz w:val="20"/>
                <w:szCs w:val="20"/>
                <w:lang w:eastAsia="en-ID"/>
              </w:rPr>
              <w:t>s</w:t>
            </w:r>
            <w:r w:rsidR="00125431" w:rsidRPr="00C6243A">
              <w:rPr>
                <w:rFonts w:ascii="Goudy Old Style" w:eastAsia="Times New Roman" w:hAnsi="Goudy Old Style" w:cs="Calibri"/>
                <w:sz w:val="20"/>
                <w:szCs w:val="20"/>
                <w:lang w:eastAsia="en-ID"/>
              </w:rPr>
              <w:t xml:space="preserve"> or private</w:t>
            </w:r>
            <w:r w:rsidR="00125431">
              <w:rPr>
                <w:rFonts w:ascii="Goudy Old Style" w:eastAsia="Times New Roman" w:hAnsi="Goudy Old Style" w:cs="Calibri"/>
                <w:sz w:val="20"/>
                <w:szCs w:val="20"/>
                <w:lang w:eastAsia="en-ID"/>
              </w:rPr>
              <w:t xml:space="preserve"> sale</w:t>
            </w:r>
            <w:r>
              <w:rPr>
                <w:rFonts w:ascii="Goudy Old Style" w:eastAsia="Times New Roman" w:hAnsi="Goudy Old Style" w:cs="Calibri"/>
                <w:sz w:val="20"/>
                <w:szCs w:val="20"/>
                <w:lang w:eastAsia="en-ID"/>
              </w:rPr>
              <w:t>s.</w:t>
            </w:r>
          </w:p>
        </w:tc>
        <w:tc>
          <w:tcPr>
            <w:tcW w:w="520" w:type="dxa"/>
            <w:shd w:val="clear" w:color="auto" w:fill="auto"/>
            <w:noWrap/>
            <w:vAlign w:val="center"/>
            <w:hideMark/>
          </w:tcPr>
          <w:p w14:paraId="2E2C1061"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6B7D2C55"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3C1AA394"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6502316A"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202EA8BE"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390C56D1"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296B68F1"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18A5B74D"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2875BEF8"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482BFA33"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1081" w:type="dxa"/>
            <w:shd w:val="clear" w:color="auto" w:fill="auto"/>
            <w:noWrap/>
            <w:vAlign w:val="center"/>
            <w:hideMark/>
          </w:tcPr>
          <w:p w14:paraId="5A2A42A7"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10</w:t>
            </w:r>
          </w:p>
        </w:tc>
      </w:tr>
      <w:tr w:rsidR="00125431" w:rsidRPr="0010786A" w14:paraId="1E3C1F85" w14:textId="77777777" w:rsidTr="00BD3624">
        <w:trPr>
          <w:trHeight w:val="800"/>
        </w:trPr>
        <w:tc>
          <w:tcPr>
            <w:tcW w:w="2520" w:type="dxa"/>
            <w:shd w:val="clear" w:color="auto" w:fill="auto"/>
            <w:vAlign w:val="bottom"/>
            <w:hideMark/>
          </w:tcPr>
          <w:p w14:paraId="562F5AB0" w14:textId="03B4B089" w:rsidR="00125431" w:rsidRPr="0010786A" w:rsidRDefault="00EE03FC" w:rsidP="00125431">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Calibri"/>
                <w:sz w:val="20"/>
                <w:szCs w:val="20"/>
                <w:lang w:eastAsia="en-ID"/>
              </w:rPr>
              <w:t>The curator c</w:t>
            </w:r>
            <w:r w:rsidR="00125431">
              <w:rPr>
                <w:rFonts w:ascii="Goudy Old Style" w:eastAsia="Times New Roman" w:hAnsi="Goudy Old Style" w:cs="Calibri"/>
                <w:sz w:val="20"/>
                <w:szCs w:val="20"/>
                <w:lang w:eastAsia="en-ID"/>
              </w:rPr>
              <w:t>reat</w:t>
            </w:r>
            <w:r>
              <w:rPr>
                <w:rFonts w:ascii="Goudy Old Style" w:eastAsia="Times New Roman" w:hAnsi="Goudy Old Style" w:cs="Calibri"/>
                <w:sz w:val="20"/>
                <w:szCs w:val="20"/>
                <w:lang w:eastAsia="en-ID"/>
              </w:rPr>
              <w:t>es</w:t>
            </w:r>
            <w:r w:rsidR="00125431" w:rsidRPr="00C6243A">
              <w:rPr>
                <w:rFonts w:ascii="Goudy Old Style" w:eastAsia="Times New Roman" w:hAnsi="Goudy Old Style" w:cs="Calibri"/>
                <w:sz w:val="20"/>
                <w:szCs w:val="20"/>
                <w:lang w:eastAsia="en-ID"/>
              </w:rPr>
              <w:t xml:space="preserve"> a distribution list to be submitted </w:t>
            </w:r>
            <w:r w:rsidR="00125431">
              <w:rPr>
                <w:rFonts w:ascii="Goudy Old Style" w:eastAsia="Times New Roman" w:hAnsi="Goudy Old Style" w:cs="Calibri"/>
                <w:sz w:val="20"/>
                <w:szCs w:val="20"/>
                <w:lang w:eastAsia="en-ID"/>
              </w:rPr>
              <w:t xml:space="preserve">in advance </w:t>
            </w:r>
            <w:r w:rsidR="00125431" w:rsidRPr="00C6243A">
              <w:rPr>
                <w:rFonts w:ascii="Goudy Old Style" w:eastAsia="Times New Roman" w:hAnsi="Goudy Old Style" w:cs="Calibri"/>
                <w:sz w:val="20"/>
                <w:szCs w:val="20"/>
                <w:lang w:eastAsia="en-ID"/>
              </w:rPr>
              <w:t>to the Supervis</w:t>
            </w:r>
            <w:r w:rsidR="00125431">
              <w:rPr>
                <w:rFonts w:ascii="Goudy Old Style" w:eastAsia="Times New Roman" w:hAnsi="Goudy Old Style" w:cs="Calibri"/>
                <w:sz w:val="20"/>
                <w:szCs w:val="20"/>
                <w:lang w:eastAsia="en-ID"/>
              </w:rPr>
              <w:t>ing</w:t>
            </w:r>
            <w:r w:rsidR="00125431" w:rsidRPr="00C6243A">
              <w:rPr>
                <w:rFonts w:ascii="Goudy Old Style" w:eastAsia="Times New Roman" w:hAnsi="Goudy Old Style" w:cs="Calibri"/>
                <w:sz w:val="20"/>
                <w:szCs w:val="20"/>
                <w:lang w:eastAsia="en-ID"/>
              </w:rPr>
              <w:t xml:space="preserve"> Judge</w:t>
            </w:r>
            <w:r>
              <w:rPr>
                <w:rFonts w:ascii="Goudy Old Style" w:eastAsia="Times New Roman" w:hAnsi="Goudy Old Style" w:cs="Calibri"/>
                <w:sz w:val="20"/>
                <w:szCs w:val="20"/>
                <w:lang w:eastAsia="en-ID"/>
              </w:rPr>
              <w:t>.</w:t>
            </w:r>
            <w:r w:rsidR="00125431" w:rsidRPr="00C6243A">
              <w:rPr>
                <w:rFonts w:ascii="Goudy Old Style" w:eastAsia="Times New Roman" w:hAnsi="Goudy Old Style" w:cs="Calibri"/>
                <w:sz w:val="20"/>
                <w:szCs w:val="20"/>
                <w:lang w:eastAsia="en-ID"/>
              </w:rPr>
              <w:t xml:space="preserve"> </w:t>
            </w:r>
          </w:p>
        </w:tc>
        <w:tc>
          <w:tcPr>
            <w:tcW w:w="520" w:type="dxa"/>
            <w:shd w:val="clear" w:color="auto" w:fill="auto"/>
            <w:noWrap/>
            <w:vAlign w:val="center"/>
            <w:hideMark/>
          </w:tcPr>
          <w:p w14:paraId="71B6E854"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94" w:type="dxa"/>
            <w:shd w:val="clear" w:color="auto" w:fill="auto"/>
            <w:noWrap/>
            <w:vAlign w:val="center"/>
            <w:hideMark/>
          </w:tcPr>
          <w:p w14:paraId="10FBC8EB"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87" w:type="dxa"/>
            <w:shd w:val="clear" w:color="auto" w:fill="auto"/>
            <w:noWrap/>
            <w:vAlign w:val="center"/>
            <w:hideMark/>
          </w:tcPr>
          <w:p w14:paraId="26579027"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46" w:type="dxa"/>
            <w:shd w:val="clear" w:color="auto" w:fill="auto"/>
            <w:noWrap/>
            <w:vAlign w:val="center"/>
            <w:hideMark/>
          </w:tcPr>
          <w:p w14:paraId="0841E52A"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63012A30"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3EBC5A8A"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6" w:type="dxa"/>
            <w:shd w:val="clear" w:color="auto" w:fill="auto"/>
            <w:noWrap/>
            <w:vAlign w:val="center"/>
            <w:hideMark/>
          </w:tcPr>
          <w:p w14:paraId="5AEA3793"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3" w:type="dxa"/>
            <w:shd w:val="clear" w:color="auto" w:fill="auto"/>
            <w:noWrap/>
            <w:vAlign w:val="center"/>
            <w:hideMark/>
          </w:tcPr>
          <w:p w14:paraId="6662DB44"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7982A9E0"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shd w:val="clear" w:color="auto" w:fill="auto"/>
            <w:noWrap/>
            <w:vAlign w:val="center"/>
            <w:hideMark/>
          </w:tcPr>
          <w:p w14:paraId="24BBDEFA"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1081" w:type="dxa"/>
            <w:shd w:val="clear" w:color="auto" w:fill="auto"/>
            <w:noWrap/>
            <w:vAlign w:val="center"/>
            <w:hideMark/>
          </w:tcPr>
          <w:p w14:paraId="5665E62D"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8</w:t>
            </w:r>
          </w:p>
        </w:tc>
      </w:tr>
      <w:tr w:rsidR="00125431" w:rsidRPr="0010786A" w14:paraId="094DADD3" w14:textId="77777777" w:rsidTr="00BD3624">
        <w:trPr>
          <w:trHeight w:val="810"/>
        </w:trPr>
        <w:tc>
          <w:tcPr>
            <w:tcW w:w="2520" w:type="dxa"/>
            <w:tcBorders>
              <w:bottom w:val="single" w:sz="4" w:space="0" w:color="auto"/>
            </w:tcBorders>
            <w:shd w:val="clear" w:color="auto" w:fill="auto"/>
            <w:vAlign w:val="bottom"/>
            <w:hideMark/>
          </w:tcPr>
          <w:p w14:paraId="0391FCA0" w14:textId="215F9793" w:rsidR="00125431" w:rsidRPr="0010786A" w:rsidRDefault="00EE03FC" w:rsidP="00125431">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Calibri"/>
                <w:sz w:val="20"/>
                <w:szCs w:val="20"/>
                <w:lang w:eastAsia="en-ID"/>
              </w:rPr>
              <w:t>The curator d</w:t>
            </w:r>
            <w:r w:rsidR="00125431" w:rsidRPr="00C6243A">
              <w:rPr>
                <w:rFonts w:ascii="Goudy Old Style" w:eastAsia="Times New Roman" w:hAnsi="Goudy Old Style" w:cs="Calibri"/>
                <w:sz w:val="20"/>
                <w:szCs w:val="20"/>
                <w:lang w:eastAsia="en-ID"/>
              </w:rPr>
              <w:t>istribut</w:t>
            </w:r>
            <w:r>
              <w:rPr>
                <w:rFonts w:ascii="Goudy Old Style" w:eastAsia="Times New Roman" w:hAnsi="Goudy Old Style" w:cs="Calibri"/>
                <w:sz w:val="20"/>
                <w:szCs w:val="20"/>
                <w:lang w:eastAsia="en-ID"/>
              </w:rPr>
              <w:t>es</w:t>
            </w:r>
            <w:r w:rsidR="00125431" w:rsidRPr="00C6243A">
              <w:rPr>
                <w:rFonts w:ascii="Goudy Old Style" w:eastAsia="Times New Roman" w:hAnsi="Goudy Old Style" w:cs="Calibri"/>
                <w:sz w:val="20"/>
                <w:szCs w:val="20"/>
                <w:lang w:eastAsia="en-ID"/>
              </w:rPr>
              <w:t xml:space="preserve"> the proceeds from the sale of assets to creditors</w:t>
            </w:r>
            <w:r>
              <w:rPr>
                <w:rFonts w:ascii="Goudy Old Style" w:eastAsia="Times New Roman" w:hAnsi="Goudy Old Style" w:cs="Calibri"/>
                <w:sz w:val="20"/>
                <w:szCs w:val="20"/>
                <w:lang w:eastAsia="en-ID"/>
              </w:rPr>
              <w:t>.</w:t>
            </w:r>
          </w:p>
        </w:tc>
        <w:tc>
          <w:tcPr>
            <w:tcW w:w="520" w:type="dxa"/>
            <w:tcBorders>
              <w:bottom w:val="single" w:sz="4" w:space="0" w:color="auto"/>
            </w:tcBorders>
            <w:shd w:val="clear" w:color="auto" w:fill="auto"/>
            <w:noWrap/>
            <w:vAlign w:val="center"/>
            <w:hideMark/>
          </w:tcPr>
          <w:p w14:paraId="1295284C"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94" w:type="dxa"/>
            <w:tcBorders>
              <w:bottom w:val="single" w:sz="4" w:space="0" w:color="auto"/>
            </w:tcBorders>
            <w:shd w:val="clear" w:color="auto" w:fill="auto"/>
            <w:noWrap/>
            <w:vAlign w:val="center"/>
            <w:hideMark/>
          </w:tcPr>
          <w:p w14:paraId="7F37987D"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87" w:type="dxa"/>
            <w:tcBorders>
              <w:bottom w:val="single" w:sz="4" w:space="0" w:color="auto"/>
            </w:tcBorders>
            <w:shd w:val="clear" w:color="auto" w:fill="auto"/>
            <w:noWrap/>
            <w:vAlign w:val="center"/>
            <w:hideMark/>
          </w:tcPr>
          <w:p w14:paraId="12E1EC0C"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46" w:type="dxa"/>
            <w:tcBorders>
              <w:bottom w:val="single" w:sz="4" w:space="0" w:color="auto"/>
            </w:tcBorders>
            <w:shd w:val="clear" w:color="auto" w:fill="auto"/>
            <w:noWrap/>
            <w:vAlign w:val="center"/>
            <w:hideMark/>
          </w:tcPr>
          <w:p w14:paraId="00294CEC"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4B78B4ED"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70C1D4F8"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6" w:type="dxa"/>
            <w:tcBorders>
              <w:bottom w:val="single" w:sz="4" w:space="0" w:color="auto"/>
            </w:tcBorders>
            <w:shd w:val="clear" w:color="auto" w:fill="auto"/>
            <w:noWrap/>
            <w:vAlign w:val="center"/>
            <w:hideMark/>
          </w:tcPr>
          <w:p w14:paraId="57141365"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553" w:type="dxa"/>
            <w:tcBorders>
              <w:bottom w:val="single" w:sz="4" w:space="0" w:color="auto"/>
            </w:tcBorders>
            <w:shd w:val="clear" w:color="auto" w:fill="auto"/>
            <w:noWrap/>
            <w:vAlign w:val="center"/>
            <w:hideMark/>
          </w:tcPr>
          <w:p w14:paraId="3838F9B6"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7CD083CB"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1" w:type="dxa"/>
            <w:tcBorders>
              <w:bottom w:val="single" w:sz="4" w:space="0" w:color="auto"/>
            </w:tcBorders>
            <w:shd w:val="clear" w:color="auto" w:fill="auto"/>
            <w:noWrap/>
            <w:vAlign w:val="center"/>
            <w:hideMark/>
          </w:tcPr>
          <w:p w14:paraId="665D0A4A"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1081" w:type="dxa"/>
            <w:tcBorders>
              <w:bottom w:val="single" w:sz="4" w:space="0" w:color="auto"/>
            </w:tcBorders>
            <w:shd w:val="clear" w:color="auto" w:fill="auto"/>
            <w:noWrap/>
            <w:vAlign w:val="center"/>
            <w:hideMark/>
          </w:tcPr>
          <w:p w14:paraId="1A60A95A" w14:textId="77777777" w:rsidR="00125431" w:rsidRPr="0010786A" w:rsidRDefault="00125431" w:rsidP="00125431">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9</w:t>
            </w:r>
          </w:p>
        </w:tc>
      </w:tr>
    </w:tbl>
    <w:p w14:paraId="7B1BD3FE" w14:textId="06CBF9D1" w:rsidR="003F6965" w:rsidRDefault="000A644D" w:rsidP="00BD3624">
      <w:pPr>
        <w:autoSpaceDE w:val="0"/>
        <w:autoSpaceDN w:val="0"/>
        <w:adjustRightInd w:val="0"/>
        <w:spacing w:after="0" w:line="240" w:lineRule="auto"/>
        <w:ind w:firstLine="90"/>
        <w:jc w:val="both"/>
        <w:rPr>
          <w:rFonts w:ascii="Candara" w:hAnsi="Candara" w:cs="Arial"/>
        </w:rPr>
      </w:pPr>
      <w:r>
        <w:rPr>
          <w:rFonts w:ascii="Goudy Old Style" w:eastAsia="Times New Roman" w:hAnsi="Goudy Old Style" w:cstheme="minorHAnsi"/>
          <w:color w:val="000000"/>
          <w:sz w:val="20"/>
          <w:szCs w:val="20"/>
        </w:rPr>
        <w:t>Where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Agree</w:t>
      </w:r>
      <w:r w:rsidRPr="00F1130D">
        <w:rPr>
          <w:rFonts w:ascii="Goudy Old Style" w:eastAsia="Times New Roman" w:hAnsi="Goudy Old Style" w:cstheme="minorHAnsi"/>
          <w:color w:val="000000"/>
          <w:sz w:val="20"/>
          <w:szCs w:val="20"/>
        </w:rPr>
        <w:t xml:space="preserve">, X = </w:t>
      </w:r>
      <w:r>
        <w:rPr>
          <w:rFonts w:ascii="Goudy Old Style" w:eastAsia="Times New Roman" w:hAnsi="Goudy Old Style" w:cstheme="minorHAnsi"/>
          <w:color w:val="000000"/>
          <w:sz w:val="20"/>
          <w:szCs w:val="20"/>
        </w:rPr>
        <w:t>Disagree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Not Stating</w:t>
      </w:r>
    </w:p>
    <w:p w14:paraId="5022AF00" w14:textId="7B657D43" w:rsidR="003F6965" w:rsidRPr="00424EB1" w:rsidRDefault="000A644D" w:rsidP="00BD3624">
      <w:pPr>
        <w:pStyle w:val="ListParagraph"/>
        <w:numPr>
          <w:ilvl w:val="0"/>
          <w:numId w:val="19"/>
        </w:numPr>
        <w:spacing w:before="120" w:after="0" w:line="240" w:lineRule="auto"/>
        <w:ind w:left="360"/>
        <w:contextualSpacing w:val="0"/>
        <w:rPr>
          <w:rFonts w:ascii="Candara" w:hAnsi="Candara" w:cstheme="minorHAnsi"/>
        </w:rPr>
      </w:pPr>
      <w:r>
        <w:rPr>
          <w:rFonts w:ascii="Candara" w:hAnsi="Candara" w:cstheme="minorHAnsi"/>
        </w:rPr>
        <w:t xml:space="preserve">Relation between forensic accounting </w:t>
      </w:r>
      <w:r w:rsidR="000F6E7B">
        <w:rPr>
          <w:rFonts w:ascii="Candara" w:hAnsi="Candara" w:cstheme="minorHAnsi"/>
        </w:rPr>
        <w:t>with curator and bankruptcy</w:t>
      </w:r>
    </w:p>
    <w:p w14:paraId="5DA06E43" w14:textId="38E22050" w:rsidR="003F6965" w:rsidRPr="00BD3624" w:rsidRDefault="00630B5E" w:rsidP="00BD3624">
      <w:pPr>
        <w:spacing w:after="0" w:line="240" w:lineRule="auto"/>
        <w:ind w:firstLine="360"/>
        <w:jc w:val="both"/>
        <w:rPr>
          <w:rFonts w:ascii="Candara" w:hAnsi="Candara" w:cstheme="minorHAnsi"/>
        </w:rPr>
      </w:pPr>
      <w:r w:rsidRPr="00C6243A">
        <w:rPr>
          <w:rFonts w:ascii="Candara" w:eastAsia="Times New Roman" w:hAnsi="Candara" w:cs="Calibri"/>
          <w:color w:val="000000"/>
          <w:lang w:eastAsia="en-ID"/>
        </w:rPr>
        <w:t xml:space="preserve">All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informants agreed that forensic accounting is important and help</w:t>
      </w:r>
      <w:r>
        <w:rPr>
          <w:rFonts w:ascii="Candara" w:eastAsia="Times New Roman" w:hAnsi="Candara" w:cs="Calibri"/>
          <w:color w:val="000000"/>
          <w:lang w:eastAsia="en-ID"/>
        </w:rPr>
        <w:t xml:space="preserve">ful for </w:t>
      </w:r>
      <w:r w:rsidRPr="00C6243A">
        <w:rPr>
          <w:rFonts w:ascii="Candara" w:eastAsia="Times New Roman" w:hAnsi="Candara" w:cs="Calibri"/>
          <w:color w:val="000000"/>
          <w:lang w:eastAsia="en-ID"/>
        </w:rPr>
        <w:t>curators</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work, </w:t>
      </w:r>
      <w:r>
        <w:rPr>
          <w:rFonts w:ascii="Candara" w:eastAsia="Times New Roman" w:hAnsi="Candara" w:cs="Calibri"/>
          <w:color w:val="000000"/>
          <w:lang w:eastAsia="en-ID"/>
        </w:rPr>
        <w:t xml:space="preserve">for examples </w:t>
      </w:r>
      <w:r w:rsidRPr="00C6243A">
        <w:rPr>
          <w:rFonts w:ascii="Candara" w:eastAsia="Times New Roman" w:hAnsi="Candara" w:cs="Calibri"/>
          <w:color w:val="000000"/>
          <w:lang w:eastAsia="en-ID"/>
        </w:rPr>
        <w:t xml:space="preserve">in </w:t>
      </w:r>
      <w:r>
        <w:rPr>
          <w:rFonts w:ascii="Candara" w:eastAsia="Times New Roman" w:hAnsi="Candara" w:cs="Calibri"/>
          <w:color w:val="000000"/>
          <w:lang w:eastAsia="en-ID"/>
        </w:rPr>
        <w:t xml:space="preserve">verifying </w:t>
      </w:r>
      <w:r w:rsidRPr="00C6243A">
        <w:rPr>
          <w:rFonts w:ascii="Candara" w:eastAsia="Times New Roman" w:hAnsi="Candara" w:cs="Calibri"/>
          <w:color w:val="000000"/>
          <w:lang w:eastAsia="en-ID"/>
        </w:rPr>
        <w:t>the accuracy of bankrupt</w:t>
      </w:r>
      <w:r>
        <w:rPr>
          <w:rFonts w:ascii="Candara" w:eastAsia="Times New Roman" w:hAnsi="Candara" w:cs="Calibri"/>
          <w:color w:val="000000"/>
          <w:lang w:eastAsia="en-ID"/>
        </w:rPr>
        <w:t>cy</w:t>
      </w:r>
      <w:r w:rsidRPr="00C6243A">
        <w:rPr>
          <w:rFonts w:ascii="Candara" w:eastAsia="Times New Roman" w:hAnsi="Candara" w:cs="Calibri"/>
          <w:color w:val="000000"/>
          <w:lang w:eastAsia="en-ID"/>
        </w:rPr>
        <w:t> </w:t>
      </w:r>
      <w:r>
        <w:rPr>
          <w:rFonts w:ascii="Candara" w:eastAsia="Times New Roman" w:hAnsi="Candara" w:cs="Calibri"/>
          <w:color w:val="000000"/>
          <w:lang w:eastAsia="en-ID"/>
        </w:rPr>
        <w:t xml:space="preserve">asset </w:t>
      </w:r>
      <w:r w:rsidRPr="00C6243A">
        <w:rPr>
          <w:rFonts w:ascii="Candara" w:eastAsia="Times New Roman" w:hAnsi="Candara" w:cs="Calibri"/>
          <w:color w:val="000000"/>
          <w:lang w:eastAsia="en-ID"/>
        </w:rPr>
        <w:t>transactions</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or </w:t>
      </w:r>
      <w:r>
        <w:rPr>
          <w:rFonts w:ascii="Candara" w:eastAsia="Times New Roman" w:hAnsi="Candara" w:cs="Calibri"/>
          <w:color w:val="000000"/>
          <w:lang w:eastAsia="en-ID"/>
        </w:rPr>
        <w:t xml:space="preserve">in valuing the </w:t>
      </w:r>
      <w:r w:rsidRPr="00C6243A">
        <w:rPr>
          <w:rFonts w:ascii="Candara" w:eastAsia="Times New Roman" w:hAnsi="Candara" w:cs="Calibri"/>
          <w:color w:val="000000"/>
          <w:lang w:eastAsia="en-ID"/>
        </w:rPr>
        <w:t>asse</w:t>
      </w:r>
      <w:r>
        <w:rPr>
          <w:rFonts w:ascii="Candara" w:eastAsia="Times New Roman" w:hAnsi="Candara" w:cs="Calibri"/>
          <w:color w:val="000000"/>
          <w:lang w:eastAsia="en-ID"/>
        </w:rPr>
        <w:t>ts</w:t>
      </w:r>
      <w:r w:rsidRPr="00C6243A">
        <w:rPr>
          <w:rFonts w:ascii="Candara" w:eastAsia="Times New Roman" w:hAnsi="Candara" w:cs="Calibri"/>
          <w:color w:val="000000"/>
          <w:lang w:eastAsia="en-ID"/>
        </w:rPr>
        <w:t>. </w:t>
      </w:r>
      <w:r>
        <w:rPr>
          <w:rFonts w:ascii="Candara" w:eastAsia="Times New Roman" w:hAnsi="Candara" w:cs="Calibri"/>
          <w:color w:val="000000"/>
          <w:lang w:eastAsia="en-ID"/>
        </w:rPr>
        <w:t>I</w:t>
      </w:r>
      <w:r w:rsidRPr="00C6243A">
        <w:rPr>
          <w:rFonts w:ascii="Candara" w:eastAsia="Times New Roman" w:hAnsi="Candara" w:cs="Calibri"/>
          <w:color w:val="000000"/>
          <w:lang w:eastAsia="en-ID"/>
        </w:rPr>
        <w:t>nformants D and F</w:t>
      </w:r>
      <w:r>
        <w:rPr>
          <w:rFonts w:ascii="Candara" w:eastAsia="Times New Roman" w:hAnsi="Candara" w:cs="Calibri"/>
          <w:color w:val="000000"/>
          <w:lang w:eastAsia="en-ID"/>
        </w:rPr>
        <w:t xml:space="preserve"> gave the following statements</w:t>
      </w:r>
      <w:r w:rsidR="003F6965" w:rsidRPr="00BD3624">
        <w:rPr>
          <w:rFonts w:ascii="Candara" w:hAnsi="Candara" w:cstheme="minorHAnsi"/>
        </w:rPr>
        <w:t>:</w:t>
      </w:r>
    </w:p>
    <w:p w14:paraId="6EB2E351" w14:textId="560CC738" w:rsidR="003F6965" w:rsidRPr="00424EB1" w:rsidRDefault="003F6965" w:rsidP="00BD3624">
      <w:pPr>
        <w:pStyle w:val="ListParagraph"/>
        <w:spacing w:after="0" w:line="240" w:lineRule="auto"/>
        <w:ind w:left="360"/>
        <w:jc w:val="both"/>
        <w:rPr>
          <w:rFonts w:ascii="Candara" w:hAnsi="Candara" w:cstheme="minorHAnsi"/>
        </w:rPr>
      </w:pPr>
      <w:r w:rsidRPr="00424EB1">
        <w:rPr>
          <w:rFonts w:ascii="Candara" w:hAnsi="Candara" w:cstheme="minorHAnsi"/>
          <w:i/>
          <w:iCs/>
        </w:rPr>
        <w:t>“</w:t>
      </w:r>
      <w:r w:rsidR="00971CB2" w:rsidRPr="00C6243A">
        <w:rPr>
          <w:rFonts w:ascii="Candara" w:eastAsia="Times New Roman" w:hAnsi="Candara" w:cs="Calibri"/>
          <w:i/>
          <w:iCs/>
          <w:color w:val="000000"/>
          <w:lang w:eastAsia="en-ID"/>
        </w:rPr>
        <w:t>Yes, forensic accounting can ease curator</w:t>
      </w:r>
      <w:r w:rsidR="00971CB2">
        <w:rPr>
          <w:rFonts w:ascii="Candara" w:eastAsia="Times New Roman" w:hAnsi="Candara" w:cs="Calibri"/>
          <w:i/>
          <w:iCs/>
          <w:color w:val="000000"/>
          <w:lang w:eastAsia="en-ID"/>
        </w:rPr>
        <w:t>s’</w:t>
      </w:r>
      <w:r w:rsidR="00971CB2" w:rsidRPr="00C6243A">
        <w:rPr>
          <w:rFonts w:ascii="Candara" w:eastAsia="Times New Roman" w:hAnsi="Candara" w:cs="Calibri"/>
          <w:i/>
          <w:iCs/>
          <w:color w:val="000000"/>
          <w:lang w:eastAsia="en-ID"/>
        </w:rPr>
        <w:t xml:space="preserve"> work, for example in </w:t>
      </w:r>
      <w:r w:rsidR="00971CB2">
        <w:rPr>
          <w:rFonts w:ascii="Candara" w:eastAsia="Times New Roman" w:hAnsi="Candara" w:cs="Calibri"/>
          <w:i/>
          <w:iCs/>
          <w:color w:val="000000"/>
          <w:lang w:eastAsia="en-ID"/>
        </w:rPr>
        <w:t xml:space="preserve">verifying </w:t>
      </w:r>
      <w:r w:rsidR="00971CB2" w:rsidRPr="00C6243A">
        <w:rPr>
          <w:rFonts w:ascii="Candara" w:eastAsia="Times New Roman" w:hAnsi="Candara" w:cs="Calibri"/>
          <w:i/>
          <w:iCs/>
          <w:color w:val="000000"/>
          <w:lang w:eastAsia="en-ID"/>
        </w:rPr>
        <w:t xml:space="preserve">the truth </w:t>
      </w:r>
      <w:r w:rsidR="00971CB2">
        <w:rPr>
          <w:rFonts w:ascii="Candara" w:eastAsia="Times New Roman" w:hAnsi="Candara" w:cs="Calibri"/>
          <w:i/>
          <w:iCs/>
          <w:color w:val="000000"/>
          <w:lang w:eastAsia="en-ID"/>
        </w:rPr>
        <w:t xml:space="preserve">and </w:t>
      </w:r>
      <w:r w:rsidR="00971CB2" w:rsidRPr="00C6243A">
        <w:rPr>
          <w:rFonts w:ascii="Candara" w:eastAsia="Times New Roman" w:hAnsi="Candara" w:cs="Calibri"/>
          <w:i/>
          <w:iCs/>
          <w:color w:val="000000"/>
          <w:lang w:eastAsia="en-ID"/>
        </w:rPr>
        <w:t>accuracy of bankrupt</w:t>
      </w:r>
      <w:r w:rsidR="00971CB2">
        <w:rPr>
          <w:rFonts w:ascii="Candara" w:eastAsia="Times New Roman" w:hAnsi="Candara" w:cs="Calibri"/>
          <w:i/>
          <w:iCs/>
          <w:color w:val="000000"/>
          <w:lang w:eastAsia="en-ID"/>
        </w:rPr>
        <w:t>cy</w:t>
      </w:r>
      <w:r w:rsidR="00971CB2" w:rsidRPr="00C6243A">
        <w:rPr>
          <w:rFonts w:ascii="Candara" w:eastAsia="Times New Roman" w:hAnsi="Candara" w:cs="Calibri"/>
          <w:i/>
          <w:iCs/>
          <w:color w:val="000000"/>
          <w:lang w:eastAsia="en-ID"/>
        </w:rPr>
        <w:t xml:space="preserve"> asset transactions </w:t>
      </w:r>
      <w:r w:rsidR="00971CB2">
        <w:rPr>
          <w:rFonts w:ascii="Candara" w:eastAsia="Times New Roman" w:hAnsi="Candara" w:cs="Calibri"/>
          <w:i/>
          <w:iCs/>
          <w:color w:val="000000"/>
          <w:lang w:eastAsia="en-ID"/>
        </w:rPr>
        <w:t xml:space="preserve">and in </w:t>
      </w:r>
      <w:r w:rsidR="00971CB2" w:rsidRPr="00C6243A">
        <w:rPr>
          <w:rFonts w:ascii="Candara" w:eastAsia="Times New Roman" w:hAnsi="Candara" w:cs="Calibri"/>
          <w:i/>
          <w:iCs/>
          <w:color w:val="000000"/>
          <w:lang w:eastAsia="en-ID"/>
        </w:rPr>
        <w:t>valu</w:t>
      </w:r>
      <w:r w:rsidR="00971CB2">
        <w:rPr>
          <w:rFonts w:ascii="Candara" w:eastAsia="Times New Roman" w:hAnsi="Candara" w:cs="Calibri"/>
          <w:i/>
          <w:iCs/>
          <w:color w:val="000000"/>
          <w:lang w:eastAsia="en-ID"/>
        </w:rPr>
        <w:t xml:space="preserve">ing </w:t>
      </w:r>
      <w:r w:rsidR="00971CB2" w:rsidRPr="00C6243A">
        <w:rPr>
          <w:rFonts w:ascii="Candara" w:eastAsia="Times New Roman" w:hAnsi="Candara" w:cs="Calibri"/>
          <w:i/>
          <w:iCs/>
          <w:color w:val="000000"/>
          <w:lang w:eastAsia="en-ID"/>
        </w:rPr>
        <w:t>the bankrupt</w:t>
      </w:r>
      <w:r w:rsidR="00971CB2">
        <w:rPr>
          <w:rFonts w:ascii="Candara" w:eastAsia="Times New Roman" w:hAnsi="Candara" w:cs="Calibri"/>
          <w:i/>
          <w:iCs/>
          <w:color w:val="000000"/>
          <w:lang w:eastAsia="en-ID"/>
        </w:rPr>
        <w:t>cy</w:t>
      </w:r>
      <w:r w:rsidR="00971CB2" w:rsidRPr="00C6243A">
        <w:rPr>
          <w:rFonts w:ascii="Candara" w:eastAsia="Times New Roman" w:hAnsi="Candara" w:cs="Calibri"/>
          <w:i/>
          <w:iCs/>
          <w:color w:val="000000"/>
          <w:lang w:eastAsia="en-ID"/>
        </w:rPr>
        <w:t xml:space="preserve"> assets. Forensic accounting can help resolve legal cases by calculating and disclosing the cost of fraud, detecting the causes of fraud, </w:t>
      </w:r>
      <w:r w:rsidR="00971CB2">
        <w:rPr>
          <w:rFonts w:ascii="Candara" w:eastAsia="Times New Roman" w:hAnsi="Candara" w:cs="Calibri"/>
          <w:i/>
          <w:iCs/>
          <w:color w:val="000000"/>
          <w:lang w:eastAsia="en-ID"/>
        </w:rPr>
        <w:t xml:space="preserve">uncovering the </w:t>
      </w:r>
      <w:r w:rsidR="00971CB2" w:rsidRPr="00C6243A">
        <w:rPr>
          <w:rFonts w:ascii="Candara" w:eastAsia="Times New Roman" w:hAnsi="Candara" w:cs="Calibri"/>
          <w:i/>
          <w:iCs/>
          <w:color w:val="000000"/>
          <w:lang w:eastAsia="en-ID"/>
        </w:rPr>
        <w:t>indic</w:t>
      </w:r>
      <w:r w:rsidR="00971CB2">
        <w:rPr>
          <w:rFonts w:ascii="Candara" w:eastAsia="Times New Roman" w:hAnsi="Candara" w:cs="Calibri"/>
          <w:i/>
          <w:iCs/>
          <w:color w:val="000000"/>
          <w:lang w:eastAsia="en-ID"/>
        </w:rPr>
        <w:t>ia</w:t>
      </w:r>
      <w:r w:rsidR="00971CB2" w:rsidRPr="00C6243A">
        <w:rPr>
          <w:rFonts w:ascii="Candara" w:eastAsia="Times New Roman" w:hAnsi="Candara" w:cs="Calibri"/>
          <w:i/>
          <w:iCs/>
          <w:color w:val="000000"/>
          <w:lang w:eastAsia="en-ID"/>
        </w:rPr>
        <w:t xml:space="preserve"> of fraud, and </w:t>
      </w:r>
      <w:r w:rsidR="00971CB2">
        <w:rPr>
          <w:rFonts w:ascii="Candara" w:eastAsia="Times New Roman" w:hAnsi="Candara" w:cs="Calibri"/>
          <w:i/>
          <w:iCs/>
          <w:color w:val="000000"/>
          <w:lang w:eastAsia="en-ID"/>
        </w:rPr>
        <w:t xml:space="preserve">predicting </w:t>
      </w:r>
      <w:r w:rsidR="00971CB2" w:rsidRPr="00C6243A">
        <w:rPr>
          <w:rFonts w:ascii="Candara" w:eastAsia="Times New Roman" w:hAnsi="Candara" w:cs="Calibri"/>
          <w:i/>
          <w:iCs/>
          <w:color w:val="000000"/>
          <w:lang w:eastAsia="en-ID"/>
        </w:rPr>
        <w:t>when fraud can be revealed</w:t>
      </w:r>
      <w:r w:rsidR="00971CB2">
        <w:rPr>
          <w:rFonts w:ascii="Candara" w:eastAsia="Times New Roman" w:hAnsi="Candara" w:cs="Calibri"/>
          <w:i/>
          <w:iCs/>
          <w:color w:val="000000"/>
          <w:lang w:eastAsia="en-ID"/>
        </w:rPr>
        <w:t>,</w:t>
      </w:r>
      <w:r w:rsidR="00971CB2" w:rsidRPr="00C6243A">
        <w:rPr>
          <w:rFonts w:ascii="Candara" w:eastAsia="Times New Roman" w:hAnsi="Candara" w:cs="Calibri"/>
          <w:i/>
          <w:iCs/>
          <w:color w:val="000000"/>
          <w:lang w:eastAsia="en-ID"/>
        </w:rPr>
        <w:t xml:space="preserve"> and distinguishing fraud revealed </w:t>
      </w:r>
      <w:r w:rsidR="00971CB2">
        <w:rPr>
          <w:rFonts w:ascii="Candara" w:eastAsia="Times New Roman" w:hAnsi="Candara" w:cs="Calibri"/>
          <w:i/>
          <w:iCs/>
          <w:color w:val="000000"/>
          <w:lang w:eastAsia="en-ID"/>
        </w:rPr>
        <w:t xml:space="preserve">by </w:t>
      </w:r>
      <w:r w:rsidR="00971CB2" w:rsidRPr="00C6243A">
        <w:rPr>
          <w:rFonts w:ascii="Candara" w:eastAsia="Times New Roman" w:hAnsi="Candara" w:cs="Calibri"/>
          <w:i/>
          <w:iCs/>
          <w:color w:val="000000"/>
          <w:lang w:eastAsia="en-ID"/>
        </w:rPr>
        <w:t>tips</w:t>
      </w:r>
      <w:r w:rsidR="00971CB2">
        <w:rPr>
          <w:rFonts w:ascii="Candara" w:eastAsia="Times New Roman" w:hAnsi="Candara" w:cs="Calibri"/>
          <w:i/>
          <w:iCs/>
          <w:color w:val="000000"/>
          <w:lang w:eastAsia="en-ID"/>
        </w:rPr>
        <w:t xml:space="preserve"> </w:t>
      </w:r>
      <w:r w:rsidR="00971CB2" w:rsidRPr="00C6243A">
        <w:rPr>
          <w:rFonts w:ascii="Candara" w:eastAsia="Times New Roman" w:hAnsi="Candara" w:cs="Calibri"/>
          <w:i/>
          <w:iCs/>
          <w:color w:val="000000"/>
          <w:lang w:eastAsia="en-ID"/>
        </w:rPr>
        <w:t xml:space="preserve">or by </w:t>
      </w:r>
      <w:r w:rsidR="00971CB2">
        <w:rPr>
          <w:rFonts w:ascii="Candara" w:eastAsia="Times New Roman" w:hAnsi="Candara" w:cs="Calibri"/>
          <w:i/>
          <w:iCs/>
          <w:color w:val="000000"/>
          <w:lang w:eastAsia="en-ID"/>
        </w:rPr>
        <w:t>accident</w:t>
      </w:r>
      <w:r w:rsidRPr="00424EB1">
        <w:rPr>
          <w:rFonts w:ascii="Candara" w:hAnsi="Candara" w:cstheme="minorHAnsi"/>
          <w:i/>
          <w:iCs/>
        </w:rPr>
        <w:t xml:space="preserve">.” </w:t>
      </w:r>
      <w:r w:rsidRPr="00424EB1">
        <w:rPr>
          <w:rFonts w:ascii="Candara" w:hAnsi="Candara" w:cstheme="minorHAnsi"/>
        </w:rPr>
        <w:t>(Informan</w:t>
      </w:r>
      <w:r w:rsidR="00971CB2">
        <w:rPr>
          <w:rFonts w:ascii="Candara" w:hAnsi="Candara" w:cstheme="minorHAnsi"/>
        </w:rPr>
        <w:t>t</w:t>
      </w:r>
      <w:r w:rsidRPr="00424EB1">
        <w:rPr>
          <w:rFonts w:ascii="Candara" w:hAnsi="Candara" w:cstheme="minorHAnsi"/>
        </w:rPr>
        <w:t xml:space="preserve"> D)</w:t>
      </w:r>
    </w:p>
    <w:p w14:paraId="5FC7989A" w14:textId="46B20BDD" w:rsidR="003F6965" w:rsidRPr="00424EB1" w:rsidRDefault="003F6965" w:rsidP="00BD3624">
      <w:pPr>
        <w:pStyle w:val="ListParagraph"/>
        <w:spacing w:before="120" w:after="0" w:line="240" w:lineRule="auto"/>
        <w:ind w:left="360"/>
        <w:contextualSpacing w:val="0"/>
        <w:jc w:val="both"/>
        <w:rPr>
          <w:rFonts w:ascii="Candara" w:hAnsi="Candara" w:cstheme="minorHAnsi"/>
        </w:rPr>
      </w:pPr>
      <w:r w:rsidRPr="00424EB1">
        <w:rPr>
          <w:rFonts w:ascii="Candara" w:hAnsi="Candara" w:cstheme="minorHAnsi"/>
          <w:i/>
          <w:iCs/>
        </w:rPr>
        <w:lastRenderedPageBreak/>
        <w:t>“</w:t>
      </w:r>
      <w:r w:rsidR="008B0974" w:rsidRPr="00C6243A">
        <w:rPr>
          <w:rFonts w:ascii="Candara" w:eastAsia="Times New Roman" w:hAnsi="Candara" w:cs="Calibri"/>
          <w:i/>
          <w:iCs/>
          <w:color w:val="000000"/>
          <w:lang w:eastAsia="en-ID"/>
        </w:rPr>
        <w:t xml:space="preserve">Well, this is actually a new thing. We started hearing about forensic accounting in 97 if I'm not mistaken, but </w:t>
      </w:r>
      <w:r w:rsidR="008B0974">
        <w:rPr>
          <w:rFonts w:ascii="Candara" w:eastAsia="Times New Roman" w:hAnsi="Candara" w:cs="Calibri"/>
          <w:i/>
          <w:iCs/>
          <w:color w:val="000000"/>
          <w:lang w:eastAsia="en-ID"/>
        </w:rPr>
        <w:t xml:space="preserve">as the time goes by, everything is </w:t>
      </w:r>
      <w:r w:rsidR="008B0974" w:rsidRPr="00C6243A">
        <w:rPr>
          <w:rFonts w:ascii="Candara" w:eastAsia="Times New Roman" w:hAnsi="Candara" w:cs="Calibri"/>
          <w:i/>
          <w:iCs/>
          <w:color w:val="000000"/>
          <w:lang w:eastAsia="en-ID"/>
        </w:rPr>
        <w:t>digital</w:t>
      </w:r>
      <w:r w:rsidR="008B0974">
        <w:rPr>
          <w:rFonts w:ascii="Candara" w:eastAsia="Times New Roman" w:hAnsi="Candara" w:cs="Calibri"/>
          <w:i/>
          <w:iCs/>
          <w:color w:val="000000"/>
          <w:lang w:eastAsia="en-ID"/>
        </w:rPr>
        <w:t>.</w:t>
      </w:r>
      <w:r w:rsidR="008B0974" w:rsidRPr="00C6243A">
        <w:rPr>
          <w:rFonts w:ascii="Candara" w:eastAsia="Times New Roman" w:hAnsi="Candara" w:cs="Calibri"/>
          <w:i/>
          <w:iCs/>
          <w:color w:val="000000"/>
          <w:lang w:eastAsia="en-ID"/>
        </w:rPr>
        <w:t xml:space="preserve"> </w:t>
      </w:r>
      <w:r w:rsidR="008B0974">
        <w:rPr>
          <w:rFonts w:ascii="Candara" w:eastAsia="Times New Roman" w:hAnsi="Candara" w:cs="Calibri"/>
          <w:i/>
          <w:iCs/>
          <w:color w:val="000000"/>
          <w:lang w:eastAsia="en-ID"/>
        </w:rPr>
        <w:t>A</w:t>
      </w:r>
      <w:r w:rsidR="008B0974" w:rsidRPr="00C6243A">
        <w:rPr>
          <w:rFonts w:ascii="Candara" w:eastAsia="Times New Roman" w:hAnsi="Candara" w:cs="Calibri"/>
          <w:i/>
          <w:iCs/>
          <w:color w:val="000000"/>
          <w:lang w:eastAsia="en-ID"/>
        </w:rPr>
        <w:t xml:space="preserve">ll transactions can be traced but </w:t>
      </w:r>
      <w:r w:rsidR="008B0974">
        <w:rPr>
          <w:rFonts w:ascii="Candara" w:eastAsia="Times New Roman" w:hAnsi="Candara" w:cs="Calibri"/>
          <w:i/>
          <w:iCs/>
          <w:color w:val="000000"/>
          <w:lang w:eastAsia="en-ID"/>
        </w:rPr>
        <w:t xml:space="preserve">the tracing </w:t>
      </w:r>
      <w:r w:rsidR="008B0974" w:rsidRPr="00C6243A">
        <w:rPr>
          <w:rFonts w:ascii="Candara" w:eastAsia="Times New Roman" w:hAnsi="Candara" w:cs="Calibri"/>
          <w:i/>
          <w:iCs/>
          <w:color w:val="000000"/>
          <w:lang w:eastAsia="en-ID"/>
        </w:rPr>
        <w:t>require</w:t>
      </w:r>
      <w:r w:rsidR="008B0974">
        <w:rPr>
          <w:rFonts w:ascii="Candara" w:eastAsia="Times New Roman" w:hAnsi="Candara" w:cs="Calibri"/>
          <w:i/>
          <w:iCs/>
          <w:color w:val="000000"/>
          <w:lang w:eastAsia="en-ID"/>
        </w:rPr>
        <w:t>s</w:t>
      </w:r>
      <w:r w:rsidR="008B0974" w:rsidRPr="00C6243A">
        <w:rPr>
          <w:rFonts w:ascii="Candara" w:eastAsia="Times New Roman" w:hAnsi="Candara" w:cs="Calibri"/>
          <w:i/>
          <w:iCs/>
          <w:color w:val="000000"/>
          <w:lang w:eastAsia="en-ID"/>
        </w:rPr>
        <w:t xml:space="preserve"> speci</w:t>
      </w:r>
      <w:r w:rsidR="008B0974">
        <w:rPr>
          <w:rFonts w:ascii="Candara" w:eastAsia="Times New Roman" w:hAnsi="Candara" w:cs="Calibri"/>
          <w:i/>
          <w:iCs/>
          <w:color w:val="000000"/>
          <w:lang w:eastAsia="en-ID"/>
        </w:rPr>
        <w:t xml:space="preserve">fic </w:t>
      </w:r>
      <w:r w:rsidR="008B0974" w:rsidRPr="00C6243A">
        <w:rPr>
          <w:rFonts w:ascii="Candara" w:eastAsia="Times New Roman" w:hAnsi="Candara" w:cs="Calibri"/>
          <w:i/>
          <w:iCs/>
          <w:color w:val="000000"/>
          <w:lang w:eastAsia="en-ID"/>
        </w:rPr>
        <w:t>skills and expertise.</w:t>
      </w:r>
      <w:r w:rsidR="008B0974">
        <w:rPr>
          <w:rFonts w:ascii="Candara" w:eastAsia="Times New Roman" w:hAnsi="Candara" w:cs="Calibri"/>
          <w:i/>
          <w:iCs/>
          <w:color w:val="000000"/>
          <w:lang w:eastAsia="en-ID"/>
        </w:rPr>
        <w:t xml:space="preserve"> </w:t>
      </w:r>
      <w:r w:rsidR="008B0974" w:rsidRPr="00C6243A">
        <w:rPr>
          <w:rFonts w:ascii="Candara" w:eastAsia="Times New Roman" w:hAnsi="Candara" w:cs="Calibri"/>
          <w:i/>
          <w:iCs/>
          <w:color w:val="000000"/>
          <w:lang w:eastAsia="en-ID"/>
        </w:rPr>
        <w:t xml:space="preserve">Not all legal advisors, </w:t>
      </w:r>
      <w:r w:rsidR="008B0974">
        <w:rPr>
          <w:rFonts w:ascii="Candara" w:eastAsia="Times New Roman" w:hAnsi="Candara" w:cs="Calibri"/>
          <w:i/>
          <w:iCs/>
          <w:color w:val="000000"/>
          <w:lang w:eastAsia="en-ID"/>
        </w:rPr>
        <w:t xml:space="preserve">or </w:t>
      </w:r>
      <w:r w:rsidR="008B0974" w:rsidRPr="00C6243A">
        <w:rPr>
          <w:rFonts w:ascii="Candara" w:eastAsia="Times New Roman" w:hAnsi="Candara" w:cs="Calibri"/>
          <w:i/>
          <w:iCs/>
          <w:color w:val="000000"/>
          <w:lang w:eastAsia="en-ID"/>
        </w:rPr>
        <w:t>even curators,</w:t>
      </w:r>
      <w:r w:rsidR="000A2D99">
        <w:rPr>
          <w:rFonts w:ascii="Candara" w:eastAsia="Times New Roman" w:hAnsi="Candara" w:cs="Calibri"/>
          <w:i/>
          <w:iCs/>
          <w:color w:val="000000"/>
          <w:lang w:eastAsia="en-ID"/>
        </w:rPr>
        <w:t xml:space="preserve"> </w:t>
      </w:r>
      <w:r w:rsidR="008B0974" w:rsidRPr="00C6243A">
        <w:rPr>
          <w:rFonts w:ascii="Candara" w:eastAsia="Times New Roman" w:hAnsi="Candara" w:cs="Calibri"/>
          <w:i/>
          <w:iCs/>
          <w:color w:val="000000"/>
          <w:lang w:eastAsia="en-ID"/>
        </w:rPr>
        <w:t xml:space="preserve">have </w:t>
      </w:r>
      <w:r w:rsidR="008B0974">
        <w:rPr>
          <w:rFonts w:ascii="Candara" w:eastAsia="Times New Roman" w:hAnsi="Candara" w:cs="Calibri"/>
          <w:i/>
          <w:iCs/>
          <w:color w:val="000000"/>
          <w:lang w:eastAsia="en-ID"/>
        </w:rPr>
        <w:t xml:space="preserve">such </w:t>
      </w:r>
      <w:r w:rsidR="008B0974" w:rsidRPr="00C6243A">
        <w:rPr>
          <w:rFonts w:ascii="Candara" w:eastAsia="Times New Roman" w:hAnsi="Candara" w:cs="Calibri"/>
          <w:i/>
          <w:iCs/>
          <w:color w:val="000000"/>
          <w:lang w:eastAsia="en-ID"/>
        </w:rPr>
        <w:t xml:space="preserve">expertise, so they </w:t>
      </w:r>
      <w:r w:rsidR="008B0974">
        <w:rPr>
          <w:rFonts w:ascii="Candara" w:eastAsia="Times New Roman" w:hAnsi="Candara" w:cs="Calibri"/>
          <w:i/>
          <w:iCs/>
          <w:color w:val="000000"/>
          <w:lang w:eastAsia="en-ID"/>
        </w:rPr>
        <w:t xml:space="preserve">need </w:t>
      </w:r>
      <w:r w:rsidR="008B0974" w:rsidRPr="00C6243A">
        <w:rPr>
          <w:rFonts w:ascii="Candara" w:eastAsia="Times New Roman" w:hAnsi="Candara" w:cs="Calibri"/>
          <w:i/>
          <w:iCs/>
          <w:color w:val="000000"/>
          <w:lang w:eastAsia="en-ID"/>
        </w:rPr>
        <w:t xml:space="preserve">to hire </w:t>
      </w:r>
      <w:r w:rsidR="008B0974">
        <w:rPr>
          <w:rFonts w:ascii="Candara" w:eastAsia="Times New Roman" w:hAnsi="Candara" w:cs="Calibri"/>
          <w:i/>
          <w:iCs/>
          <w:color w:val="000000"/>
          <w:lang w:eastAsia="en-ID"/>
        </w:rPr>
        <w:t xml:space="preserve">people </w:t>
      </w:r>
      <w:r w:rsidR="008B0974" w:rsidRPr="00C6243A">
        <w:rPr>
          <w:rFonts w:ascii="Candara" w:eastAsia="Times New Roman" w:hAnsi="Candara" w:cs="Calibri"/>
          <w:i/>
          <w:iCs/>
          <w:color w:val="000000"/>
          <w:lang w:eastAsia="en-ID"/>
        </w:rPr>
        <w:t>who ha</w:t>
      </w:r>
      <w:r w:rsidR="008B0974">
        <w:rPr>
          <w:rFonts w:ascii="Candara" w:eastAsia="Times New Roman" w:hAnsi="Candara" w:cs="Calibri"/>
          <w:i/>
          <w:iCs/>
          <w:color w:val="000000"/>
          <w:lang w:eastAsia="en-ID"/>
        </w:rPr>
        <w:t xml:space="preserve">ve such </w:t>
      </w:r>
      <w:r w:rsidR="008B0974" w:rsidRPr="00C6243A">
        <w:rPr>
          <w:rFonts w:ascii="Candara" w:eastAsia="Times New Roman" w:hAnsi="Candara" w:cs="Calibri"/>
          <w:i/>
          <w:iCs/>
          <w:color w:val="000000"/>
          <w:lang w:eastAsia="en-ID"/>
        </w:rPr>
        <w:t xml:space="preserve">expertise, one of </w:t>
      </w:r>
      <w:r w:rsidR="008B0974">
        <w:rPr>
          <w:rFonts w:ascii="Candara" w:eastAsia="Times New Roman" w:hAnsi="Candara" w:cs="Calibri"/>
          <w:i/>
          <w:iCs/>
          <w:color w:val="000000"/>
          <w:lang w:eastAsia="en-ID"/>
        </w:rPr>
        <w:t xml:space="preserve">whom </w:t>
      </w:r>
      <w:r w:rsidR="008B0974" w:rsidRPr="00C6243A">
        <w:rPr>
          <w:rFonts w:ascii="Candara" w:eastAsia="Times New Roman" w:hAnsi="Candara" w:cs="Calibri"/>
          <w:i/>
          <w:iCs/>
          <w:color w:val="000000"/>
          <w:lang w:eastAsia="en-ID"/>
        </w:rPr>
        <w:t>is forensic account</w:t>
      </w:r>
      <w:r w:rsidR="008B0974">
        <w:rPr>
          <w:rFonts w:ascii="Candara" w:eastAsia="Times New Roman" w:hAnsi="Candara" w:cs="Calibri"/>
          <w:i/>
          <w:iCs/>
          <w:color w:val="000000"/>
          <w:lang w:eastAsia="en-ID"/>
        </w:rPr>
        <w:t>ant</w:t>
      </w:r>
      <w:r w:rsidR="008B0974" w:rsidRPr="00C6243A">
        <w:rPr>
          <w:rFonts w:ascii="Candara" w:eastAsia="Times New Roman" w:hAnsi="Candara" w:cs="Calibri"/>
          <w:i/>
          <w:iCs/>
          <w:color w:val="000000"/>
          <w:lang w:eastAsia="en-ID"/>
        </w:rPr>
        <w:t>.</w:t>
      </w:r>
      <w:r w:rsidR="008B0974">
        <w:rPr>
          <w:rFonts w:ascii="Candara" w:eastAsia="Times New Roman" w:hAnsi="Candara" w:cs="Calibri"/>
          <w:i/>
          <w:iCs/>
          <w:color w:val="000000"/>
          <w:lang w:eastAsia="en-ID"/>
        </w:rPr>
        <w:t xml:space="preserve"> </w:t>
      </w:r>
      <w:r w:rsidR="008B0974" w:rsidRPr="00C6243A">
        <w:rPr>
          <w:rFonts w:ascii="Candara" w:eastAsia="Times New Roman" w:hAnsi="Candara" w:cs="Calibri"/>
          <w:i/>
          <w:iCs/>
          <w:color w:val="000000"/>
          <w:lang w:eastAsia="en-ID"/>
        </w:rPr>
        <w:t xml:space="preserve">In the future, forensic accounting is </w:t>
      </w:r>
      <w:r w:rsidR="008B0974">
        <w:rPr>
          <w:rFonts w:ascii="Candara" w:eastAsia="Times New Roman" w:hAnsi="Candara" w:cs="Calibri"/>
          <w:i/>
          <w:iCs/>
          <w:color w:val="000000"/>
          <w:lang w:eastAsia="en-ID"/>
        </w:rPr>
        <w:t xml:space="preserve">highly </w:t>
      </w:r>
      <w:r w:rsidR="008B0974" w:rsidRPr="00C6243A">
        <w:rPr>
          <w:rFonts w:ascii="Candara" w:eastAsia="Times New Roman" w:hAnsi="Candara" w:cs="Calibri"/>
          <w:i/>
          <w:iCs/>
          <w:color w:val="000000"/>
          <w:lang w:eastAsia="en-ID"/>
        </w:rPr>
        <w:t>needed to investigate the existence of the debtor's bankrupt</w:t>
      </w:r>
      <w:r w:rsidR="008B0974">
        <w:rPr>
          <w:rFonts w:ascii="Candara" w:eastAsia="Times New Roman" w:hAnsi="Candara" w:cs="Calibri"/>
          <w:i/>
          <w:iCs/>
          <w:color w:val="000000"/>
          <w:lang w:eastAsia="en-ID"/>
        </w:rPr>
        <w:t>cy</w:t>
      </w:r>
      <w:r w:rsidR="008B0974" w:rsidRPr="00C6243A">
        <w:rPr>
          <w:rFonts w:ascii="Candara" w:eastAsia="Times New Roman" w:hAnsi="Candara" w:cs="Calibri"/>
          <w:i/>
          <w:iCs/>
          <w:color w:val="000000"/>
          <w:lang w:eastAsia="en-ID"/>
        </w:rPr>
        <w:t xml:space="preserve"> assets</w:t>
      </w:r>
      <w:r w:rsidRPr="00424EB1">
        <w:rPr>
          <w:rFonts w:ascii="Candara" w:hAnsi="Candara" w:cstheme="minorHAnsi"/>
          <w:i/>
          <w:iCs/>
        </w:rPr>
        <w:t>.”</w:t>
      </w:r>
      <w:r w:rsidRPr="00424EB1">
        <w:rPr>
          <w:rFonts w:ascii="Candara" w:hAnsi="Candara" w:cstheme="minorHAnsi"/>
        </w:rPr>
        <w:t xml:space="preserve"> (Informan</w:t>
      </w:r>
      <w:r w:rsidR="008B0974">
        <w:rPr>
          <w:rFonts w:ascii="Candara" w:hAnsi="Candara" w:cstheme="minorHAnsi"/>
        </w:rPr>
        <w:t>t</w:t>
      </w:r>
      <w:r w:rsidRPr="00424EB1">
        <w:rPr>
          <w:rFonts w:ascii="Candara" w:hAnsi="Candara" w:cstheme="minorHAnsi"/>
        </w:rPr>
        <w:t xml:space="preserve"> F)</w:t>
      </w:r>
    </w:p>
    <w:p w14:paraId="4B323E73" w14:textId="4B5C9620" w:rsidR="003F6965" w:rsidRDefault="003F6965" w:rsidP="00BD3624">
      <w:pPr>
        <w:autoSpaceDE w:val="0"/>
        <w:autoSpaceDN w:val="0"/>
        <w:adjustRightInd w:val="0"/>
        <w:spacing w:before="120" w:after="0" w:line="240" w:lineRule="auto"/>
        <w:ind w:firstLine="360"/>
        <w:jc w:val="both"/>
        <w:rPr>
          <w:rFonts w:ascii="Candara" w:hAnsi="Candara" w:cs="Arial"/>
        </w:rPr>
      </w:pPr>
      <w:r w:rsidRPr="00424EB1">
        <w:rPr>
          <w:rFonts w:ascii="Candara" w:hAnsi="Candara" w:cstheme="minorHAnsi"/>
        </w:rPr>
        <w:t>Tab</w:t>
      </w:r>
      <w:r w:rsidR="008B0974">
        <w:rPr>
          <w:rFonts w:ascii="Candara" w:hAnsi="Candara" w:cstheme="minorHAnsi"/>
        </w:rPr>
        <w:t>le</w:t>
      </w:r>
      <w:r w:rsidRPr="00424EB1">
        <w:rPr>
          <w:rFonts w:ascii="Candara" w:hAnsi="Candara" w:cstheme="minorHAnsi"/>
        </w:rPr>
        <w:t xml:space="preserve"> 7 </w:t>
      </w:r>
      <w:r w:rsidR="008B0974">
        <w:rPr>
          <w:rFonts w:ascii="Candara" w:hAnsi="Candara" w:cstheme="minorHAnsi"/>
        </w:rPr>
        <w:t xml:space="preserve">shows the </w:t>
      </w:r>
      <w:r w:rsidRPr="00424EB1">
        <w:rPr>
          <w:rFonts w:ascii="Candara" w:hAnsi="Candara" w:cstheme="minorHAnsi"/>
        </w:rPr>
        <w:t>respon</w:t>
      </w:r>
      <w:r w:rsidR="008B0974">
        <w:rPr>
          <w:rFonts w:ascii="Candara" w:hAnsi="Candara" w:cstheme="minorHAnsi"/>
        </w:rPr>
        <w:t>ses of each of the informants that</w:t>
      </w:r>
      <w:r w:rsidRPr="00424EB1">
        <w:rPr>
          <w:rFonts w:ascii="Candara" w:hAnsi="Candara" w:cstheme="minorHAnsi"/>
        </w:rPr>
        <w:t xml:space="preserve"> forensi</w:t>
      </w:r>
      <w:r w:rsidR="008B0974">
        <w:rPr>
          <w:rFonts w:ascii="Candara" w:hAnsi="Candara" w:cstheme="minorHAnsi"/>
        </w:rPr>
        <w:t>c accounting is helpful for c</w:t>
      </w:r>
      <w:r w:rsidRPr="00424EB1">
        <w:rPr>
          <w:rFonts w:ascii="Candara" w:hAnsi="Candara" w:cstheme="minorHAnsi"/>
        </w:rPr>
        <w:t>urator</w:t>
      </w:r>
      <w:r w:rsidR="008B0974">
        <w:rPr>
          <w:rFonts w:ascii="Candara" w:hAnsi="Candara" w:cstheme="minorHAnsi"/>
        </w:rPr>
        <w:t>s’ work</w:t>
      </w:r>
      <w:r w:rsidRPr="00424EB1">
        <w:rPr>
          <w:rFonts w:ascii="Candara" w:hAnsi="Candara" w:cstheme="minorHAnsi"/>
        </w:rPr>
        <w:t xml:space="preserve"> </w:t>
      </w:r>
      <w:r w:rsidR="008B0974">
        <w:rPr>
          <w:rFonts w:ascii="Candara" w:hAnsi="Candara" w:cstheme="minorHAnsi"/>
        </w:rPr>
        <w:t>in the settlement of bankruptcy cases</w:t>
      </w:r>
      <w:r w:rsidRPr="00424EB1">
        <w:rPr>
          <w:rFonts w:ascii="Candara" w:hAnsi="Candara" w:cstheme="minorHAnsi"/>
        </w:rPr>
        <w:t>.</w:t>
      </w:r>
    </w:p>
    <w:p w14:paraId="5637666A" w14:textId="490BA402" w:rsidR="00B02522" w:rsidRPr="0010786A" w:rsidRDefault="00B02522" w:rsidP="00BD3624">
      <w:pPr>
        <w:pStyle w:val="ListParagraph"/>
        <w:spacing w:after="0" w:line="240" w:lineRule="auto"/>
        <w:ind w:left="0"/>
        <w:jc w:val="center"/>
        <w:rPr>
          <w:rFonts w:ascii="Goudy Old Style" w:hAnsi="Goudy Old Style" w:cstheme="minorHAnsi"/>
          <w:b/>
          <w:bCs/>
          <w:sz w:val="20"/>
          <w:szCs w:val="20"/>
        </w:rPr>
      </w:pPr>
      <w:r w:rsidRPr="0010786A">
        <w:rPr>
          <w:rFonts w:ascii="Goudy Old Style" w:hAnsi="Goudy Old Style" w:cstheme="minorHAnsi"/>
          <w:b/>
          <w:bCs/>
          <w:sz w:val="20"/>
          <w:szCs w:val="20"/>
        </w:rPr>
        <w:t>Tab</w:t>
      </w:r>
      <w:r w:rsidR="000A644D">
        <w:rPr>
          <w:rFonts w:ascii="Goudy Old Style" w:hAnsi="Goudy Old Style" w:cstheme="minorHAnsi"/>
          <w:b/>
          <w:bCs/>
          <w:sz w:val="20"/>
          <w:szCs w:val="20"/>
        </w:rPr>
        <w:t>le</w:t>
      </w:r>
      <w:r w:rsidRPr="0010786A">
        <w:rPr>
          <w:rFonts w:ascii="Goudy Old Style" w:hAnsi="Goudy Old Style" w:cstheme="minorHAnsi"/>
          <w:b/>
          <w:bCs/>
          <w:sz w:val="20"/>
          <w:szCs w:val="20"/>
        </w:rPr>
        <w:t xml:space="preserve"> 7. </w:t>
      </w:r>
      <w:r w:rsidR="000A644D">
        <w:rPr>
          <w:rFonts w:ascii="Goudy Old Style" w:hAnsi="Goudy Old Style" w:cstheme="minorHAnsi"/>
          <w:b/>
          <w:bCs/>
          <w:sz w:val="20"/>
          <w:szCs w:val="20"/>
        </w:rPr>
        <w:t xml:space="preserve">Forensic </w:t>
      </w:r>
      <w:r w:rsidRPr="0010786A">
        <w:rPr>
          <w:rFonts w:ascii="Goudy Old Style" w:eastAsia="Times New Roman" w:hAnsi="Goudy Old Style" w:cstheme="minorHAnsi"/>
          <w:b/>
          <w:bCs/>
          <w:color w:val="000000"/>
          <w:sz w:val="20"/>
          <w:szCs w:val="20"/>
        </w:rPr>
        <w:t>A</w:t>
      </w:r>
      <w:r w:rsidR="000A644D">
        <w:rPr>
          <w:rFonts w:ascii="Goudy Old Style" w:eastAsia="Times New Roman" w:hAnsi="Goudy Old Style" w:cstheme="minorHAnsi"/>
          <w:b/>
          <w:bCs/>
          <w:color w:val="000000"/>
          <w:sz w:val="20"/>
          <w:szCs w:val="20"/>
        </w:rPr>
        <w:t>ccounting is Helpful for C</w:t>
      </w:r>
      <w:r w:rsidRPr="0010786A">
        <w:rPr>
          <w:rFonts w:ascii="Goudy Old Style" w:eastAsia="Times New Roman" w:hAnsi="Goudy Old Style" w:cstheme="minorHAnsi"/>
          <w:b/>
          <w:bCs/>
          <w:color w:val="000000"/>
          <w:sz w:val="20"/>
          <w:szCs w:val="20"/>
        </w:rPr>
        <w:t>urator</w:t>
      </w:r>
      <w:r w:rsidR="000A644D">
        <w:rPr>
          <w:rFonts w:ascii="Goudy Old Style" w:eastAsia="Times New Roman" w:hAnsi="Goudy Old Style" w:cstheme="minorHAnsi"/>
          <w:b/>
          <w:bCs/>
          <w:color w:val="000000"/>
          <w:sz w:val="20"/>
          <w:szCs w:val="20"/>
        </w:rPr>
        <w:t>s’ Work</w:t>
      </w:r>
    </w:p>
    <w:tbl>
      <w:tblPr>
        <w:tblW w:w="8580" w:type="dxa"/>
        <w:tblInd w:w="108" w:type="dxa"/>
        <w:tblLook w:val="04A0" w:firstRow="1" w:lastRow="0" w:firstColumn="1" w:lastColumn="0" w:noHBand="0" w:noVBand="1"/>
      </w:tblPr>
      <w:tblGrid>
        <w:gridCol w:w="2520"/>
        <w:gridCol w:w="446"/>
        <w:gridCol w:w="424"/>
        <w:gridCol w:w="417"/>
        <w:gridCol w:w="467"/>
        <w:gridCol w:w="395"/>
        <w:gridCol w:w="395"/>
        <w:gridCol w:w="476"/>
        <w:gridCol w:w="473"/>
        <w:gridCol w:w="395"/>
        <w:gridCol w:w="1152"/>
        <w:gridCol w:w="1065"/>
      </w:tblGrid>
      <w:tr w:rsidR="00B02522" w:rsidRPr="0010786A" w14:paraId="434FE171" w14:textId="77777777" w:rsidTr="000A644D">
        <w:trPr>
          <w:trHeight w:val="300"/>
        </w:trPr>
        <w:tc>
          <w:tcPr>
            <w:tcW w:w="2520" w:type="dxa"/>
            <w:vMerge w:val="restart"/>
            <w:tcBorders>
              <w:top w:val="single" w:sz="4" w:space="0" w:color="auto"/>
              <w:bottom w:val="single" w:sz="4" w:space="0" w:color="auto"/>
            </w:tcBorders>
            <w:shd w:val="clear" w:color="auto" w:fill="auto"/>
            <w:noWrap/>
            <w:vAlign w:val="center"/>
            <w:hideMark/>
          </w:tcPr>
          <w:p w14:paraId="2660C242" w14:textId="6CE93875"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Indi</w:t>
            </w:r>
            <w:r w:rsidR="000A644D">
              <w:rPr>
                <w:rFonts w:ascii="Goudy Old Style" w:eastAsia="Times New Roman" w:hAnsi="Goudy Old Style" w:cstheme="minorHAnsi"/>
                <w:b/>
                <w:bCs/>
                <w:color w:val="000000"/>
                <w:sz w:val="20"/>
                <w:szCs w:val="20"/>
              </w:rPr>
              <w:t>c</w:t>
            </w:r>
            <w:r w:rsidRPr="0010786A">
              <w:rPr>
                <w:rFonts w:ascii="Goudy Old Style" w:eastAsia="Times New Roman" w:hAnsi="Goudy Old Style" w:cstheme="minorHAnsi"/>
                <w:b/>
                <w:bCs/>
                <w:color w:val="000000"/>
                <w:sz w:val="20"/>
                <w:szCs w:val="20"/>
              </w:rPr>
              <w:t>ator</w:t>
            </w:r>
          </w:p>
        </w:tc>
        <w:tc>
          <w:tcPr>
            <w:tcW w:w="5040" w:type="dxa"/>
            <w:gridSpan w:val="10"/>
            <w:tcBorders>
              <w:top w:val="single" w:sz="4" w:space="0" w:color="auto"/>
              <w:bottom w:val="single" w:sz="4" w:space="0" w:color="auto"/>
            </w:tcBorders>
            <w:shd w:val="clear" w:color="auto" w:fill="auto"/>
            <w:noWrap/>
            <w:vAlign w:val="bottom"/>
            <w:hideMark/>
          </w:tcPr>
          <w:p w14:paraId="690917F8" w14:textId="4788F246"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Informan</w:t>
            </w:r>
            <w:r w:rsidR="000A644D">
              <w:rPr>
                <w:rFonts w:ascii="Goudy Old Style" w:eastAsia="Times New Roman" w:hAnsi="Goudy Old Style" w:cstheme="minorHAnsi"/>
                <w:b/>
                <w:bCs/>
                <w:color w:val="000000"/>
                <w:sz w:val="20"/>
                <w:szCs w:val="20"/>
              </w:rPr>
              <w:t>ts</w:t>
            </w:r>
          </w:p>
        </w:tc>
        <w:tc>
          <w:tcPr>
            <w:tcW w:w="1020" w:type="dxa"/>
            <w:vMerge w:val="restart"/>
            <w:tcBorders>
              <w:top w:val="single" w:sz="4" w:space="0" w:color="auto"/>
              <w:bottom w:val="single" w:sz="4" w:space="0" w:color="auto"/>
            </w:tcBorders>
            <w:shd w:val="clear" w:color="auto" w:fill="auto"/>
            <w:noWrap/>
            <w:vAlign w:val="center"/>
            <w:hideMark/>
          </w:tcPr>
          <w:p w14:paraId="1CE97590" w14:textId="702A1D74"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Fre</w:t>
            </w:r>
            <w:r w:rsidR="000A644D">
              <w:rPr>
                <w:rFonts w:ascii="Goudy Old Style" w:eastAsia="Times New Roman" w:hAnsi="Goudy Old Style" w:cstheme="minorHAnsi"/>
                <w:b/>
                <w:bCs/>
                <w:color w:val="000000"/>
                <w:sz w:val="20"/>
                <w:szCs w:val="20"/>
              </w:rPr>
              <w:t>quency</w:t>
            </w:r>
          </w:p>
        </w:tc>
      </w:tr>
      <w:tr w:rsidR="00B02522" w:rsidRPr="0010786A" w14:paraId="56F3C762" w14:textId="77777777" w:rsidTr="000A644D">
        <w:trPr>
          <w:trHeight w:val="300"/>
        </w:trPr>
        <w:tc>
          <w:tcPr>
            <w:tcW w:w="2520" w:type="dxa"/>
            <w:vMerge/>
            <w:tcBorders>
              <w:top w:val="single" w:sz="4" w:space="0" w:color="auto"/>
              <w:bottom w:val="single" w:sz="4" w:space="0" w:color="auto"/>
            </w:tcBorders>
            <w:vAlign w:val="center"/>
            <w:hideMark/>
          </w:tcPr>
          <w:p w14:paraId="6A887481" w14:textId="77777777" w:rsidR="00B02522" w:rsidRPr="0010786A" w:rsidRDefault="00B02522" w:rsidP="002A69EE">
            <w:pPr>
              <w:spacing w:after="0" w:line="240" w:lineRule="auto"/>
              <w:rPr>
                <w:rFonts w:ascii="Goudy Old Style" w:eastAsia="Times New Roman" w:hAnsi="Goudy Old Style" w:cstheme="minorHAnsi"/>
                <w:color w:val="000000"/>
                <w:sz w:val="20"/>
                <w:szCs w:val="20"/>
              </w:rPr>
            </w:pPr>
          </w:p>
        </w:tc>
        <w:tc>
          <w:tcPr>
            <w:tcW w:w="446" w:type="dxa"/>
            <w:tcBorders>
              <w:top w:val="single" w:sz="4" w:space="0" w:color="auto"/>
              <w:bottom w:val="single" w:sz="4" w:space="0" w:color="auto"/>
            </w:tcBorders>
            <w:shd w:val="clear" w:color="auto" w:fill="auto"/>
            <w:noWrap/>
            <w:vAlign w:val="bottom"/>
            <w:hideMark/>
          </w:tcPr>
          <w:p w14:paraId="0FEA6B82"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A</w:t>
            </w:r>
          </w:p>
        </w:tc>
        <w:tc>
          <w:tcPr>
            <w:tcW w:w="424" w:type="dxa"/>
            <w:tcBorders>
              <w:top w:val="single" w:sz="4" w:space="0" w:color="auto"/>
              <w:bottom w:val="single" w:sz="4" w:space="0" w:color="auto"/>
            </w:tcBorders>
            <w:shd w:val="clear" w:color="auto" w:fill="auto"/>
            <w:noWrap/>
            <w:vAlign w:val="bottom"/>
            <w:hideMark/>
          </w:tcPr>
          <w:p w14:paraId="2F2B0A42"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B</w:t>
            </w:r>
          </w:p>
        </w:tc>
        <w:tc>
          <w:tcPr>
            <w:tcW w:w="417" w:type="dxa"/>
            <w:tcBorders>
              <w:top w:val="single" w:sz="4" w:space="0" w:color="auto"/>
              <w:bottom w:val="single" w:sz="4" w:space="0" w:color="auto"/>
            </w:tcBorders>
            <w:shd w:val="clear" w:color="auto" w:fill="auto"/>
            <w:noWrap/>
            <w:vAlign w:val="bottom"/>
            <w:hideMark/>
          </w:tcPr>
          <w:p w14:paraId="21354A03"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C</w:t>
            </w:r>
          </w:p>
        </w:tc>
        <w:tc>
          <w:tcPr>
            <w:tcW w:w="467" w:type="dxa"/>
            <w:tcBorders>
              <w:top w:val="single" w:sz="4" w:space="0" w:color="auto"/>
              <w:bottom w:val="single" w:sz="4" w:space="0" w:color="auto"/>
            </w:tcBorders>
            <w:shd w:val="clear" w:color="auto" w:fill="auto"/>
            <w:noWrap/>
            <w:vAlign w:val="bottom"/>
            <w:hideMark/>
          </w:tcPr>
          <w:p w14:paraId="14652C3C"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D</w:t>
            </w:r>
          </w:p>
        </w:tc>
        <w:tc>
          <w:tcPr>
            <w:tcW w:w="395" w:type="dxa"/>
            <w:tcBorders>
              <w:top w:val="single" w:sz="4" w:space="0" w:color="auto"/>
              <w:bottom w:val="single" w:sz="4" w:space="0" w:color="auto"/>
            </w:tcBorders>
            <w:shd w:val="clear" w:color="auto" w:fill="auto"/>
            <w:noWrap/>
            <w:vAlign w:val="bottom"/>
            <w:hideMark/>
          </w:tcPr>
          <w:p w14:paraId="085EB6CB"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E</w:t>
            </w:r>
          </w:p>
        </w:tc>
        <w:tc>
          <w:tcPr>
            <w:tcW w:w="395" w:type="dxa"/>
            <w:tcBorders>
              <w:top w:val="single" w:sz="4" w:space="0" w:color="auto"/>
              <w:bottom w:val="single" w:sz="4" w:space="0" w:color="auto"/>
            </w:tcBorders>
            <w:shd w:val="clear" w:color="auto" w:fill="auto"/>
            <w:noWrap/>
            <w:vAlign w:val="bottom"/>
            <w:hideMark/>
          </w:tcPr>
          <w:p w14:paraId="349737AE"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F</w:t>
            </w:r>
          </w:p>
        </w:tc>
        <w:tc>
          <w:tcPr>
            <w:tcW w:w="476" w:type="dxa"/>
            <w:tcBorders>
              <w:top w:val="single" w:sz="4" w:space="0" w:color="auto"/>
              <w:bottom w:val="single" w:sz="4" w:space="0" w:color="auto"/>
            </w:tcBorders>
            <w:shd w:val="clear" w:color="auto" w:fill="auto"/>
            <w:noWrap/>
            <w:vAlign w:val="bottom"/>
            <w:hideMark/>
          </w:tcPr>
          <w:p w14:paraId="283FCEF3"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G</w:t>
            </w:r>
          </w:p>
        </w:tc>
        <w:tc>
          <w:tcPr>
            <w:tcW w:w="473" w:type="dxa"/>
            <w:tcBorders>
              <w:top w:val="single" w:sz="4" w:space="0" w:color="auto"/>
              <w:bottom w:val="single" w:sz="4" w:space="0" w:color="auto"/>
            </w:tcBorders>
            <w:shd w:val="clear" w:color="auto" w:fill="auto"/>
            <w:noWrap/>
            <w:vAlign w:val="bottom"/>
            <w:hideMark/>
          </w:tcPr>
          <w:p w14:paraId="32F317B8"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H</w:t>
            </w:r>
          </w:p>
        </w:tc>
        <w:tc>
          <w:tcPr>
            <w:tcW w:w="395" w:type="dxa"/>
            <w:tcBorders>
              <w:top w:val="single" w:sz="4" w:space="0" w:color="auto"/>
              <w:bottom w:val="single" w:sz="4" w:space="0" w:color="auto"/>
            </w:tcBorders>
            <w:shd w:val="clear" w:color="auto" w:fill="auto"/>
            <w:noWrap/>
            <w:vAlign w:val="bottom"/>
            <w:hideMark/>
          </w:tcPr>
          <w:p w14:paraId="32E1C6B6"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I</w:t>
            </w:r>
          </w:p>
        </w:tc>
        <w:tc>
          <w:tcPr>
            <w:tcW w:w="1152" w:type="dxa"/>
            <w:tcBorders>
              <w:top w:val="single" w:sz="4" w:space="0" w:color="auto"/>
              <w:bottom w:val="single" w:sz="4" w:space="0" w:color="auto"/>
            </w:tcBorders>
            <w:shd w:val="clear" w:color="auto" w:fill="auto"/>
            <w:noWrap/>
            <w:vAlign w:val="bottom"/>
            <w:hideMark/>
          </w:tcPr>
          <w:p w14:paraId="1A90F7EE" w14:textId="77777777" w:rsidR="00B02522" w:rsidRPr="0010786A" w:rsidRDefault="00B02522" w:rsidP="002A69EE">
            <w:pPr>
              <w:spacing w:after="0" w:line="240" w:lineRule="auto"/>
              <w:jc w:val="center"/>
              <w:rPr>
                <w:rFonts w:ascii="Goudy Old Style" w:eastAsia="Times New Roman" w:hAnsi="Goudy Old Style" w:cstheme="minorHAnsi"/>
                <w:b/>
                <w:bCs/>
                <w:color w:val="000000"/>
                <w:sz w:val="20"/>
                <w:szCs w:val="20"/>
              </w:rPr>
            </w:pPr>
            <w:r w:rsidRPr="0010786A">
              <w:rPr>
                <w:rFonts w:ascii="Goudy Old Style" w:eastAsia="Times New Roman" w:hAnsi="Goudy Old Style" w:cstheme="minorHAnsi"/>
                <w:b/>
                <w:bCs/>
                <w:color w:val="000000"/>
                <w:sz w:val="20"/>
                <w:szCs w:val="20"/>
              </w:rPr>
              <w:t>J</w:t>
            </w:r>
          </w:p>
        </w:tc>
        <w:tc>
          <w:tcPr>
            <w:tcW w:w="1020" w:type="dxa"/>
            <w:vMerge/>
            <w:tcBorders>
              <w:top w:val="single" w:sz="4" w:space="0" w:color="auto"/>
              <w:bottom w:val="single" w:sz="4" w:space="0" w:color="auto"/>
            </w:tcBorders>
            <w:vAlign w:val="center"/>
            <w:hideMark/>
          </w:tcPr>
          <w:p w14:paraId="468427B3" w14:textId="77777777" w:rsidR="00B02522" w:rsidRPr="0010786A" w:rsidRDefault="00B02522" w:rsidP="002A69EE">
            <w:pPr>
              <w:spacing w:after="0" w:line="240" w:lineRule="auto"/>
              <w:rPr>
                <w:rFonts w:ascii="Goudy Old Style" w:eastAsia="Times New Roman" w:hAnsi="Goudy Old Style" w:cstheme="minorHAnsi"/>
                <w:color w:val="000000"/>
                <w:sz w:val="20"/>
                <w:szCs w:val="20"/>
              </w:rPr>
            </w:pPr>
          </w:p>
        </w:tc>
      </w:tr>
      <w:tr w:rsidR="00B02522" w:rsidRPr="0010786A" w14:paraId="194BD547" w14:textId="77777777" w:rsidTr="000A644D">
        <w:trPr>
          <w:trHeight w:val="300"/>
        </w:trPr>
        <w:tc>
          <w:tcPr>
            <w:tcW w:w="2520" w:type="dxa"/>
            <w:tcBorders>
              <w:top w:val="single" w:sz="4" w:space="0" w:color="auto"/>
              <w:bottom w:val="single" w:sz="4" w:space="0" w:color="auto"/>
            </w:tcBorders>
            <w:shd w:val="clear" w:color="auto" w:fill="auto"/>
            <w:noWrap/>
            <w:vAlign w:val="bottom"/>
            <w:hideMark/>
          </w:tcPr>
          <w:p w14:paraId="6134CDC5" w14:textId="2F0B7417" w:rsidR="00B02522" w:rsidRPr="0010786A" w:rsidRDefault="000A644D" w:rsidP="00BD3624">
            <w:pPr>
              <w:spacing w:after="0" w:line="240" w:lineRule="auto"/>
              <w:jc w:val="both"/>
              <w:rPr>
                <w:rFonts w:ascii="Goudy Old Style" w:eastAsia="Times New Roman" w:hAnsi="Goudy Old Style" w:cstheme="minorHAnsi"/>
                <w:color w:val="000000"/>
                <w:sz w:val="20"/>
                <w:szCs w:val="20"/>
              </w:rPr>
            </w:pPr>
            <w:r>
              <w:rPr>
                <w:rFonts w:ascii="Goudy Old Style" w:eastAsia="Times New Roman" w:hAnsi="Goudy Old Style" w:cstheme="minorHAnsi"/>
                <w:color w:val="000000"/>
                <w:sz w:val="20"/>
                <w:szCs w:val="20"/>
              </w:rPr>
              <w:t>Forensic accounting is helpful for curators’ works.</w:t>
            </w:r>
          </w:p>
        </w:tc>
        <w:tc>
          <w:tcPr>
            <w:tcW w:w="446" w:type="dxa"/>
            <w:tcBorders>
              <w:top w:val="single" w:sz="4" w:space="0" w:color="auto"/>
              <w:bottom w:val="single" w:sz="4" w:space="0" w:color="auto"/>
            </w:tcBorders>
            <w:shd w:val="clear" w:color="auto" w:fill="auto"/>
            <w:noWrap/>
            <w:vAlign w:val="center"/>
            <w:hideMark/>
          </w:tcPr>
          <w:p w14:paraId="41C6F03C"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24" w:type="dxa"/>
            <w:tcBorders>
              <w:top w:val="single" w:sz="4" w:space="0" w:color="auto"/>
              <w:bottom w:val="single" w:sz="4" w:space="0" w:color="auto"/>
            </w:tcBorders>
            <w:shd w:val="clear" w:color="auto" w:fill="auto"/>
            <w:noWrap/>
            <w:vAlign w:val="center"/>
            <w:hideMark/>
          </w:tcPr>
          <w:p w14:paraId="07FAF655"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17" w:type="dxa"/>
            <w:tcBorders>
              <w:top w:val="single" w:sz="4" w:space="0" w:color="auto"/>
              <w:bottom w:val="single" w:sz="4" w:space="0" w:color="auto"/>
            </w:tcBorders>
            <w:shd w:val="clear" w:color="auto" w:fill="auto"/>
            <w:noWrap/>
            <w:vAlign w:val="center"/>
            <w:hideMark/>
          </w:tcPr>
          <w:p w14:paraId="41C8C7C3"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67" w:type="dxa"/>
            <w:tcBorders>
              <w:top w:val="single" w:sz="4" w:space="0" w:color="auto"/>
              <w:bottom w:val="single" w:sz="4" w:space="0" w:color="auto"/>
            </w:tcBorders>
            <w:shd w:val="clear" w:color="auto" w:fill="auto"/>
            <w:noWrap/>
            <w:vAlign w:val="center"/>
            <w:hideMark/>
          </w:tcPr>
          <w:p w14:paraId="4EA4561C"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395" w:type="dxa"/>
            <w:tcBorders>
              <w:top w:val="single" w:sz="4" w:space="0" w:color="auto"/>
              <w:bottom w:val="single" w:sz="4" w:space="0" w:color="auto"/>
            </w:tcBorders>
            <w:shd w:val="clear" w:color="auto" w:fill="auto"/>
            <w:noWrap/>
            <w:vAlign w:val="center"/>
            <w:hideMark/>
          </w:tcPr>
          <w:p w14:paraId="11885AF3"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395" w:type="dxa"/>
            <w:tcBorders>
              <w:top w:val="single" w:sz="4" w:space="0" w:color="auto"/>
              <w:bottom w:val="single" w:sz="4" w:space="0" w:color="auto"/>
            </w:tcBorders>
            <w:shd w:val="clear" w:color="auto" w:fill="auto"/>
            <w:noWrap/>
            <w:vAlign w:val="center"/>
            <w:hideMark/>
          </w:tcPr>
          <w:p w14:paraId="3715C989"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76" w:type="dxa"/>
            <w:tcBorders>
              <w:top w:val="single" w:sz="4" w:space="0" w:color="auto"/>
              <w:bottom w:val="single" w:sz="4" w:space="0" w:color="auto"/>
            </w:tcBorders>
            <w:shd w:val="clear" w:color="auto" w:fill="auto"/>
            <w:noWrap/>
            <w:vAlign w:val="center"/>
            <w:hideMark/>
          </w:tcPr>
          <w:p w14:paraId="59E15B85"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473" w:type="dxa"/>
            <w:tcBorders>
              <w:top w:val="single" w:sz="4" w:space="0" w:color="auto"/>
              <w:bottom w:val="single" w:sz="4" w:space="0" w:color="auto"/>
            </w:tcBorders>
            <w:shd w:val="clear" w:color="auto" w:fill="auto"/>
            <w:noWrap/>
            <w:vAlign w:val="center"/>
            <w:hideMark/>
          </w:tcPr>
          <w:p w14:paraId="3580D37C"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395" w:type="dxa"/>
            <w:tcBorders>
              <w:top w:val="single" w:sz="4" w:space="0" w:color="auto"/>
              <w:bottom w:val="single" w:sz="4" w:space="0" w:color="auto"/>
            </w:tcBorders>
            <w:shd w:val="clear" w:color="auto" w:fill="auto"/>
            <w:noWrap/>
            <w:vAlign w:val="center"/>
            <w:hideMark/>
          </w:tcPr>
          <w:p w14:paraId="2A3E118B"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1152" w:type="dxa"/>
            <w:tcBorders>
              <w:top w:val="single" w:sz="4" w:space="0" w:color="auto"/>
              <w:bottom w:val="single" w:sz="4" w:space="0" w:color="auto"/>
            </w:tcBorders>
            <w:shd w:val="clear" w:color="auto" w:fill="auto"/>
            <w:noWrap/>
            <w:vAlign w:val="center"/>
            <w:hideMark/>
          </w:tcPr>
          <w:p w14:paraId="2A33BEA4"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w:t>
            </w:r>
          </w:p>
        </w:tc>
        <w:tc>
          <w:tcPr>
            <w:tcW w:w="1020" w:type="dxa"/>
            <w:tcBorders>
              <w:top w:val="single" w:sz="4" w:space="0" w:color="auto"/>
              <w:bottom w:val="single" w:sz="4" w:space="0" w:color="auto"/>
            </w:tcBorders>
            <w:shd w:val="clear" w:color="auto" w:fill="auto"/>
            <w:noWrap/>
            <w:vAlign w:val="center"/>
            <w:hideMark/>
          </w:tcPr>
          <w:p w14:paraId="1E255573" w14:textId="77777777" w:rsidR="00B02522" w:rsidRPr="0010786A" w:rsidRDefault="00B02522" w:rsidP="002A69EE">
            <w:pPr>
              <w:spacing w:after="0" w:line="240" w:lineRule="auto"/>
              <w:jc w:val="center"/>
              <w:rPr>
                <w:rFonts w:ascii="Goudy Old Style" w:eastAsia="Times New Roman" w:hAnsi="Goudy Old Style" w:cstheme="minorHAnsi"/>
                <w:color w:val="000000"/>
                <w:sz w:val="20"/>
                <w:szCs w:val="20"/>
              </w:rPr>
            </w:pPr>
            <w:r w:rsidRPr="0010786A">
              <w:rPr>
                <w:rFonts w:ascii="Goudy Old Style" w:eastAsia="Times New Roman" w:hAnsi="Goudy Old Style" w:cstheme="minorHAnsi"/>
                <w:color w:val="000000"/>
                <w:sz w:val="20"/>
                <w:szCs w:val="20"/>
              </w:rPr>
              <w:t>10</w:t>
            </w:r>
          </w:p>
        </w:tc>
      </w:tr>
    </w:tbl>
    <w:p w14:paraId="6192982B" w14:textId="353BC6B4" w:rsidR="003F6965" w:rsidRDefault="000A644D" w:rsidP="00BD3624">
      <w:pPr>
        <w:autoSpaceDE w:val="0"/>
        <w:autoSpaceDN w:val="0"/>
        <w:adjustRightInd w:val="0"/>
        <w:spacing w:after="0" w:line="240" w:lineRule="auto"/>
        <w:ind w:firstLine="90"/>
        <w:jc w:val="both"/>
        <w:rPr>
          <w:rFonts w:ascii="Candara" w:hAnsi="Candara" w:cs="Arial"/>
        </w:rPr>
      </w:pPr>
      <w:r>
        <w:rPr>
          <w:rFonts w:ascii="Goudy Old Style" w:eastAsia="Times New Roman" w:hAnsi="Goudy Old Style" w:cstheme="minorHAnsi"/>
          <w:color w:val="000000"/>
          <w:sz w:val="20"/>
          <w:szCs w:val="20"/>
        </w:rPr>
        <w:t>Where</w:t>
      </w:r>
      <w:r w:rsidRPr="00F1130D">
        <w:rPr>
          <w:rFonts w:ascii="Goudy Old Style" w:eastAsia="Times New Roman" w:hAnsi="Goudy Old Style" w:cstheme="minorHAnsi"/>
          <w:color w:val="000000"/>
          <w:sz w:val="20"/>
          <w:szCs w:val="20"/>
        </w:rPr>
        <w:t xml:space="preserve">: √ = </w:t>
      </w:r>
      <w:r>
        <w:rPr>
          <w:rFonts w:ascii="Goudy Old Style" w:eastAsia="Times New Roman" w:hAnsi="Goudy Old Style" w:cstheme="minorHAnsi"/>
          <w:color w:val="000000"/>
          <w:sz w:val="20"/>
          <w:szCs w:val="20"/>
        </w:rPr>
        <w:t>Agree</w:t>
      </w:r>
      <w:r w:rsidRPr="00F1130D">
        <w:rPr>
          <w:rFonts w:ascii="Goudy Old Style" w:eastAsia="Times New Roman" w:hAnsi="Goudy Old Style" w:cstheme="minorHAnsi"/>
          <w:color w:val="000000"/>
          <w:sz w:val="20"/>
          <w:szCs w:val="20"/>
        </w:rPr>
        <w:t xml:space="preserve">, X = </w:t>
      </w:r>
      <w:r>
        <w:rPr>
          <w:rFonts w:ascii="Goudy Old Style" w:eastAsia="Times New Roman" w:hAnsi="Goudy Old Style" w:cstheme="minorHAnsi"/>
          <w:color w:val="000000"/>
          <w:sz w:val="20"/>
          <w:szCs w:val="20"/>
        </w:rPr>
        <w:t>Disagree</w:t>
      </w:r>
      <w:r w:rsidRPr="00F1130D">
        <w:rPr>
          <w:rFonts w:ascii="Goudy Old Style" w:eastAsia="Times New Roman" w:hAnsi="Goudy Old Style" w:cstheme="minorHAnsi"/>
          <w:color w:val="000000"/>
          <w:sz w:val="20"/>
          <w:szCs w:val="20"/>
        </w:rPr>
        <w:t xml:space="preserve">, </w:t>
      </w:r>
      <w:r w:rsidR="00FB67D1">
        <w:rPr>
          <w:rFonts w:ascii="Goudy Old Style" w:eastAsia="Times New Roman" w:hAnsi="Goudy Old Style" w:cstheme="minorHAnsi"/>
          <w:color w:val="000000"/>
          <w:sz w:val="20"/>
          <w:szCs w:val="20"/>
        </w:rPr>
        <w:t>-</w:t>
      </w:r>
      <w:r w:rsidRPr="00F1130D">
        <w:rPr>
          <w:rFonts w:ascii="Goudy Old Style" w:eastAsia="Times New Roman" w:hAnsi="Goudy Old Style" w:cstheme="minorHAnsi"/>
          <w:color w:val="000000"/>
          <w:sz w:val="20"/>
          <w:szCs w:val="20"/>
        </w:rPr>
        <w:t xml:space="preserve"> = </w:t>
      </w:r>
      <w:r>
        <w:rPr>
          <w:rFonts w:ascii="Goudy Old Style" w:eastAsia="Times New Roman" w:hAnsi="Goudy Old Style" w:cstheme="minorHAnsi"/>
          <w:color w:val="000000"/>
          <w:sz w:val="20"/>
          <w:szCs w:val="20"/>
        </w:rPr>
        <w:t>Not Stating</w:t>
      </w:r>
    </w:p>
    <w:p w14:paraId="4E375E50" w14:textId="7426C5BE" w:rsidR="00B02522" w:rsidRPr="00424EB1" w:rsidRDefault="000A644D" w:rsidP="00BD3624">
      <w:pPr>
        <w:pStyle w:val="ListParagraph"/>
        <w:numPr>
          <w:ilvl w:val="0"/>
          <w:numId w:val="19"/>
        </w:numPr>
        <w:spacing w:before="120" w:after="0" w:line="240" w:lineRule="auto"/>
        <w:ind w:left="360"/>
        <w:contextualSpacing w:val="0"/>
        <w:rPr>
          <w:rFonts w:ascii="Candara" w:hAnsi="Candara" w:cstheme="minorHAnsi"/>
        </w:rPr>
      </w:pPr>
      <w:r>
        <w:rPr>
          <w:rFonts w:ascii="Candara" w:hAnsi="Candara" w:cstheme="minorHAnsi"/>
        </w:rPr>
        <w:t xml:space="preserve">Other Themes Found </w:t>
      </w:r>
    </w:p>
    <w:p w14:paraId="3D29F7F5" w14:textId="6F8E0F12" w:rsidR="00B02522" w:rsidRPr="00BD3624" w:rsidRDefault="00E37AB5" w:rsidP="00BD3624">
      <w:pPr>
        <w:spacing w:after="0" w:line="240" w:lineRule="auto"/>
        <w:ind w:firstLine="360"/>
        <w:jc w:val="both"/>
        <w:rPr>
          <w:rFonts w:ascii="Candara" w:hAnsi="Candara" w:cstheme="minorHAnsi"/>
        </w:rPr>
      </w:pPr>
      <w:r w:rsidRPr="00C6243A">
        <w:rPr>
          <w:rFonts w:ascii="Candara" w:eastAsia="Times New Roman" w:hAnsi="Candara" w:cs="Calibri"/>
          <w:color w:val="000000"/>
          <w:lang w:eastAsia="en-ID"/>
        </w:rPr>
        <w:t xml:space="preserve">In this </w:t>
      </w:r>
      <w:r>
        <w:rPr>
          <w:rFonts w:ascii="Candara" w:eastAsia="Times New Roman" w:hAnsi="Candara" w:cs="Calibri"/>
          <w:color w:val="000000"/>
          <w:lang w:eastAsia="en-ID"/>
        </w:rPr>
        <w:t>part</w:t>
      </w:r>
      <w:r w:rsidRPr="00C6243A">
        <w:rPr>
          <w:rFonts w:ascii="Candara" w:eastAsia="Times New Roman" w:hAnsi="Candara" w:cs="Calibri"/>
          <w:color w:val="000000"/>
          <w:lang w:eastAsia="en-ID"/>
        </w:rPr>
        <w:t>, the researcher</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discuss other themes that </w:t>
      </w:r>
      <w:r>
        <w:rPr>
          <w:rFonts w:ascii="Candara" w:eastAsia="Times New Roman" w:hAnsi="Candara" w:cs="Calibri"/>
          <w:color w:val="000000"/>
          <w:lang w:eastAsia="en-ID"/>
        </w:rPr>
        <w:t xml:space="preserve">were found </w:t>
      </w:r>
      <w:r w:rsidRPr="00C6243A">
        <w:rPr>
          <w:rFonts w:ascii="Candara" w:eastAsia="Times New Roman" w:hAnsi="Candara" w:cs="Calibri"/>
          <w:color w:val="000000"/>
          <w:lang w:eastAsia="en-ID"/>
        </w:rPr>
        <w:t>during the field research.</w:t>
      </w:r>
      <w:r w:rsidR="000A2D99">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Th</w:t>
      </w:r>
      <w:r>
        <w:rPr>
          <w:rFonts w:ascii="Candara" w:eastAsia="Times New Roman" w:hAnsi="Candara" w:cs="Calibri"/>
          <w:color w:val="000000"/>
          <w:lang w:eastAsia="en-ID"/>
        </w:rPr>
        <w:t>ese</w:t>
      </w:r>
      <w:r w:rsidRPr="00C6243A">
        <w:rPr>
          <w:rFonts w:ascii="Candara" w:eastAsia="Times New Roman" w:hAnsi="Candara" w:cs="Calibri"/>
          <w:color w:val="000000"/>
          <w:lang w:eastAsia="en-ID"/>
        </w:rPr>
        <w:t xml:space="preserve"> other </w:t>
      </w:r>
      <w:r>
        <w:rPr>
          <w:rFonts w:ascii="Candara" w:eastAsia="Times New Roman" w:hAnsi="Candara" w:cs="Calibri"/>
          <w:color w:val="000000"/>
          <w:lang w:eastAsia="en-ID"/>
        </w:rPr>
        <w:t xml:space="preserve">themes were </w:t>
      </w:r>
      <w:r w:rsidRPr="00C6243A">
        <w:rPr>
          <w:rFonts w:ascii="Candara" w:eastAsia="Times New Roman" w:hAnsi="Candara" w:cs="Calibri"/>
          <w:color w:val="000000"/>
          <w:lang w:eastAsia="en-ID"/>
        </w:rPr>
        <w:t xml:space="preserve">used </w:t>
      </w:r>
      <w:r>
        <w:rPr>
          <w:rFonts w:ascii="Candara" w:eastAsia="Times New Roman" w:hAnsi="Candara" w:cs="Calibri"/>
          <w:color w:val="000000"/>
          <w:lang w:eastAsia="en-ID"/>
        </w:rPr>
        <w:t>to sup</w:t>
      </w:r>
      <w:r w:rsidRPr="00C6243A">
        <w:rPr>
          <w:rFonts w:ascii="Candara" w:eastAsia="Times New Roman" w:hAnsi="Candara" w:cs="Calibri"/>
          <w:color w:val="000000"/>
          <w:lang w:eastAsia="en-ID"/>
        </w:rPr>
        <w:t>plement the previously proposed conceptual framework.</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Some</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interesting findings were found, </w:t>
      </w:r>
      <w:r>
        <w:rPr>
          <w:rFonts w:ascii="Candara" w:eastAsia="Times New Roman" w:hAnsi="Candara" w:cs="Calibri"/>
          <w:color w:val="000000"/>
          <w:lang w:eastAsia="en-ID"/>
        </w:rPr>
        <w:t xml:space="preserve">including an </w:t>
      </w:r>
      <w:r w:rsidRPr="00C6243A">
        <w:rPr>
          <w:rFonts w:ascii="Candara" w:eastAsia="Times New Roman" w:hAnsi="Candara" w:cs="Calibri"/>
          <w:color w:val="000000"/>
          <w:lang w:eastAsia="en-ID"/>
        </w:rPr>
        <w:t xml:space="preserve">obstacle </w:t>
      </w:r>
      <w:r w:rsidR="000A2D99">
        <w:rPr>
          <w:rFonts w:ascii="Candara" w:eastAsia="Times New Roman" w:hAnsi="Candara" w:cs="Calibri"/>
          <w:color w:val="000000"/>
          <w:lang w:eastAsia="en-ID"/>
        </w:rPr>
        <w:t xml:space="preserve">because debtors concealed their </w:t>
      </w:r>
      <w:r w:rsidRPr="00C6243A">
        <w:rPr>
          <w:rFonts w:ascii="Candara" w:eastAsia="Times New Roman" w:hAnsi="Candara" w:cs="Calibri"/>
          <w:color w:val="000000"/>
          <w:lang w:eastAsia="en-ID"/>
        </w:rPr>
        <w:t xml:space="preserve">assets when the settlement of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 xml:space="preserve">bankruptcy </w:t>
      </w:r>
      <w:r>
        <w:rPr>
          <w:rFonts w:ascii="Candara" w:eastAsia="Times New Roman" w:hAnsi="Candara" w:cs="Calibri"/>
          <w:color w:val="000000"/>
          <w:lang w:eastAsia="en-ID"/>
        </w:rPr>
        <w:t xml:space="preserve">case </w:t>
      </w:r>
      <w:r w:rsidRPr="00C6243A">
        <w:rPr>
          <w:rFonts w:ascii="Candara" w:eastAsia="Times New Roman" w:hAnsi="Candara" w:cs="Calibri"/>
          <w:color w:val="000000"/>
          <w:lang w:eastAsia="en-ID"/>
        </w:rPr>
        <w:t xml:space="preserve">was carried out </w:t>
      </w:r>
      <w:r>
        <w:rPr>
          <w:rFonts w:ascii="Candara" w:eastAsia="Times New Roman" w:hAnsi="Candara" w:cs="Calibri"/>
          <w:color w:val="000000"/>
          <w:lang w:eastAsia="en-ID"/>
        </w:rPr>
        <w:t xml:space="preserve">as </w:t>
      </w:r>
      <w:r w:rsidRPr="00C6243A">
        <w:rPr>
          <w:rFonts w:ascii="Candara" w:eastAsia="Times New Roman" w:hAnsi="Candara" w:cs="Calibri"/>
          <w:color w:val="000000"/>
          <w:lang w:eastAsia="en-ID"/>
        </w:rPr>
        <w:t xml:space="preserve">stated by </w:t>
      </w:r>
      <w:r>
        <w:rPr>
          <w:rFonts w:ascii="Candara" w:eastAsia="Times New Roman" w:hAnsi="Candara" w:cs="Calibri"/>
          <w:color w:val="000000"/>
          <w:lang w:eastAsia="en-ID"/>
        </w:rPr>
        <w:t xml:space="preserve">four </w:t>
      </w:r>
      <w:r w:rsidRPr="00C6243A">
        <w:rPr>
          <w:rFonts w:ascii="Candara" w:eastAsia="Times New Roman" w:hAnsi="Candara" w:cs="Calibri"/>
          <w:color w:val="000000"/>
          <w:lang w:eastAsia="en-ID"/>
        </w:rPr>
        <w:t xml:space="preserve">informants </w:t>
      </w:r>
      <w:r>
        <w:rPr>
          <w:rFonts w:ascii="Candara" w:eastAsia="Times New Roman" w:hAnsi="Candara" w:cs="Calibri"/>
          <w:color w:val="000000"/>
          <w:lang w:eastAsia="en-ID"/>
        </w:rPr>
        <w:t xml:space="preserve">including </w:t>
      </w:r>
      <w:r w:rsidRPr="00C6243A">
        <w:rPr>
          <w:rFonts w:ascii="Candara" w:eastAsia="Times New Roman" w:hAnsi="Candara" w:cs="Calibri"/>
          <w:color w:val="000000"/>
          <w:lang w:eastAsia="en-ID"/>
        </w:rPr>
        <w:t>Informants E and J</w:t>
      </w:r>
      <w:r>
        <w:rPr>
          <w:rFonts w:ascii="Candara" w:eastAsia="Times New Roman" w:hAnsi="Candara" w:cs="Calibri"/>
          <w:color w:val="000000"/>
          <w:lang w:eastAsia="en-ID"/>
        </w:rPr>
        <w:t xml:space="preserve"> as follows</w:t>
      </w:r>
      <w:r w:rsidR="00B02522" w:rsidRPr="00BD3624">
        <w:rPr>
          <w:rFonts w:ascii="Candara" w:hAnsi="Candara" w:cstheme="minorHAnsi"/>
        </w:rPr>
        <w:t>:</w:t>
      </w:r>
    </w:p>
    <w:p w14:paraId="0E1A4421" w14:textId="4A7F1659" w:rsidR="00B02522" w:rsidRPr="00424EB1" w:rsidRDefault="00B02522" w:rsidP="00BD3624">
      <w:pPr>
        <w:spacing w:after="0" w:line="240" w:lineRule="auto"/>
        <w:ind w:left="360"/>
        <w:jc w:val="both"/>
        <w:rPr>
          <w:rFonts w:ascii="Candara" w:hAnsi="Candara" w:cstheme="minorHAnsi"/>
        </w:rPr>
      </w:pPr>
      <w:r w:rsidRPr="00424EB1">
        <w:rPr>
          <w:rFonts w:ascii="Candara" w:hAnsi="Candara" w:cstheme="minorHAnsi"/>
          <w:i/>
          <w:iCs/>
        </w:rPr>
        <w:t xml:space="preserve"> “</w:t>
      </w:r>
      <w:r w:rsidR="00FC0E62" w:rsidRPr="00C6243A">
        <w:rPr>
          <w:rFonts w:ascii="Candara" w:eastAsia="Times New Roman" w:hAnsi="Candara" w:cs="Calibri"/>
          <w:i/>
          <w:iCs/>
          <w:color w:val="000000"/>
          <w:lang w:eastAsia="en-ID"/>
        </w:rPr>
        <w:t xml:space="preserve">The debtor is </w:t>
      </w:r>
      <w:r w:rsidR="00FC0E62">
        <w:rPr>
          <w:rFonts w:ascii="Candara" w:eastAsia="Times New Roman" w:hAnsi="Candara" w:cs="Calibri"/>
          <w:i/>
          <w:iCs/>
          <w:color w:val="000000"/>
          <w:lang w:eastAsia="en-ID"/>
        </w:rPr>
        <w:t xml:space="preserve">not </w:t>
      </w:r>
      <w:r w:rsidR="00FC0E62" w:rsidRPr="00C6243A">
        <w:rPr>
          <w:rFonts w:ascii="Candara" w:eastAsia="Times New Roman" w:hAnsi="Candara" w:cs="Calibri"/>
          <w:i/>
          <w:iCs/>
          <w:color w:val="000000"/>
          <w:lang w:eastAsia="en-ID"/>
        </w:rPr>
        <w:t xml:space="preserve">cooperative, tries to transfer the assets of the bankrupt debtor, </w:t>
      </w:r>
      <w:r w:rsidR="00FC0E62">
        <w:rPr>
          <w:rFonts w:ascii="Candara" w:eastAsia="Times New Roman" w:hAnsi="Candara" w:cs="Calibri"/>
          <w:i/>
          <w:iCs/>
          <w:color w:val="000000"/>
          <w:lang w:eastAsia="en-ID"/>
        </w:rPr>
        <w:t xml:space="preserve">resists </w:t>
      </w:r>
      <w:r w:rsidR="00FC0E62" w:rsidRPr="00C6243A">
        <w:rPr>
          <w:rFonts w:ascii="Candara" w:eastAsia="Times New Roman" w:hAnsi="Candara" w:cs="Calibri"/>
          <w:i/>
          <w:iCs/>
          <w:color w:val="000000"/>
          <w:lang w:eastAsia="en-ID"/>
        </w:rPr>
        <w:t>either through other lawsuits or reports the curator to the Police</w:t>
      </w:r>
      <w:r w:rsidRPr="00424EB1">
        <w:rPr>
          <w:rFonts w:ascii="Candara" w:hAnsi="Candara" w:cstheme="minorHAnsi"/>
          <w:i/>
          <w:iCs/>
        </w:rPr>
        <w:t>.”</w:t>
      </w:r>
      <w:r w:rsidRPr="00424EB1">
        <w:rPr>
          <w:rFonts w:ascii="Candara" w:hAnsi="Candara" w:cstheme="minorHAnsi"/>
        </w:rPr>
        <w:t xml:space="preserve"> (Informan</w:t>
      </w:r>
      <w:r w:rsidR="00FC0E62">
        <w:rPr>
          <w:rFonts w:ascii="Candara" w:hAnsi="Candara" w:cstheme="minorHAnsi"/>
        </w:rPr>
        <w:t>t</w:t>
      </w:r>
      <w:r w:rsidRPr="00424EB1">
        <w:rPr>
          <w:rFonts w:ascii="Candara" w:hAnsi="Candara" w:cstheme="minorHAnsi"/>
        </w:rPr>
        <w:t xml:space="preserve"> E)</w:t>
      </w:r>
    </w:p>
    <w:p w14:paraId="20B45C77" w14:textId="1CE64F5B" w:rsidR="00B02522" w:rsidRPr="00424EB1" w:rsidRDefault="00B02522" w:rsidP="00BD3624">
      <w:pPr>
        <w:spacing w:before="120" w:after="0" w:line="240" w:lineRule="auto"/>
        <w:ind w:left="360"/>
        <w:jc w:val="both"/>
        <w:rPr>
          <w:rFonts w:ascii="Candara" w:hAnsi="Candara" w:cstheme="minorHAnsi"/>
        </w:rPr>
      </w:pPr>
      <w:r w:rsidRPr="00424EB1">
        <w:rPr>
          <w:rFonts w:ascii="Candara" w:hAnsi="Candara" w:cstheme="minorHAnsi"/>
          <w:i/>
          <w:iCs/>
        </w:rPr>
        <w:t>“</w:t>
      </w:r>
      <w:r w:rsidRPr="000A2D99">
        <w:rPr>
          <w:rFonts w:ascii="Candara" w:hAnsi="Candara" w:cstheme="minorHAnsi"/>
          <w:i/>
          <w:iCs/>
        </w:rPr>
        <w:t>Debtor</w:t>
      </w:r>
      <w:r w:rsidR="00FC0E62" w:rsidRPr="000A2D99">
        <w:rPr>
          <w:rFonts w:ascii="Candara" w:hAnsi="Candara" w:cstheme="minorHAnsi"/>
          <w:i/>
          <w:iCs/>
        </w:rPr>
        <w:t>s hide their assets and resist</w:t>
      </w:r>
      <w:r w:rsidRPr="00424EB1">
        <w:rPr>
          <w:rFonts w:ascii="Candara" w:hAnsi="Candara" w:cstheme="minorHAnsi"/>
          <w:i/>
          <w:iCs/>
        </w:rPr>
        <w:t>.”</w:t>
      </w:r>
      <w:r w:rsidRPr="00424EB1">
        <w:rPr>
          <w:rFonts w:ascii="Candara" w:hAnsi="Candara" w:cstheme="minorHAnsi"/>
        </w:rPr>
        <w:t xml:space="preserve"> (Informan</w:t>
      </w:r>
      <w:r w:rsidR="00FC0E62">
        <w:rPr>
          <w:rFonts w:ascii="Candara" w:hAnsi="Candara" w:cstheme="minorHAnsi"/>
        </w:rPr>
        <w:t>t</w:t>
      </w:r>
      <w:r w:rsidRPr="00424EB1">
        <w:rPr>
          <w:rFonts w:ascii="Candara" w:hAnsi="Candara" w:cstheme="minorHAnsi"/>
        </w:rPr>
        <w:t xml:space="preserve"> J)</w:t>
      </w:r>
    </w:p>
    <w:p w14:paraId="424BF6BB" w14:textId="619E5A2D" w:rsidR="00B02522" w:rsidRPr="00424EB1" w:rsidRDefault="00DC5EC2" w:rsidP="00BD3624">
      <w:pPr>
        <w:spacing w:before="120" w:after="0" w:line="240" w:lineRule="auto"/>
        <w:ind w:firstLine="360"/>
        <w:jc w:val="both"/>
        <w:rPr>
          <w:rFonts w:ascii="Candara" w:hAnsi="Candara" w:cstheme="minorHAnsi"/>
        </w:rPr>
      </w:pPr>
      <w:r w:rsidRPr="00C6243A">
        <w:rPr>
          <w:rFonts w:ascii="Candara" w:eastAsia="Times New Roman" w:hAnsi="Candara" w:cs="Calibri"/>
          <w:color w:val="000000"/>
          <w:lang w:eastAsia="en-ID"/>
        </w:rPr>
        <w:t xml:space="preserve">Another finding </w:t>
      </w:r>
      <w:r>
        <w:rPr>
          <w:rFonts w:ascii="Candara" w:eastAsia="Times New Roman" w:hAnsi="Candara" w:cs="Calibri"/>
          <w:color w:val="000000"/>
          <w:lang w:eastAsia="en-ID"/>
        </w:rPr>
        <w:t xml:space="preserve">was an obstacle due to </w:t>
      </w:r>
      <w:r w:rsidRPr="00C6243A">
        <w:rPr>
          <w:rFonts w:ascii="Candara" w:eastAsia="Times New Roman" w:hAnsi="Candara" w:cs="Calibri"/>
          <w:color w:val="000000"/>
          <w:lang w:eastAsia="en-ID"/>
        </w:rPr>
        <w:t>limited information related to debtor</w:t>
      </w:r>
      <w:r w:rsidR="009E0ECA">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assets whereas the key to curator</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success is </w:t>
      </w:r>
      <w:r>
        <w:rPr>
          <w:rFonts w:ascii="Candara" w:eastAsia="Times New Roman" w:hAnsi="Candara" w:cs="Calibri"/>
          <w:color w:val="000000"/>
          <w:lang w:eastAsia="en-ID"/>
        </w:rPr>
        <w:t xml:space="preserve">to </w:t>
      </w:r>
      <w:r w:rsidRPr="00C6243A">
        <w:rPr>
          <w:rFonts w:ascii="Candara" w:eastAsia="Times New Roman" w:hAnsi="Candara" w:cs="Calibri"/>
          <w:color w:val="000000"/>
          <w:lang w:eastAsia="en-ID"/>
        </w:rPr>
        <w:t>maximiz</w:t>
      </w:r>
      <w:r>
        <w:rPr>
          <w:rFonts w:ascii="Candara" w:eastAsia="Times New Roman" w:hAnsi="Candara" w:cs="Calibri"/>
          <w:color w:val="000000"/>
          <w:lang w:eastAsia="en-ID"/>
        </w:rPr>
        <w:t>e</w:t>
      </w:r>
      <w:r w:rsidRPr="00C6243A">
        <w:rPr>
          <w:rFonts w:ascii="Candara" w:eastAsia="Times New Roman" w:hAnsi="Candara" w:cs="Calibri"/>
          <w:color w:val="000000"/>
          <w:lang w:eastAsia="en-ID"/>
        </w:rPr>
        <w:t xml:space="preserve"> the debtor's assets.</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Informant A</w:t>
      </w:r>
      <w:r>
        <w:rPr>
          <w:rFonts w:ascii="Candara" w:eastAsia="Times New Roman" w:hAnsi="Candara" w:cs="Calibri"/>
          <w:color w:val="000000"/>
          <w:lang w:eastAsia="en-ID"/>
        </w:rPr>
        <w:t xml:space="preserve"> stated</w:t>
      </w:r>
      <w:r w:rsidR="00B02522" w:rsidRPr="00424EB1">
        <w:rPr>
          <w:rFonts w:ascii="Candara" w:hAnsi="Candara" w:cstheme="minorHAnsi"/>
        </w:rPr>
        <w:t>:</w:t>
      </w:r>
    </w:p>
    <w:p w14:paraId="716D44D6" w14:textId="7F6AFEFF" w:rsidR="00B02522" w:rsidRDefault="00B02522" w:rsidP="00BD3624">
      <w:pPr>
        <w:autoSpaceDE w:val="0"/>
        <w:autoSpaceDN w:val="0"/>
        <w:adjustRightInd w:val="0"/>
        <w:spacing w:after="0" w:line="240" w:lineRule="auto"/>
        <w:ind w:left="360"/>
        <w:jc w:val="both"/>
        <w:rPr>
          <w:rFonts w:ascii="Candara" w:hAnsi="Candara" w:cs="Arial"/>
        </w:rPr>
      </w:pPr>
      <w:r w:rsidRPr="00424EB1">
        <w:rPr>
          <w:rFonts w:ascii="Candara" w:hAnsi="Candara" w:cstheme="minorHAnsi"/>
          <w:i/>
          <w:iCs/>
        </w:rPr>
        <w:t>“</w:t>
      </w:r>
      <w:r w:rsidR="000E41EE" w:rsidRPr="00C6243A">
        <w:rPr>
          <w:rFonts w:ascii="Candara" w:eastAsia="Times New Roman" w:hAnsi="Candara" w:cs="Calibri"/>
          <w:i/>
          <w:iCs/>
          <w:color w:val="000000"/>
          <w:lang w:eastAsia="en-ID"/>
        </w:rPr>
        <w:t>Yes,</w:t>
      </w:r>
      <w:r w:rsidR="000E41EE">
        <w:rPr>
          <w:rFonts w:ascii="Candara" w:eastAsia="Times New Roman" w:hAnsi="Candara" w:cs="Calibri"/>
          <w:i/>
          <w:iCs/>
          <w:color w:val="000000"/>
          <w:lang w:eastAsia="en-ID"/>
        </w:rPr>
        <w:t xml:space="preserve"> based on </w:t>
      </w:r>
      <w:r w:rsidR="000E41EE" w:rsidRPr="00C6243A">
        <w:rPr>
          <w:rFonts w:ascii="Candara" w:eastAsia="Times New Roman" w:hAnsi="Candara" w:cs="Calibri"/>
          <w:i/>
          <w:iCs/>
          <w:color w:val="000000"/>
          <w:lang w:eastAsia="en-ID"/>
        </w:rPr>
        <w:t>my experience</w:t>
      </w:r>
      <w:r w:rsidR="000E41EE">
        <w:rPr>
          <w:rFonts w:ascii="Candara" w:eastAsia="Times New Roman" w:hAnsi="Candara" w:cs="Calibri"/>
          <w:i/>
          <w:iCs/>
          <w:color w:val="000000"/>
          <w:lang w:eastAsia="en-ID"/>
        </w:rPr>
        <w:t>,</w:t>
      </w:r>
      <w:r w:rsidR="000E41EE" w:rsidRPr="00C6243A">
        <w:rPr>
          <w:rFonts w:ascii="Candara" w:eastAsia="Times New Roman" w:hAnsi="Candara" w:cs="Calibri"/>
          <w:i/>
          <w:iCs/>
          <w:color w:val="000000"/>
          <w:lang w:eastAsia="en-ID"/>
        </w:rPr>
        <w:t xml:space="preserve"> the context of settlement</w:t>
      </w:r>
      <w:r w:rsidR="000E41EE">
        <w:rPr>
          <w:rFonts w:ascii="Candara" w:eastAsia="Times New Roman" w:hAnsi="Candara" w:cs="Calibri"/>
          <w:i/>
          <w:iCs/>
          <w:color w:val="000000"/>
          <w:lang w:eastAsia="en-ID"/>
        </w:rPr>
        <w:t xml:space="preserve"> </w:t>
      </w:r>
      <w:r w:rsidR="000E41EE" w:rsidRPr="00C6243A">
        <w:rPr>
          <w:rFonts w:ascii="Candara" w:eastAsia="Times New Roman" w:hAnsi="Candara" w:cs="Calibri"/>
          <w:i/>
          <w:iCs/>
          <w:color w:val="000000"/>
          <w:lang w:eastAsia="en-ID"/>
        </w:rPr>
        <w:t>include</w:t>
      </w:r>
      <w:r w:rsidR="000E41EE">
        <w:rPr>
          <w:rFonts w:ascii="Candara" w:eastAsia="Times New Roman" w:hAnsi="Candara" w:cs="Calibri"/>
          <w:i/>
          <w:iCs/>
          <w:color w:val="000000"/>
          <w:lang w:eastAsia="en-ID"/>
        </w:rPr>
        <w:t>s</w:t>
      </w:r>
      <w:r w:rsidR="000E41EE" w:rsidRPr="00C6243A">
        <w:rPr>
          <w:rFonts w:ascii="Candara" w:eastAsia="Times New Roman" w:hAnsi="Candara" w:cs="Calibri"/>
          <w:i/>
          <w:iCs/>
          <w:color w:val="000000"/>
          <w:lang w:eastAsia="en-ID"/>
        </w:rPr>
        <w:t xml:space="preserve"> liquidating assets.</w:t>
      </w:r>
      <w:r w:rsidR="000E41EE">
        <w:rPr>
          <w:rFonts w:ascii="Candara" w:eastAsia="Times New Roman" w:hAnsi="Candara" w:cs="Calibri"/>
          <w:i/>
          <w:iCs/>
          <w:color w:val="000000"/>
          <w:lang w:eastAsia="en-ID"/>
        </w:rPr>
        <w:t xml:space="preserve"> The c</w:t>
      </w:r>
      <w:r w:rsidR="000E41EE" w:rsidRPr="00C6243A">
        <w:rPr>
          <w:rFonts w:ascii="Candara" w:eastAsia="Times New Roman" w:hAnsi="Candara" w:cs="Calibri"/>
          <w:i/>
          <w:iCs/>
          <w:color w:val="000000"/>
          <w:lang w:eastAsia="en-ID"/>
        </w:rPr>
        <w:t>urator ha</w:t>
      </w:r>
      <w:r w:rsidR="000E41EE">
        <w:rPr>
          <w:rFonts w:ascii="Candara" w:eastAsia="Times New Roman" w:hAnsi="Candara" w:cs="Calibri"/>
          <w:i/>
          <w:iCs/>
          <w:color w:val="000000"/>
          <w:lang w:eastAsia="en-ID"/>
        </w:rPr>
        <w:t>s</w:t>
      </w:r>
      <w:r w:rsidR="000E41EE" w:rsidRPr="00C6243A">
        <w:rPr>
          <w:rFonts w:ascii="Candara" w:eastAsia="Times New Roman" w:hAnsi="Candara" w:cs="Calibri"/>
          <w:i/>
          <w:iCs/>
          <w:color w:val="000000"/>
          <w:lang w:eastAsia="en-ID"/>
        </w:rPr>
        <w:t xml:space="preserve"> very little information, </w:t>
      </w:r>
      <w:r w:rsidR="000E41EE">
        <w:rPr>
          <w:rFonts w:ascii="Candara" w:eastAsia="Times New Roman" w:hAnsi="Candara" w:cs="Calibri"/>
          <w:i/>
          <w:iCs/>
          <w:color w:val="000000"/>
          <w:lang w:eastAsia="en-ID"/>
        </w:rPr>
        <w:t xml:space="preserve">especially when </w:t>
      </w:r>
      <w:r w:rsidR="000E41EE" w:rsidRPr="00C6243A">
        <w:rPr>
          <w:rFonts w:ascii="Candara" w:eastAsia="Times New Roman" w:hAnsi="Candara" w:cs="Calibri"/>
          <w:i/>
          <w:iCs/>
          <w:color w:val="000000"/>
          <w:lang w:eastAsia="en-ID"/>
        </w:rPr>
        <w:t xml:space="preserve">debtors </w:t>
      </w:r>
      <w:r w:rsidR="000E41EE">
        <w:rPr>
          <w:rFonts w:ascii="Candara" w:eastAsia="Times New Roman" w:hAnsi="Candara" w:cs="Calibri"/>
          <w:i/>
          <w:iCs/>
          <w:color w:val="000000"/>
          <w:lang w:eastAsia="en-ID"/>
        </w:rPr>
        <w:t xml:space="preserve">are not willing to be open regarding </w:t>
      </w:r>
      <w:r w:rsidR="000E41EE" w:rsidRPr="00C6243A">
        <w:rPr>
          <w:rFonts w:ascii="Candara" w:eastAsia="Times New Roman" w:hAnsi="Candara" w:cs="Calibri"/>
          <w:i/>
          <w:iCs/>
          <w:color w:val="000000"/>
          <w:lang w:eastAsia="en-ID"/>
        </w:rPr>
        <w:t>the requested assets.</w:t>
      </w:r>
      <w:r w:rsidR="000E41EE">
        <w:rPr>
          <w:rFonts w:ascii="Candara" w:eastAsia="Times New Roman" w:hAnsi="Candara" w:cs="Calibri"/>
          <w:i/>
          <w:iCs/>
          <w:color w:val="000000"/>
          <w:lang w:eastAsia="en-ID"/>
        </w:rPr>
        <w:t xml:space="preserve"> </w:t>
      </w:r>
      <w:r w:rsidR="000E41EE" w:rsidRPr="00C6243A">
        <w:rPr>
          <w:rFonts w:ascii="Candara" w:eastAsia="Times New Roman" w:hAnsi="Candara" w:cs="Calibri"/>
          <w:i/>
          <w:iCs/>
          <w:color w:val="000000"/>
          <w:lang w:eastAsia="en-ID"/>
        </w:rPr>
        <w:t>Of course</w:t>
      </w:r>
      <w:r w:rsidR="000E41EE">
        <w:rPr>
          <w:rFonts w:ascii="Candara" w:eastAsia="Times New Roman" w:hAnsi="Candara" w:cs="Calibri"/>
          <w:i/>
          <w:iCs/>
          <w:color w:val="000000"/>
          <w:lang w:eastAsia="en-ID"/>
        </w:rPr>
        <w:t>,</w:t>
      </w:r>
      <w:r w:rsidR="000E41EE" w:rsidRPr="00C6243A">
        <w:rPr>
          <w:rFonts w:ascii="Candara" w:eastAsia="Times New Roman" w:hAnsi="Candara" w:cs="Calibri"/>
          <w:i/>
          <w:iCs/>
          <w:color w:val="000000"/>
          <w:lang w:eastAsia="en-ID"/>
        </w:rPr>
        <w:t xml:space="preserve"> </w:t>
      </w:r>
      <w:r w:rsidR="000E41EE">
        <w:rPr>
          <w:rFonts w:ascii="Candara" w:eastAsia="Times New Roman" w:hAnsi="Candara" w:cs="Calibri"/>
          <w:i/>
          <w:iCs/>
          <w:color w:val="000000"/>
          <w:lang w:eastAsia="en-ID"/>
        </w:rPr>
        <w:t xml:space="preserve">he </w:t>
      </w:r>
      <w:r w:rsidR="000E41EE" w:rsidRPr="00C6243A">
        <w:rPr>
          <w:rFonts w:ascii="Candara" w:eastAsia="Times New Roman" w:hAnsi="Candara" w:cs="Calibri"/>
          <w:i/>
          <w:iCs/>
          <w:color w:val="000000"/>
          <w:lang w:eastAsia="en-ID"/>
        </w:rPr>
        <w:t xml:space="preserve">must have the ability to </w:t>
      </w:r>
      <w:r w:rsidR="000E41EE">
        <w:rPr>
          <w:rFonts w:ascii="Candara" w:eastAsia="Times New Roman" w:hAnsi="Candara" w:cs="Calibri"/>
          <w:i/>
          <w:iCs/>
          <w:color w:val="000000"/>
          <w:lang w:eastAsia="en-ID"/>
        </w:rPr>
        <w:t xml:space="preserve">collect </w:t>
      </w:r>
      <w:r w:rsidR="000E41EE" w:rsidRPr="00C6243A">
        <w:rPr>
          <w:rFonts w:ascii="Candara" w:eastAsia="Times New Roman" w:hAnsi="Candara" w:cs="Calibri"/>
          <w:i/>
          <w:iCs/>
          <w:color w:val="000000"/>
          <w:lang w:eastAsia="en-ID"/>
        </w:rPr>
        <w:t xml:space="preserve">the </w:t>
      </w:r>
      <w:r w:rsidR="000E41EE">
        <w:rPr>
          <w:rFonts w:ascii="Candara" w:eastAsia="Times New Roman" w:hAnsi="Candara" w:cs="Calibri"/>
          <w:i/>
          <w:iCs/>
          <w:color w:val="000000"/>
          <w:lang w:eastAsia="en-ID"/>
        </w:rPr>
        <w:t xml:space="preserve">bankruptcy </w:t>
      </w:r>
      <w:r w:rsidR="000E41EE" w:rsidRPr="00C6243A">
        <w:rPr>
          <w:rFonts w:ascii="Candara" w:eastAsia="Times New Roman" w:hAnsi="Candara" w:cs="Calibri"/>
          <w:i/>
          <w:iCs/>
          <w:color w:val="000000"/>
          <w:lang w:eastAsia="en-ID"/>
        </w:rPr>
        <w:t xml:space="preserve">assets so </w:t>
      </w:r>
      <w:r w:rsidR="000E41EE">
        <w:rPr>
          <w:rFonts w:ascii="Candara" w:eastAsia="Times New Roman" w:hAnsi="Candara" w:cs="Calibri"/>
          <w:i/>
          <w:iCs/>
          <w:color w:val="000000"/>
          <w:lang w:eastAsia="en-ID"/>
        </w:rPr>
        <w:t xml:space="preserve">he </w:t>
      </w:r>
      <w:r w:rsidR="000E41EE" w:rsidRPr="00C6243A">
        <w:rPr>
          <w:rFonts w:ascii="Candara" w:eastAsia="Times New Roman" w:hAnsi="Candara" w:cs="Calibri"/>
          <w:i/>
          <w:iCs/>
          <w:color w:val="000000"/>
          <w:lang w:eastAsia="en-ID"/>
        </w:rPr>
        <w:t>must seek as much information as possible both in Indonesia and outside Indonesia.</w:t>
      </w:r>
      <w:r w:rsidR="000E41EE">
        <w:rPr>
          <w:rFonts w:ascii="Candara" w:eastAsia="Times New Roman" w:hAnsi="Candara" w:cs="Calibri"/>
          <w:i/>
          <w:iCs/>
          <w:color w:val="000000"/>
          <w:lang w:eastAsia="en-ID"/>
        </w:rPr>
        <w:t xml:space="preserve"> He </w:t>
      </w:r>
      <w:r w:rsidR="000E41EE" w:rsidRPr="00C6243A">
        <w:rPr>
          <w:rFonts w:ascii="Candara" w:eastAsia="Times New Roman" w:hAnsi="Candara" w:cs="Calibri"/>
          <w:i/>
          <w:iCs/>
          <w:color w:val="000000"/>
          <w:lang w:eastAsia="en-ID"/>
        </w:rPr>
        <w:t xml:space="preserve">must get it to </w:t>
      </w:r>
      <w:r w:rsidR="000E41EE">
        <w:rPr>
          <w:rFonts w:ascii="Candara" w:eastAsia="Times New Roman" w:hAnsi="Candara" w:cs="Calibri"/>
          <w:i/>
          <w:iCs/>
          <w:color w:val="000000"/>
          <w:lang w:eastAsia="en-ID"/>
        </w:rPr>
        <w:t xml:space="preserve">protect and secure </w:t>
      </w:r>
      <w:r w:rsidR="000E41EE" w:rsidRPr="00C6243A">
        <w:rPr>
          <w:rFonts w:ascii="Candara" w:eastAsia="Times New Roman" w:hAnsi="Candara" w:cs="Calibri"/>
          <w:i/>
          <w:iCs/>
          <w:color w:val="000000"/>
          <w:lang w:eastAsia="en-ID"/>
        </w:rPr>
        <w:t>his</w:t>
      </w:r>
      <w:r w:rsidR="000E41EE">
        <w:rPr>
          <w:rFonts w:ascii="Candara" w:eastAsia="Times New Roman" w:hAnsi="Candara" w:cs="Calibri"/>
          <w:i/>
          <w:iCs/>
          <w:color w:val="000000"/>
          <w:lang w:eastAsia="en-ID"/>
        </w:rPr>
        <w:t xml:space="preserve"> </w:t>
      </w:r>
      <w:r w:rsidR="000E41EE" w:rsidRPr="00184694">
        <w:rPr>
          <w:rFonts w:ascii="Candara" w:eastAsia="Times New Roman" w:hAnsi="Candara" w:cs="Calibri"/>
          <w:i/>
          <w:iCs/>
          <w:color w:val="000000"/>
          <w:lang w:eastAsia="en-ID"/>
        </w:rPr>
        <w:t>creditors</w:t>
      </w:r>
      <w:r w:rsidR="009E0ECA">
        <w:rPr>
          <w:rFonts w:ascii="Candara" w:eastAsia="Times New Roman" w:hAnsi="Candara" w:cs="Calibri"/>
          <w:color w:val="000000"/>
          <w:lang w:eastAsia="en-ID"/>
        </w:rPr>
        <w:t xml:space="preserve"> </w:t>
      </w:r>
      <w:r w:rsidR="000E41EE" w:rsidRPr="00C6243A">
        <w:rPr>
          <w:rFonts w:ascii="Candara" w:eastAsia="Times New Roman" w:hAnsi="Candara" w:cs="Calibri"/>
          <w:i/>
          <w:iCs/>
          <w:color w:val="000000"/>
          <w:lang w:eastAsia="en-ID"/>
        </w:rPr>
        <w:t xml:space="preserve">in </w:t>
      </w:r>
      <w:r w:rsidR="000E41EE">
        <w:rPr>
          <w:rFonts w:ascii="Candara" w:eastAsia="Times New Roman" w:hAnsi="Candara" w:cs="Calibri"/>
          <w:i/>
          <w:iCs/>
          <w:color w:val="000000"/>
          <w:lang w:eastAsia="en-ID"/>
        </w:rPr>
        <w:t xml:space="preserve">the context of the </w:t>
      </w:r>
      <w:r w:rsidR="000E41EE" w:rsidRPr="00C6243A">
        <w:rPr>
          <w:rFonts w:ascii="Candara" w:eastAsia="Times New Roman" w:hAnsi="Candara" w:cs="Calibri"/>
          <w:i/>
          <w:iCs/>
          <w:color w:val="000000"/>
          <w:lang w:eastAsia="en-ID"/>
        </w:rPr>
        <w:t>settle</w:t>
      </w:r>
      <w:r w:rsidR="000E41EE">
        <w:rPr>
          <w:rFonts w:ascii="Candara" w:eastAsia="Times New Roman" w:hAnsi="Candara" w:cs="Calibri"/>
          <w:i/>
          <w:iCs/>
          <w:color w:val="000000"/>
          <w:lang w:eastAsia="en-ID"/>
        </w:rPr>
        <w:t>ment</w:t>
      </w:r>
      <w:r w:rsidR="000E41EE" w:rsidRPr="00C6243A">
        <w:rPr>
          <w:rFonts w:ascii="Candara" w:eastAsia="Times New Roman" w:hAnsi="Candara" w:cs="Calibri"/>
          <w:i/>
          <w:iCs/>
          <w:color w:val="000000"/>
          <w:lang w:eastAsia="en-ID"/>
        </w:rPr>
        <w:t>.</w:t>
      </w:r>
      <w:r w:rsidR="009E0ECA">
        <w:rPr>
          <w:rFonts w:ascii="Candara" w:eastAsia="Times New Roman" w:hAnsi="Candara" w:cs="Calibri"/>
          <w:i/>
          <w:iCs/>
          <w:color w:val="000000"/>
          <w:lang w:eastAsia="en-ID"/>
        </w:rPr>
        <w:t xml:space="preserve"> </w:t>
      </w:r>
      <w:r w:rsidR="000E41EE" w:rsidRPr="00C6243A">
        <w:rPr>
          <w:rFonts w:ascii="Candara" w:eastAsia="Times New Roman" w:hAnsi="Candara" w:cs="Calibri"/>
          <w:i/>
          <w:iCs/>
          <w:color w:val="000000"/>
          <w:lang w:eastAsia="en-ID"/>
        </w:rPr>
        <w:t xml:space="preserve">So, the first </w:t>
      </w:r>
      <w:r w:rsidR="000E41EE">
        <w:rPr>
          <w:rFonts w:ascii="Candara" w:eastAsia="Times New Roman" w:hAnsi="Candara" w:cs="Calibri"/>
          <w:i/>
          <w:iCs/>
          <w:color w:val="000000"/>
          <w:lang w:eastAsia="en-ID"/>
        </w:rPr>
        <w:t xml:space="preserve">obstacle </w:t>
      </w:r>
      <w:r w:rsidR="000E41EE" w:rsidRPr="00C6243A">
        <w:rPr>
          <w:rFonts w:ascii="Candara" w:eastAsia="Times New Roman" w:hAnsi="Candara" w:cs="Calibri"/>
          <w:i/>
          <w:iCs/>
          <w:color w:val="000000"/>
          <w:lang w:eastAsia="en-ID"/>
        </w:rPr>
        <w:t xml:space="preserve">is </w:t>
      </w:r>
      <w:r w:rsidR="000E41EE">
        <w:rPr>
          <w:rFonts w:ascii="Candara" w:eastAsia="Times New Roman" w:hAnsi="Candara" w:cs="Calibri"/>
          <w:i/>
          <w:iCs/>
          <w:color w:val="000000"/>
          <w:lang w:eastAsia="en-ID"/>
        </w:rPr>
        <w:t xml:space="preserve">related to the </w:t>
      </w:r>
      <w:r w:rsidR="000E41EE" w:rsidRPr="00C6243A">
        <w:rPr>
          <w:rFonts w:ascii="Candara" w:eastAsia="Times New Roman" w:hAnsi="Candara" w:cs="Calibri"/>
          <w:i/>
          <w:iCs/>
          <w:color w:val="000000"/>
          <w:lang w:eastAsia="en-ID"/>
        </w:rPr>
        <w:t xml:space="preserve">information on </w:t>
      </w:r>
      <w:r w:rsidR="000E41EE">
        <w:rPr>
          <w:rFonts w:ascii="Candara" w:eastAsia="Times New Roman" w:hAnsi="Candara" w:cs="Calibri"/>
          <w:i/>
          <w:iCs/>
          <w:color w:val="000000"/>
          <w:lang w:eastAsia="en-ID"/>
        </w:rPr>
        <w:t xml:space="preserve">the </w:t>
      </w:r>
      <w:r w:rsidR="000E41EE" w:rsidRPr="00C6243A">
        <w:rPr>
          <w:rFonts w:ascii="Candara" w:eastAsia="Times New Roman" w:hAnsi="Candara" w:cs="Calibri"/>
          <w:i/>
          <w:iCs/>
          <w:color w:val="000000"/>
          <w:lang w:eastAsia="en-ID"/>
        </w:rPr>
        <w:t>bankrupt</w:t>
      </w:r>
      <w:r w:rsidR="009E0ECA">
        <w:rPr>
          <w:rFonts w:ascii="Candara" w:eastAsia="Times New Roman" w:hAnsi="Candara" w:cs="Calibri"/>
          <w:i/>
          <w:iCs/>
          <w:color w:val="000000"/>
          <w:lang w:eastAsia="en-ID"/>
        </w:rPr>
        <w:t>cy</w:t>
      </w:r>
      <w:r w:rsidR="000E41EE" w:rsidRPr="00C6243A">
        <w:rPr>
          <w:rFonts w:ascii="Candara" w:eastAsia="Times New Roman" w:hAnsi="Candara" w:cs="Calibri"/>
          <w:i/>
          <w:iCs/>
          <w:color w:val="000000"/>
          <w:lang w:eastAsia="en-ID"/>
        </w:rPr>
        <w:t xml:space="preserve"> assets in the form of money, securities, especially </w:t>
      </w:r>
      <w:proofErr w:type="spellStart"/>
      <w:r w:rsidR="000E41EE" w:rsidRPr="00C6243A">
        <w:rPr>
          <w:rFonts w:ascii="Candara" w:eastAsia="Times New Roman" w:hAnsi="Candara" w:cs="Calibri"/>
          <w:i/>
          <w:iCs/>
          <w:color w:val="000000"/>
          <w:lang w:eastAsia="en-ID"/>
        </w:rPr>
        <w:t>jewellery</w:t>
      </w:r>
      <w:proofErr w:type="spellEnd"/>
      <w:r w:rsidR="000E41EE" w:rsidRPr="00C6243A">
        <w:rPr>
          <w:rFonts w:ascii="Candara" w:eastAsia="Times New Roman" w:hAnsi="Candara" w:cs="Calibri"/>
          <w:i/>
          <w:iCs/>
          <w:color w:val="000000"/>
          <w:lang w:eastAsia="en-ID"/>
        </w:rPr>
        <w:t xml:space="preserve"> and so on, land and buildings, </w:t>
      </w:r>
      <w:r w:rsidR="000E41EE">
        <w:rPr>
          <w:rFonts w:ascii="Candara" w:eastAsia="Times New Roman" w:hAnsi="Candara" w:cs="Calibri"/>
          <w:i/>
          <w:iCs/>
          <w:color w:val="000000"/>
          <w:lang w:eastAsia="en-ID"/>
        </w:rPr>
        <w:t xml:space="preserve">as well as </w:t>
      </w:r>
      <w:r w:rsidR="000E41EE" w:rsidRPr="00C6243A">
        <w:rPr>
          <w:rFonts w:ascii="Candara" w:eastAsia="Times New Roman" w:hAnsi="Candara" w:cs="Calibri"/>
          <w:i/>
          <w:iCs/>
          <w:color w:val="000000"/>
          <w:lang w:eastAsia="en-ID"/>
        </w:rPr>
        <w:t>machinery for factories.</w:t>
      </w:r>
      <w:r w:rsidR="000E41EE">
        <w:rPr>
          <w:rFonts w:ascii="Candara" w:eastAsia="Times New Roman" w:hAnsi="Candara" w:cs="Calibri"/>
          <w:i/>
          <w:iCs/>
          <w:color w:val="000000"/>
          <w:lang w:eastAsia="en-ID"/>
        </w:rPr>
        <w:t xml:space="preserve"> Well</w:t>
      </w:r>
      <w:r w:rsidR="000E41EE" w:rsidRPr="00C6243A">
        <w:rPr>
          <w:rFonts w:ascii="Candara" w:eastAsia="Times New Roman" w:hAnsi="Candara" w:cs="Calibri"/>
          <w:i/>
          <w:iCs/>
          <w:color w:val="000000"/>
          <w:lang w:eastAsia="en-ID"/>
        </w:rPr>
        <w:t xml:space="preserve">, </w:t>
      </w:r>
      <w:r w:rsidR="000E41EE">
        <w:rPr>
          <w:rFonts w:ascii="Candara" w:eastAsia="Times New Roman" w:hAnsi="Candara" w:cs="Calibri"/>
          <w:i/>
          <w:iCs/>
          <w:color w:val="000000"/>
          <w:lang w:eastAsia="en-ID"/>
        </w:rPr>
        <w:t xml:space="preserve">regarding such </w:t>
      </w:r>
      <w:r w:rsidR="000E41EE" w:rsidRPr="00C6243A">
        <w:rPr>
          <w:rFonts w:ascii="Candara" w:eastAsia="Times New Roman" w:hAnsi="Candara" w:cs="Calibri"/>
          <w:i/>
          <w:iCs/>
          <w:color w:val="000000"/>
          <w:lang w:eastAsia="en-ID"/>
        </w:rPr>
        <w:t xml:space="preserve">information, the curator rarely </w:t>
      </w:r>
      <w:r w:rsidR="000E41EE">
        <w:rPr>
          <w:rFonts w:ascii="Candara" w:eastAsia="Times New Roman" w:hAnsi="Candara" w:cs="Calibri"/>
          <w:i/>
          <w:iCs/>
          <w:color w:val="000000"/>
          <w:lang w:eastAsia="en-ID"/>
        </w:rPr>
        <w:t xml:space="preserve">obtains </w:t>
      </w:r>
      <w:r w:rsidR="000E41EE" w:rsidRPr="00C6243A">
        <w:rPr>
          <w:rFonts w:ascii="Candara" w:eastAsia="Times New Roman" w:hAnsi="Candara" w:cs="Calibri"/>
          <w:i/>
          <w:iCs/>
          <w:color w:val="000000"/>
          <w:lang w:eastAsia="en-ID"/>
        </w:rPr>
        <w:t>information from the debtor. </w:t>
      </w:r>
      <w:r w:rsidR="000E41EE">
        <w:rPr>
          <w:rFonts w:ascii="Candara" w:eastAsia="Times New Roman" w:hAnsi="Candara" w:cs="Calibri"/>
          <w:i/>
          <w:iCs/>
          <w:color w:val="000000"/>
          <w:lang w:eastAsia="en-ID"/>
        </w:rPr>
        <w:t>T</w:t>
      </w:r>
      <w:r w:rsidR="000E41EE" w:rsidRPr="00C6243A">
        <w:rPr>
          <w:rFonts w:ascii="Candara" w:eastAsia="Times New Roman" w:hAnsi="Candara" w:cs="Calibri"/>
          <w:i/>
          <w:iCs/>
          <w:color w:val="000000"/>
          <w:lang w:eastAsia="en-ID"/>
        </w:rPr>
        <w:t>hat's the first difficulty</w:t>
      </w:r>
      <w:r w:rsidRPr="00424EB1">
        <w:rPr>
          <w:rFonts w:ascii="Candara" w:hAnsi="Candara" w:cstheme="minorHAnsi"/>
          <w:i/>
          <w:iCs/>
        </w:rPr>
        <w:t>.”</w:t>
      </w:r>
      <w:r w:rsidRPr="00424EB1">
        <w:rPr>
          <w:rFonts w:ascii="Candara" w:hAnsi="Candara" w:cstheme="minorHAnsi"/>
        </w:rPr>
        <w:t xml:space="preserve"> (Informan</w:t>
      </w:r>
      <w:r w:rsidR="000E41EE">
        <w:rPr>
          <w:rFonts w:ascii="Candara" w:hAnsi="Candara" w:cstheme="minorHAnsi"/>
        </w:rPr>
        <w:t>t</w:t>
      </w:r>
      <w:r w:rsidRPr="00424EB1">
        <w:rPr>
          <w:rFonts w:ascii="Candara" w:hAnsi="Candara" w:cstheme="minorHAnsi"/>
        </w:rPr>
        <w:t xml:space="preserve"> A)</w:t>
      </w:r>
    </w:p>
    <w:p w14:paraId="69797DC9" w14:textId="77777777" w:rsidR="00BD3624" w:rsidRDefault="00BD3624">
      <w:pPr>
        <w:rPr>
          <w:rFonts w:ascii="Candara" w:hAnsi="Candara" w:cstheme="minorHAnsi"/>
          <w:b/>
          <w:bCs/>
        </w:rPr>
      </w:pPr>
      <w:r>
        <w:rPr>
          <w:rFonts w:ascii="Candara" w:hAnsi="Candara" w:cstheme="minorHAnsi"/>
          <w:b/>
          <w:bCs/>
        </w:rPr>
        <w:br w:type="page"/>
      </w:r>
    </w:p>
    <w:p w14:paraId="2014E0E0" w14:textId="50D34621" w:rsidR="00B02522" w:rsidRPr="00424EB1" w:rsidRDefault="000A644D" w:rsidP="00B02522">
      <w:pPr>
        <w:spacing w:after="0" w:line="240" w:lineRule="auto"/>
        <w:jc w:val="both"/>
        <w:rPr>
          <w:rFonts w:ascii="Candara" w:hAnsi="Candara" w:cstheme="minorHAnsi"/>
          <w:b/>
          <w:bCs/>
        </w:rPr>
      </w:pPr>
      <w:r>
        <w:rPr>
          <w:rFonts w:ascii="Candara" w:hAnsi="Candara" w:cstheme="minorHAnsi"/>
          <w:b/>
          <w:bCs/>
        </w:rPr>
        <w:lastRenderedPageBreak/>
        <w:t xml:space="preserve">Field Study </w:t>
      </w:r>
      <w:r w:rsidR="00B02522" w:rsidRPr="00424EB1">
        <w:rPr>
          <w:rFonts w:ascii="Candara" w:hAnsi="Candara" w:cstheme="minorHAnsi"/>
          <w:b/>
          <w:bCs/>
        </w:rPr>
        <w:t xml:space="preserve">Model </w:t>
      </w:r>
    </w:p>
    <w:p w14:paraId="2D07C396" w14:textId="79E2E720" w:rsidR="00B02522" w:rsidRDefault="00E54FDE" w:rsidP="00B02522">
      <w:pPr>
        <w:autoSpaceDE w:val="0"/>
        <w:autoSpaceDN w:val="0"/>
        <w:adjustRightInd w:val="0"/>
        <w:spacing w:after="0" w:line="240" w:lineRule="auto"/>
        <w:ind w:firstLine="426"/>
        <w:jc w:val="both"/>
        <w:rPr>
          <w:rFonts w:ascii="Candara" w:hAnsi="Candara" w:cs="Arial"/>
        </w:rPr>
      </w:pPr>
      <w:r w:rsidRPr="00C6243A">
        <w:rPr>
          <w:rFonts w:ascii="Candara" w:eastAsia="Times New Roman" w:hAnsi="Candara" w:cs="Calibri"/>
          <w:color w:val="000000"/>
          <w:lang w:eastAsia="en-ID"/>
        </w:rPr>
        <w:t xml:space="preserve">Based on the content analysis, the theme model of the interview results </w:t>
      </w:r>
      <w:r>
        <w:rPr>
          <w:rFonts w:ascii="Candara" w:eastAsia="Times New Roman" w:hAnsi="Candara" w:cs="Calibri"/>
          <w:color w:val="000000"/>
          <w:lang w:eastAsia="en-ID"/>
        </w:rPr>
        <w:t xml:space="preserve">was </w:t>
      </w:r>
      <w:r w:rsidRPr="00C6243A">
        <w:rPr>
          <w:rFonts w:ascii="Candara" w:eastAsia="Times New Roman" w:hAnsi="Candara" w:cs="Calibri"/>
          <w:color w:val="000000"/>
          <w:lang w:eastAsia="en-ID"/>
        </w:rPr>
        <w:t xml:space="preserve">developed to illustrate the findings from the informants </w:t>
      </w:r>
      <w:r>
        <w:rPr>
          <w:rFonts w:ascii="Candara" w:eastAsia="Times New Roman" w:hAnsi="Candara" w:cs="Calibri"/>
          <w:color w:val="000000"/>
          <w:lang w:eastAsia="en-ID"/>
        </w:rPr>
        <w:t xml:space="preserve">as </w:t>
      </w:r>
      <w:r w:rsidRPr="00C6243A">
        <w:rPr>
          <w:rFonts w:ascii="Candara" w:eastAsia="Times New Roman" w:hAnsi="Candara" w:cs="Calibri"/>
          <w:color w:val="000000"/>
          <w:lang w:eastAsia="en-ID"/>
        </w:rPr>
        <w:t>presented in Figure 1</w:t>
      </w:r>
      <w:r w:rsidR="00B02522" w:rsidRPr="00424EB1">
        <w:rPr>
          <w:rFonts w:ascii="Candara" w:hAnsi="Candara" w:cstheme="minorHAnsi"/>
        </w:rPr>
        <w:t>.</w:t>
      </w:r>
    </w:p>
    <w:p w14:paraId="36C32310" w14:textId="77777777" w:rsidR="00B02522" w:rsidRDefault="00B02522" w:rsidP="00BD3624">
      <w:pPr>
        <w:autoSpaceDE w:val="0"/>
        <w:autoSpaceDN w:val="0"/>
        <w:adjustRightInd w:val="0"/>
        <w:spacing w:after="0" w:line="240" w:lineRule="auto"/>
        <w:jc w:val="center"/>
        <w:rPr>
          <w:rFonts w:ascii="Goudy Old Style" w:hAnsi="Goudy Old Style" w:cstheme="minorHAnsi"/>
          <w:b/>
          <w:bCs/>
          <w:sz w:val="20"/>
          <w:szCs w:val="20"/>
        </w:rPr>
      </w:pPr>
      <w:r w:rsidRPr="00122E35">
        <w:rPr>
          <w:rFonts w:cstheme="minorHAnsi"/>
          <w:noProof/>
          <w:lang w:val="id-ID" w:eastAsia="id-ID"/>
        </w:rPr>
        <w:drawing>
          <wp:inline distT="0" distB="0" distL="0" distR="0" wp14:anchorId="42BB1B74" wp14:editId="1F18F7BA">
            <wp:extent cx="3595269" cy="1860698"/>
            <wp:effectExtent l="0" t="0" r="571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133" t="22135" r="37350" b="33204"/>
                    <a:stretch/>
                  </pic:blipFill>
                  <pic:spPr bwMode="auto">
                    <a:xfrm>
                      <a:off x="0" y="0"/>
                      <a:ext cx="3619704" cy="1873344"/>
                    </a:xfrm>
                    <a:prstGeom prst="rect">
                      <a:avLst/>
                    </a:prstGeom>
                    <a:ln>
                      <a:noFill/>
                    </a:ln>
                    <a:extLst>
                      <a:ext uri="{53640926-AAD7-44D8-BBD7-CCE9431645EC}">
                        <a14:shadowObscured xmlns:a14="http://schemas.microsoft.com/office/drawing/2010/main"/>
                      </a:ext>
                    </a:extLst>
                  </pic:spPr>
                </pic:pic>
              </a:graphicData>
            </a:graphic>
          </wp:inline>
        </w:drawing>
      </w:r>
    </w:p>
    <w:p w14:paraId="1DE71275" w14:textId="15C2945A" w:rsidR="00B02522" w:rsidRDefault="000A644D" w:rsidP="00BD3624">
      <w:pPr>
        <w:autoSpaceDE w:val="0"/>
        <w:autoSpaceDN w:val="0"/>
        <w:adjustRightInd w:val="0"/>
        <w:spacing w:after="0" w:line="240" w:lineRule="auto"/>
        <w:jc w:val="center"/>
        <w:rPr>
          <w:rFonts w:ascii="Candara" w:hAnsi="Candara" w:cs="Arial"/>
        </w:rPr>
      </w:pPr>
      <w:r>
        <w:rPr>
          <w:rFonts w:ascii="Goudy Old Style" w:hAnsi="Goudy Old Style" w:cstheme="minorHAnsi"/>
          <w:b/>
          <w:bCs/>
          <w:sz w:val="20"/>
          <w:szCs w:val="20"/>
        </w:rPr>
        <w:t xml:space="preserve">Figure </w:t>
      </w:r>
      <w:r w:rsidR="00B02522" w:rsidRPr="00424EB1">
        <w:rPr>
          <w:rFonts w:ascii="Goudy Old Style" w:hAnsi="Goudy Old Style" w:cstheme="minorHAnsi"/>
          <w:b/>
          <w:bCs/>
          <w:sz w:val="20"/>
          <w:szCs w:val="20"/>
        </w:rPr>
        <w:t xml:space="preserve">1. </w:t>
      </w:r>
      <w:r>
        <w:rPr>
          <w:rFonts w:ascii="Goudy Old Style" w:hAnsi="Goudy Old Style" w:cstheme="minorHAnsi"/>
          <w:b/>
          <w:bCs/>
          <w:sz w:val="20"/>
          <w:szCs w:val="20"/>
        </w:rPr>
        <w:t xml:space="preserve">Field Study </w:t>
      </w:r>
      <w:r w:rsidR="00B02522" w:rsidRPr="00424EB1">
        <w:rPr>
          <w:rFonts w:ascii="Goudy Old Style" w:hAnsi="Goudy Old Style" w:cstheme="minorHAnsi"/>
          <w:b/>
          <w:bCs/>
          <w:sz w:val="20"/>
          <w:szCs w:val="20"/>
        </w:rPr>
        <w:t xml:space="preserve">Model </w:t>
      </w:r>
    </w:p>
    <w:p w14:paraId="2951C543" w14:textId="2E4F6214" w:rsidR="00B02522" w:rsidRPr="00424EB1" w:rsidRDefault="000A644D" w:rsidP="00BD3624">
      <w:pPr>
        <w:spacing w:before="120" w:after="0" w:line="240" w:lineRule="auto"/>
        <w:rPr>
          <w:rFonts w:ascii="Candara" w:hAnsi="Candara" w:cstheme="minorHAnsi"/>
          <w:b/>
          <w:bCs/>
        </w:rPr>
      </w:pPr>
      <w:r>
        <w:rPr>
          <w:rFonts w:ascii="Candara" w:hAnsi="Candara" w:cstheme="minorHAnsi"/>
          <w:b/>
          <w:bCs/>
        </w:rPr>
        <w:t xml:space="preserve">Deductive </w:t>
      </w:r>
      <w:r w:rsidR="00BD3624">
        <w:rPr>
          <w:rFonts w:ascii="Candara" w:hAnsi="Candara" w:cstheme="minorHAnsi"/>
          <w:b/>
          <w:bCs/>
        </w:rPr>
        <w:t>Anal</w:t>
      </w:r>
      <w:r>
        <w:rPr>
          <w:rFonts w:ascii="Candara" w:hAnsi="Candara" w:cstheme="minorHAnsi"/>
          <w:b/>
          <w:bCs/>
        </w:rPr>
        <w:t>y</w:t>
      </w:r>
      <w:r w:rsidR="00BD3624">
        <w:rPr>
          <w:rFonts w:ascii="Candara" w:hAnsi="Candara" w:cstheme="minorHAnsi"/>
          <w:b/>
          <w:bCs/>
        </w:rPr>
        <w:t xml:space="preserve">sis </w:t>
      </w:r>
    </w:p>
    <w:p w14:paraId="619B1316" w14:textId="016B74DA" w:rsidR="00BD3624" w:rsidRDefault="004A41D1" w:rsidP="00BD3624">
      <w:pPr>
        <w:spacing w:after="0" w:line="240" w:lineRule="auto"/>
        <w:ind w:firstLine="450"/>
        <w:jc w:val="both"/>
        <w:rPr>
          <w:rFonts w:ascii="Candara" w:hAnsi="Candara" w:cstheme="minorHAnsi"/>
        </w:rPr>
      </w:pPr>
      <w:r w:rsidRPr="00C6243A">
        <w:rPr>
          <w:rFonts w:ascii="Candara" w:eastAsia="Times New Roman" w:hAnsi="Candara" w:cs="Calibri"/>
          <w:color w:val="000000"/>
          <w:lang w:eastAsia="en-ID"/>
        </w:rPr>
        <w:t>This analysis phase aim</w:t>
      </w:r>
      <w:r>
        <w:rPr>
          <w:rFonts w:ascii="Candara" w:eastAsia="Times New Roman" w:hAnsi="Candara" w:cs="Calibri"/>
          <w:color w:val="000000"/>
          <w:lang w:eastAsia="en-ID"/>
        </w:rPr>
        <w:t>ed</w:t>
      </w:r>
      <w:r w:rsidRPr="00C6243A">
        <w:rPr>
          <w:rFonts w:ascii="Candara" w:eastAsia="Times New Roman" w:hAnsi="Candara" w:cs="Calibri"/>
          <w:color w:val="000000"/>
          <w:lang w:eastAsia="en-ID"/>
        </w:rPr>
        <w:t xml:space="preserve"> to review the initial research model and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 xml:space="preserve">findings </w:t>
      </w:r>
      <w:r>
        <w:rPr>
          <w:rFonts w:ascii="Candara" w:eastAsia="Times New Roman" w:hAnsi="Candara" w:cs="Calibri"/>
          <w:color w:val="000000"/>
          <w:lang w:eastAsia="en-ID"/>
        </w:rPr>
        <w:t xml:space="preserve">of the </w:t>
      </w:r>
      <w:r w:rsidRPr="00C6243A">
        <w:rPr>
          <w:rFonts w:ascii="Candara" w:eastAsia="Times New Roman" w:hAnsi="Candara" w:cs="Calibri"/>
          <w:color w:val="000000"/>
          <w:lang w:eastAsia="en-ID"/>
        </w:rPr>
        <w:t xml:space="preserve">field </w:t>
      </w:r>
      <w:r w:rsidR="009E0ECA">
        <w:rPr>
          <w:rFonts w:ascii="Candara" w:eastAsia="Times New Roman" w:hAnsi="Candara" w:cs="Calibri"/>
          <w:color w:val="000000"/>
          <w:lang w:eastAsia="en-ID"/>
        </w:rPr>
        <w:t xml:space="preserve">study </w:t>
      </w:r>
      <w:r w:rsidRPr="00C6243A">
        <w:rPr>
          <w:rFonts w:ascii="Candara" w:eastAsia="Times New Roman" w:hAnsi="Candara" w:cs="Calibri"/>
          <w:color w:val="000000"/>
          <w:lang w:eastAsia="en-ID"/>
        </w:rPr>
        <w:t xml:space="preserve">in three steps. The first step </w:t>
      </w:r>
      <w:r>
        <w:rPr>
          <w:rFonts w:ascii="Candara" w:eastAsia="Times New Roman" w:hAnsi="Candara" w:cs="Calibri"/>
          <w:color w:val="000000"/>
          <w:lang w:eastAsia="en-ID"/>
        </w:rPr>
        <w:t>wa</w:t>
      </w:r>
      <w:r w:rsidRPr="00C6243A">
        <w:rPr>
          <w:rFonts w:ascii="Candara" w:eastAsia="Times New Roman" w:hAnsi="Candara" w:cs="Calibri"/>
          <w:color w:val="000000"/>
          <w:lang w:eastAsia="en-ID"/>
        </w:rPr>
        <w:t>s done by selectively </w:t>
      </w:r>
      <w:r w:rsidRPr="00245584">
        <w:rPr>
          <w:rFonts w:ascii="Candara" w:eastAsia="Times New Roman" w:hAnsi="Candara" w:cs="Calibri"/>
          <w:color w:val="000000"/>
          <w:lang w:eastAsia="en-ID"/>
        </w:rPr>
        <w:t>coding</w:t>
      </w:r>
      <w:r w:rsidRPr="00C6243A">
        <w:rPr>
          <w:rFonts w:ascii="Candara" w:eastAsia="Times New Roman" w:hAnsi="Candara" w:cs="Calibri"/>
          <w:i/>
          <w:iCs/>
          <w:color w:val="000000"/>
          <w:lang w:eastAsia="en-ID"/>
        </w:rPr>
        <w:t> </w:t>
      </w:r>
      <w:r w:rsidRPr="00C6243A">
        <w:rPr>
          <w:rFonts w:ascii="Candara" w:eastAsia="Times New Roman" w:hAnsi="Candara" w:cs="Calibri"/>
          <w:color w:val="000000"/>
          <w:lang w:eastAsia="en-ID"/>
        </w:rPr>
        <w:t xml:space="preserve">the interview results to produce the overall theme of the field </w:t>
      </w:r>
      <w:r w:rsidR="009E0ECA">
        <w:rPr>
          <w:rFonts w:ascii="Candara" w:eastAsia="Times New Roman" w:hAnsi="Candara" w:cs="Calibri"/>
          <w:color w:val="000000"/>
          <w:lang w:eastAsia="en-ID"/>
        </w:rPr>
        <w:t xml:space="preserve">study </w:t>
      </w:r>
      <w:r w:rsidRPr="00C6243A">
        <w:rPr>
          <w:rFonts w:ascii="Candara" w:eastAsia="Times New Roman" w:hAnsi="Candara" w:cs="Calibri"/>
          <w:color w:val="000000"/>
          <w:lang w:eastAsia="en-ID"/>
        </w:rPr>
        <w:t>model.</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The second step </w:t>
      </w:r>
      <w:r>
        <w:rPr>
          <w:rFonts w:ascii="Candara" w:eastAsia="Times New Roman" w:hAnsi="Candara" w:cs="Calibri"/>
          <w:color w:val="000000"/>
          <w:lang w:eastAsia="en-ID"/>
        </w:rPr>
        <w:t>wa</w:t>
      </w:r>
      <w:r w:rsidRPr="00C6243A">
        <w:rPr>
          <w:rFonts w:ascii="Candara" w:eastAsia="Times New Roman" w:hAnsi="Candara" w:cs="Calibri"/>
          <w:color w:val="000000"/>
          <w:lang w:eastAsia="en-ID"/>
        </w:rPr>
        <w:t xml:space="preserve">s </w:t>
      </w:r>
      <w:r>
        <w:rPr>
          <w:rFonts w:ascii="Candara" w:eastAsia="Times New Roman" w:hAnsi="Candara" w:cs="Calibri"/>
          <w:color w:val="000000"/>
          <w:lang w:eastAsia="en-ID"/>
        </w:rPr>
        <w:t xml:space="preserve">done </w:t>
      </w:r>
      <w:r w:rsidRPr="00C6243A">
        <w:rPr>
          <w:rFonts w:ascii="Candara" w:eastAsia="Times New Roman" w:hAnsi="Candara" w:cs="Calibri"/>
          <w:color w:val="000000"/>
          <w:lang w:eastAsia="en-ID"/>
        </w:rPr>
        <w:t xml:space="preserve">by reviewing the findings from the results of the field </w:t>
      </w:r>
      <w:r w:rsidR="009E0ECA">
        <w:rPr>
          <w:rFonts w:ascii="Candara" w:eastAsia="Times New Roman" w:hAnsi="Candara" w:cs="Calibri"/>
          <w:color w:val="000000"/>
          <w:lang w:eastAsia="en-ID"/>
        </w:rPr>
        <w:t>study</w:t>
      </w:r>
      <w:r w:rsidRPr="00C6243A">
        <w:rPr>
          <w:rFonts w:ascii="Candara" w:eastAsia="Times New Roman" w:hAnsi="Candara" w:cs="Calibri"/>
          <w:color w:val="000000"/>
          <w:lang w:eastAsia="en-ID"/>
        </w:rPr>
        <w:t xml:space="preserve">. The analysis focused on the themes and items that </w:t>
      </w:r>
      <w:r>
        <w:rPr>
          <w:rFonts w:ascii="Candara" w:eastAsia="Times New Roman" w:hAnsi="Candara" w:cs="Calibri"/>
          <w:color w:val="000000"/>
          <w:lang w:eastAsia="en-ID"/>
        </w:rPr>
        <w:t xml:space="preserve">provided </w:t>
      </w:r>
      <w:r w:rsidRPr="00C6243A">
        <w:rPr>
          <w:rFonts w:ascii="Candara" w:eastAsia="Times New Roman" w:hAnsi="Candara" w:cs="Calibri"/>
          <w:color w:val="000000"/>
          <w:lang w:eastAsia="en-ID"/>
        </w:rPr>
        <w:t>least support</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to </w:t>
      </w:r>
      <w:r w:rsidRPr="00C6243A">
        <w:rPr>
          <w:rFonts w:ascii="Candara" w:eastAsia="Times New Roman" w:hAnsi="Candara" w:cs="Calibri"/>
          <w:color w:val="000000"/>
          <w:lang w:eastAsia="en-ID"/>
        </w:rPr>
        <w:t>the constructs and additional themes mentioned by the informants.</w:t>
      </w:r>
      <w:r>
        <w:rPr>
          <w:rFonts w:ascii="Candara" w:eastAsia="Times New Roman" w:hAnsi="Candara" w:cs="Calibri"/>
          <w:color w:val="000000"/>
          <w:lang w:eastAsia="en-ID"/>
        </w:rPr>
        <w:t xml:space="preserve"> The </w:t>
      </w:r>
      <w:r w:rsidRPr="00C6243A">
        <w:rPr>
          <w:rFonts w:ascii="Candara" w:eastAsia="Times New Roman" w:hAnsi="Candara" w:cs="Calibri"/>
          <w:color w:val="000000"/>
          <w:lang w:eastAsia="en-ID"/>
        </w:rPr>
        <w:t xml:space="preserve">additional theme mentioned by the informants was the obstacles to resolving bankruptcy </w:t>
      </w:r>
      <w:r>
        <w:rPr>
          <w:rFonts w:ascii="Candara" w:eastAsia="Times New Roman" w:hAnsi="Candara" w:cs="Calibri"/>
          <w:color w:val="000000"/>
          <w:lang w:eastAsia="en-ID"/>
        </w:rPr>
        <w:t xml:space="preserve">cases as </w:t>
      </w:r>
      <w:r w:rsidRPr="00C6243A">
        <w:rPr>
          <w:rFonts w:ascii="Candara" w:eastAsia="Times New Roman" w:hAnsi="Candara" w:cs="Calibri"/>
          <w:color w:val="000000"/>
          <w:lang w:eastAsia="en-ID"/>
        </w:rPr>
        <w:t xml:space="preserve">mentioned by </w:t>
      </w:r>
      <w:r>
        <w:rPr>
          <w:rFonts w:ascii="Candara" w:eastAsia="Times New Roman" w:hAnsi="Candara" w:cs="Calibri"/>
          <w:color w:val="000000"/>
          <w:lang w:eastAsia="en-ID"/>
        </w:rPr>
        <w:t xml:space="preserve">five </w:t>
      </w:r>
      <w:r w:rsidRPr="00C6243A">
        <w:rPr>
          <w:rFonts w:ascii="Candara" w:eastAsia="Times New Roman" w:hAnsi="Candara" w:cs="Calibri"/>
          <w:color w:val="000000"/>
          <w:lang w:eastAsia="en-ID"/>
        </w:rPr>
        <w:t>informants.</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The third step </w:t>
      </w:r>
      <w:r>
        <w:rPr>
          <w:rFonts w:ascii="Candara" w:eastAsia="Times New Roman" w:hAnsi="Candara" w:cs="Calibri"/>
          <w:color w:val="000000"/>
          <w:lang w:eastAsia="en-ID"/>
        </w:rPr>
        <w:t>wa</w:t>
      </w:r>
      <w:r w:rsidRPr="00C6243A">
        <w:rPr>
          <w:rFonts w:ascii="Candara" w:eastAsia="Times New Roman" w:hAnsi="Candara" w:cs="Calibri"/>
          <w:color w:val="000000"/>
          <w:lang w:eastAsia="en-ID"/>
        </w:rPr>
        <w:t>s carried out by reviewing the construct</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and dimensions </w:t>
      </w:r>
      <w:r>
        <w:rPr>
          <w:rFonts w:ascii="Candara" w:eastAsia="Times New Roman" w:hAnsi="Candara" w:cs="Calibri"/>
          <w:color w:val="000000"/>
          <w:lang w:eastAsia="en-ID"/>
        </w:rPr>
        <w:t xml:space="preserve">as the </w:t>
      </w:r>
      <w:r w:rsidRPr="00C6243A">
        <w:rPr>
          <w:rFonts w:ascii="Candara" w:eastAsia="Times New Roman" w:hAnsi="Candara" w:cs="Calibri"/>
          <w:color w:val="000000"/>
          <w:lang w:eastAsia="en-ID"/>
        </w:rPr>
        <w:t>result</w:t>
      </w:r>
      <w:r>
        <w:rPr>
          <w:rFonts w:ascii="Candara" w:eastAsia="Times New Roman" w:hAnsi="Candara" w:cs="Calibri"/>
          <w:color w:val="000000"/>
          <w:lang w:eastAsia="en-ID"/>
        </w:rPr>
        <w:t xml:space="preserve"> of the </w:t>
      </w:r>
      <w:r w:rsidRPr="00C6243A">
        <w:rPr>
          <w:rFonts w:ascii="Candara" w:eastAsia="Times New Roman" w:hAnsi="Candara" w:cs="Calibri"/>
          <w:color w:val="000000"/>
          <w:lang w:eastAsia="en-ID"/>
        </w:rPr>
        <w:t>second step related to the literature</w:t>
      </w:r>
      <w:r w:rsidR="00B02522" w:rsidRPr="00424EB1">
        <w:rPr>
          <w:rFonts w:ascii="Candara" w:hAnsi="Candara" w:cstheme="minorHAnsi"/>
        </w:rPr>
        <w:t>.</w:t>
      </w:r>
    </w:p>
    <w:p w14:paraId="22ECB6DE" w14:textId="1A52DA7C" w:rsidR="00B02522" w:rsidRPr="00424EB1" w:rsidRDefault="00CB577E" w:rsidP="00BD3624">
      <w:pPr>
        <w:spacing w:after="0" w:line="240" w:lineRule="auto"/>
        <w:ind w:firstLine="450"/>
        <w:jc w:val="both"/>
        <w:rPr>
          <w:rFonts w:ascii="Candara" w:hAnsi="Candara" w:cstheme="minorHAnsi"/>
        </w:rPr>
      </w:pPr>
      <w:r w:rsidRPr="00C6243A">
        <w:rPr>
          <w:rFonts w:ascii="Candara" w:eastAsia="Times New Roman" w:hAnsi="Candara" w:cs="Calibri"/>
          <w:color w:val="000000"/>
          <w:lang w:eastAsia="en-ID"/>
        </w:rPr>
        <w:t>Referring to the findings</w:t>
      </w:r>
      <w:r w:rsidR="009E0ECA">
        <w:rPr>
          <w:rFonts w:ascii="Candara" w:eastAsia="Times New Roman" w:hAnsi="Candara" w:cs="Calibri"/>
          <w:color w:val="000000"/>
          <w:lang w:eastAsia="en-ID"/>
        </w:rPr>
        <w:t xml:space="preserve">, i.e., </w:t>
      </w:r>
      <w:r w:rsidRPr="00C6243A">
        <w:rPr>
          <w:rFonts w:ascii="Candara" w:eastAsia="Times New Roman" w:hAnsi="Candara" w:cs="Calibri"/>
          <w:color w:val="000000"/>
          <w:lang w:eastAsia="en-ID"/>
        </w:rPr>
        <w:t xml:space="preserve">the </w:t>
      </w:r>
      <w:r>
        <w:rPr>
          <w:rFonts w:ascii="Candara" w:eastAsia="Times New Roman" w:hAnsi="Candara" w:cs="Calibri"/>
          <w:color w:val="000000"/>
          <w:lang w:eastAsia="en-ID"/>
        </w:rPr>
        <w:t>obstacles</w:t>
      </w:r>
      <w:r w:rsidR="009E0ECA">
        <w:rPr>
          <w:rFonts w:ascii="Candara" w:eastAsia="Times New Roman" w:hAnsi="Candara" w:cs="Calibri"/>
          <w:color w:val="000000"/>
          <w:lang w:eastAsia="en-ID"/>
        </w:rPr>
        <w:t>,</w:t>
      </w:r>
      <w:r>
        <w:rPr>
          <w:rFonts w:ascii="Candara" w:eastAsia="Times New Roman" w:hAnsi="Candara" w:cs="Calibri"/>
          <w:color w:val="000000"/>
          <w:lang w:eastAsia="en-ID"/>
        </w:rPr>
        <w:t xml:space="preserve"> as mentioned </w:t>
      </w:r>
      <w:r w:rsidRPr="00C6243A">
        <w:rPr>
          <w:rFonts w:ascii="Candara" w:eastAsia="Times New Roman" w:hAnsi="Candara" w:cs="Calibri"/>
          <w:color w:val="000000"/>
          <w:lang w:eastAsia="en-ID"/>
        </w:rPr>
        <w:t xml:space="preserve">by </w:t>
      </w:r>
      <w:r>
        <w:rPr>
          <w:rFonts w:ascii="Candara" w:eastAsia="Times New Roman" w:hAnsi="Candara" w:cs="Calibri"/>
          <w:color w:val="000000"/>
          <w:lang w:eastAsia="en-ID"/>
        </w:rPr>
        <w:t xml:space="preserve">five </w:t>
      </w:r>
      <w:r w:rsidRPr="00C6243A">
        <w:rPr>
          <w:rFonts w:ascii="Candara" w:eastAsia="Times New Roman" w:hAnsi="Candara" w:cs="Calibri"/>
          <w:color w:val="000000"/>
          <w:lang w:eastAsia="en-ID"/>
        </w:rPr>
        <w:t>respondents,</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the</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theme</w:t>
      </w:r>
      <w:r>
        <w:rPr>
          <w:rFonts w:ascii="Candara" w:eastAsia="Times New Roman" w:hAnsi="Candara" w:cs="Calibri"/>
          <w:color w:val="000000"/>
          <w:lang w:eastAsia="en-ID"/>
        </w:rPr>
        <w:t xml:space="preserve"> could be </w:t>
      </w:r>
      <w:r w:rsidRPr="00C6243A">
        <w:rPr>
          <w:rFonts w:ascii="Candara" w:eastAsia="Times New Roman" w:hAnsi="Candara" w:cs="Calibri"/>
          <w:color w:val="000000"/>
          <w:lang w:eastAsia="en-ID"/>
        </w:rPr>
        <w:t>inclu</w:t>
      </w:r>
      <w:r>
        <w:rPr>
          <w:rFonts w:ascii="Candara" w:eastAsia="Times New Roman" w:hAnsi="Candara" w:cs="Calibri"/>
          <w:color w:val="000000"/>
          <w:lang w:eastAsia="en-ID"/>
        </w:rPr>
        <w:t>ded</w:t>
      </w:r>
      <w:r w:rsidRPr="00C6243A">
        <w:rPr>
          <w:rFonts w:ascii="Candara" w:eastAsia="Times New Roman" w:hAnsi="Candara" w:cs="Calibri"/>
          <w:color w:val="000000"/>
          <w:lang w:eastAsia="en-ID"/>
        </w:rPr>
        <w:t xml:space="preserve"> in the research</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model</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following the existing</w:t>
      </w:r>
      <w:r w:rsidR="009E0ECA">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literature and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findings</w:t>
      </w:r>
      <w:r>
        <w:rPr>
          <w:rFonts w:ascii="Candara" w:eastAsia="Times New Roman" w:hAnsi="Candara" w:cs="Calibri"/>
          <w:color w:val="000000"/>
          <w:lang w:eastAsia="en-ID"/>
        </w:rPr>
        <w:t xml:space="preserve"> of the </w:t>
      </w:r>
      <w:r w:rsidRPr="00C6243A">
        <w:rPr>
          <w:rFonts w:ascii="Candara" w:eastAsia="Times New Roman" w:hAnsi="Candara" w:cs="Calibri"/>
          <w:color w:val="000000"/>
          <w:lang w:eastAsia="en-ID"/>
        </w:rPr>
        <w:t xml:space="preserve">field </w:t>
      </w:r>
      <w:r w:rsidR="009E0ECA">
        <w:rPr>
          <w:rFonts w:ascii="Candara" w:eastAsia="Times New Roman" w:hAnsi="Candara" w:cs="Calibri"/>
          <w:color w:val="000000"/>
          <w:lang w:eastAsia="en-ID"/>
        </w:rPr>
        <w:t>study</w:t>
      </w:r>
      <w:r w:rsidRPr="00C6243A">
        <w:rPr>
          <w:rFonts w:ascii="Candara" w:eastAsia="Times New Roman" w:hAnsi="Candara" w:cs="Calibri"/>
          <w:color w:val="000000"/>
          <w:lang w:eastAsia="en-ID"/>
        </w:rPr>
        <w:t>.</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There have been several studies regarding the obstacles faced by curators when </w:t>
      </w:r>
      <w:r>
        <w:rPr>
          <w:rFonts w:ascii="Candara" w:eastAsia="Times New Roman" w:hAnsi="Candara" w:cs="Calibri"/>
          <w:color w:val="000000"/>
          <w:lang w:eastAsia="en-ID"/>
        </w:rPr>
        <w:t xml:space="preserve">resolving </w:t>
      </w:r>
      <w:r w:rsidRPr="00C6243A">
        <w:rPr>
          <w:rFonts w:ascii="Candara" w:eastAsia="Times New Roman" w:hAnsi="Candara" w:cs="Calibri"/>
          <w:color w:val="000000"/>
          <w:lang w:eastAsia="en-ID"/>
        </w:rPr>
        <w:t>bankrupt</w:t>
      </w:r>
      <w:r>
        <w:rPr>
          <w:rFonts w:ascii="Candara" w:eastAsia="Times New Roman" w:hAnsi="Candara" w:cs="Calibri"/>
          <w:color w:val="000000"/>
          <w:lang w:eastAsia="en-ID"/>
        </w:rPr>
        <w:t>cy</w:t>
      </w:r>
      <w:r w:rsidRPr="00C6243A">
        <w:rPr>
          <w:rFonts w:ascii="Candara" w:eastAsia="Times New Roman" w:hAnsi="Candara" w:cs="Calibri"/>
          <w:color w:val="000000"/>
          <w:lang w:eastAsia="en-ID"/>
        </w:rPr>
        <w:t> assets</w:t>
      </w:r>
      <w:r w:rsidRPr="00C6243A">
        <w:rPr>
          <w:rFonts w:ascii="Candara" w:eastAsia="Times New Roman" w:hAnsi="Candara" w:cs="Calibri"/>
          <w:i/>
          <w:iCs/>
          <w:color w:val="000000"/>
          <w:lang w:eastAsia="en-ID"/>
        </w:rPr>
        <w:t>,</w:t>
      </w:r>
      <w:r>
        <w:rPr>
          <w:rFonts w:ascii="Candara" w:eastAsia="Times New Roman" w:hAnsi="Candara" w:cs="Calibri"/>
          <w:i/>
          <w:iCs/>
          <w:color w:val="000000"/>
          <w:lang w:eastAsia="en-ID"/>
        </w:rPr>
        <w:t xml:space="preserve"> </w:t>
      </w:r>
      <w:r w:rsidRPr="00245584">
        <w:rPr>
          <w:rFonts w:ascii="Candara" w:eastAsia="Times New Roman" w:hAnsi="Candara" w:cs="Calibri"/>
          <w:color w:val="000000"/>
          <w:lang w:eastAsia="en-ID"/>
        </w:rPr>
        <w:t>including</w:t>
      </w:r>
      <w:r w:rsidRPr="00C6243A">
        <w:rPr>
          <w:rFonts w:ascii="Candara" w:eastAsia="Times New Roman" w:hAnsi="Candara" w:cs="Calibri"/>
          <w:i/>
          <w:iCs/>
          <w:color w:val="000000"/>
          <w:lang w:eastAsia="en-ID"/>
        </w:rPr>
        <w:t> </w:t>
      </w:r>
      <w:r w:rsidRPr="00C6243A">
        <w:rPr>
          <w:rFonts w:ascii="Candara" w:eastAsia="Times New Roman" w:hAnsi="Candara" w:cs="Calibri"/>
          <w:color w:val="000000"/>
          <w:lang w:eastAsia="en-ID"/>
        </w:rPr>
        <w:t xml:space="preserve">research </w:t>
      </w:r>
      <w:r>
        <w:rPr>
          <w:rFonts w:ascii="Candara" w:eastAsia="Times New Roman" w:hAnsi="Candara" w:cs="Calibri"/>
          <w:color w:val="000000"/>
          <w:lang w:eastAsia="en-ID"/>
        </w:rPr>
        <w:t xml:space="preserve">by </w:t>
      </w:r>
      <w:r w:rsidR="00AE53DB">
        <w:rPr>
          <w:rFonts w:ascii="Candara" w:hAnsi="Candara" w:cstheme="minorHAnsi"/>
        </w:rPr>
        <w:fldChar w:fldCharType="begin" w:fldLock="1"/>
      </w:r>
      <w:r w:rsidR="00AE53DB">
        <w:rPr>
          <w:rFonts w:ascii="Candara" w:hAnsi="Candara" w:cstheme="minorHAnsi"/>
        </w:rPr>
        <w:instrText>ADDIN CSL_CITATION {"citationItems":[{"id":"ITEM-1","itemData":{"DOI":"10.1017/eso.2018.69","author":[{"dropping-particle":"","family":"Carlos","given":"Ann M.","non-dropping-particle":"","parse-names":false,"suffix":""},{"dropping-particle":"","family":"Kosack","given":"Edward","non-dropping-particle":"","parse-names":false,"suffix":""},{"dropping-particle":"","family":"Luis","given":"Castro Penarrieta","non-dropping-particle":"","parse-names":false,"suffix":""}],"container-title":"Enterprise &amp; Society","id":"ITEM-1","issue":"2","issued":{"date-parts":[["2019"]]},"page":"475-506","title":"Bankruptcy, Discharge, and the Emergence of Debtor Right in Eighteenth-Century England","type":"article-journal","volume":"20"},"uris":["http://www.mendeley.com/documents/?uuid=78cbd5e0-dd37-4acf-ac34-17cfcfac89d3"]}],"mendeley":{"formattedCitation":"(Carlos et al., 2019)","plainTextFormattedCitation":"(Carlos et al., 2019)","previouslyFormattedCitation":"(Carlos et al., 2019)"},"properties":{"noteIndex":0},"schema":"https://github.com/citation-style-language/schema/raw/master/csl-citation.json"}</w:instrText>
      </w:r>
      <w:r w:rsidR="00AE53DB">
        <w:rPr>
          <w:rFonts w:ascii="Candara" w:hAnsi="Candara" w:cstheme="minorHAnsi"/>
        </w:rPr>
        <w:fldChar w:fldCharType="separate"/>
      </w:r>
      <w:r w:rsidR="00AE53DB" w:rsidRPr="00AE53DB">
        <w:rPr>
          <w:rFonts w:ascii="Candara" w:hAnsi="Candara" w:cstheme="minorHAnsi"/>
          <w:noProof/>
        </w:rPr>
        <w:t>(Carlos et al., 201</w:t>
      </w:r>
      <w:r w:rsidR="00F41CD1">
        <w:rPr>
          <w:rFonts w:ascii="Candara" w:hAnsi="Candara" w:cstheme="minorHAnsi"/>
          <w:noProof/>
        </w:rPr>
        <w:t>8</w:t>
      </w:r>
      <w:r w:rsidR="00AE53DB" w:rsidRPr="00AE53DB">
        <w:rPr>
          <w:rFonts w:ascii="Candara" w:hAnsi="Candara" w:cstheme="minorHAnsi"/>
          <w:noProof/>
        </w:rPr>
        <w:t>)</w:t>
      </w:r>
      <w:r w:rsidR="00AE53DB">
        <w:rPr>
          <w:rFonts w:ascii="Candara" w:hAnsi="Candara" w:cstheme="minorHAnsi"/>
        </w:rPr>
        <w:fldChar w:fldCharType="end"/>
      </w:r>
      <w:r w:rsidR="00AE53DB">
        <w:rPr>
          <w:rFonts w:ascii="Candara" w:hAnsi="Candara" w:cstheme="minorHAnsi"/>
        </w:rPr>
        <w:t xml:space="preserve"> </w:t>
      </w:r>
      <w:r>
        <w:rPr>
          <w:rFonts w:ascii="Candara" w:hAnsi="Candara" w:cstheme="minorHAnsi"/>
        </w:rPr>
        <w:t xml:space="preserve">and </w:t>
      </w:r>
      <w:r w:rsidR="00AE53DB">
        <w:rPr>
          <w:rFonts w:ascii="Candara" w:hAnsi="Candara" w:cstheme="minorHAnsi"/>
        </w:rPr>
        <w:fldChar w:fldCharType="begin" w:fldLock="1"/>
      </w:r>
      <w:r w:rsidR="00AE53DB">
        <w:rPr>
          <w:rFonts w:ascii="Candara" w:hAnsi="Candara" w:cstheme="minorHAnsi"/>
        </w:rPr>
        <w:instrText>ADDIN CSL_CITATION {"citationItems":[{"id":"ITEM-1","itemData":{"DOI":"10.7176/JLPG/96-03","author":[{"dropping-particle":"","family":"Haryantho","given":"Boedi","non-dropping-particle":"","parse-names":false,"suffix":""},{"dropping-particle":"","family":"Shubhan","given":"M Hadi","non-dropping-particle":"","parse-names":false,"suffix":""},{"dropping-particle":"","family":"Zaidun","given":"M","non-dropping-particle":"","parse-names":false,"suffix":""}],"container-title":"Journal of Law, Policy and Globalization","id":"ITEM-1","issue":"3","issued":{"date-parts":[["2020"]]},"page":"83-84","title":"The Principle of Solvency as a Consideration for Judge in Solving Bankruptcy Case in Indonesia","type":"article-journal","volume":"96"},"uris":["http://www.mendeley.com/documents/?uuid=1faea263-00b3-4e52-943b-28e9e7d9a197"]}],"mendeley":{"formattedCitation":"(Haryantho et al., 2020)","plainTextFormattedCitation":"(Haryantho et al., 2020)"},"properties":{"noteIndex":0},"schema":"https://github.com/citation-style-language/schema/raw/master/csl-citation.json"}</w:instrText>
      </w:r>
      <w:r w:rsidR="00AE53DB">
        <w:rPr>
          <w:rFonts w:ascii="Candara" w:hAnsi="Candara" w:cstheme="minorHAnsi"/>
        </w:rPr>
        <w:fldChar w:fldCharType="separate"/>
      </w:r>
      <w:r w:rsidR="00AE53DB" w:rsidRPr="00AE53DB">
        <w:rPr>
          <w:rFonts w:ascii="Candara" w:hAnsi="Candara" w:cstheme="minorHAnsi"/>
          <w:noProof/>
        </w:rPr>
        <w:t>(Haryantho et al., 2020)</w:t>
      </w:r>
      <w:r w:rsidR="00AE53DB">
        <w:rPr>
          <w:rFonts w:ascii="Candara" w:hAnsi="Candara" w:cstheme="minorHAnsi"/>
        </w:rPr>
        <w:fldChar w:fldCharType="end"/>
      </w:r>
      <w:r w:rsidR="00AE53DB">
        <w:rPr>
          <w:rFonts w:ascii="Candara" w:hAnsi="Candara" w:cstheme="minorHAnsi"/>
        </w:rPr>
        <w:t xml:space="preserve">. </w:t>
      </w:r>
    </w:p>
    <w:p w14:paraId="6E302B8D" w14:textId="78727D63" w:rsidR="00B02522" w:rsidRPr="00424EB1" w:rsidRDefault="000A644D" w:rsidP="00102453">
      <w:pPr>
        <w:spacing w:before="120" w:after="0" w:line="240" w:lineRule="auto"/>
        <w:rPr>
          <w:rFonts w:ascii="Candara" w:hAnsi="Candara" w:cstheme="minorHAnsi"/>
          <w:b/>
          <w:bCs/>
        </w:rPr>
      </w:pPr>
      <w:r>
        <w:rPr>
          <w:rFonts w:ascii="Candara" w:hAnsi="Candara" w:cstheme="minorHAnsi"/>
          <w:b/>
          <w:bCs/>
        </w:rPr>
        <w:t xml:space="preserve">Comprehensive Research </w:t>
      </w:r>
      <w:r w:rsidR="00102453">
        <w:rPr>
          <w:rFonts w:ascii="Candara" w:hAnsi="Candara" w:cstheme="minorHAnsi"/>
          <w:b/>
          <w:bCs/>
        </w:rPr>
        <w:t xml:space="preserve">Model </w:t>
      </w:r>
    </w:p>
    <w:p w14:paraId="4903B64F" w14:textId="1A0A0BDE" w:rsidR="00B02522" w:rsidRPr="00424EB1" w:rsidRDefault="00CB577E" w:rsidP="00102453">
      <w:pPr>
        <w:spacing w:after="0" w:line="240" w:lineRule="auto"/>
        <w:ind w:firstLine="450"/>
        <w:jc w:val="both"/>
        <w:rPr>
          <w:rFonts w:ascii="Candara" w:hAnsi="Candara" w:cstheme="minorHAnsi"/>
        </w:rPr>
      </w:pPr>
      <w:r w:rsidRPr="00C6243A">
        <w:rPr>
          <w:rFonts w:ascii="Candara" w:eastAsia="Times New Roman" w:hAnsi="Candara" w:cs="Calibri"/>
          <w:color w:val="000000"/>
          <w:lang w:eastAsia="en-ID"/>
        </w:rPr>
        <w:t xml:space="preserve">Based on the </w:t>
      </w:r>
      <w:r>
        <w:rPr>
          <w:rFonts w:ascii="Candara" w:eastAsia="Times New Roman" w:hAnsi="Candara" w:cs="Calibri"/>
          <w:color w:val="000000"/>
          <w:lang w:eastAsia="en-ID"/>
        </w:rPr>
        <w:t xml:space="preserve">existing </w:t>
      </w:r>
      <w:r w:rsidRPr="00C6243A">
        <w:rPr>
          <w:rFonts w:ascii="Candara" w:eastAsia="Times New Roman" w:hAnsi="Candara" w:cs="Calibri"/>
          <w:color w:val="000000"/>
          <w:lang w:eastAsia="en-ID"/>
        </w:rPr>
        <w:t xml:space="preserve">literature and the results of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interviews in the field, a comprehensive</w:t>
      </w:r>
      <w:r w:rsidR="009E0ECA">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research model can be seen in Figure 2.</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Th</w:t>
      </w:r>
      <w:r>
        <w:rPr>
          <w:rFonts w:ascii="Candara" w:eastAsia="Times New Roman" w:hAnsi="Candara" w:cs="Calibri"/>
          <w:color w:val="000000"/>
          <w:lang w:eastAsia="en-ID"/>
        </w:rPr>
        <w:t>e</w:t>
      </w:r>
      <w:r w:rsidRPr="00C6243A">
        <w:rPr>
          <w:rFonts w:ascii="Candara" w:eastAsia="Times New Roman" w:hAnsi="Candara" w:cs="Calibri"/>
          <w:color w:val="000000"/>
          <w:lang w:eastAsia="en-ID"/>
        </w:rPr>
        <w:t xml:space="preserve"> comprehensive model contains the </w:t>
      </w:r>
      <w:r>
        <w:rPr>
          <w:rFonts w:ascii="Candara" w:eastAsia="Times New Roman" w:hAnsi="Candara" w:cs="Calibri"/>
          <w:color w:val="000000"/>
          <w:lang w:eastAsia="en-ID"/>
        </w:rPr>
        <w:t xml:space="preserve">initial </w:t>
      </w:r>
      <w:r w:rsidRPr="00C6243A">
        <w:rPr>
          <w:rFonts w:ascii="Candara" w:eastAsia="Times New Roman" w:hAnsi="Candara" w:cs="Calibri"/>
          <w:color w:val="000000"/>
          <w:lang w:eastAsia="en-ID"/>
        </w:rPr>
        <w:t>theme of the research model supported by the results of the interviews</w:t>
      </w:r>
      <w:r w:rsidR="00B02522" w:rsidRPr="00424EB1">
        <w:rPr>
          <w:rFonts w:ascii="Candara" w:hAnsi="Candara" w:cstheme="minorHAnsi"/>
        </w:rPr>
        <w:t>.</w:t>
      </w:r>
    </w:p>
    <w:p w14:paraId="1322CD82" w14:textId="5C2C54EA" w:rsidR="00B02522" w:rsidRDefault="00B02522" w:rsidP="00102453">
      <w:pPr>
        <w:autoSpaceDE w:val="0"/>
        <w:autoSpaceDN w:val="0"/>
        <w:adjustRightInd w:val="0"/>
        <w:spacing w:after="0" w:line="240" w:lineRule="auto"/>
        <w:jc w:val="center"/>
        <w:rPr>
          <w:rFonts w:ascii="Candara" w:hAnsi="Candara" w:cs="Arial"/>
        </w:rPr>
      </w:pPr>
      <w:r w:rsidRPr="00122E35">
        <w:rPr>
          <w:rFonts w:cstheme="minorHAnsi"/>
          <w:noProof/>
          <w:lang w:val="id-ID" w:eastAsia="id-ID"/>
        </w:rPr>
        <w:drawing>
          <wp:inline distT="0" distB="0" distL="0" distR="0" wp14:anchorId="2BC27046" wp14:editId="5D59EA0C">
            <wp:extent cx="3595269" cy="1860698"/>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133" t="22135" r="37350" b="33204"/>
                    <a:stretch/>
                  </pic:blipFill>
                  <pic:spPr bwMode="auto">
                    <a:xfrm>
                      <a:off x="0" y="0"/>
                      <a:ext cx="3619704" cy="1873344"/>
                    </a:xfrm>
                    <a:prstGeom prst="rect">
                      <a:avLst/>
                    </a:prstGeom>
                    <a:ln>
                      <a:noFill/>
                    </a:ln>
                    <a:extLst>
                      <a:ext uri="{53640926-AAD7-44D8-BBD7-CCE9431645EC}">
                        <a14:shadowObscured xmlns:a14="http://schemas.microsoft.com/office/drawing/2010/main"/>
                      </a:ext>
                    </a:extLst>
                  </pic:spPr>
                </pic:pic>
              </a:graphicData>
            </a:graphic>
          </wp:inline>
        </w:drawing>
      </w:r>
    </w:p>
    <w:p w14:paraId="5D74A62D" w14:textId="117CE9DB" w:rsidR="00B02522" w:rsidRDefault="000A644D" w:rsidP="00102453">
      <w:pPr>
        <w:autoSpaceDE w:val="0"/>
        <w:autoSpaceDN w:val="0"/>
        <w:adjustRightInd w:val="0"/>
        <w:spacing w:after="0" w:line="240" w:lineRule="auto"/>
        <w:jc w:val="center"/>
        <w:rPr>
          <w:rFonts w:ascii="Candara" w:hAnsi="Candara" w:cs="Arial"/>
        </w:rPr>
      </w:pPr>
      <w:r>
        <w:rPr>
          <w:rFonts w:ascii="Goudy Old Style" w:hAnsi="Goudy Old Style" w:cstheme="minorHAnsi"/>
          <w:b/>
          <w:bCs/>
          <w:sz w:val="20"/>
          <w:szCs w:val="20"/>
        </w:rPr>
        <w:t>Figure</w:t>
      </w:r>
      <w:r w:rsidR="00B02522" w:rsidRPr="00424EB1">
        <w:rPr>
          <w:rFonts w:ascii="Goudy Old Style" w:hAnsi="Goudy Old Style" w:cstheme="minorHAnsi"/>
          <w:b/>
          <w:bCs/>
          <w:sz w:val="20"/>
          <w:szCs w:val="20"/>
        </w:rPr>
        <w:t xml:space="preserve"> 2. Comprehensive Research Model</w:t>
      </w:r>
    </w:p>
    <w:p w14:paraId="2A2DDA5B" w14:textId="77777777" w:rsidR="00B02522" w:rsidRDefault="00B02522" w:rsidP="00027E82">
      <w:pPr>
        <w:autoSpaceDE w:val="0"/>
        <w:autoSpaceDN w:val="0"/>
        <w:adjustRightInd w:val="0"/>
        <w:spacing w:after="0" w:line="240" w:lineRule="auto"/>
        <w:ind w:firstLine="426"/>
        <w:jc w:val="both"/>
        <w:rPr>
          <w:rFonts w:ascii="Candara" w:hAnsi="Candara" w:cs="Arial"/>
        </w:rPr>
      </w:pPr>
    </w:p>
    <w:p w14:paraId="6877E921" w14:textId="77777777" w:rsidR="00B02522" w:rsidRDefault="00B02522" w:rsidP="00027E82">
      <w:pPr>
        <w:autoSpaceDE w:val="0"/>
        <w:autoSpaceDN w:val="0"/>
        <w:adjustRightInd w:val="0"/>
        <w:spacing w:after="0" w:line="240" w:lineRule="auto"/>
        <w:ind w:firstLine="426"/>
        <w:jc w:val="both"/>
        <w:rPr>
          <w:rFonts w:ascii="Candara" w:hAnsi="Candara" w:cs="Arial"/>
        </w:rPr>
      </w:pPr>
    </w:p>
    <w:p w14:paraId="326FE1B9" w14:textId="77777777" w:rsidR="00780862" w:rsidRPr="00780862" w:rsidRDefault="00780862" w:rsidP="00780862">
      <w:pPr>
        <w:autoSpaceDE w:val="0"/>
        <w:autoSpaceDN w:val="0"/>
        <w:adjustRightInd w:val="0"/>
        <w:spacing w:after="0" w:line="240" w:lineRule="auto"/>
        <w:ind w:firstLine="426"/>
        <w:jc w:val="both"/>
        <w:rPr>
          <w:rFonts w:ascii="Candara" w:hAnsi="Candara" w:cs="Arial"/>
        </w:rPr>
      </w:pPr>
    </w:p>
    <w:p w14:paraId="5AC4728B" w14:textId="77777777" w:rsidR="00D67F57" w:rsidRDefault="00D67F57" w:rsidP="00102453">
      <w:pPr>
        <w:spacing w:after="120" w:line="240" w:lineRule="auto"/>
        <w:jc w:val="center"/>
        <w:rPr>
          <w:rFonts w:ascii="Candara" w:hAnsi="Candara" w:cs="Times New Roman"/>
          <w:b/>
          <w:sz w:val="28"/>
          <w:szCs w:val="28"/>
        </w:rPr>
      </w:pPr>
    </w:p>
    <w:p w14:paraId="65F6ABF9" w14:textId="3B482BC8" w:rsidR="004C0B51" w:rsidRPr="00485793" w:rsidRDefault="000A644D" w:rsidP="00102453">
      <w:pPr>
        <w:spacing w:after="120" w:line="240" w:lineRule="auto"/>
        <w:jc w:val="center"/>
        <w:rPr>
          <w:rFonts w:ascii="Candara" w:hAnsi="Candara" w:cs="Times New Roman"/>
          <w:b/>
          <w:sz w:val="28"/>
          <w:szCs w:val="28"/>
        </w:rPr>
      </w:pPr>
      <w:r>
        <w:rPr>
          <w:rFonts w:ascii="Candara" w:hAnsi="Candara" w:cs="Times New Roman"/>
          <w:b/>
          <w:sz w:val="28"/>
          <w:szCs w:val="28"/>
        </w:rPr>
        <w:lastRenderedPageBreak/>
        <w:t>CONCLUSION</w:t>
      </w:r>
    </w:p>
    <w:p w14:paraId="5E65371E" w14:textId="0E75F8A0" w:rsidR="00B02522" w:rsidRPr="00424EB1" w:rsidRDefault="008E5234" w:rsidP="00102453">
      <w:pPr>
        <w:spacing w:after="0" w:line="240" w:lineRule="auto"/>
        <w:ind w:firstLine="450"/>
        <w:jc w:val="both"/>
        <w:rPr>
          <w:rFonts w:ascii="Candara" w:hAnsi="Candara" w:cstheme="minorHAnsi"/>
        </w:rPr>
      </w:pPr>
      <w:r w:rsidRPr="00C6243A">
        <w:rPr>
          <w:rFonts w:ascii="Candara" w:eastAsia="Times New Roman" w:hAnsi="Candara" w:cs="Calibri"/>
          <w:color w:val="000000"/>
          <w:lang w:eastAsia="en-ID"/>
        </w:rPr>
        <w:t xml:space="preserve">Bankruptcy is a general confiscation of </w:t>
      </w:r>
      <w:r>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debtor's assets to protect the interests of creditors.</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In </w:t>
      </w:r>
      <w:r>
        <w:rPr>
          <w:rFonts w:ascii="Candara" w:eastAsia="Times New Roman" w:hAnsi="Candara" w:cs="Calibri"/>
          <w:color w:val="000000"/>
          <w:lang w:eastAsia="en-ID"/>
        </w:rPr>
        <w:t xml:space="preserve">a </w:t>
      </w:r>
      <w:r w:rsidRPr="00C6243A">
        <w:rPr>
          <w:rFonts w:ascii="Candara" w:eastAsia="Times New Roman" w:hAnsi="Candara" w:cs="Calibri"/>
          <w:color w:val="000000"/>
          <w:lang w:eastAsia="en-ID"/>
        </w:rPr>
        <w:t>bankruptcy</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case,</w:t>
      </w:r>
      <w:r>
        <w:rPr>
          <w:rFonts w:ascii="Candara" w:eastAsia="Times New Roman" w:hAnsi="Candara" w:cs="Calibri"/>
          <w:color w:val="000000"/>
          <w:lang w:eastAsia="en-ID"/>
        </w:rPr>
        <w:t xml:space="preserve"> </w:t>
      </w:r>
      <w:r w:rsidRPr="0054481E">
        <w:rPr>
          <w:rFonts w:ascii="Candara" w:eastAsia="Times New Roman" w:hAnsi="Candara" w:cs="Calibri"/>
          <w:color w:val="000000"/>
          <w:lang w:eastAsia="en-ID"/>
        </w:rPr>
        <w:t>fraud</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committed by debtors, creditors</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or curators</w:t>
      </w:r>
      <w:r w:rsidRPr="0054481E">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may occur.</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The </w:t>
      </w:r>
      <w:r w:rsidRPr="0054481E">
        <w:rPr>
          <w:rFonts w:ascii="Candara" w:eastAsia="Times New Roman" w:hAnsi="Candara" w:cs="Calibri"/>
          <w:color w:val="000000"/>
          <w:lang w:eastAsia="en-ID"/>
        </w:rPr>
        <w:t>fraud</w:t>
      </w:r>
      <w:r w:rsidRPr="00C6243A">
        <w:rPr>
          <w:rFonts w:ascii="Candara" w:eastAsia="Times New Roman" w:hAnsi="Candara" w:cs="Calibri"/>
          <w:i/>
          <w:iCs/>
          <w:color w:val="000000"/>
          <w:lang w:eastAsia="en-ID"/>
        </w:rPr>
        <w:t> </w:t>
      </w:r>
      <w:r w:rsidRPr="00C6243A">
        <w:rPr>
          <w:rFonts w:ascii="Candara" w:eastAsia="Times New Roman" w:hAnsi="Candara" w:cs="Calibri"/>
          <w:color w:val="000000"/>
          <w:lang w:eastAsia="en-ID"/>
        </w:rPr>
        <w:t>can potential</w:t>
      </w:r>
      <w:r>
        <w:rPr>
          <w:rFonts w:ascii="Candara" w:eastAsia="Times New Roman" w:hAnsi="Candara" w:cs="Calibri"/>
          <w:color w:val="000000"/>
          <w:lang w:eastAsia="en-ID"/>
        </w:rPr>
        <w:t>ly</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be committed </w:t>
      </w:r>
      <w:r w:rsidRPr="00C6243A">
        <w:rPr>
          <w:rFonts w:ascii="Candara" w:eastAsia="Times New Roman" w:hAnsi="Candara" w:cs="Calibri"/>
          <w:color w:val="000000"/>
          <w:lang w:eastAsia="en-ID"/>
        </w:rPr>
        <w:t>before</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or after a court decision.</w:t>
      </w:r>
      <w:r>
        <w:rPr>
          <w:rFonts w:ascii="Candara" w:eastAsia="Times New Roman" w:hAnsi="Candara" w:cs="Calibri"/>
          <w:color w:val="000000"/>
          <w:lang w:eastAsia="en-ID"/>
        </w:rPr>
        <w:t xml:space="preserve"> A </w:t>
      </w:r>
      <w:r w:rsidRPr="00C6243A">
        <w:rPr>
          <w:rFonts w:ascii="Candara" w:eastAsia="Times New Roman" w:hAnsi="Candara" w:cs="Calibri"/>
          <w:color w:val="000000"/>
          <w:lang w:eastAsia="en-ID"/>
        </w:rPr>
        <w:t xml:space="preserve">curator has the authority to </w:t>
      </w:r>
      <w:r>
        <w:rPr>
          <w:rFonts w:ascii="Candara" w:eastAsia="Times New Roman" w:hAnsi="Candara" w:cs="Calibri"/>
          <w:color w:val="000000"/>
          <w:lang w:eastAsia="en-ID"/>
        </w:rPr>
        <w:t xml:space="preserve">resolve </w:t>
      </w:r>
      <w:r w:rsidRPr="00C6243A">
        <w:rPr>
          <w:rFonts w:ascii="Candara" w:eastAsia="Times New Roman" w:hAnsi="Candara" w:cs="Calibri"/>
          <w:color w:val="000000"/>
          <w:lang w:eastAsia="en-ID"/>
        </w:rPr>
        <w:t>bankruptcy cases after a court decision</w:t>
      </w:r>
      <w:r w:rsidR="009E0ECA">
        <w:rPr>
          <w:rFonts w:ascii="Candara" w:eastAsia="Times New Roman" w:hAnsi="Candara" w:cs="Calibri"/>
          <w:color w:val="000000"/>
          <w:lang w:eastAsia="en-ID"/>
        </w:rPr>
        <w:t>,</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in the form of manag</w:t>
      </w:r>
      <w:r>
        <w:rPr>
          <w:rFonts w:ascii="Candara" w:eastAsia="Times New Roman" w:hAnsi="Candara" w:cs="Calibri"/>
          <w:color w:val="000000"/>
          <w:lang w:eastAsia="en-ID"/>
        </w:rPr>
        <w:t>ing</w:t>
      </w:r>
      <w:r w:rsidRPr="00C6243A">
        <w:rPr>
          <w:rFonts w:ascii="Candara" w:eastAsia="Times New Roman" w:hAnsi="Candara" w:cs="Calibri"/>
          <w:color w:val="000000"/>
          <w:lang w:eastAsia="en-ID"/>
        </w:rPr>
        <w:t xml:space="preserve"> and settl</w:t>
      </w:r>
      <w:r>
        <w:rPr>
          <w:rFonts w:ascii="Candara" w:eastAsia="Times New Roman" w:hAnsi="Candara" w:cs="Calibri"/>
          <w:color w:val="000000"/>
          <w:lang w:eastAsia="en-ID"/>
        </w:rPr>
        <w:t>ing</w:t>
      </w:r>
      <w:r w:rsidRPr="00C6243A">
        <w:rPr>
          <w:rFonts w:ascii="Candara" w:eastAsia="Times New Roman" w:hAnsi="Candara" w:cs="Calibri"/>
          <w:color w:val="000000"/>
          <w:lang w:eastAsia="en-ID"/>
        </w:rPr>
        <w:t xml:space="preserve"> </w:t>
      </w:r>
      <w:r>
        <w:rPr>
          <w:rFonts w:ascii="Candara" w:eastAsia="Times New Roman" w:hAnsi="Candara" w:cs="Calibri"/>
          <w:color w:val="000000"/>
          <w:lang w:eastAsia="en-ID"/>
        </w:rPr>
        <w:t xml:space="preserve">the </w:t>
      </w:r>
      <w:r w:rsidRPr="00C6243A">
        <w:rPr>
          <w:rFonts w:ascii="Candara" w:eastAsia="Times New Roman" w:hAnsi="Candara" w:cs="Calibri"/>
          <w:color w:val="000000"/>
          <w:lang w:eastAsia="en-ID"/>
        </w:rPr>
        <w:t>bankrupt</w:t>
      </w:r>
      <w:r>
        <w:rPr>
          <w:rFonts w:ascii="Candara" w:eastAsia="Times New Roman" w:hAnsi="Candara" w:cs="Calibri"/>
          <w:color w:val="000000"/>
          <w:lang w:eastAsia="en-ID"/>
        </w:rPr>
        <w:t>cy</w:t>
      </w:r>
      <w:r w:rsidRPr="00C6243A">
        <w:rPr>
          <w:rFonts w:ascii="Candara" w:eastAsia="Times New Roman" w:hAnsi="Candara" w:cs="Calibri"/>
          <w:color w:val="000000"/>
          <w:lang w:eastAsia="en-ID"/>
        </w:rPr>
        <w:t> assets</w:t>
      </w:r>
      <w:r w:rsidR="00B02522" w:rsidRPr="00424EB1">
        <w:rPr>
          <w:rFonts w:ascii="Candara" w:hAnsi="Candara" w:cstheme="minorHAnsi"/>
        </w:rPr>
        <w:t xml:space="preserve">. </w:t>
      </w:r>
    </w:p>
    <w:p w14:paraId="6C00741B" w14:textId="0EFF2599" w:rsidR="00B02522" w:rsidRPr="002C3549" w:rsidRDefault="00426F76" w:rsidP="00102453">
      <w:pPr>
        <w:pStyle w:val="CommentText"/>
        <w:spacing w:after="0"/>
        <w:ind w:firstLine="450"/>
        <w:jc w:val="both"/>
        <w:rPr>
          <w:rFonts w:ascii="Candara" w:hAnsi="Candara" w:cstheme="minorHAnsi"/>
          <w:sz w:val="22"/>
          <w:szCs w:val="22"/>
        </w:rPr>
      </w:pPr>
      <w:r w:rsidRPr="002C3549">
        <w:rPr>
          <w:rFonts w:ascii="Candara" w:eastAsia="Times New Roman" w:hAnsi="Candara" w:cs="Calibri"/>
          <w:color w:val="000000"/>
          <w:sz w:val="22"/>
          <w:szCs w:val="22"/>
          <w:lang w:eastAsia="en-ID"/>
        </w:rPr>
        <w:t xml:space="preserve">In carrying out their duties, i.e., management and settlement, </w:t>
      </w:r>
      <w:r w:rsidR="009E0ECA">
        <w:rPr>
          <w:rFonts w:ascii="Candara" w:eastAsia="Times New Roman" w:hAnsi="Candara" w:cs="Calibri"/>
          <w:color w:val="000000"/>
          <w:sz w:val="22"/>
          <w:szCs w:val="22"/>
          <w:lang w:eastAsia="en-ID"/>
        </w:rPr>
        <w:t xml:space="preserve">some </w:t>
      </w:r>
      <w:r w:rsidRPr="002C3549">
        <w:rPr>
          <w:rFonts w:ascii="Candara" w:eastAsia="Times New Roman" w:hAnsi="Candara" w:cs="Calibri"/>
          <w:color w:val="000000"/>
          <w:sz w:val="22"/>
          <w:szCs w:val="22"/>
          <w:lang w:eastAsia="en-ID"/>
        </w:rPr>
        <w:t xml:space="preserve">obstacles </w:t>
      </w:r>
      <w:r w:rsidR="009E0ECA">
        <w:rPr>
          <w:rFonts w:ascii="Candara" w:eastAsia="Times New Roman" w:hAnsi="Candara" w:cs="Calibri"/>
          <w:color w:val="000000"/>
          <w:sz w:val="22"/>
          <w:szCs w:val="22"/>
          <w:lang w:eastAsia="en-ID"/>
        </w:rPr>
        <w:t xml:space="preserve">are </w:t>
      </w:r>
      <w:r w:rsidRPr="002C3549">
        <w:rPr>
          <w:rFonts w:ascii="Candara" w:eastAsia="Times New Roman" w:hAnsi="Candara" w:cs="Calibri"/>
          <w:color w:val="000000"/>
          <w:sz w:val="22"/>
          <w:szCs w:val="22"/>
          <w:lang w:eastAsia="en-ID"/>
        </w:rPr>
        <w:t>usually encountered by curators. Forensic accounting is basically important and helpful for curators’ work, especially in relation to fraud</w:t>
      </w:r>
      <w:r w:rsidRPr="002C3549">
        <w:rPr>
          <w:rFonts w:ascii="Candara" w:eastAsia="Times New Roman" w:hAnsi="Candara" w:cs="Calibri"/>
          <w:i/>
          <w:iCs/>
          <w:color w:val="000000"/>
          <w:sz w:val="22"/>
          <w:szCs w:val="22"/>
          <w:lang w:eastAsia="en-ID"/>
        </w:rPr>
        <w:t xml:space="preserve"> </w:t>
      </w:r>
      <w:r w:rsidRPr="002C3549">
        <w:rPr>
          <w:rFonts w:ascii="Candara" w:eastAsia="Times New Roman" w:hAnsi="Candara" w:cs="Calibri"/>
          <w:color w:val="000000"/>
          <w:sz w:val="22"/>
          <w:szCs w:val="22"/>
          <w:lang w:eastAsia="en-ID"/>
        </w:rPr>
        <w:t xml:space="preserve">or verification of the accuracy of bankruptcy asset transactions and </w:t>
      </w:r>
      <w:r w:rsidR="009E0ECA">
        <w:rPr>
          <w:rFonts w:ascii="Candara" w:eastAsia="Times New Roman" w:hAnsi="Candara" w:cs="Calibri"/>
          <w:color w:val="000000"/>
          <w:sz w:val="22"/>
          <w:szCs w:val="22"/>
          <w:lang w:eastAsia="en-ID"/>
        </w:rPr>
        <w:t xml:space="preserve">the process of </w:t>
      </w:r>
      <w:r w:rsidRPr="002C3549">
        <w:rPr>
          <w:rFonts w:ascii="Candara" w:eastAsia="Times New Roman" w:hAnsi="Candara" w:cs="Calibri"/>
          <w:color w:val="000000"/>
          <w:sz w:val="22"/>
          <w:szCs w:val="22"/>
          <w:lang w:eastAsia="en-ID"/>
        </w:rPr>
        <w:t>valu</w:t>
      </w:r>
      <w:r w:rsidR="009E0ECA">
        <w:rPr>
          <w:rFonts w:ascii="Candara" w:eastAsia="Times New Roman" w:hAnsi="Candara" w:cs="Calibri"/>
          <w:color w:val="000000"/>
          <w:sz w:val="22"/>
          <w:szCs w:val="22"/>
          <w:lang w:eastAsia="en-ID"/>
        </w:rPr>
        <w:t xml:space="preserve">ing </w:t>
      </w:r>
      <w:r w:rsidRPr="002C3549">
        <w:rPr>
          <w:rFonts w:ascii="Candara" w:eastAsia="Times New Roman" w:hAnsi="Candara" w:cs="Calibri"/>
          <w:color w:val="000000"/>
          <w:sz w:val="22"/>
          <w:szCs w:val="22"/>
          <w:lang w:eastAsia="en-ID"/>
        </w:rPr>
        <w:t>the bankruptcy assets. Nonetheless, not all curators have good understand about forensic accounting because they have a law degree or accounting degree</w:t>
      </w:r>
      <w:r w:rsidR="00B02522" w:rsidRPr="002C3549">
        <w:rPr>
          <w:rFonts w:ascii="Candara" w:hAnsi="Candara" w:cstheme="minorHAnsi"/>
          <w:sz w:val="22"/>
          <w:szCs w:val="22"/>
        </w:rPr>
        <w:t>.</w:t>
      </w:r>
    </w:p>
    <w:p w14:paraId="097AB47B" w14:textId="4B53BE01" w:rsidR="00102453" w:rsidRDefault="002C3549" w:rsidP="00B55D20">
      <w:pPr>
        <w:autoSpaceDE w:val="0"/>
        <w:autoSpaceDN w:val="0"/>
        <w:adjustRightInd w:val="0"/>
        <w:spacing w:after="0" w:line="240" w:lineRule="auto"/>
        <w:ind w:firstLine="450"/>
        <w:jc w:val="both"/>
        <w:rPr>
          <w:rFonts w:ascii="Candara" w:hAnsi="Candara" w:cs="Arial"/>
        </w:rPr>
      </w:pPr>
      <w:r w:rsidRPr="00C6243A">
        <w:rPr>
          <w:rFonts w:ascii="Candara" w:eastAsia="Times New Roman" w:hAnsi="Candara" w:cs="Calibri"/>
          <w:color w:val="000000"/>
          <w:lang w:eastAsia="en-ID"/>
        </w:rPr>
        <w:t>This research has implication</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for </w:t>
      </w:r>
      <w:r>
        <w:rPr>
          <w:rFonts w:ascii="Candara" w:eastAsia="Times New Roman" w:hAnsi="Candara" w:cs="Calibri"/>
          <w:color w:val="000000"/>
          <w:lang w:eastAsia="en-ID"/>
        </w:rPr>
        <w:t xml:space="preserve">both curator </w:t>
      </w:r>
      <w:r w:rsidRPr="00C6243A">
        <w:rPr>
          <w:rFonts w:ascii="Candara" w:eastAsia="Times New Roman" w:hAnsi="Candara" w:cs="Calibri"/>
          <w:color w:val="000000"/>
          <w:lang w:eastAsia="en-ID"/>
        </w:rPr>
        <w:t xml:space="preserve">associations in resolving bankruptcy cases and the education </w:t>
      </w:r>
      <w:r>
        <w:rPr>
          <w:rFonts w:ascii="Candara" w:eastAsia="Times New Roman" w:hAnsi="Candara" w:cs="Calibri"/>
          <w:color w:val="000000"/>
          <w:lang w:eastAsia="en-ID"/>
        </w:rPr>
        <w:t xml:space="preserve">sector that has significant </w:t>
      </w:r>
      <w:r w:rsidRPr="00C6243A">
        <w:rPr>
          <w:rFonts w:ascii="Candara" w:eastAsia="Times New Roman" w:hAnsi="Candara" w:cs="Calibri"/>
          <w:color w:val="000000"/>
          <w:lang w:eastAsia="en-ID"/>
        </w:rPr>
        <w:t>contribut</w:t>
      </w:r>
      <w:r>
        <w:rPr>
          <w:rFonts w:ascii="Candara" w:eastAsia="Times New Roman" w:hAnsi="Candara" w:cs="Calibri"/>
          <w:color w:val="000000"/>
          <w:lang w:eastAsia="en-ID"/>
        </w:rPr>
        <w:t>ion</w:t>
      </w:r>
      <w:r w:rsidRPr="00C6243A">
        <w:rPr>
          <w:rFonts w:ascii="Candara" w:eastAsia="Times New Roman" w:hAnsi="Candara" w:cs="Calibri"/>
          <w:color w:val="000000"/>
          <w:lang w:eastAsia="en-ID"/>
        </w:rPr>
        <w:t xml:space="preserve"> to human resources, </w:t>
      </w:r>
      <w:r>
        <w:rPr>
          <w:rFonts w:ascii="Candara" w:eastAsia="Times New Roman" w:hAnsi="Candara" w:cs="Calibri"/>
          <w:color w:val="000000"/>
          <w:lang w:eastAsia="en-ID"/>
        </w:rPr>
        <w:t xml:space="preserve">in which some </w:t>
      </w:r>
      <w:r w:rsidRPr="00C6243A">
        <w:rPr>
          <w:rFonts w:ascii="Candara" w:eastAsia="Times New Roman" w:hAnsi="Candara" w:cs="Calibri"/>
          <w:color w:val="000000"/>
          <w:lang w:eastAsia="en-ID"/>
        </w:rPr>
        <w:t xml:space="preserve">of </w:t>
      </w:r>
      <w:r>
        <w:rPr>
          <w:rFonts w:ascii="Candara" w:eastAsia="Times New Roman" w:hAnsi="Candara" w:cs="Calibri"/>
          <w:color w:val="000000"/>
          <w:lang w:eastAsia="en-ID"/>
        </w:rPr>
        <w:t xml:space="preserve">them </w:t>
      </w:r>
      <w:r w:rsidRPr="00C6243A">
        <w:rPr>
          <w:rFonts w:ascii="Candara" w:eastAsia="Times New Roman" w:hAnsi="Candara" w:cs="Calibri"/>
          <w:color w:val="000000"/>
          <w:lang w:eastAsia="en-ID"/>
        </w:rPr>
        <w:t>will later become a curator.</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This study focuse</w:t>
      </w:r>
      <w:r>
        <w:rPr>
          <w:rFonts w:ascii="Candara" w:eastAsia="Times New Roman" w:hAnsi="Candara" w:cs="Calibri"/>
          <w:color w:val="000000"/>
          <w:lang w:eastAsia="en-ID"/>
        </w:rPr>
        <w:t>d</w:t>
      </w:r>
      <w:r w:rsidRPr="00C6243A">
        <w:rPr>
          <w:rFonts w:ascii="Candara" w:eastAsia="Times New Roman" w:hAnsi="Candara" w:cs="Calibri"/>
          <w:color w:val="000000"/>
          <w:lang w:eastAsia="en-ID"/>
        </w:rPr>
        <w:t xml:space="preserve"> on curator</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so </w:t>
      </w:r>
      <w:r>
        <w:rPr>
          <w:rFonts w:ascii="Candara" w:eastAsia="Times New Roman" w:hAnsi="Candara" w:cs="Calibri"/>
          <w:color w:val="000000"/>
          <w:lang w:eastAsia="en-ID"/>
        </w:rPr>
        <w:t xml:space="preserve">it only highlighted </w:t>
      </w:r>
      <w:r w:rsidRPr="00743E08">
        <w:rPr>
          <w:rFonts w:ascii="Candara" w:eastAsia="Times New Roman" w:hAnsi="Candara" w:cs="Calibri"/>
          <w:color w:val="000000"/>
          <w:lang w:eastAsia="en-ID"/>
        </w:rPr>
        <w:t>fraud</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found </w:t>
      </w:r>
      <w:r>
        <w:rPr>
          <w:rFonts w:ascii="Candara" w:eastAsia="Times New Roman" w:hAnsi="Candara" w:cs="Calibri"/>
          <w:color w:val="000000"/>
          <w:lang w:eastAsia="en-ID"/>
        </w:rPr>
        <w:t xml:space="preserve">during the works of </w:t>
      </w:r>
      <w:r w:rsidRPr="00C6243A">
        <w:rPr>
          <w:rFonts w:ascii="Candara" w:eastAsia="Times New Roman" w:hAnsi="Candara" w:cs="Calibri"/>
          <w:color w:val="000000"/>
          <w:lang w:eastAsia="en-ID"/>
        </w:rPr>
        <w:t>curator</w:t>
      </w:r>
      <w:r>
        <w:rPr>
          <w:rFonts w:ascii="Candara" w:eastAsia="Times New Roman" w:hAnsi="Candara" w:cs="Calibri"/>
          <w:color w:val="000000"/>
          <w:lang w:eastAsia="en-ID"/>
        </w:rPr>
        <w:t>s</w:t>
      </w:r>
      <w:r w:rsidRPr="00C6243A">
        <w:rPr>
          <w:rFonts w:ascii="Candara" w:eastAsia="Times New Roman" w:hAnsi="Candara" w:cs="Calibri"/>
          <w:color w:val="000000"/>
          <w:lang w:eastAsia="en-ID"/>
        </w:rPr>
        <w:t xml:space="preserve"> in resolving bankruptcy</w:t>
      </w:r>
      <w:r>
        <w:rPr>
          <w:rFonts w:ascii="Candara" w:eastAsia="Times New Roman" w:hAnsi="Candara" w:cs="Calibri"/>
          <w:color w:val="000000"/>
          <w:lang w:eastAsia="en-ID"/>
        </w:rPr>
        <w:t xml:space="preserve"> cases</w:t>
      </w:r>
      <w:r w:rsidRPr="00C6243A">
        <w:rPr>
          <w:rFonts w:ascii="Candara" w:eastAsia="Times New Roman" w:hAnsi="Candara" w:cs="Calibri"/>
          <w:color w:val="000000"/>
          <w:lang w:eastAsia="en-ID"/>
        </w:rPr>
        <w:t>.</w:t>
      </w:r>
      <w:r>
        <w:rPr>
          <w:rFonts w:ascii="Candara" w:eastAsia="Times New Roman" w:hAnsi="Candara" w:cs="Calibri"/>
          <w:color w:val="000000"/>
          <w:lang w:eastAsia="en-ID"/>
        </w:rPr>
        <w:t xml:space="preserve"> In fact, the </w:t>
      </w:r>
      <w:r w:rsidRPr="00C6243A">
        <w:rPr>
          <w:rFonts w:ascii="Candara" w:eastAsia="Times New Roman" w:hAnsi="Candara" w:cs="Calibri"/>
          <w:color w:val="000000"/>
          <w:lang w:eastAsia="en-ID"/>
        </w:rPr>
        <w:t>actual</w:t>
      </w:r>
      <w:r>
        <w:rPr>
          <w:rFonts w:ascii="Candara" w:eastAsia="Times New Roman" w:hAnsi="Candara" w:cs="Calibri"/>
          <w:color w:val="000000"/>
          <w:lang w:eastAsia="en-ID"/>
        </w:rPr>
        <w:t xml:space="preserve"> </w:t>
      </w:r>
      <w:r w:rsidRPr="00743E08">
        <w:rPr>
          <w:rFonts w:ascii="Candara" w:eastAsia="Times New Roman" w:hAnsi="Candara" w:cs="Calibri"/>
          <w:color w:val="000000"/>
          <w:lang w:eastAsia="en-ID"/>
        </w:rPr>
        <w:t>fraud</w:t>
      </w:r>
      <w:r w:rsidRPr="00C6243A">
        <w:rPr>
          <w:rFonts w:ascii="Candara" w:eastAsia="Times New Roman" w:hAnsi="Candara" w:cs="Calibri"/>
          <w:i/>
          <w:iCs/>
          <w:color w:val="000000"/>
          <w:lang w:eastAsia="en-ID"/>
        </w:rPr>
        <w:t> </w:t>
      </w:r>
      <w:r w:rsidRPr="00743E08">
        <w:rPr>
          <w:rFonts w:ascii="Candara" w:eastAsia="Times New Roman" w:hAnsi="Candara" w:cs="Calibri"/>
          <w:color w:val="000000"/>
          <w:lang w:eastAsia="en-ID"/>
        </w:rPr>
        <w:t>may</w:t>
      </w:r>
      <w:r>
        <w:rPr>
          <w:rFonts w:ascii="Candara" w:eastAsia="Times New Roman" w:hAnsi="Candara" w:cs="Calibri"/>
          <w:color w:val="000000"/>
          <w:lang w:eastAsia="en-ID"/>
        </w:rPr>
        <w:t xml:space="preserve"> be broader than that, </w:t>
      </w:r>
      <w:r w:rsidRPr="00C6243A">
        <w:rPr>
          <w:rFonts w:ascii="Candara" w:eastAsia="Times New Roman" w:hAnsi="Candara" w:cs="Calibri"/>
          <w:color w:val="000000"/>
          <w:lang w:eastAsia="en-ID"/>
        </w:rPr>
        <w:t xml:space="preserve">so </w:t>
      </w:r>
      <w:r>
        <w:rPr>
          <w:rFonts w:ascii="Candara" w:eastAsia="Times New Roman" w:hAnsi="Candara" w:cs="Calibri"/>
          <w:color w:val="000000"/>
          <w:lang w:eastAsia="en-ID"/>
        </w:rPr>
        <w:t xml:space="preserve">it is expected that </w:t>
      </w:r>
      <w:r w:rsidRPr="00C6243A">
        <w:rPr>
          <w:rFonts w:ascii="Candara" w:eastAsia="Times New Roman" w:hAnsi="Candara" w:cs="Calibri"/>
          <w:color w:val="000000"/>
          <w:lang w:eastAsia="en-ID"/>
        </w:rPr>
        <w:t>fu</w:t>
      </w:r>
      <w:r>
        <w:rPr>
          <w:rFonts w:ascii="Candara" w:eastAsia="Times New Roman" w:hAnsi="Candara" w:cs="Calibri"/>
          <w:color w:val="000000"/>
          <w:lang w:eastAsia="en-ID"/>
        </w:rPr>
        <w:t xml:space="preserve">ture </w:t>
      </w:r>
      <w:r w:rsidRPr="00C6243A">
        <w:rPr>
          <w:rFonts w:ascii="Candara" w:eastAsia="Times New Roman" w:hAnsi="Candara" w:cs="Calibri"/>
          <w:color w:val="000000"/>
          <w:lang w:eastAsia="en-ID"/>
        </w:rPr>
        <w:t>research</w:t>
      </w:r>
      <w:r>
        <w:rPr>
          <w:rFonts w:ascii="Candara" w:eastAsia="Times New Roman" w:hAnsi="Candara" w:cs="Calibri"/>
          <w:color w:val="000000"/>
          <w:lang w:eastAsia="en-ID"/>
        </w:rPr>
        <w:t>ers can conduct</w:t>
      </w:r>
      <w:r w:rsidRPr="00C6243A">
        <w:rPr>
          <w:rFonts w:ascii="Candara" w:eastAsia="Times New Roman" w:hAnsi="Candara" w:cs="Calibri"/>
          <w:color w:val="000000"/>
          <w:lang w:eastAsia="en-ID"/>
        </w:rPr>
        <w:t xml:space="preserve"> more comprehensive </w:t>
      </w:r>
      <w:r>
        <w:rPr>
          <w:rFonts w:ascii="Candara" w:eastAsia="Times New Roman" w:hAnsi="Candara" w:cs="Calibri"/>
          <w:color w:val="000000"/>
          <w:lang w:eastAsia="en-ID"/>
        </w:rPr>
        <w:t xml:space="preserve">studies </w:t>
      </w:r>
      <w:r w:rsidRPr="00C6243A">
        <w:rPr>
          <w:rFonts w:ascii="Candara" w:eastAsia="Times New Roman" w:hAnsi="Candara" w:cs="Calibri"/>
          <w:color w:val="000000"/>
          <w:lang w:eastAsia="en-ID"/>
        </w:rPr>
        <w:t>in exploring</w:t>
      </w:r>
      <w:r>
        <w:rPr>
          <w:rFonts w:ascii="Candara" w:eastAsia="Times New Roman" w:hAnsi="Candara" w:cs="Calibri"/>
          <w:color w:val="000000"/>
          <w:lang w:eastAsia="en-ID"/>
        </w:rPr>
        <w:t xml:space="preserve"> </w:t>
      </w:r>
      <w:r w:rsidRPr="00C6243A">
        <w:rPr>
          <w:rFonts w:ascii="Candara" w:eastAsia="Times New Roman" w:hAnsi="Candara" w:cs="Calibri"/>
          <w:color w:val="000000"/>
          <w:lang w:eastAsia="en-ID"/>
        </w:rPr>
        <w:t xml:space="preserve">and </w:t>
      </w:r>
      <w:r>
        <w:rPr>
          <w:rFonts w:ascii="Candara" w:eastAsia="Times New Roman" w:hAnsi="Candara" w:cs="Calibri"/>
          <w:color w:val="000000"/>
          <w:lang w:eastAsia="en-ID"/>
        </w:rPr>
        <w:t xml:space="preserve">analyzing </w:t>
      </w:r>
      <w:r w:rsidRPr="00C6243A">
        <w:rPr>
          <w:rFonts w:ascii="Candara" w:eastAsia="Times New Roman" w:hAnsi="Candara" w:cs="Calibri"/>
          <w:color w:val="000000"/>
          <w:lang w:eastAsia="en-ID"/>
        </w:rPr>
        <w:t>bankruptcy</w:t>
      </w:r>
      <w:r>
        <w:rPr>
          <w:rFonts w:ascii="Candara" w:eastAsia="Times New Roman" w:hAnsi="Candara" w:cs="Calibri"/>
          <w:color w:val="000000"/>
          <w:lang w:eastAsia="en-ID"/>
        </w:rPr>
        <w:t xml:space="preserve"> </w:t>
      </w:r>
      <w:r w:rsidRPr="0058362C">
        <w:rPr>
          <w:rFonts w:ascii="Candara" w:eastAsia="Times New Roman" w:hAnsi="Candara" w:cs="Calibri"/>
          <w:color w:val="000000"/>
          <w:lang w:eastAsia="en-ID"/>
        </w:rPr>
        <w:t>fraud</w:t>
      </w:r>
      <w:r>
        <w:rPr>
          <w:rFonts w:ascii="Candara" w:eastAsia="Times New Roman" w:hAnsi="Candara" w:cs="Calibri"/>
          <w:i/>
          <w:iCs/>
          <w:color w:val="000000"/>
          <w:lang w:eastAsia="en-ID"/>
        </w:rPr>
        <w:t xml:space="preserve"> </w:t>
      </w:r>
      <w:r w:rsidRPr="00C6243A">
        <w:rPr>
          <w:rFonts w:ascii="Candara" w:eastAsia="Times New Roman" w:hAnsi="Candara" w:cs="Calibri"/>
          <w:color w:val="000000"/>
          <w:lang w:eastAsia="en-ID"/>
        </w:rPr>
        <w:t>from the perspective of debtors, creditors</w:t>
      </w:r>
      <w:r>
        <w:rPr>
          <w:rFonts w:ascii="Candara" w:eastAsia="Times New Roman" w:hAnsi="Candara" w:cs="Calibri"/>
          <w:color w:val="000000"/>
          <w:lang w:eastAsia="en-ID"/>
        </w:rPr>
        <w:t>,</w:t>
      </w:r>
      <w:r w:rsidRPr="00C6243A">
        <w:rPr>
          <w:rFonts w:ascii="Candara" w:eastAsia="Times New Roman" w:hAnsi="Candara" w:cs="Calibri"/>
          <w:color w:val="000000"/>
          <w:lang w:eastAsia="en-ID"/>
        </w:rPr>
        <w:t xml:space="preserve"> and curators</w:t>
      </w:r>
      <w:r w:rsidR="00102453">
        <w:rPr>
          <w:rFonts w:ascii="Candara" w:hAnsi="Candara" w:cstheme="minorHAnsi"/>
        </w:rPr>
        <w:t>.</w:t>
      </w:r>
    </w:p>
    <w:p w14:paraId="2F7B6EA5" w14:textId="77777777" w:rsidR="00555D76" w:rsidRPr="00FB2550" w:rsidRDefault="00555D76" w:rsidP="00FA6B3F">
      <w:pPr>
        <w:spacing w:after="0" w:line="240" w:lineRule="auto"/>
        <w:jc w:val="both"/>
        <w:rPr>
          <w:rFonts w:ascii="Candara" w:hAnsi="Candara" w:cs="Times New Roman"/>
          <w:i/>
          <w:lang w:val="id-ID"/>
        </w:rPr>
      </w:pPr>
    </w:p>
    <w:p w14:paraId="2D506FB5" w14:textId="63889E19" w:rsidR="005A5EFA" w:rsidRPr="00485793" w:rsidRDefault="000A644D" w:rsidP="00B55D20">
      <w:pPr>
        <w:spacing w:after="120" w:line="240" w:lineRule="auto"/>
        <w:jc w:val="center"/>
        <w:rPr>
          <w:rFonts w:ascii="Candara" w:hAnsi="Candara" w:cs="Times New Roman"/>
          <w:b/>
          <w:sz w:val="28"/>
          <w:szCs w:val="28"/>
        </w:rPr>
      </w:pPr>
      <w:r>
        <w:rPr>
          <w:rFonts w:ascii="Candara" w:hAnsi="Candara" w:cs="Times New Roman"/>
          <w:b/>
          <w:sz w:val="28"/>
          <w:szCs w:val="28"/>
        </w:rPr>
        <w:t>REFERENCES</w:t>
      </w:r>
    </w:p>
    <w:p w14:paraId="72D1C72A" w14:textId="42E3E25C" w:rsidR="00AE53DB" w:rsidRPr="00F72846" w:rsidRDefault="002A69EE"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lang w:val="id-ID"/>
        </w:rPr>
        <w:fldChar w:fldCharType="begin" w:fldLock="1"/>
      </w:r>
      <w:r w:rsidRPr="009809BA">
        <w:rPr>
          <w:rFonts w:ascii="Goudy Old Style" w:hAnsi="Goudy Old Style" w:cs="Times New Roman"/>
          <w:lang w:val="id-ID"/>
        </w:rPr>
        <w:instrText xml:space="preserve">ADDIN Mendeley Bibliography CSL_BIBLIOGRAPHY </w:instrText>
      </w:r>
      <w:r w:rsidRPr="009809BA">
        <w:rPr>
          <w:rFonts w:ascii="Goudy Old Style" w:hAnsi="Goudy Old Style" w:cs="Times New Roman"/>
          <w:lang w:val="id-ID"/>
        </w:rPr>
        <w:fldChar w:fldCharType="separate"/>
      </w:r>
      <w:r w:rsidR="00AE53DB" w:rsidRPr="00F72846">
        <w:rPr>
          <w:rFonts w:ascii="Goudy Old Style" w:hAnsi="Goudy Old Style" w:cs="Times New Roman"/>
          <w:noProof/>
        </w:rPr>
        <w:t>Akbar, N</w:t>
      </w:r>
      <w:r w:rsidR="004A72E1" w:rsidRPr="00F72846">
        <w:rPr>
          <w:rFonts w:ascii="Goudy Old Style" w:hAnsi="Goudy Old Style" w:cs="Calibri"/>
          <w:noProof/>
        </w:rPr>
        <w:t>ahruddien</w:t>
      </w:r>
      <w:r w:rsidR="00AE53DB" w:rsidRPr="00F72846">
        <w:rPr>
          <w:rFonts w:ascii="Goudy Old Style" w:hAnsi="Goudy Old Style" w:cs="Times New Roman"/>
          <w:noProof/>
        </w:rPr>
        <w:t xml:space="preserve">. (2019). </w:t>
      </w:r>
      <w:r w:rsidR="0075090B" w:rsidRPr="00F72846">
        <w:rPr>
          <w:rFonts w:ascii="Goudy Old Style" w:hAnsi="Goudy Old Style" w:cs="Times New Roman"/>
          <w:noProof/>
        </w:rPr>
        <w:t>Konstruksi Akuntansi Kerugian, Praktik Kepailitan Mengungkap Fraud Laporan Keuangan Klien.</w:t>
      </w:r>
      <w:r w:rsidR="00F72846" w:rsidRPr="00F72846">
        <w:rPr>
          <w:rFonts w:ascii="Goudy Old Style" w:hAnsi="Goudy Old Style" w:cs="Times New Roman"/>
          <w:noProof/>
        </w:rPr>
        <w:t xml:space="preserve"> </w:t>
      </w:r>
      <w:r w:rsidR="00F72846" w:rsidRPr="00F72846">
        <w:rPr>
          <w:rFonts w:ascii="Goudy Old Style" w:hAnsi="Goudy Old Style" w:cs="Times New Roman"/>
          <w:i/>
          <w:iCs/>
          <w:noProof/>
        </w:rPr>
        <w:t>Jurnal Riset Bisnis</w:t>
      </w:r>
      <w:r w:rsidR="00F72846" w:rsidRPr="00F72846">
        <w:rPr>
          <w:rFonts w:ascii="Goudy Old Style" w:hAnsi="Goudy Old Style" w:cs="Times New Roman"/>
          <w:noProof/>
        </w:rPr>
        <w:t>,</w:t>
      </w:r>
      <w:r w:rsidR="00AE53DB" w:rsidRPr="00F72846">
        <w:rPr>
          <w:rFonts w:ascii="Goudy Old Style" w:hAnsi="Goudy Old Style" w:cs="Times New Roman"/>
          <w:noProof/>
        </w:rPr>
        <w:t xml:space="preserve"> </w:t>
      </w:r>
      <w:r w:rsidR="00AE53DB" w:rsidRPr="00F72846">
        <w:rPr>
          <w:rFonts w:ascii="Goudy Old Style" w:hAnsi="Goudy Old Style" w:cs="Times New Roman"/>
          <w:i/>
          <w:iCs/>
          <w:noProof/>
        </w:rPr>
        <w:t>3</w:t>
      </w:r>
      <w:r w:rsidR="00AE53DB" w:rsidRPr="00F72846">
        <w:rPr>
          <w:rFonts w:ascii="Goudy Old Style" w:hAnsi="Goudy Old Style" w:cs="Times New Roman"/>
          <w:noProof/>
        </w:rPr>
        <w:t>(1), 9–19.</w:t>
      </w:r>
    </w:p>
    <w:p w14:paraId="74D293AF" w14:textId="71B91BA7" w:rsidR="00AE53DB" w:rsidRDefault="00F72846" w:rsidP="001F0A02">
      <w:pPr>
        <w:widowControl w:val="0"/>
        <w:autoSpaceDE w:val="0"/>
        <w:autoSpaceDN w:val="0"/>
        <w:adjustRightInd w:val="0"/>
        <w:spacing w:after="0" w:line="240" w:lineRule="auto"/>
        <w:ind w:left="475" w:hanging="475"/>
        <w:jc w:val="both"/>
        <w:rPr>
          <w:rFonts w:ascii="Goudy Old Style" w:hAnsi="Goudy Old Style" w:cs="Times New Roman"/>
          <w:noProof/>
          <w:color w:val="FF0000"/>
        </w:rPr>
      </w:pPr>
      <w:r>
        <w:rPr>
          <w:rFonts w:ascii="Goudy Old Style" w:hAnsi="Goudy Old Style" w:cs="Times New Roman"/>
          <w:noProof/>
        </w:rPr>
        <w:t>Albrecht, W. S., Albrecht, C.</w:t>
      </w:r>
      <w:r w:rsidRPr="00F72846">
        <w:rPr>
          <w:rFonts w:ascii="Goudy Old Style" w:hAnsi="Goudy Old Style" w:cs="Times New Roman"/>
          <w:noProof/>
        </w:rPr>
        <w:t xml:space="preserve"> O.</w:t>
      </w:r>
      <w:r>
        <w:rPr>
          <w:rFonts w:ascii="Goudy Old Style" w:hAnsi="Goudy Old Style" w:cs="Times New Roman"/>
          <w:noProof/>
        </w:rPr>
        <w:t>, Albrecht, C.</w:t>
      </w:r>
      <w:r w:rsidRPr="00F72846">
        <w:rPr>
          <w:rFonts w:ascii="Goudy Old Style" w:hAnsi="Goudy Old Style" w:cs="Times New Roman"/>
          <w:noProof/>
        </w:rPr>
        <w:t xml:space="preserve"> C.</w:t>
      </w:r>
      <w:r>
        <w:rPr>
          <w:rFonts w:ascii="Goudy Old Style" w:hAnsi="Goudy Old Style" w:cs="Times New Roman"/>
          <w:noProof/>
        </w:rPr>
        <w:t>, &amp; Zimbe</w:t>
      </w:r>
      <w:r w:rsidRPr="001F0A02">
        <w:rPr>
          <w:rFonts w:ascii="Goudy Old Style" w:hAnsi="Goudy Old Style" w:cs="Times New Roman"/>
          <w:noProof/>
        </w:rPr>
        <w:t>lman, M. F.</w:t>
      </w:r>
      <w:r w:rsidR="00AE53DB" w:rsidRPr="001F0A02">
        <w:rPr>
          <w:rFonts w:ascii="Goudy Old Style" w:hAnsi="Goudy Old Style" w:cs="Times New Roman"/>
          <w:noProof/>
        </w:rPr>
        <w:t xml:space="preserve"> (2019). </w:t>
      </w:r>
      <w:r w:rsidR="001F0A02" w:rsidRPr="001F0A02">
        <w:rPr>
          <w:rFonts w:ascii="Goudy Old Style" w:hAnsi="Goudy Old Style" w:cs="Times New Roman"/>
          <w:i/>
          <w:iCs/>
          <w:noProof/>
        </w:rPr>
        <w:t>Fraud Examination</w:t>
      </w:r>
      <w:r w:rsidR="001F0A02" w:rsidRPr="001F0A02">
        <w:rPr>
          <w:rFonts w:ascii="Goudy Old Style" w:hAnsi="Goudy Old Style" w:cs="Times New Roman"/>
          <w:noProof/>
        </w:rPr>
        <w:t xml:space="preserve"> </w:t>
      </w:r>
      <w:r w:rsidR="001F0A02" w:rsidRPr="001F0A02">
        <w:rPr>
          <w:rFonts w:ascii="Goudy Old Style" w:hAnsi="Goudy Old Style" w:cs="Times New Roman"/>
          <w:i/>
          <w:iCs/>
          <w:noProof/>
        </w:rPr>
        <w:t>(6th ed.)</w:t>
      </w:r>
      <w:r w:rsidR="001F0A02" w:rsidRPr="001F0A02">
        <w:rPr>
          <w:rFonts w:ascii="Goudy Old Style" w:hAnsi="Goudy Old Style" w:cs="Times New Roman"/>
          <w:noProof/>
        </w:rPr>
        <w:t>. Boston: Cengage Learning</w:t>
      </w:r>
      <w:r w:rsidR="00AE53DB" w:rsidRPr="001F0A02">
        <w:rPr>
          <w:rFonts w:ascii="Goudy Old Style" w:hAnsi="Goudy Old Style" w:cs="Times New Roman"/>
          <w:noProof/>
        </w:rPr>
        <w:t>.</w:t>
      </w:r>
    </w:p>
    <w:p w14:paraId="4D78A353" w14:textId="335F8419"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Anggraini, D., Triharyati, E., Novita, H. A., &amp; Bina. (2019). </w:t>
      </w:r>
      <w:r w:rsidR="0075090B" w:rsidRPr="009809BA">
        <w:rPr>
          <w:rFonts w:ascii="Goudy Old Style" w:hAnsi="Goudy Old Style" w:cs="Times New Roman"/>
          <w:iCs/>
          <w:noProof/>
        </w:rPr>
        <w:t xml:space="preserve">Akuntansi Forensik </w:t>
      </w:r>
      <w:r w:rsidR="00D856C3" w:rsidRPr="009809BA">
        <w:rPr>
          <w:rFonts w:ascii="Goudy Old Style" w:hAnsi="Goudy Old Style" w:cs="Times New Roman"/>
          <w:iCs/>
          <w:noProof/>
        </w:rPr>
        <w:t>d</w:t>
      </w:r>
      <w:r w:rsidR="0075090B" w:rsidRPr="009809BA">
        <w:rPr>
          <w:rFonts w:ascii="Goudy Old Style" w:hAnsi="Goudy Old Style" w:cs="Times New Roman"/>
          <w:iCs/>
          <w:noProof/>
        </w:rPr>
        <w:t>an Audit Investigatif Dalam Pengungkapan Fraud.</w:t>
      </w:r>
      <w:r w:rsidR="0075090B" w:rsidRPr="009809BA">
        <w:rPr>
          <w:rFonts w:ascii="Goudy Old Style" w:hAnsi="Goudy Old Style" w:cs="Times New Roman"/>
          <w:noProof/>
        </w:rPr>
        <w:t xml:space="preserve"> </w:t>
      </w:r>
      <w:r w:rsidR="0075090B" w:rsidRPr="009809BA">
        <w:rPr>
          <w:rFonts w:ascii="Goudy Old Style" w:hAnsi="Goudy Old Style" w:cs="Times New Roman"/>
          <w:i/>
          <w:noProof/>
        </w:rPr>
        <w:t xml:space="preserve">Costing: </w:t>
      </w:r>
      <w:r w:rsidRPr="009809BA">
        <w:rPr>
          <w:rFonts w:ascii="Goudy Old Style" w:hAnsi="Goudy Old Style" w:cs="Times New Roman"/>
          <w:i/>
          <w:noProof/>
        </w:rPr>
        <w:t>Journal of Economic, Business and Accounting</w:t>
      </w:r>
      <w:r w:rsidRPr="009809BA">
        <w:rPr>
          <w:rFonts w:ascii="Goudy Old Style" w:hAnsi="Goudy Old Style" w:cs="Times New Roman"/>
          <w:noProof/>
        </w:rPr>
        <w:t xml:space="preserve">, </w:t>
      </w:r>
      <w:r w:rsidRPr="009809BA">
        <w:rPr>
          <w:rFonts w:ascii="Goudy Old Style" w:hAnsi="Goudy Old Style" w:cs="Times New Roman"/>
          <w:i/>
          <w:iCs/>
          <w:noProof/>
        </w:rPr>
        <w:t>2</w:t>
      </w:r>
      <w:r w:rsidRPr="009809BA">
        <w:rPr>
          <w:rFonts w:ascii="Goudy Old Style" w:hAnsi="Goudy Old Style" w:cs="Times New Roman"/>
          <w:noProof/>
        </w:rPr>
        <w:t>, 372–380.</w:t>
      </w:r>
    </w:p>
    <w:p w14:paraId="281E7FA5" w14:textId="3CE98F07"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color w:val="FF0000"/>
        </w:rPr>
      </w:pPr>
      <w:r w:rsidRPr="009809BA">
        <w:rPr>
          <w:rFonts w:ascii="Goudy Old Style" w:hAnsi="Goudy Old Style" w:cs="Times New Roman"/>
          <w:noProof/>
        </w:rPr>
        <w:t>Arb</w:t>
      </w:r>
      <w:r w:rsidRPr="00F72846">
        <w:rPr>
          <w:rFonts w:ascii="Goudy Old Style" w:hAnsi="Goudy Old Style" w:cs="Times New Roman"/>
          <w:noProof/>
        </w:rPr>
        <w:t xml:space="preserve">oleda, F. J. M., Luna, A. G., &amp; Torres, I.-D. (2018). </w:t>
      </w:r>
      <w:r w:rsidRPr="00F72846">
        <w:rPr>
          <w:rFonts w:ascii="Goudy Old Style" w:hAnsi="Goudy Old Style" w:cs="Times New Roman"/>
          <w:iCs/>
          <w:noProof/>
        </w:rPr>
        <w:t xml:space="preserve">Fraud </w:t>
      </w:r>
      <w:r w:rsidR="00D856C3" w:rsidRPr="00F72846">
        <w:rPr>
          <w:rFonts w:ascii="Goudy Old Style" w:hAnsi="Goudy Old Style" w:cs="Times New Roman"/>
          <w:iCs/>
          <w:noProof/>
        </w:rPr>
        <w:t>Detection-Oriented Operators In A Data Warehouse Based On Forensic Accounting Techniques</w:t>
      </w:r>
      <w:r w:rsidR="00D856C3" w:rsidRPr="00F72846">
        <w:rPr>
          <w:rFonts w:ascii="Goudy Old Style" w:hAnsi="Goudy Old Style" w:cs="Times New Roman"/>
          <w:i/>
          <w:noProof/>
        </w:rPr>
        <w:t>.</w:t>
      </w:r>
      <w:r w:rsidRPr="00F72846">
        <w:rPr>
          <w:rFonts w:ascii="Goudy Old Style" w:hAnsi="Goudy Old Style" w:cs="Times New Roman"/>
          <w:i/>
          <w:noProof/>
        </w:rPr>
        <w:t xml:space="preserve"> Computer Fraud &amp; Security</w:t>
      </w:r>
      <w:r w:rsidRPr="00F72846">
        <w:rPr>
          <w:rFonts w:ascii="Goudy Old Style" w:hAnsi="Goudy Old Style" w:cs="Times New Roman"/>
          <w:noProof/>
        </w:rPr>
        <w:t xml:space="preserve">, </w:t>
      </w:r>
      <w:r w:rsidRPr="00F72846">
        <w:rPr>
          <w:rFonts w:ascii="Goudy Old Style" w:hAnsi="Goudy Old Style" w:cs="Times New Roman"/>
          <w:i/>
          <w:iCs/>
          <w:noProof/>
        </w:rPr>
        <w:t>2018</w:t>
      </w:r>
      <w:r w:rsidRPr="00F72846">
        <w:rPr>
          <w:rFonts w:ascii="Goudy Old Style" w:hAnsi="Goudy Old Style" w:cs="Times New Roman"/>
          <w:noProof/>
        </w:rPr>
        <w:t>(10), 13–19.</w:t>
      </w:r>
    </w:p>
    <w:p w14:paraId="3513A446" w14:textId="723A9688"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Arikunto, S</w:t>
      </w:r>
      <w:r w:rsidR="00D856C3" w:rsidRPr="009809BA">
        <w:rPr>
          <w:rFonts w:ascii="Goudy Old Style" w:hAnsi="Goudy Old Style" w:cs="Times New Roman"/>
          <w:noProof/>
        </w:rPr>
        <w:t>uharsimi</w:t>
      </w:r>
      <w:r w:rsidRPr="009809BA">
        <w:rPr>
          <w:rFonts w:ascii="Goudy Old Style" w:hAnsi="Goudy Old Style" w:cs="Times New Roman"/>
          <w:noProof/>
        </w:rPr>
        <w:t xml:space="preserve">. (2019). </w:t>
      </w:r>
      <w:r w:rsidRPr="009809BA">
        <w:rPr>
          <w:rFonts w:ascii="Goudy Old Style" w:hAnsi="Goudy Old Style" w:cs="Times New Roman"/>
          <w:i/>
          <w:iCs/>
          <w:noProof/>
        </w:rPr>
        <w:t>Prosedur Penelitian</w:t>
      </w:r>
      <w:r w:rsidRPr="009809BA">
        <w:rPr>
          <w:rFonts w:ascii="Times New Roman" w:hAnsi="Times New Roman" w:cs="Times New Roman"/>
          <w:i/>
          <w:iCs/>
          <w:noProof/>
        </w:rPr>
        <w:t> </w:t>
      </w:r>
      <w:r w:rsidRPr="009809BA">
        <w:rPr>
          <w:rFonts w:ascii="Goudy Old Style" w:hAnsi="Goudy Old Style" w:cs="Times New Roman"/>
          <w:i/>
          <w:iCs/>
          <w:noProof/>
        </w:rPr>
        <w:t>: suatu pendekatan praktik</w:t>
      </w:r>
      <w:r w:rsidRPr="009809BA">
        <w:rPr>
          <w:rFonts w:ascii="Goudy Old Style" w:hAnsi="Goudy Old Style" w:cs="Times New Roman"/>
          <w:noProof/>
        </w:rPr>
        <w:t xml:space="preserve"> (6th ed.). </w:t>
      </w:r>
      <w:r w:rsidR="00D856C3" w:rsidRPr="009809BA">
        <w:rPr>
          <w:rFonts w:ascii="Goudy Old Style" w:hAnsi="Goudy Old Style" w:cs="Times New Roman"/>
          <w:noProof/>
        </w:rPr>
        <w:t xml:space="preserve">Jakarta: </w:t>
      </w:r>
      <w:r w:rsidRPr="009809BA">
        <w:rPr>
          <w:rFonts w:ascii="Goudy Old Style" w:hAnsi="Goudy Old Style" w:cs="Times New Roman"/>
          <w:noProof/>
        </w:rPr>
        <w:t>Rineka Cipta.</w:t>
      </w:r>
    </w:p>
    <w:p w14:paraId="4D91E845" w14:textId="099D66D8"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Bologna, J. (1993). </w:t>
      </w:r>
      <w:r w:rsidRPr="009809BA">
        <w:rPr>
          <w:rFonts w:ascii="Goudy Old Style" w:hAnsi="Goudy Old Style" w:cs="Times New Roman"/>
          <w:i/>
          <w:iCs/>
          <w:noProof/>
        </w:rPr>
        <w:t>Handbook on Corporate Fraud: Prevention, Detection, and Investigation</w:t>
      </w:r>
      <w:r w:rsidRPr="009809BA">
        <w:rPr>
          <w:rFonts w:ascii="Goudy Old Style" w:hAnsi="Goudy Old Style" w:cs="Times New Roman"/>
          <w:noProof/>
        </w:rPr>
        <w:t xml:space="preserve">. </w:t>
      </w:r>
      <w:r w:rsidR="00D856C3" w:rsidRPr="009809BA">
        <w:rPr>
          <w:rFonts w:ascii="Goudy Old Style" w:hAnsi="Goudy Old Style" w:cs="Times New Roman"/>
          <w:noProof/>
        </w:rPr>
        <w:t xml:space="preserve">Boston: </w:t>
      </w:r>
      <w:r w:rsidRPr="009809BA">
        <w:rPr>
          <w:rFonts w:ascii="Goudy Old Style" w:hAnsi="Goudy Old Style" w:cs="Times New Roman"/>
          <w:noProof/>
        </w:rPr>
        <w:t>Butterworth-Heinemann.</w:t>
      </w:r>
    </w:p>
    <w:p w14:paraId="71888CE9" w14:textId="5D108394"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Carlos, A. M., Kosack, E., &amp; Luis, C. P. (2019). </w:t>
      </w:r>
      <w:r w:rsidRPr="009809BA">
        <w:rPr>
          <w:rFonts w:ascii="Goudy Old Style" w:hAnsi="Goudy Old Style" w:cs="Times New Roman"/>
          <w:iCs/>
          <w:noProof/>
        </w:rPr>
        <w:t>Bankruptcy, Discharge, and the Emergence of Debtor Right in Eighteenth-Century England</w:t>
      </w:r>
      <w:r w:rsidRPr="009809BA">
        <w:rPr>
          <w:rFonts w:ascii="Goudy Old Style" w:hAnsi="Goudy Old Style" w:cs="Times New Roman"/>
          <w:i/>
          <w:noProof/>
        </w:rPr>
        <w:t>.</w:t>
      </w:r>
      <w:r w:rsidRPr="009809BA">
        <w:rPr>
          <w:rFonts w:ascii="Goudy Old Style" w:hAnsi="Goudy Old Style" w:cs="Times New Roman"/>
          <w:noProof/>
        </w:rPr>
        <w:t xml:space="preserve"> </w:t>
      </w:r>
      <w:r w:rsidRPr="009809BA">
        <w:rPr>
          <w:rFonts w:ascii="Goudy Old Style" w:hAnsi="Goudy Old Style" w:cs="Times New Roman"/>
          <w:i/>
          <w:noProof/>
        </w:rPr>
        <w:t>Enterprise &amp; Society</w:t>
      </w:r>
      <w:r w:rsidRPr="009809BA">
        <w:rPr>
          <w:rFonts w:ascii="Goudy Old Style" w:hAnsi="Goudy Old Style" w:cs="Times New Roman"/>
          <w:noProof/>
        </w:rPr>
        <w:t xml:space="preserve">, </w:t>
      </w:r>
      <w:r w:rsidRPr="009809BA">
        <w:rPr>
          <w:rFonts w:ascii="Goudy Old Style" w:hAnsi="Goudy Old Style" w:cs="Times New Roman"/>
          <w:iCs/>
          <w:noProof/>
        </w:rPr>
        <w:t>20</w:t>
      </w:r>
      <w:r w:rsidRPr="009809BA">
        <w:rPr>
          <w:rFonts w:ascii="Goudy Old Style" w:hAnsi="Goudy Old Style" w:cs="Times New Roman"/>
          <w:noProof/>
        </w:rPr>
        <w:t xml:space="preserve">(2), 475–506. </w:t>
      </w:r>
    </w:p>
    <w:p w14:paraId="1E92AB6D" w14:textId="5791FD54"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Dinasmara, C. K., &amp; Adiwibowo, A. S. (2020). </w:t>
      </w:r>
      <w:r w:rsidRPr="009809BA">
        <w:rPr>
          <w:rFonts w:ascii="Goudy Old Style" w:hAnsi="Goudy Old Style" w:cs="Times New Roman"/>
          <w:i/>
          <w:noProof/>
        </w:rPr>
        <w:t>D</w:t>
      </w:r>
      <w:r w:rsidRPr="009809BA">
        <w:rPr>
          <w:rFonts w:ascii="Goudy Old Style" w:hAnsi="Goudy Old Style" w:cs="Times New Roman"/>
          <w:iCs/>
          <w:noProof/>
        </w:rPr>
        <w:t>eteksi Kecurangan Laporan Keuangan Menggunakan Beneish M – Score Dan Prediksi Kebangkruta</w:t>
      </w:r>
      <w:r w:rsidR="001632F3" w:rsidRPr="009809BA">
        <w:rPr>
          <w:rFonts w:ascii="Goudy Old Style" w:hAnsi="Goudy Old Style" w:cs="Times New Roman"/>
          <w:iCs/>
          <w:noProof/>
        </w:rPr>
        <w:t>n Menggunakan Altman Z – Score:</w:t>
      </w:r>
      <w:r w:rsidRPr="009809BA">
        <w:rPr>
          <w:rFonts w:ascii="Goudy Old Style" w:hAnsi="Goudy Old Style" w:cs="Times New Roman"/>
          <w:iCs/>
          <w:noProof/>
        </w:rPr>
        <w:t xml:space="preserve"> Studi Empiris pada Perusahaan yang Termasuk dalam I</w:t>
      </w:r>
      <w:r w:rsidR="001632F3" w:rsidRPr="009809BA">
        <w:rPr>
          <w:rFonts w:ascii="Goudy Old Style" w:hAnsi="Goudy Old Style" w:cs="Times New Roman"/>
          <w:iCs/>
          <w:noProof/>
        </w:rPr>
        <w:t>ndeks LQ – 45 Tahun 2016 – 2018</w:t>
      </w:r>
      <w:r w:rsidRPr="009809BA">
        <w:rPr>
          <w:rFonts w:ascii="Goudy Old Style" w:hAnsi="Goudy Old Style" w:cs="Times New Roman"/>
          <w:i/>
          <w:noProof/>
        </w:rPr>
        <w:t>. Diponegoro Journal Of Accounting</w:t>
      </w:r>
      <w:r w:rsidRPr="009809BA">
        <w:rPr>
          <w:rFonts w:ascii="Goudy Old Style" w:hAnsi="Goudy Old Style" w:cs="Times New Roman"/>
          <w:noProof/>
        </w:rPr>
        <w:t xml:space="preserve">, </w:t>
      </w:r>
      <w:r w:rsidRPr="009809BA">
        <w:rPr>
          <w:rFonts w:ascii="Goudy Old Style" w:hAnsi="Goudy Old Style" w:cs="Times New Roman"/>
          <w:iCs/>
          <w:noProof/>
        </w:rPr>
        <w:t>9</w:t>
      </w:r>
      <w:r w:rsidRPr="009809BA">
        <w:rPr>
          <w:rFonts w:ascii="Goudy Old Style" w:hAnsi="Goudy Old Style" w:cs="Times New Roman"/>
          <w:noProof/>
        </w:rPr>
        <w:t>(3), 1–15.</w:t>
      </w:r>
    </w:p>
    <w:p w14:paraId="7BC733E9" w14:textId="77777777"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Ellis, J., &amp; Slater, E. (2017). </w:t>
      </w:r>
      <w:r w:rsidRPr="009809BA">
        <w:rPr>
          <w:rFonts w:ascii="Goudy Old Style" w:hAnsi="Goudy Old Style" w:cs="Times New Roman"/>
          <w:iCs/>
          <w:noProof/>
        </w:rPr>
        <w:t>Litigation Finance in Bankruptcy: Unlocking Value for Creditor</w:t>
      </w:r>
      <w:r w:rsidRPr="009809BA">
        <w:rPr>
          <w:rFonts w:ascii="Goudy Old Style" w:hAnsi="Goudy Old Style" w:cs="Times New Roman"/>
          <w:i/>
          <w:noProof/>
        </w:rPr>
        <w:t>.</w:t>
      </w:r>
      <w:r w:rsidRPr="009809BA">
        <w:rPr>
          <w:rFonts w:ascii="Goudy Old Style" w:hAnsi="Goudy Old Style" w:cs="Times New Roman"/>
          <w:noProof/>
        </w:rPr>
        <w:t xml:space="preserve"> </w:t>
      </w:r>
      <w:r w:rsidRPr="009809BA">
        <w:rPr>
          <w:rFonts w:ascii="Goudy Old Style" w:hAnsi="Goudy Old Style" w:cs="Times New Roman"/>
          <w:i/>
          <w:noProof/>
        </w:rPr>
        <w:t>American Bankruptcy Institute Journal</w:t>
      </w:r>
      <w:r w:rsidRPr="009809BA">
        <w:rPr>
          <w:rFonts w:ascii="Goudy Old Style" w:hAnsi="Goudy Old Style" w:cs="Times New Roman"/>
          <w:noProof/>
        </w:rPr>
        <w:t xml:space="preserve">, </w:t>
      </w:r>
      <w:r w:rsidRPr="009809BA">
        <w:rPr>
          <w:rFonts w:ascii="Goudy Old Style" w:hAnsi="Goudy Old Style" w:cs="Times New Roman"/>
          <w:i/>
          <w:iCs/>
          <w:noProof/>
        </w:rPr>
        <w:t>36</w:t>
      </w:r>
      <w:r w:rsidRPr="009809BA">
        <w:rPr>
          <w:rFonts w:ascii="Goudy Old Style" w:hAnsi="Goudy Old Style" w:cs="Times New Roman"/>
          <w:noProof/>
        </w:rPr>
        <w:t>(3), 34-35,43.</w:t>
      </w:r>
    </w:p>
    <w:p w14:paraId="241F5E25" w14:textId="7FA22DEB"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Haryantho, B., Shubhan, M. H., &amp; Zaidun, M. (2020). </w:t>
      </w:r>
      <w:r w:rsidRPr="009809BA">
        <w:rPr>
          <w:rFonts w:ascii="Goudy Old Style" w:hAnsi="Goudy Old Style" w:cs="Times New Roman"/>
          <w:iCs/>
          <w:noProof/>
        </w:rPr>
        <w:t>The Principle of Solvency as a Consideration for Judge in Solving Bankruptcy Case in Indonesia</w:t>
      </w:r>
      <w:r w:rsidRPr="009809BA">
        <w:rPr>
          <w:rFonts w:ascii="Goudy Old Style" w:hAnsi="Goudy Old Style" w:cs="Times New Roman"/>
          <w:i/>
          <w:noProof/>
        </w:rPr>
        <w:t>.</w:t>
      </w:r>
      <w:r w:rsidRPr="009809BA">
        <w:rPr>
          <w:rFonts w:ascii="Goudy Old Style" w:hAnsi="Goudy Old Style" w:cs="Times New Roman"/>
          <w:noProof/>
        </w:rPr>
        <w:t xml:space="preserve"> </w:t>
      </w:r>
      <w:r w:rsidRPr="009809BA">
        <w:rPr>
          <w:rFonts w:ascii="Goudy Old Style" w:hAnsi="Goudy Old Style" w:cs="Times New Roman"/>
          <w:i/>
          <w:noProof/>
        </w:rPr>
        <w:t>Journal of Law, Policy and Globalization</w:t>
      </w:r>
      <w:r w:rsidRPr="009809BA">
        <w:rPr>
          <w:rFonts w:ascii="Goudy Old Style" w:hAnsi="Goudy Old Style" w:cs="Times New Roman"/>
          <w:noProof/>
        </w:rPr>
        <w:t xml:space="preserve">, </w:t>
      </w:r>
      <w:r w:rsidRPr="009809BA">
        <w:rPr>
          <w:rFonts w:ascii="Goudy Old Style" w:hAnsi="Goudy Old Style" w:cs="Times New Roman"/>
          <w:iCs/>
          <w:noProof/>
        </w:rPr>
        <w:t>96</w:t>
      </w:r>
      <w:r w:rsidRPr="009809BA">
        <w:rPr>
          <w:rFonts w:ascii="Goudy Old Style" w:hAnsi="Goudy Old Style" w:cs="Times New Roman"/>
          <w:noProof/>
        </w:rPr>
        <w:t xml:space="preserve">(3), 83–84. </w:t>
      </w:r>
    </w:p>
    <w:p w14:paraId="150EB461" w14:textId="6D2A022B"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Kartoningrat, R. B., &amp; Andayani, I. (2020). </w:t>
      </w:r>
      <w:r w:rsidRPr="009809BA">
        <w:rPr>
          <w:rFonts w:ascii="Goudy Old Style" w:hAnsi="Goudy Old Style" w:cs="Times New Roman"/>
          <w:iCs/>
          <w:noProof/>
        </w:rPr>
        <w:t>Karakteristik Fraud Dalam Hukum Kepailitan</w:t>
      </w:r>
      <w:r w:rsidRPr="009809BA">
        <w:rPr>
          <w:rFonts w:ascii="Goudy Old Style" w:hAnsi="Goudy Old Style" w:cs="Times New Roman"/>
          <w:i/>
          <w:noProof/>
        </w:rPr>
        <w:t>.</w:t>
      </w:r>
      <w:r w:rsidRPr="009809BA">
        <w:rPr>
          <w:rFonts w:ascii="Goudy Old Style" w:hAnsi="Goudy Old Style" w:cs="Times New Roman"/>
          <w:noProof/>
        </w:rPr>
        <w:t xml:space="preserve"> </w:t>
      </w:r>
      <w:r w:rsidRPr="009809BA">
        <w:rPr>
          <w:rFonts w:ascii="Goudy Old Style" w:hAnsi="Goudy Old Style" w:cs="Times New Roman"/>
          <w:i/>
          <w:noProof/>
        </w:rPr>
        <w:t>Perspektif</w:t>
      </w:r>
      <w:r w:rsidRPr="009809BA">
        <w:rPr>
          <w:rFonts w:ascii="Goudy Old Style" w:hAnsi="Goudy Old Style" w:cs="Times New Roman"/>
          <w:noProof/>
        </w:rPr>
        <w:t xml:space="preserve">, </w:t>
      </w:r>
      <w:r w:rsidRPr="009809BA">
        <w:rPr>
          <w:rFonts w:ascii="Goudy Old Style" w:hAnsi="Goudy Old Style" w:cs="Times New Roman"/>
          <w:iCs/>
          <w:noProof/>
        </w:rPr>
        <w:t>25</w:t>
      </w:r>
      <w:r w:rsidRPr="009809BA">
        <w:rPr>
          <w:rFonts w:ascii="Goudy Old Style" w:hAnsi="Goudy Old Style" w:cs="Times New Roman"/>
          <w:noProof/>
        </w:rPr>
        <w:t>(3), 190–204.</w:t>
      </w:r>
    </w:p>
    <w:p w14:paraId="702AAAD4" w14:textId="6157EC69"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Kılıç, B. </w:t>
      </w:r>
      <w:r w:rsidRPr="009809BA">
        <w:rPr>
          <w:rFonts w:ascii="Cambria" w:hAnsi="Cambria" w:cs="Cambria"/>
          <w:noProof/>
        </w:rPr>
        <w:t>İ</w:t>
      </w:r>
      <w:r w:rsidRPr="009809BA">
        <w:rPr>
          <w:rFonts w:ascii="Goudy Old Style" w:hAnsi="Goudy Old Style" w:cs="Times New Roman"/>
          <w:noProof/>
        </w:rPr>
        <w:t xml:space="preserve">. (2020). </w:t>
      </w:r>
      <w:r w:rsidRPr="009809BA">
        <w:rPr>
          <w:rFonts w:ascii="Goudy Old Style" w:hAnsi="Goudy Old Style" w:cs="Times New Roman"/>
          <w:iCs/>
          <w:noProof/>
        </w:rPr>
        <w:t>The Effects of Big Data on Forensic Accounting Practices and Education</w:t>
      </w:r>
      <w:r w:rsidR="00F46DFA" w:rsidRPr="009809BA">
        <w:rPr>
          <w:rFonts w:ascii="Goudy Old Style" w:hAnsi="Goudy Old Style" w:cs="Times New Roman"/>
          <w:i/>
          <w:iCs/>
          <w:noProof/>
        </w:rPr>
        <w:t xml:space="preserve">. </w:t>
      </w:r>
      <w:r w:rsidRPr="009809BA">
        <w:rPr>
          <w:rFonts w:ascii="Goudy Old Style" w:hAnsi="Goudy Old Style" w:cs="Times New Roman"/>
          <w:i/>
          <w:noProof/>
        </w:rPr>
        <w:t xml:space="preserve">Emerald </w:t>
      </w:r>
      <w:r w:rsidRPr="009809BA">
        <w:rPr>
          <w:rFonts w:ascii="Goudy Old Style" w:hAnsi="Goudy Old Style" w:cs="Times New Roman"/>
          <w:i/>
          <w:noProof/>
        </w:rPr>
        <w:lastRenderedPageBreak/>
        <w:t>Publishing Limited,</w:t>
      </w:r>
      <w:r w:rsidRPr="009809BA">
        <w:rPr>
          <w:rFonts w:ascii="Goudy Old Style" w:hAnsi="Goudy Old Style" w:cs="Times New Roman"/>
          <w:noProof/>
        </w:rPr>
        <w:t xml:space="preserve"> </w:t>
      </w:r>
      <w:r w:rsidRPr="009809BA">
        <w:rPr>
          <w:rFonts w:ascii="Goudy Old Style" w:hAnsi="Goudy Old Style" w:cs="Times New Roman"/>
          <w:iCs/>
          <w:noProof/>
        </w:rPr>
        <w:t>102</w:t>
      </w:r>
      <w:r w:rsidRPr="009809BA">
        <w:rPr>
          <w:rFonts w:ascii="Goudy Old Style" w:hAnsi="Goudy Old Style" w:cs="Times New Roman"/>
          <w:noProof/>
        </w:rPr>
        <w:t xml:space="preserve">, 11–26. </w:t>
      </w:r>
    </w:p>
    <w:p w14:paraId="2FE86CB2" w14:textId="71469901"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Kornelis, Y., &amp; Amboro, F. Y. P. (2020). </w:t>
      </w:r>
      <w:r w:rsidRPr="009809BA">
        <w:rPr>
          <w:rFonts w:ascii="Goudy Old Style" w:hAnsi="Goudy Old Style" w:cs="Times New Roman"/>
          <w:iCs/>
          <w:noProof/>
        </w:rPr>
        <w:t>Implementasi Restrukturisasi Dalam Prosesi Kepailitan Dan Penundaan Kewajiban Pembayaran Utang Di Indonesia</w:t>
      </w:r>
      <w:r w:rsidRPr="009809BA">
        <w:rPr>
          <w:rFonts w:ascii="Goudy Old Style" w:hAnsi="Goudy Old Style" w:cs="Times New Roman"/>
          <w:i/>
          <w:noProof/>
        </w:rPr>
        <w:t>.</w:t>
      </w:r>
      <w:r w:rsidRPr="009809BA">
        <w:rPr>
          <w:rFonts w:ascii="Goudy Old Style" w:hAnsi="Goudy Old Style" w:cs="Times New Roman"/>
          <w:noProof/>
        </w:rPr>
        <w:t xml:space="preserve"> </w:t>
      </w:r>
      <w:r w:rsidRPr="009809BA">
        <w:rPr>
          <w:rFonts w:ascii="Goudy Old Style" w:hAnsi="Goudy Old Style" w:cs="Times New Roman"/>
          <w:i/>
          <w:noProof/>
        </w:rPr>
        <w:t>Jurnal Selat</w:t>
      </w:r>
      <w:r w:rsidRPr="009809BA">
        <w:rPr>
          <w:rFonts w:ascii="Goudy Old Style" w:hAnsi="Goudy Old Style" w:cs="Times New Roman"/>
          <w:noProof/>
        </w:rPr>
        <w:t xml:space="preserve">, </w:t>
      </w:r>
      <w:r w:rsidRPr="009809BA">
        <w:rPr>
          <w:rFonts w:ascii="Goudy Old Style" w:hAnsi="Goudy Old Style" w:cs="Times New Roman"/>
          <w:i/>
          <w:iCs/>
          <w:noProof/>
        </w:rPr>
        <w:t>7</w:t>
      </w:r>
      <w:r w:rsidRPr="009809BA">
        <w:rPr>
          <w:rFonts w:ascii="Goudy Old Style" w:hAnsi="Goudy Old Style" w:cs="Times New Roman"/>
          <w:noProof/>
        </w:rPr>
        <w:t xml:space="preserve">(2), 254–277. </w:t>
      </w:r>
    </w:p>
    <w:p w14:paraId="029EAEE0" w14:textId="7316EE25"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Liodorova, J., &amp; Voronova, I. (2020). </w:t>
      </w:r>
      <w:r w:rsidR="00EE36CD" w:rsidRPr="009809BA">
        <w:rPr>
          <w:rFonts w:ascii="Goudy Old Style" w:hAnsi="Goudy Old Style" w:cs="Times New Roman"/>
          <w:iCs/>
          <w:noProof/>
        </w:rPr>
        <w:t>Financial Ratios For Detection Of Companyís Insolvency And Bankruptcy Fraud: Similarities And Differences</w:t>
      </w:r>
      <w:r w:rsidR="00EE36CD" w:rsidRPr="009809BA">
        <w:rPr>
          <w:rFonts w:ascii="Goudy Old Style" w:hAnsi="Goudy Old Style" w:cs="Times New Roman"/>
          <w:i/>
          <w:noProof/>
        </w:rPr>
        <w:t>.</w:t>
      </w:r>
      <w:r w:rsidRPr="009809BA">
        <w:rPr>
          <w:rFonts w:ascii="Goudy Old Style" w:hAnsi="Goudy Old Style" w:cs="Times New Roman"/>
          <w:noProof/>
        </w:rPr>
        <w:t xml:space="preserve"> Soci‚lo Zin‚tÚu VÁstnesis, </w:t>
      </w:r>
      <w:r w:rsidRPr="009809BA">
        <w:rPr>
          <w:rFonts w:ascii="Goudy Old Style" w:hAnsi="Goudy Old Style" w:cs="Times New Roman"/>
          <w:i/>
          <w:iCs/>
          <w:noProof/>
        </w:rPr>
        <w:t>1</w:t>
      </w:r>
      <w:r w:rsidRPr="009809BA">
        <w:rPr>
          <w:rFonts w:ascii="Goudy Old Style" w:hAnsi="Goudy Old Style" w:cs="Times New Roman"/>
          <w:noProof/>
        </w:rPr>
        <w:t>(30), 7–29.</w:t>
      </w:r>
    </w:p>
    <w:p w14:paraId="1CA7826C" w14:textId="3E14FCEE"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Lun</w:t>
      </w:r>
      <w:r w:rsidR="00F46DFA" w:rsidRPr="009809BA">
        <w:rPr>
          <w:rFonts w:ascii="Goudy Old Style" w:hAnsi="Goudy Old Style" w:cs="Times New Roman"/>
          <w:noProof/>
        </w:rPr>
        <w:t xml:space="preserve">e, H. &amp; Berg, B. L. </w:t>
      </w:r>
      <w:r w:rsidRPr="009809BA">
        <w:rPr>
          <w:rFonts w:ascii="Goudy Old Style" w:hAnsi="Goudy Old Style" w:cs="Times New Roman"/>
          <w:noProof/>
        </w:rPr>
        <w:t xml:space="preserve">(2017). </w:t>
      </w:r>
      <w:r w:rsidRPr="009809BA">
        <w:rPr>
          <w:rFonts w:ascii="Goudy Old Style" w:hAnsi="Goudy Old Style" w:cs="Times New Roman"/>
          <w:i/>
          <w:iCs/>
          <w:noProof/>
        </w:rPr>
        <w:t>Qualitative Research Methods for the Social Sciences</w:t>
      </w:r>
      <w:r w:rsidRPr="009809BA">
        <w:rPr>
          <w:rFonts w:ascii="Goudy Old Style" w:hAnsi="Goudy Old Style" w:cs="Times New Roman"/>
          <w:noProof/>
        </w:rPr>
        <w:t xml:space="preserve"> (9th Editio). </w:t>
      </w:r>
      <w:r w:rsidR="00EE36CD" w:rsidRPr="009809BA">
        <w:rPr>
          <w:rFonts w:ascii="Goudy Old Style" w:hAnsi="Goudy Old Style" w:cs="Times New Roman"/>
          <w:noProof/>
        </w:rPr>
        <w:t xml:space="preserve">Boston: </w:t>
      </w:r>
      <w:r w:rsidRPr="009809BA">
        <w:rPr>
          <w:rFonts w:ascii="Goudy Old Style" w:hAnsi="Goudy Old Style" w:cs="Times New Roman"/>
          <w:noProof/>
        </w:rPr>
        <w:t>Pearson.</w:t>
      </w:r>
    </w:p>
    <w:p w14:paraId="614321CE" w14:textId="2CA07713"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Moleong, L. J. (2021). </w:t>
      </w:r>
      <w:r w:rsidRPr="009809BA">
        <w:rPr>
          <w:rFonts w:ascii="Goudy Old Style" w:hAnsi="Goudy Old Style" w:cs="Times New Roman"/>
          <w:i/>
          <w:iCs/>
          <w:noProof/>
        </w:rPr>
        <w:t>Metodologi Penelitian Kualitatif (Ed</w:t>
      </w:r>
      <w:r w:rsidR="00B00909" w:rsidRPr="009809BA">
        <w:rPr>
          <w:rFonts w:ascii="Goudy Old Style" w:hAnsi="Goudy Old Style" w:cs="Times New Roman"/>
          <w:i/>
          <w:iCs/>
          <w:noProof/>
        </w:rPr>
        <w:t>.</w:t>
      </w:r>
      <w:r w:rsidRPr="009809BA">
        <w:rPr>
          <w:rFonts w:ascii="Goudy Old Style" w:hAnsi="Goudy Old Style" w:cs="Times New Roman"/>
          <w:i/>
          <w:iCs/>
          <w:noProof/>
        </w:rPr>
        <w:t xml:space="preserve"> </w:t>
      </w:r>
      <w:r w:rsidR="00F72846" w:rsidRPr="00F72846">
        <w:rPr>
          <w:rFonts w:ascii="Goudy Old Style" w:hAnsi="Goudy Old Style" w:cs="Times New Roman"/>
          <w:i/>
          <w:iCs/>
          <w:noProof/>
        </w:rPr>
        <w:t>36</w:t>
      </w:r>
      <w:r w:rsidRPr="009809BA">
        <w:rPr>
          <w:rFonts w:ascii="Goudy Old Style" w:hAnsi="Goudy Old Style" w:cs="Times New Roman"/>
          <w:i/>
          <w:iCs/>
          <w:noProof/>
        </w:rPr>
        <w:t>)</w:t>
      </w:r>
      <w:r w:rsidRPr="009809BA">
        <w:rPr>
          <w:rFonts w:ascii="Goudy Old Style" w:hAnsi="Goudy Old Style" w:cs="Times New Roman"/>
          <w:noProof/>
        </w:rPr>
        <w:t xml:space="preserve">. </w:t>
      </w:r>
      <w:r w:rsidR="00C93869" w:rsidRPr="009809BA">
        <w:rPr>
          <w:rFonts w:ascii="Goudy Old Style" w:hAnsi="Goudy Old Style" w:cs="Times New Roman"/>
          <w:noProof/>
        </w:rPr>
        <w:t xml:space="preserve">Bandung: </w:t>
      </w:r>
      <w:r w:rsidRPr="009809BA">
        <w:rPr>
          <w:rFonts w:ascii="Goudy Old Style" w:hAnsi="Goudy Old Style" w:cs="Times New Roman"/>
          <w:noProof/>
        </w:rPr>
        <w:t>PT. Remaja Rosdakarya.</w:t>
      </w:r>
    </w:p>
    <w:p w14:paraId="6774D1FF" w14:textId="3C77D212"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Nugroho, S. A. (2018). </w:t>
      </w:r>
      <w:r w:rsidRPr="009809BA">
        <w:rPr>
          <w:rFonts w:ascii="Goudy Old Style" w:hAnsi="Goudy Old Style" w:cs="Times New Roman"/>
          <w:i/>
          <w:iCs/>
          <w:noProof/>
        </w:rPr>
        <w:t>Hukum Kepailitan Di Indonesia Dalam Teori dan Praktik Serta Penerapan Hukumnya</w:t>
      </w:r>
      <w:r w:rsidRPr="009809BA">
        <w:rPr>
          <w:rFonts w:ascii="Goudy Old Style" w:hAnsi="Goudy Old Style" w:cs="Times New Roman"/>
          <w:noProof/>
        </w:rPr>
        <w:t>.</w:t>
      </w:r>
      <w:r w:rsidR="00C93869" w:rsidRPr="009809BA">
        <w:rPr>
          <w:rFonts w:ascii="Goudy Old Style" w:hAnsi="Goudy Old Style" w:cs="Calibri"/>
          <w:noProof/>
        </w:rPr>
        <w:t xml:space="preserve"> Jakarta: Prenadamedia Group (Divisi Kencana).</w:t>
      </w:r>
    </w:p>
    <w:p w14:paraId="07A90EA3" w14:textId="77777777"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Oseni, &amp; Idris, A. (2017). </w:t>
      </w:r>
      <w:r w:rsidRPr="009809BA">
        <w:rPr>
          <w:rFonts w:ascii="Goudy Old Style" w:hAnsi="Goudy Old Style" w:cs="Times New Roman"/>
          <w:iCs/>
          <w:noProof/>
        </w:rPr>
        <w:t>Forensic Accounting and Financial Fraud in Nigeria</w:t>
      </w:r>
      <w:r w:rsidRPr="009809BA">
        <w:rPr>
          <w:rFonts w:ascii="Times New Roman" w:hAnsi="Times New Roman" w:cs="Times New Roman"/>
          <w:iCs/>
          <w:noProof/>
        </w:rPr>
        <w:t> </w:t>
      </w:r>
      <w:r w:rsidRPr="009809BA">
        <w:rPr>
          <w:rFonts w:ascii="Goudy Old Style" w:hAnsi="Goudy Old Style" w:cs="Times New Roman"/>
          <w:iCs/>
          <w:noProof/>
        </w:rPr>
        <w:t>: Problems and Prospects</w:t>
      </w:r>
      <w:r w:rsidRPr="009809BA">
        <w:rPr>
          <w:rFonts w:ascii="Goudy Old Style" w:hAnsi="Goudy Old Style" w:cs="Times New Roman"/>
          <w:i/>
          <w:noProof/>
        </w:rPr>
        <w:t>. Journal of Accounting and Financial Management</w:t>
      </w:r>
      <w:r w:rsidRPr="009809BA">
        <w:rPr>
          <w:rFonts w:ascii="Goudy Old Style" w:hAnsi="Goudy Old Style" w:cs="Times New Roman"/>
          <w:noProof/>
        </w:rPr>
        <w:t xml:space="preserve">, </w:t>
      </w:r>
      <w:r w:rsidRPr="009809BA">
        <w:rPr>
          <w:rFonts w:ascii="Goudy Old Style" w:hAnsi="Goudy Old Style" w:cs="Times New Roman"/>
          <w:i/>
          <w:iCs/>
          <w:noProof/>
        </w:rPr>
        <w:t>3</w:t>
      </w:r>
      <w:r w:rsidRPr="009809BA">
        <w:rPr>
          <w:rFonts w:ascii="Goudy Old Style" w:hAnsi="Goudy Old Style" w:cs="Times New Roman"/>
          <w:noProof/>
        </w:rPr>
        <w:t>(1), 23–33.</w:t>
      </w:r>
    </w:p>
    <w:p w14:paraId="7BA34560" w14:textId="56992A14"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Özcan, Ü. A. (2019). </w:t>
      </w:r>
      <w:r w:rsidRPr="009809BA">
        <w:rPr>
          <w:rFonts w:ascii="Goudy Old Style" w:hAnsi="Goudy Old Style" w:cs="Times New Roman"/>
          <w:iCs/>
          <w:noProof/>
        </w:rPr>
        <w:t>Analyzing The Impact Of Forensic Accounting On The Detection Of Financial Information Manipulation</w:t>
      </w:r>
      <w:r w:rsidRPr="009809BA">
        <w:rPr>
          <w:rFonts w:ascii="Goudy Old Style" w:hAnsi="Goudy Old Style" w:cs="Times New Roman"/>
          <w:i/>
          <w:noProof/>
        </w:rPr>
        <w:t xml:space="preserve">. </w:t>
      </w:r>
      <w:r w:rsidRPr="009809BA">
        <w:rPr>
          <w:rFonts w:ascii="Goudy Old Style" w:hAnsi="Goudy Old Style" w:cs="Times New Roman"/>
          <w:i/>
          <w:iCs/>
          <w:noProof/>
        </w:rPr>
        <w:t>Manas Journal of Social Studies</w:t>
      </w:r>
      <w:r w:rsidRPr="009809BA">
        <w:rPr>
          <w:rFonts w:ascii="Goudy Old Style" w:hAnsi="Goudy Old Style" w:cs="Times New Roman"/>
          <w:noProof/>
        </w:rPr>
        <w:t xml:space="preserve">, </w:t>
      </w:r>
      <w:r w:rsidRPr="009809BA">
        <w:rPr>
          <w:rFonts w:ascii="Goudy Old Style" w:hAnsi="Goudy Old Style" w:cs="Times New Roman"/>
          <w:iCs/>
          <w:noProof/>
        </w:rPr>
        <w:t>8</w:t>
      </w:r>
      <w:r w:rsidRPr="009809BA">
        <w:rPr>
          <w:rFonts w:ascii="Goudy Old Style" w:hAnsi="Goudy Old Style" w:cs="Times New Roman"/>
          <w:noProof/>
        </w:rPr>
        <w:t>(2), 1744–1760.</w:t>
      </w:r>
    </w:p>
    <w:p w14:paraId="764C915E" w14:textId="77777777" w:rsidR="00F64F7D" w:rsidRPr="009809BA" w:rsidRDefault="00F64F7D"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Republik Indonesia. (2017). </w:t>
      </w:r>
      <w:r w:rsidRPr="009809BA">
        <w:rPr>
          <w:rFonts w:ascii="Goudy Old Style" w:hAnsi="Goudy Old Style" w:cs="Times New Roman"/>
          <w:i/>
          <w:iCs/>
          <w:noProof/>
        </w:rPr>
        <w:t>Laporan Tahuan 2016 Direktorat Jenderal Badan Peradilan Umum</w:t>
      </w:r>
      <w:r w:rsidRPr="009809BA">
        <w:rPr>
          <w:rFonts w:ascii="Goudy Old Style" w:hAnsi="Goudy Old Style" w:cs="Times New Roman"/>
          <w:noProof/>
        </w:rPr>
        <w:t>. Jakarta: Mahkamah Agung Republik Indonesia.</w:t>
      </w:r>
    </w:p>
    <w:p w14:paraId="7271CD63" w14:textId="77777777" w:rsidR="00F64F7D" w:rsidRPr="009809BA" w:rsidRDefault="00F64F7D"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Republik Indonesia. (2018). </w:t>
      </w:r>
      <w:r w:rsidRPr="009809BA">
        <w:rPr>
          <w:rFonts w:ascii="Goudy Old Style" w:hAnsi="Goudy Old Style" w:cs="Times New Roman"/>
          <w:i/>
          <w:iCs/>
          <w:noProof/>
        </w:rPr>
        <w:t>Laporan Tahuan 2017 Direktorat Jenderal Badan Peradilan Umum</w:t>
      </w:r>
      <w:r w:rsidRPr="009809BA">
        <w:rPr>
          <w:rFonts w:ascii="Goudy Old Style" w:hAnsi="Goudy Old Style" w:cs="Times New Roman"/>
          <w:noProof/>
        </w:rPr>
        <w:t>. Jakarta: Mahkamah Agung Republik Indonesia.</w:t>
      </w:r>
    </w:p>
    <w:p w14:paraId="7D742AB8" w14:textId="77777777" w:rsidR="00F64F7D" w:rsidRPr="009809BA" w:rsidRDefault="00F64F7D"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Republik Indonesia. (2019). </w:t>
      </w:r>
      <w:r w:rsidRPr="009809BA">
        <w:rPr>
          <w:rFonts w:ascii="Goudy Old Style" w:hAnsi="Goudy Old Style" w:cs="Times New Roman"/>
          <w:i/>
          <w:iCs/>
          <w:noProof/>
        </w:rPr>
        <w:t>Laporan Tahuan 2018 Direktorat Jenderal Badan Peradilan Umum</w:t>
      </w:r>
      <w:r w:rsidRPr="009809BA">
        <w:rPr>
          <w:rFonts w:ascii="Goudy Old Style" w:hAnsi="Goudy Old Style" w:cs="Times New Roman"/>
          <w:noProof/>
        </w:rPr>
        <w:t>. Jakarta: Mahkamah Agung Republik Indonesia.</w:t>
      </w:r>
    </w:p>
    <w:p w14:paraId="3C71ACB7" w14:textId="4ACC010F" w:rsidR="003C23D8" w:rsidRPr="009809BA" w:rsidRDefault="003C23D8"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Republik Indonesia. (2020). </w:t>
      </w:r>
      <w:r w:rsidRPr="009809BA">
        <w:rPr>
          <w:rFonts w:ascii="Goudy Old Style" w:hAnsi="Goudy Old Style" w:cs="Times New Roman"/>
          <w:i/>
          <w:iCs/>
          <w:noProof/>
        </w:rPr>
        <w:t>Laporan Tahuan 2019 Direktorat Jenderal Badan Peradilan Umum</w:t>
      </w:r>
      <w:r w:rsidRPr="009809BA">
        <w:rPr>
          <w:rFonts w:ascii="Goudy Old Style" w:hAnsi="Goudy Old Style" w:cs="Times New Roman"/>
          <w:noProof/>
        </w:rPr>
        <w:t>. Jakarta: Mahkamah Agung Republik Indonesia.</w:t>
      </w:r>
    </w:p>
    <w:p w14:paraId="18565937" w14:textId="77777777" w:rsidR="00F64F7D" w:rsidRPr="009809BA" w:rsidRDefault="00F64F7D"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Republik Indonesia. (2021). </w:t>
      </w:r>
      <w:r w:rsidRPr="009809BA">
        <w:rPr>
          <w:rFonts w:ascii="Goudy Old Style" w:hAnsi="Goudy Old Style" w:cs="Times New Roman"/>
          <w:i/>
          <w:noProof/>
        </w:rPr>
        <w:t>Laporan Tahuan 2020 Direktorat Jenderal Badan Peradilan Umum</w:t>
      </w:r>
      <w:r w:rsidRPr="009809BA">
        <w:rPr>
          <w:rFonts w:ascii="Goudy Old Style" w:hAnsi="Goudy Old Style" w:cs="Times New Roman"/>
          <w:noProof/>
        </w:rPr>
        <w:t>. Jakarta: Mahkamah Agung Republik Indonesia.</w:t>
      </w:r>
    </w:p>
    <w:p w14:paraId="50E6BDD4" w14:textId="078573F0" w:rsidR="00F64F7D" w:rsidRPr="009809BA" w:rsidRDefault="00F64F7D"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Republik Indonesia. (2018). </w:t>
      </w:r>
      <w:r w:rsidRPr="009809BA">
        <w:rPr>
          <w:rFonts w:ascii="Goudy Old Style" w:hAnsi="Goudy Old Style" w:cs="Times New Roman"/>
          <w:i/>
          <w:iCs/>
          <w:noProof/>
        </w:rPr>
        <w:t>Peraturan Menteri Hukum dan Hak Asasi Manusia Republik Indonesia Nomor 37 tahun 2018</w:t>
      </w:r>
      <w:r w:rsidR="001632F3" w:rsidRPr="009809BA">
        <w:rPr>
          <w:rFonts w:ascii="Goudy Old Style" w:hAnsi="Goudy Old Style" w:cs="Times New Roman"/>
          <w:noProof/>
        </w:rPr>
        <w:t>.</w:t>
      </w:r>
      <w:r w:rsidRPr="009809BA">
        <w:rPr>
          <w:rFonts w:ascii="Goudy Old Style" w:hAnsi="Goudy Old Style" w:cs="Times New Roman"/>
          <w:noProof/>
        </w:rPr>
        <w:t xml:space="preserve"> Jakarta: Kementerian Hukum dan Hak Asasi Manusia.</w:t>
      </w:r>
    </w:p>
    <w:p w14:paraId="7DCF141A" w14:textId="77777777" w:rsidR="00F64F7D" w:rsidRPr="009809BA" w:rsidRDefault="00F64F7D"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Republik Indonesia. (2004). </w:t>
      </w:r>
      <w:r w:rsidRPr="009809BA">
        <w:rPr>
          <w:rFonts w:ascii="Goudy Old Style" w:hAnsi="Goudy Old Style" w:cs="Times New Roman"/>
          <w:i/>
          <w:iCs/>
          <w:noProof/>
        </w:rPr>
        <w:t>Undang-Undang Republik Indonesia Nomor 37 Tahun 2004 Tentang Kepailitan dan Penundaan Kewajiban Pembayaran Utang</w:t>
      </w:r>
      <w:r w:rsidRPr="009809BA">
        <w:rPr>
          <w:rFonts w:ascii="Goudy Old Style" w:hAnsi="Goudy Old Style" w:cs="Times New Roman"/>
          <w:noProof/>
        </w:rPr>
        <w:t>. Jakarta: Presiden Republik Indonesia.</w:t>
      </w:r>
    </w:p>
    <w:p w14:paraId="41A95CA0" w14:textId="70E38B3C"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Riza, A</w:t>
      </w:r>
      <w:r w:rsidR="003A45EB" w:rsidRPr="009809BA">
        <w:rPr>
          <w:rFonts w:ascii="Goudy Old Style" w:hAnsi="Goudy Old Style" w:cs="Times New Roman"/>
          <w:noProof/>
        </w:rPr>
        <w:t>li</w:t>
      </w:r>
      <w:r w:rsidRPr="009809BA">
        <w:rPr>
          <w:rFonts w:ascii="Goudy Old Style" w:hAnsi="Goudy Old Style" w:cs="Times New Roman"/>
          <w:noProof/>
        </w:rPr>
        <w:t xml:space="preserve">. (2020). Akuntansi Forensik dalam Penyelesaian Tugas Kurator pada Perkara Kepailitan. </w:t>
      </w:r>
      <w:r w:rsidR="003A45EB" w:rsidRPr="009809BA">
        <w:rPr>
          <w:rFonts w:ascii="Goudy Old Style" w:hAnsi="Goudy Old Style" w:cs="Times New Roman"/>
          <w:i/>
          <w:iCs/>
          <w:noProof/>
        </w:rPr>
        <w:t>Tesis</w:t>
      </w:r>
      <w:r w:rsidR="001632F3" w:rsidRPr="009809BA">
        <w:rPr>
          <w:rFonts w:ascii="Goudy Old Style" w:hAnsi="Goudy Old Style" w:cs="Times New Roman"/>
          <w:i/>
          <w:iCs/>
          <w:noProof/>
        </w:rPr>
        <w:t>.</w:t>
      </w:r>
      <w:r w:rsidR="003A45EB" w:rsidRPr="009809BA">
        <w:rPr>
          <w:rFonts w:ascii="Goudy Old Style" w:hAnsi="Goudy Old Style" w:cs="Times New Roman"/>
          <w:noProof/>
        </w:rPr>
        <w:t xml:space="preserve"> </w:t>
      </w:r>
      <w:r w:rsidRPr="009809BA">
        <w:rPr>
          <w:rFonts w:ascii="Goudy Old Style" w:hAnsi="Goudy Old Style" w:cs="Times New Roman"/>
          <w:noProof/>
        </w:rPr>
        <w:t>Universitas Islam Indonesia.</w:t>
      </w:r>
    </w:p>
    <w:p w14:paraId="19533D6B" w14:textId="3B0E6DF8"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Sadaf, R., Oláh, J., Popp, J., &amp; Máté, D. (2018).</w:t>
      </w:r>
      <w:r w:rsidRPr="009809BA">
        <w:rPr>
          <w:rFonts w:ascii="Goudy Old Style" w:hAnsi="Goudy Old Style" w:cs="Times New Roman"/>
          <w:i/>
          <w:noProof/>
        </w:rPr>
        <w:t xml:space="preserve"> </w:t>
      </w:r>
      <w:r w:rsidRPr="009809BA">
        <w:rPr>
          <w:rFonts w:ascii="Goudy Old Style" w:hAnsi="Goudy Old Style" w:cs="Times New Roman"/>
          <w:iCs/>
          <w:noProof/>
        </w:rPr>
        <w:t>An Investigation of the Influence of the Worldwide Governance and Competitiveness on Accounting Fraud Cases</w:t>
      </w:r>
      <w:r w:rsidRPr="009809BA">
        <w:rPr>
          <w:rFonts w:ascii="Times New Roman" w:hAnsi="Times New Roman" w:cs="Times New Roman"/>
          <w:iCs/>
          <w:noProof/>
        </w:rPr>
        <w:t> </w:t>
      </w:r>
      <w:r w:rsidRPr="009809BA">
        <w:rPr>
          <w:rFonts w:ascii="Goudy Old Style" w:hAnsi="Goudy Old Style" w:cs="Times New Roman"/>
          <w:iCs/>
          <w:noProof/>
        </w:rPr>
        <w:t>: A Cross-Country Perspective</w:t>
      </w:r>
      <w:r w:rsidRPr="009809BA">
        <w:rPr>
          <w:rFonts w:ascii="Goudy Old Style" w:hAnsi="Goudy Old Style" w:cs="Times New Roman"/>
          <w:i/>
          <w:noProof/>
        </w:rPr>
        <w:t>.</w:t>
      </w:r>
      <w:r w:rsidRPr="009809BA">
        <w:rPr>
          <w:rFonts w:ascii="Goudy Old Style" w:hAnsi="Goudy Old Style" w:cs="Times New Roman"/>
          <w:noProof/>
        </w:rPr>
        <w:t xml:space="preserve"> </w:t>
      </w:r>
      <w:r w:rsidRPr="009809BA">
        <w:rPr>
          <w:rFonts w:ascii="Goudy Old Style" w:hAnsi="Goudy Old Style" w:cs="Times New Roman"/>
          <w:i/>
          <w:noProof/>
        </w:rPr>
        <w:t>Sustainabili</w:t>
      </w:r>
      <w:r w:rsidRPr="00F72846">
        <w:rPr>
          <w:rFonts w:ascii="Goudy Old Style" w:hAnsi="Goudy Old Style" w:cs="Times New Roman"/>
          <w:i/>
          <w:noProof/>
        </w:rPr>
        <w:t>ty</w:t>
      </w:r>
      <w:r w:rsidRPr="00F72846">
        <w:rPr>
          <w:rFonts w:ascii="Goudy Old Style" w:hAnsi="Goudy Old Style" w:cs="Times New Roman"/>
          <w:noProof/>
        </w:rPr>
        <w:t xml:space="preserve">, </w:t>
      </w:r>
      <w:r w:rsidRPr="00F72846">
        <w:rPr>
          <w:rFonts w:ascii="Goudy Old Style" w:hAnsi="Goudy Old Style" w:cs="Times New Roman"/>
          <w:i/>
          <w:iCs/>
          <w:noProof/>
        </w:rPr>
        <w:t>10</w:t>
      </w:r>
      <w:r w:rsidR="00F72846" w:rsidRPr="00F72846">
        <w:rPr>
          <w:rFonts w:ascii="Goudy Old Style" w:hAnsi="Goudy Old Style" w:cs="Times New Roman"/>
          <w:noProof/>
        </w:rPr>
        <w:t>(3), 1-11</w:t>
      </w:r>
      <w:r w:rsidRPr="00F72846">
        <w:rPr>
          <w:rFonts w:ascii="Goudy Old Style" w:hAnsi="Goudy Old Style" w:cs="Times New Roman"/>
          <w:noProof/>
        </w:rPr>
        <w:t>.</w:t>
      </w:r>
      <w:r w:rsidRPr="009809BA">
        <w:rPr>
          <w:rFonts w:ascii="Goudy Old Style" w:hAnsi="Goudy Old Style" w:cs="Times New Roman"/>
          <w:noProof/>
          <w:color w:val="FF0000"/>
        </w:rPr>
        <w:t xml:space="preserve"> </w:t>
      </w:r>
    </w:p>
    <w:p w14:paraId="2967FCCD" w14:textId="3EF41E49"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Saija, R</w:t>
      </w:r>
      <w:r w:rsidR="003A45EB" w:rsidRPr="009809BA">
        <w:rPr>
          <w:rFonts w:ascii="Goudy Old Style" w:hAnsi="Goudy Old Style" w:cs="Times New Roman"/>
          <w:noProof/>
        </w:rPr>
        <w:t>onald</w:t>
      </w:r>
      <w:r w:rsidRPr="009809BA">
        <w:rPr>
          <w:rFonts w:ascii="Goudy Old Style" w:hAnsi="Goudy Old Style" w:cs="Times New Roman"/>
          <w:noProof/>
        </w:rPr>
        <w:t xml:space="preserve">. (2018). </w:t>
      </w:r>
      <w:r w:rsidRPr="009809BA">
        <w:rPr>
          <w:rFonts w:ascii="Goudy Old Style" w:hAnsi="Goudy Old Style" w:cs="Times New Roman"/>
          <w:iCs/>
          <w:noProof/>
        </w:rPr>
        <w:t>Perlindungan Kreditur Atas Pailit Yang Diajukan Debitur Dalam Proses Peninjauan Kembali Di Pengadilan Niaga</w:t>
      </w:r>
      <w:r w:rsidRPr="009809BA">
        <w:rPr>
          <w:rFonts w:ascii="Goudy Old Style" w:hAnsi="Goudy Old Style" w:cs="Times New Roman"/>
          <w:i/>
          <w:noProof/>
        </w:rPr>
        <w:t>.</w:t>
      </w:r>
      <w:r w:rsidRPr="009809BA">
        <w:rPr>
          <w:rFonts w:ascii="Goudy Old Style" w:hAnsi="Goudy Old Style" w:cs="Times New Roman"/>
          <w:noProof/>
        </w:rPr>
        <w:t xml:space="preserve"> </w:t>
      </w:r>
      <w:r w:rsidRPr="009809BA">
        <w:rPr>
          <w:rFonts w:ascii="Goudy Old Style" w:hAnsi="Goudy Old Style" w:cs="Times New Roman"/>
          <w:i/>
          <w:noProof/>
        </w:rPr>
        <w:t>Jurnal Sasi</w:t>
      </w:r>
      <w:r w:rsidRPr="009809BA">
        <w:rPr>
          <w:rFonts w:ascii="Goudy Old Style" w:hAnsi="Goudy Old Style" w:cs="Times New Roman"/>
          <w:noProof/>
        </w:rPr>
        <w:t xml:space="preserve">, </w:t>
      </w:r>
      <w:r w:rsidRPr="009809BA">
        <w:rPr>
          <w:rFonts w:ascii="Goudy Old Style" w:hAnsi="Goudy Old Style" w:cs="Times New Roman"/>
          <w:i/>
          <w:iCs/>
          <w:noProof/>
        </w:rPr>
        <w:t>24</w:t>
      </w:r>
      <w:r w:rsidRPr="009809BA">
        <w:rPr>
          <w:rFonts w:ascii="Goudy Old Style" w:hAnsi="Goudy Old Style" w:cs="Times New Roman"/>
          <w:noProof/>
        </w:rPr>
        <w:t>(2), 114–123.</w:t>
      </w:r>
    </w:p>
    <w:p w14:paraId="155A1087" w14:textId="19486B3C"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Saputra, S. T. (2020). </w:t>
      </w:r>
      <w:r w:rsidRPr="009809BA">
        <w:rPr>
          <w:rFonts w:ascii="Goudy Old Style" w:hAnsi="Goudy Old Style" w:cs="Times New Roman"/>
          <w:iCs/>
          <w:noProof/>
        </w:rPr>
        <w:t>Perlindungan Hukum Bagi Kreditur Akibat Adanya Pailit Yang Diajukan Oleh Debitur Ditinjau Dari Undang-Undang Kepailitan</w:t>
      </w:r>
      <w:r w:rsidRPr="009809BA">
        <w:rPr>
          <w:rFonts w:ascii="Goudy Old Style" w:hAnsi="Goudy Old Style" w:cs="Times New Roman"/>
          <w:i/>
          <w:noProof/>
        </w:rPr>
        <w:t>.</w:t>
      </w:r>
      <w:r w:rsidRPr="009809BA">
        <w:rPr>
          <w:rFonts w:ascii="Goudy Old Style" w:hAnsi="Goudy Old Style" w:cs="Times New Roman"/>
          <w:noProof/>
        </w:rPr>
        <w:t xml:space="preserve"> </w:t>
      </w:r>
      <w:r w:rsidRPr="009809BA">
        <w:rPr>
          <w:rFonts w:ascii="Goudy Old Style" w:hAnsi="Goudy Old Style" w:cs="Times New Roman"/>
          <w:i/>
          <w:noProof/>
        </w:rPr>
        <w:t>Rechtens</w:t>
      </w:r>
      <w:r w:rsidRPr="009809BA">
        <w:rPr>
          <w:rFonts w:ascii="Goudy Old Style" w:hAnsi="Goudy Old Style" w:cs="Times New Roman"/>
          <w:noProof/>
        </w:rPr>
        <w:t xml:space="preserve">, </w:t>
      </w:r>
      <w:r w:rsidRPr="009809BA">
        <w:rPr>
          <w:rFonts w:ascii="Goudy Old Style" w:hAnsi="Goudy Old Style" w:cs="Times New Roman"/>
          <w:i/>
          <w:iCs/>
          <w:noProof/>
        </w:rPr>
        <w:t>9</w:t>
      </w:r>
      <w:r w:rsidRPr="009809BA">
        <w:rPr>
          <w:rFonts w:ascii="Goudy Old Style" w:hAnsi="Goudy Old Style" w:cs="Times New Roman"/>
          <w:noProof/>
        </w:rPr>
        <w:t>(1), 65–76.</w:t>
      </w:r>
    </w:p>
    <w:p w14:paraId="3B38CC88" w14:textId="3CD4F4ED" w:rsidR="00AE53DB" w:rsidRPr="00F72846"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F72846">
        <w:rPr>
          <w:rFonts w:ascii="Goudy Old Style" w:hAnsi="Goudy Old Style" w:cs="Times New Roman"/>
          <w:noProof/>
        </w:rPr>
        <w:t>Sembiring, S</w:t>
      </w:r>
      <w:r w:rsidR="003A45EB" w:rsidRPr="00F72846">
        <w:rPr>
          <w:rFonts w:ascii="Goudy Old Style" w:hAnsi="Goudy Old Style" w:cs="Times New Roman"/>
          <w:noProof/>
        </w:rPr>
        <w:t>entosa</w:t>
      </w:r>
      <w:r w:rsidRPr="00F72846">
        <w:rPr>
          <w:rFonts w:ascii="Goudy Old Style" w:hAnsi="Goudy Old Style" w:cs="Times New Roman"/>
          <w:noProof/>
        </w:rPr>
        <w:t xml:space="preserve">. (2017). </w:t>
      </w:r>
      <w:r w:rsidR="00E704C4" w:rsidRPr="00F72846">
        <w:rPr>
          <w:rFonts w:ascii="Goudy Old Style" w:hAnsi="Goudy Old Style" w:cs="Times New Roman"/>
          <w:i/>
          <w:noProof/>
        </w:rPr>
        <w:t>E</w:t>
      </w:r>
      <w:r w:rsidR="00E704C4" w:rsidRPr="00F72846">
        <w:rPr>
          <w:rFonts w:ascii="Goudy Old Style" w:hAnsi="Goudy Old Style" w:cs="Times New Roman"/>
          <w:iCs/>
          <w:noProof/>
        </w:rPr>
        <w:t>ksistensi Kurator d</w:t>
      </w:r>
      <w:r w:rsidRPr="00F72846">
        <w:rPr>
          <w:rFonts w:ascii="Goudy Old Style" w:hAnsi="Goudy Old Style" w:cs="Times New Roman"/>
          <w:iCs/>
          <w:noProof/>
        </w:rPr>
        <w:t>alam Pranata Hukum Kepalitan</w:t>
      </w:r>
      <w:r w:rsidRPr="00F72846">
        <w:rPr>
          <w:rFonts w:ascii="Goudy Old Style" w:hAnsi="Goudy Old Style" w:cs="Times New Roman"/>
          <w:i/>
          <w:noProof/>
        </w:rPr>
        <w:t>.</w:t>
      </w:r>
      <w:r w:rsidRPr="00F72846">
        <w:rPr>
          <w:rFonts w:ascii="Goudy Old Style" w:hAnsi="Goudy Old Style" w:cs="Times New Roman"/>
          <w:noProof/>
        </w:rPr>
        <w:t xml:space="preserve"> </w:t>
      </w:r>
      <w:r w:rsidRPr="00F72846">
        <w:rPr>
          <w:rFonts w:ascii="Goudy Old Style" w:hAnsi="Goudy Old Style" w:cs="Times New Roman"/>
          <w:i/>
          <w:noProof/>
        </w:rPr>
        <w:t>Jurnal Hukum Acara Perdata</w:t>
      </w:r>
      <w:r w:rsidRPr="00F72846">
        <w:rPr>
          <w:rFonts w:ascii="Goudy Old Style" w:hAnsi="Goudy Old Style" w:cs="Times New Roman"/>
          <w:noProof/>
        </w:rPr>
        <w:t xml:space="preserve">, </w:t>
      </w:r>
      <w:r w:rsidRPr="00F72846">
        <w:rPr>
          <w:rFonts w:ascii="Goudy Old Style" w:hAnsi="Goudy Old Style" w:cs="Times New Roman"/>
          <w:iCs/>
          <w:noProof/>
        </w:rPr>
        <w:t>3</w:t>
      </w:r>
      <w:r w:rsidRPr="00F72846">
        <w:rPr>
          <w:rFonts w:ascii="Goudy Old Style" w:hAnsi="Goudy Old Style" w:cs="Times New Roman"/>
          <w:noProof/>
        </w:rPr>
        <w:t>(1)</w:t>
      </w:r>
      <w:r w:rsidR="00F72846" w:rsidRPr="00F72846">
        <w:rPr>
          <w:rFonts w:ascii="Goudy Old Style" w:hAnsi="Goudy Old Style" w:cs="Times New Roman"/>
          <w:noProof/>
        </w:rPr>
        <w:t>, 91-110</w:t>
      </w:r>
      <w:r w:rsidRPr="00F72846">
        <w:rPr>
          <w:rFonts w:ascii="Goudy Old Style" w:hAnsi="Goudy Old Style" w:cs="Times New Roman"/>
          <w:noProof/>
        </w:rPr>
        <w:t>.</w:t>
      </w:r>
    </w:p>
    <w:p w14:paraId="0D0B4DCF" w14:textId="4FBF4F96" w:rsidR="00AE53DB" w:rsidRPr="00F72846"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F72846">
        <w:rPr>
          <w:rFonts w:ascii="Goudy Old Style" w:hAnsi="Goudy Old Style" w:cs="Times New Roman"/>
          <w:noProof/>
        </w:rPr>
        <w:t>Sharp, E</w:t>
      </w:r>
      <w:r w:rsidR="003A45EB" w:rsidRPr="00F72846">
        <w:rPr>
          <w:rFonts w:ascii="Goudy Old Style" w:hAnsi="Goudy Old Style" w:cs="Times New Roman"/>
          <w:noProof/>
        </w:rPr>
        <w:t>wan</w:t>
      </w:r>
      <w:r w:rsidR="009809BA" w:rsidRPr="00F72846">
        <w:rPr>
          <w:rFonts w:ascii="Goudy Old Style" w:hAnsi="Goudy Old Style" w:cs="Times New Roman"/>
          <w:noProof/>
        </w:rPr>
        <w:t>. (2020</w:t>
      </w:r>
      <w:r w:rsidRPr="00F72846">
        <w:rPr>
          <w:rFonts w:ascii="Goudy Old Style" w:hAnsi="Goudy Old Style" w:cs="Times New Roman"/>
          <w:noProof/>
        </w:rPr>
        <w:t xml:space="preserve">). </w:t>
      </w:r>
      <w:r w:rsidRPr="00F72846">
        <w:rPr>
          <w:rFonts w:ascii="Goudy Old Style" w:hAnsi="Goudy Old Style" w:cs="Times New Roman"/>
          <w:i/>
          <w:iCs/>
          <w:noProof/>
        </w:rPr>
        <w:t>Invitation to Qualitative Fieldwork</w:t>
      </w:r>
      <w:r w:rsidRPr="00F72846">
        <w:rPr>
          <w:rFonts w:ascii="Times New Roman" w:hAnsi="Times New Roman" w:cs="Times New Roman"/>
          <w:i/>
          <w:iCs/>
          <w:noProof/>
        </w:rPr>
        <w:t> </w:t>
      </w:r>
      <w:r w:rsidRPr="00F72846">
        <w:rPr>
          <w:rFonts w:ascii="Goudy Old Style" w:hAnsi="Goudy Old Style" w:cs="Times New Roman"/>
          <w:i/>
          <w:iCs/>
          <w:noProof/>
        </w:rPr>
        <w:t>: A Multilogical Approach</w:t>
      </w:r>
      <w:r w:rsidR="009809BA" w:rsidRPr="00F72846">
        <w:rPr>
          <w:rFonts w:ascii="Goudy Old Style" w:hAnsi="Goudy Old Style" w:cs="Times New Roman"/>
          <w:noProof/>
        </w:rPr>
        <w:t xml:space="preserve"> (1st ed.</w:t>
      </w:r>
      <w:r w:rsidRPr="00F72846">
        <w:rPr>
          <w:rFonts w:ascii="Goudy Old Style" w:hAnsi="Goudy Old Style" w:cs="Times New Roman"/>
          <w:noProof/>
        </w:rPr>
        <w:t xml:space="preserve">). </w:t>
      </w:r>
      <w:r w:rsidR="009809BA" w:rsidRPr="00F72846">
        <w:rPr>
          <w:rFonts w:ascii="Goudy Old Style" w:hAnsi="Goudy Old Style" w:cs="Times New Roman"/>
          <w:noProof/>
        </w:rPr>
        <w:t xml:space="preserve">UK: </w:t>
      </w:r>
      <w:r w:rsidRPr="00F72846">
        <w:rPr>
          <w:rFonts w:ascii="Goudy Old Style" w:hAnsi="Goudy Old Style" w:cs="Times New Roman"/>
          <w:noProof/>
        </w:rPr>
        <w:t>Ed-Tech Press.</w:t>
      </w:r>
    </w:p>
    <w:p w14:paraId="05B4ADDC" w14:textId="346956B2"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Suci, I. D. A. (2018). Karakterist</w:t>
      </w:r>
      <w:r w:rsidR="00E704C4" w:rsidRPr="009809BA">
        <w:rPr>
          <w:rFonts w:ascii="Goudy Old Style" w:hAnsi="Goudy Old Style" w:cs="Times New Roman"/>
          <w:noProof/>
        </w:rPr>
        <w:t>ik Hukum Acara Renvoi Prosedur d</w:t>
      </w:r>
      <w:r w:rsidRPr="009809BA">
        <w:rPr>
          <w:rFonts w:ascii="Goudy Old Style" w:hAnsi="Goudy Old Style" w:cs="Times New Roman"/>
          <w:noProof/>
        </w:rPr>
        <w:t xml:space="preserve">alam Perkara Kepailitan. </w:t>
      </w:r>
      <w:r w:rsidR="003A45EB" w:rsidRPr="009809BA">
        <w:rPr>
          <w:rFonts w:ascii="Goudy Old Style" w:hAnsi="Goudy Old Style" w:cs="Times New Roman"/>
          <w:i/>
          <w:iCs/>
          <w:noProof/>
        </w:rPr>
        <w:t>Disertasi</w:t>
      </w:r>
      <w:r w:rsidR="00B00909" w:rsidRPr="009809BA">
        <w:rPr>
          <w:rFonts w:ascii="Goudy Old Style" w:hAnsi="Goudy Old Style" w:cs="Times New Roman"/>
          <w:i/>
          <w:iCs/>
          <w:noProof/>
        </w:rPr>
        <w:t>.</w:t>
      </w:r>
      <w:r w:rsidR="003A45EB" w:rsidRPr="009809BA">
        <w:rPr>
          <w:rFonts w:ascii="Goudy Old Style" w:hAnsi="Goudy Old Style" w:cs="Times New Roman"/>
          <w:noProof/>
        </w:rPr>
        <w:t xml:space="preserve"> </w:t>
      </w:r>
      <w:r w:rsidRPr="009809BA">
        <w:rPr>
          <w:rFonts w:ascii="Goudy Old Style" w:hAnsi="Goudy Old Style" w:cs="Times New Roman"/>
          <w:noProof/>
        </w:rPr>
        <w:t>Universitas Jember.</w:t>
      </w:r>
    </w:p>
    <w:p w14:paraId="7F7E721D" w14:textId="33C58D92"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cs="Times New Roman"/>
          <w:noProof/>
        </w:rPr>
      </w:pPr>
      <w:r w:rsidRPr="009809BA">
        <w:rPr>
          <w:rFonts w:ascii="Goudy Old Style" w:hAnsi="Goudy Old Style" w:cs="Times New Roman"/>
          <w:noProof/>
        </w:rPr>
        <w:t xml:space="preserve">Wiharti, R. R., &amp; Novita, N. (2020). </w:t>
      </w:r>
      <w:r w:rsidRPr="009809BA">
        <w:rPr>
          <w:rFonts w:ascii="Goudy Old Style" w:hAnsi="Goudy Old Style" w:cs="Times New Roman"/>
          <w:iCs/>
          <w:noProof/>
        </w:rPr>
        <w:t>Dampak Penerapan Akuntansi Forensik dan Audit In</w:t>
      </w:r>
      <w:r w:rsidRPr="00F72846">
        <w:rPr>
          <w:rFonts w:ascii="Goudy Old Style" w:hAnsi="Goudy Old Style" w:cs="Times New Roman"/>
          <w:iCs/>
          <w:noProof/>
        </w:rPr>
        <w:t>vestigasi dalam Mendeteksi Fraud Pengadaan Barang/Jasa</w:t>
      </w:r>
      <w:r w:rsidRPr="00F72846">
        <w:rPr>
          <w:rFonts w:ascii="Goudy Old Style" w:hAnsi="Goudy Old Style" w:cs="Times New Roman"/>
          <w:i/>
          <w:noProof/>
        </w:rPr>
        <w:t>.</w:t>
      </w:r>
      <w:r w:rsidRPr="00F72846">
        <w:rPr>
          <w:rFonts w:ascii="Goudy Old Style" w:hAnsi="Goudy Old Style" w:cs="Times New Roman"/>
          <w:noProof/>
        </w:rPr>
        <w:t xml:space="preserve"> </w:t>
      </w:r>
      <w:r w:rsidRPr="00F72846">
        <w:rPr>
          <w:rFonts w:ascii="Goudy Old Style" w:hAnsi="Goudy Old Style" w:cs="Times New Roman"/>
          <w:i/>
          <w:noProof/>
        </w:rPr>
        <w:t xml:space="preserve">Jurnal Ilmiah Akuntansi </w:t>
      </w:r>
      <w:r w:rsidR="008972EC" w:rsidRPr="00F72846">
        <w:rPr>
          <w:rFonts w:ascii="Goudy Old Style" w:hAnsi="Goudy Old Style" w:cs="Times New Roman"/>
          <w:i/>
          <w:noProof/>
        </w:rPr>
        <w:t>d</w:t>
      </w:r>
      <w:r w:rsidRPr="00F72846">
        <w:rPr>
          <w:rFonts w:ascii="Goudy Old Style" w:hAnsi="Goudy Old Style" w:cs="Times New Roman"/>
          <w:i/>
          <w:noProof/>
        </w:rPr>
        <w:t>an Humanika</w:t>
      </w:r>
      <w:r w:rsidRPr="00F72846">
        <w:rPr>
          <w:rFonts w:ascii="Goudy Old Style" w:hAnsi="Goudy Old Style" w:cs="Times New Roman"/>
          <w:noProof/>
        </w:rPr>
        <w:t xml:space="preserve">, </w:t>
      </w:r>
      <w:r w:rsidRPr="00F72846">
        <w:rPr>
          <w:rFonts w:ascii="Goudy Old Style" w:hAnsi="Goudy Old Style" w:cs="Times New Roman"/>
          <w:iCs/>
          <w:noProof/>
        </w:rPr>
        <w:t>10</w:t>
      </w:r>
      <w:r w:rsidRPr="00F72846">
        <w:rPr>
          <w:rFonts w:ascii="Goudy Old Style" w:hAnsi="Goudy Old Style" w:cs="Times New Roman"/>
          <w:noProof/>
        </w:rPr>
        <w:t>(2), 115</w:t>
      </w:r>
      <w:r w:rsidR="00F72846" w:rsidRPr="00F72846">
        <w:rPr>
          <w:rFonts w:ascii="Goudy Old Style" w:hAnsi="Goudy Old Style" w:cs="Times New Roman"/>
          <w:noProof/>
        </w:rPr>
        <w:t>-125</w:t>
      </w:r>
      <w:r w:rsidRPr="00F72846">
        <w:rPr>
          <w:rFonts w:ascii="Goudy Old Style" w:hAnsi="Goudy Old Style" w:cs="Times New Roman"/>
          <w:noProof/>
        </w:rPr>
        <w:t xml:space="preserve">. </w:t>
      </w:r>
    </w:p>
    <w:p w14:paraId="30ECAE49" w14:textId="23A9D40B" w:rsidR="00AE53DB" w:rsidRPr="009809BA" w:rsidRDefault="00AE53DB" w:rsidP="009809BA">
      <w:pPr>
        <w:widowControl w:val="0"/>
        <w:autoSpaceDE w:val="0"/>
        <w:autoSpaceDN w:val="0"/>
        <w:adjustRightInd w:val="0"/>
        <w:spacing w:after="0" w:line="240" w:lineRule="auto"/>
        <w:ind w:left="475" w:hanging="475"/>
        <w:jc w:val="both"/>
        <w:rPr>
          <w:rFonts w:ascii="Goudy Old Style" w:hAnsi="Goudy Old Style"/>
          <w:noProof/>
        </w:rPr>
      </w:pPr>
      <w:r w:rsidRPr="009809BA">
        <w:rPr>
          <w:rFonts w:ascii="Goudy Old Style" w:hAnsi="Goudy Old Style" w:cs="Times New Roman"/>
          <w:noProof/>
        </w:rPr>
        <w:t xml:space="preserve">Yusuf, H., &amp; Isgiyarta, J. (2019). </w:t>
      </w:r>
      <w:r w:rsidRPr="009809BA">
        <w:rPr>
          <w:rFonts w:ascii="Goudy Old Style" w:hAnsi="Goudy Old Style" w:cs="Times New Roman"/>
          <w:iCs/>
          <w:noProof/>
        </w:rPr>
        <w:t>Analisis P</w:t>
      </w:r>
      <w:r w:rsidR="00E704C4" w:rsidRPr="009809BA">
        <w:rPr>
          <w:rFonts w:ascii="Goudy Old Style" w:hAnsi="Goudy Old Style" w:cs="Times New Roman"/>
          <w:iCs/>
          <w:noProof/>
        </w:rPr>
        <w:t>raktik Penghindaran Pajak di Bidang Impor p</w:t>
      </w:r>
      <w:r w:rsidRPr="009809BA">
        <w:rPr>
          <w:rFonts w:ascii="Goudy Old Style" w:hAnsi="Goudy Old Style" w:cs="Times New Roman"/>
          <w:iCs/>
          <w:noProof/>
        </w:rPr>
        <w:t>ada Kepailitan Perusahaan Ekspor Impor</w:t>
      </w:r>
      <w:r w:rsidRPr="009809BA">
        <w:rPr>
          <w:rFonts w:ascii="Goudy Old Style" w:hAnsi="Goudy Old Style" w:cs="Times New Roman"/>
          <w:i/>
          <w:noProof/>
        </w:rPr>
        <w:t>. Jurnal BPPK</w:t>
      </w:r>
      <w:r w:rsidRPr="009809BA">
        <w:rPr>
          <w:rFonts w:ascii="Goudy Old Style" w:hAnsi="Goudy Old Style" w:cs="Times New Roman"/>
          <w:noProof/>
        </w:rPr>
        <w:t xml:space="preserve">, </w:t>
      </w:r>
      <w:r w:rsidRPr="009809BA">
        <w:rPr>
          <w:rFonts w:ascii="Goudy Old Style" w:hAnsi="Goudy Old Style" w:cs="Times New Roman"/>
          <w:i/>
          <w:iCs/>
          <w:noProof/>
        </w:rPr>
        <w:t>12</w:t>
      </w:r>
      <w:r w:rsidRPr="009809BA">
        <w:rPr>
          <w:rFonts w:ascii="Goudy Old Style" w:hAnsi="Goudy Old Style" w:cs="Times New Roman"/>
          <w:noProof/>
        </w:rPr>
        <w:t>(1), 20–30.</w:t>
      </w:r>
    </w:p>
    <w:p w14:paraId="744931E0" w14:textId="3D6B2500" w:rsidR="001B397F" w:rsidRPr="001B397F" w:rsidRDefault="002A69EE" w:rsidP="009809BA">
      <w:pPr>
        <w:widowControl w:val="0"/>
        <w:autoSpaceDE w:val="0"/>
        <w:autoSpaceDN w:val="0"/>
        <w:adjustRightInd w:val="0"/>
        <w:spacing w:after="0" w:line="240" w:lineRule="auto"/>
        <w:ind w:left="475" w:hanging="475"/>
        <w:rPr>
          <w:rFonts w:ascii="Goudy Old Style" w:hAnsi="Goudy Old Style" w:cs="Times New Roman"/>
          <w:sz w:val="24"/>
          <w:szCs w:val="24"/>
          <w:lang w:val="id-ID"/>
        </w:rPr>
      </w:pPr>
      <w:r w:rsidRPr="009809BA">
        <w:rPr>
          <w:rFonts w:ascii="Goudy Old Style" w:hAnsi="Goudy Old Style" w:cs="Times New Roman"/>
          <w:lang w:val="id-ID"/>
        </w:rPr>
        <w:fldChar w:fldCharType="end"/>
      </w:r>
    </w:p>
    <w:sectPr w:rsidR="001B397F" w:rsidRPr="001B397F" w:rsidSect="00BA3A00">
      <w:headerReference w:type="default" r:id="rId11"/>
      <w:footerReference w:type="default" r:id="rId12"/>
      <w:pgSz w:w="11906" w:h="16838" w:code="9"/>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1606" w14:textId="77777777" w:rsidR="0076558F" w:rsidRDefault="0076558F" w:rsidP="00BD6A80">
      <w:pPr>
        <w:spacing w:after="0" w:line="240" w:lineRule="auto"/>
      </w:pPr>
      <w:r>
        <w:separator/>
      </w:r>
    </w:p>
  </w:endnote>
  <w:endnote w:type="continuationSeparator" w:id="0">
    <w:p w14:paraId="533CDACB" w14:textId="77777777" w:rsidR="0076558F" w:rsidRDefault="0076558F" w:rsidP="00BD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ndara" w:hAnsi="Candara"/>
      </w:rPr>
      <w:id w:val="1716396522"/>
      <w:docPartObj>
        <w:docPartGallery w:val="Page Numbers (Bottom of Page)"/>
        <w:docPartUnique/>
      </w:docPartObj>
    </w:sdtPr>
    <w:sdtEndPr>
      <w:rPr>
        <w:rFonts w:ascii="Bookman Old Style" w:hAnsi="Bookman Old Style"/>
        <w:sz w:val="20"/>
        <w:szCs w:val="20"/>
      </w:rPr>
    </w:sdtEndPr>
    <w:sdtContent>
      <w:p w14:paraId="36C4059A" w14:textId="14AD6E48" w:rsidR="00F25CD7" w:rsidRPr="0021217A" w:rsidRDefault="00F25CD7" w:rsidP="00226AF4">
        <w:pPr>
          <w:pStyle w:val="Footer"/>
          <w:jc w:val="center"/>
          <w:rPr>
            <w:rFonts w:ascii="Bookman Old Style" w:hAnsi="Bookman Old Style"/>
            <w:sz w:val="20"/>
            <w:szCs w:val="20"/>
          </w:rPr>
        </w:pPr>
        <w:r w:rsidRPr="0021217A">
          <w:rPr>
            <w:rFonts w:ascii="Bookman Old Style" w:hAnsi="Bookman Old Style"/>
            <w:sz w:val="20"/>
            <w:szCs w:val="20"/>
          </w:rPr>
          <w:t>Jati : Jurnal A</w:t>
        </w:r>
        <w:r>
          <w:rPr>
            <w:rFonts w:ascii="Bookman Old Style" w:hAnsi="Bookman Old Style"/>
            <w:sz w:val="20"/>
            <w:szCs w:val="20"/>
          </w:rPr>
          <w:t>kuntansi Terapan Indonesia, 2021</w:t>
        </w:r>
        <w:r w:rsidRPr="0021217A">
          <w:rPr>
            <w:rFonts w:ascii="Bookman Old Style" w:hAnsi="Bookman Old Style"/>
            <w:sz w:val="20"/>
            <w:szCs w:val="20"/>
          </w:rPr>
          <w:t xml:space="preserve"> </w:t>
        </w:r>
        <w:r w:rsidRPr="0021217A">
          <w:rPr>
            <w:rFonts w:ascii="Bookman Old Style" w:hAnsi="Bookman Old Style"/>
            <w:sz w:val="28"/>
            <w:szCs w:val="28"/>
          </w:rPr>
          <w:t xml:space="preserve">| </w:t>
        </w:r>
        <w:r w:rsidRPr="0021217A">
          <w:rPr>
            <w:rFonts w:ascii="Bookman Old Style" w:hAnsi="Bookman Old Style"/>
            <w:sz w:val="28"/>
            <w:szCs w:val="28"/>
          </w:rPr>
          <w:fldChar w:fldCharType="begin"/>
        </w:r>
        <w:r w:rsidRPr="0021217A">
          <w:rPr>
            <w:rFonts w:ascii="Bookman Old Style" w:hAnsi="Bookman Old Style"/>
            <w:sz w:val="28"/>
            <w:szCs w:val="28"/>
          </w:rPr>
          <w:instrText xml:space="preserve"> PAGE   \* MERGEFORMAT </w:instrText>
        </w:r>
        <w:r w:rsidRPr="0021217A">
          <w:rPr>
            <w:rFonts w:ascii="Bookman Old Style" w:hAnsi="Bookman Old Style"/>
            <w:sz w:val="28"/>
            <w:szCs w:val="28"/>
          </w:rPr>
          <w:fldChar w:fldCharType="separate"/>
        </w:r>
        <w:r>
          <w:rPr>
            <w:rFonts w:ascii="Bookman Old Style" w:hAnsi="Bookman Old Style"/>
            <w:noProof/>
            <w:sz w:val="28"/>
            <w:szCs w:val="28"/>
          </w:rPr>
          <w:t>10</w:t>
        </w:r>
        <w:r w:rsidRPr="0021217A">
          <w:rPr>
            <w:rFonts w:ascii="Bookman Old Style" w:hAnsi="Bookman Old Style"/>
            <w:noProof/>
            <w:sz w:val="28"/>
            <w:szCs w:val="28"/>
          </w:rPr>
          <w:fldChar w:fldCharType="end"/>
        </w:r>
      </w:p>
    </w:sdtContent>
  </w:sdt>
  <w:p w14:paraId="1917ACF4" w14:textId="77777777" w:rsidR="00F25CD7" w:rsidRDefault="00F25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962A" w14:textId="77777777" w:rsidR="0076558F" w:rsidRDefault="0076558F" w:rsidP="00BD6A80">
      <w:pPr>
        <w:spacing w:after="0" w:line="240" w:lineRule="auto"/>
      </w:pPr>
      <w:r>
        <w:separator/>
      </w:r>
    </w:p>
  </w:footnote>
  <w:footnote w:type="continuationSeparator" w:id="0">
    <w:p w14:paraId="6E79C497" w14:textId="77777777" w:rsidR="0076558F" w:rsidRDefault="0076558F" w:rsidP="00BD6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55C7" w14:textId="52FA657B" w:rsidR="00F25CD7" w:rsidRPr="007C24E3" w:rsidRDefault="00F25CD7" w:rsidP="0088153D">
    <w:pPr>
      <w:pStyle w:val="Header"/>
      <w:jc w:val="center"/>
      <w:rPr>
        <w:rFonts w:ascii="Candara" w:hAnsi="Candara"/>
        <w:b/>
        <w:sz w:val="20"/>
        <w:szCs w:val="20"/>
      </w:rPr>
    </w:pPr>
    <w:r>
      <w:rPr>
        <w:rFonts w:ascii="Candara" w:hAnsi="Candara"/>
        <w:b/>
        <w:sz w:val="20"/>
        <w:szCs w:val="20"/>
      </w:rPr>
      <w:t>Daurrohmah</w:t>
    </w:r>
    <w:r w:rsidRPr="007C24E3">
      <w:rPr>
        <w:rFonts w:ascii="Candara" w:hAnsi="Candara"/>
        <w:b/>
        <w:sz w:val="20"/>
        <w:szCs w:val="20"/>
      </w:rPr>
      <w:t xml:space="preserve">, </w:t>
    </w:r>
    <w:r>
      <w:rPr>
        <w:rFonts w:ascii="Candara" w:hAnsi="Candara"/>
        <w:b/>
        <w:sz w:val="20"/>
        <w:szCs w:val="20"/>
      </w:rPr>
      <w:t xml:space="preserve">Riza, </w:t>
    </w:r>
    <w:proofErr w:type="spellStart"/>
    <w:r>
      <w:rPr>
        <w:rFonts w:ascii="Candara" w:hAnsi="Candara"/>
        <w:b/>
        <w:sz w:val="20"/>
        <w:szCs w:val="20"/>
      </w:rPr>
      <w:t>Suryani</w:t>
    </w:r>
    <w:proofErr w:type="spellEnd"/>
  </w:p>
  <w:p w14:paraId="0518AA95" w14:textId="1B7A3B78" w:rsidR="00F25CD7" w:rsidRPr="007C24E3" w:rsidRDefault="00D67F57" w:rsidP="00D67F57">
    <w:pPr>
      <w:pStyle w:val="Header"/>
      <w:jc w:val="center"/>
      <w:rPr>
        <w:rFonts w:ascii="Candara" w:hAnsi="Candara"/>
        <w:sz w:val="18"/>
        <w:szCs w:val="18"/>
      </w:rPr>
    </w:pPr>
    <w:r w:rsidRPr="00D67F57">
      <w:rPr>
        <w:rFonts w:ascii="Candara" w:hAnsi="Candara"/>
        <w:sz w:val="18"/>
        <w:szCs w:val="18"/>
      </w:rPr>
      <w:t>Comprehensive Model of Bankruptcy and Forensic Accounting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A07"/>
    <w:multiLevelType w:val="hybridMultilevel"/>
    <w:tmpl w:val="86D06C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CE5D99"/>
    <w:multiLevelType w:val="hybridMultilevel"/>
    <w:tmpl w:val="A43E8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65CE7"/>
    <w:multiLevelType w:val="hybridMultilevel"/>
    <w:tmpl w:val="BAEC7E8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B1239C3"/>
    <w:multiLevelType w:val="hybridMultilevel"/>
    <w:tmpl w:val="454839CA"/>
    <w:lvl w:ilvl="0" w:tplc="4192E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C3DC4"/>
    <w:multiLevelType w:val="hybridMultilevel"/>
    <w:tmpl w:val="C1CA03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FDF460F"/>
    <w:multiLevelType w:val="hybridMultilevel"/>
    <w:tmpl w:val="68A87C3C"/>
    <w:lvl w:ilvl="0" w:tplc="844E286E">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9C2B53"/>
    <w:multiLevelType w:val="hybridMultilevel"/>
    <w:tmpl w:val="9082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A106A"/>
    <w:multiLevelType w:val="hybridMultilevel"/>
    <w:tmpl w:val="D7100838"/>
    <w:lvl w:ilvl="0" w:tplc="420E61A8">
      <w:start w:val="30"/>
      <w:numFmt w:val="bullet"/>
      <w:lvlText w:val="-"/>
      <w:lvlJc w:val="left"/>
      <w:pPr>
        <w:ind w:left="720" w:hanging="360"/>
      </w:pPr>
      <w:rPr>
        <w:rFonts w:ascii="Goudy Old Style" w:eastAsiaTheme="minorEastAsia" w:hAnsi="Goudy Old Style"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912268C"/>
    <w:multiLevelType w:val="hybridMultilevel"/>
    <w:tmpl w:val="58820494"/>
    <w:lvl w:ilvl="0" w:tplc="03C285F2">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9AB1ACB"/>
    <w:multiLevelType w:val="hybridMultilevel"/>
    <w:tmpl w:val="713C8B8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15:restartNumberingAfterBreak="0">
    <w:nsid w:val="3FF967B5"/>
    <w:multiLevelType w:val="hybridMultilevel"/>
    <w:tmpl w:val="A4085B3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4061785F"/>
    <w:multiLevelType w:val="hybridMultilevel"/>
    <w:tmpl w:val="D24E7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D3945"/>
    <w:multiLevelType w:val="hybridMultilevel"/>
    <w:tmpl w:val="0DAE49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DF68E1"/>
    <w:multiLevelType w:val="hybridMultilevel"/>
    <w:tmpl w:val="6A2EBE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AB1801"/>
    <w:multiLevelType w:val="hybridMultilevel"/>
    <w:tmpl w:val="F974710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ED25C62"/>
    <w:multiLevelType w:val="hybridMultilevel"/>
    <w:tmpl w:val="C73E31CC"/>
    <w:lvl w:ilvl="0" w:tplc="ED2AF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95F4F"/>
    <w:multiLevelType w:val="hybridMultilevel"/>
    <w:tmpl w:val="2FD207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8BA01F1"/>
    <w:multiLevelType w:val="hybridMultilevel"/>
    <w:tmpl w:val="E36E7DB0"/>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8" w15:restartNumberingAfterBreak="0">
    <w:nsid w:val="73211998"/>
    <w:multiLevelType w:val="hybridMultilevel"/>
    <w:tmpl w:val="0F966A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B151683"/>
    <w:multiLevelType w:val="hybridMultilevel"/>
    <w:tmpl w:val="CC709A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E420ED7"/>
    <w:multiLevelType w:val="hybridMultilevel"/>
    <w:tmpl w:val="3C8423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F041C62"/>
    <w:multiLevelType w:val="hybridMultilevel"/>
    <w:tmpl w:val="D1320E9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2"/>
  </w:num>
  <w:num w:numId="4">
    <w:abstractNumId w:val="5"/>
  </w:num>
  <w:num w:numId="5">
    <w:abstractNumId w:val="9"/>
  </w:num>
  <w:num w:numId="6">
    <w:abstractNumId w:val="17"/>
  </w:num>
  <w:num w:numId="7">
    <w:abstractNumId w:val="21"/>
  </w:num>
  <w:num w:numId="8">
    <w:abstractNumId w:val="10"/>
  </w:num>
  <w:num w:numId="9">
    <w:abstractNumId w:val="14"/>
  </w:num>
  <w:num w:numId="10">
    <w:abstractNumId w:val="20"/>
  </w:num>
  <w:num w:numId="11">
    <w:abstractNumId w:val="13"/>
  </w:num>
  <w:num w:numId="12">
    <w:abstractNumId w:val="18"/>
  </w:num>
  <w:num w:numId="13">
    <w:abstractNumId w:val="4"/>
  </w:num>
  <w:num w:numId="14">
    <w:abstractNumId w:val="16"/>
  </w:num>
  <w:num w:numId="15">
    <w:abstractNumId w:val="8"/>
  </w:num>
  <w:num w:numId="16">
    <w:abstractNumId w:val="6"/>
  </w:num>
  <w:num w:numId="17">
    <w:abstractNumId w:val="7"/>
  </w:num>
  <w:num w:numId="18">
    <w:abstractNumId w:val="12"/>
  </w:num>
  <w:num w:numId="19">
    <w:abstractNumId w:val="11"/>
  </w:num>
  <w:num w:numId="20">
    <w:abstractNumId w:val="15"/>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NDUyM7cwM7I0NLFQ0lEKTi0uzszPAykwqgUAVmJQXiwAAAA="/>
  </w:docVars>
  <w:rsids>
    <w:rsidRoot w:val="00994A4D"/>
    <w:rsid w:val="000024B2"/>
    <w:rsid w:val="0000556F"/>
    <w:rsid w:val="0002082A"/>
    <w:rsid w:val="000212DB"/>
    <w:rsid w:val="00023D1A"/>
    <w:rsid w:val="00027B57"/>
    <w:rsid w:val="00027E82"/>
    <w:rsid w:val="000333DB"/>
    <w:rsid w:val="000511AD"/>
    <w:rsid w:val="000551E7"/>
    <w:rsid w:val="0005604E"/>
    <w:rsid w:val="00064F11"/>
    <w:rsid w:val="00072624"/>
    <w:rsid w:val="0007309D"/>
    <w:rsid w:val="00097243"/>
    <w:rsid w:val="000A2D99"/>
    <w:rsid w:val="000A36CD"/>
    <w:rsid w:val="000A644D"/>
    <w:rsid w:val="000B4E8C"/>
    <w:rsid w:val="000B7FCE"/>
    <w:rsid w:val="000C44F2"/>
    <w:rsid w:val="000D1D54"/>
    <w:rsid w:val="000D2F33"/>
    <w:rsid w:val="000E00E0"/>
    <w:rsid w:val="000E41EE"/>
    <w:rsid w:val="000E45B0"/>
    <w:rsid w:val="000E4EB1"/>
    <w:rsid w:val="000F63C0"/>
    <w:rsid w:val="000F6E7B"/>
    <w:rsid w:val="00102453"/>
    <w:rsid w:val="00102FB5"/>
    <w:rsid w:val="00105218"/>
    <w:rsid w:val="0011174C"/>
    <w:rsid w:val="00112494"/>
    <w:rsid w:val="00115F5B"/>
    <w:rsid w:val="00116597"/>
    <w:rsid w:val="00121C6E"/>
    <w:rsid w:val="00125431"/>
    <w:rsid w:val="00126368"/>
    <w:rsid w:val="00132C30"/>
    <w:rsid w:val="00134E95"/>
    <w:rsid w:val="00135037"/>
    <w:rsid w:val="0013724F"/>
    <w:rsid w:val="001435F1"/>
    <w:rsid w:val="00145ECB"/>
    <w:rsid w:val="001507EE"/>
    <w:rsid w:val="00151A03"/>
    <w:rsid w:val="00154B26"/>
    <w:rsid w:val="00160707"/>
    <w:rsid w:val="00161939"/>
    <w:rsid w:val="001632F3"/>
    <w:rsid w:val="0016691D"/>
    <w:rsid w:val="001707E3"/>
    <w:rsid w:val="00171307"/>
    <w:rsid w:val="001740DC"/>
    <w:rsid w:val="0018278A"/>
    <w:rsid w:val="001876FF"/>
    <w:rsid w:val="001920A1"/>
    <w:rsid w:val="00193C72"/>
    <w:rsid w:val="00197823"/>
    <w:rsid w:val="001A38E5"/>
    <w:rsid w:val="001A5C33"/>
    <w:rsid w:val="001B04C1"/>
    <w:rsid w:val="001B2D7D"/>
    <w:rsid w:val="001B397F"/>
    <w:rsid w:val="001B751A"/>
    <w:rsid w:val="001C2729"/>
    <w:rsid w:val="001D0A76"/>
    <w:rsid w:val="001D3C7F"/>
    <w:rsid w:val="001E0D58"/>
    <w:rsid w:val="001E7E39"/>
    <w:rsid w:val="001F0A02"/>
    <w:rsid w:val="001F369F"/>
    <w:rsid w:val="001F451F"/>
    <w:rsid w:val="00200A59"/>
    <w:rsid w:val="00204B18"/>
    <w:rsid w:val="00205895"/>
    <w:rsid w:val="00207022"/>
    <w:rsid w:val="00207B75"/>
    <w:rsid w:val="0021217A"/>
    <w:rsid w:val="00223051"/>
    <w:rsid w:val="00223DDC"/>
    <w:rsid w:val="002258FF"/>
    <w:rsid w:val="00226AF4"/>
    <w:rsid w:val="00234368"/>
    <w:rsid w:val="002440AA"/>
    <w:rsid w:val="002518A2"/>
    <w:rsid w:val="00257F7B"/>
    <w:rsid w:val="00272790"/>
    <w:rsid w:val="00274992"/>
    <w:rsid w:val="0027530B"/>
    <w:rsid w:val="002861FB"/>
    <w:rsid w:val="00286250"/>
    <w:rsid w:val="00286F6E"/>
    <w:rsid w:val="00290CF2"/>
    <w:rsid w:val="00291775"/>
    <w:rsid w:val="002A1C40"/>
    <w:rsid w:val="002A35D4"/>
    <w:rsid w:val="002A497F"/>
    <w:rsid w:val="002A6744"/>
    <w:rsid w:val="002A69EE"/>
    <w:rsid w:val="002C3549"/>
    <w:rsid w:val="002C46B3"/>
    <w:rsid w:val="002C5547"/>
    <w:rsid w:val="002D3EF9"/>
    <w:rsid w:val="002D4411"/>
    <w:rsid w:val="002D543A"/>
    <w:rsid w:val="002E2C8A"/>
    <w:rsid w:val="002E304C"/>
    <w:rsid w:val="002E4FBC"/>
    <w:rsid w:val="002E6078"/>
    <w:rsid w:val="002E7370"/>
    <w:rsid w:val="002F046D"/>
    <w:rsid w:val="002F1BB8"/>
    <w:rsid w:val="00301140"/>
    <w:rsid w:val="00301836"/>
    <w:rsid w:val="003032BF"/>
    <w:rsid w:val="003058C2"/>
    <w:rsid w:val="00312F77"/>
    <w:rsid w:val="00326C9F"/>
    <w:rsid w:val="00335910"/>
    <w:rsid w:val="0034113C"/>
    <w:rsid w:val="003450E9"/>
    <w:rsid w:val="00350FE2"/>
    <w:rsid w:val="00360009"/>
    <w:rsid w:val="003738BD"/>
    <w:rsid w:val="0038448D"/>
    <w:rsid w:val="00390B81"/>
    <w:rsid w:val="003944FA"/>
    <w:rsid w:val="00395F30"/>
    <w:rsid w:val="003A45EB"/>
    <w:rsid w:val="003A70AC"/>
    <w:rsid w:val="003B0B7E"/>
    <w:rsid w:val="003C23D8"/>
    <w:rsid w:val="003C4B29"/>
    <w:rsid w:val="003C5E3F"/>
    <w:rsid w:val="003D7757"/>
    <w:rsid w:val="003F2A05"/>
    <w:rsid w:val="003F6965"/>
    <w:rsid w:val="00402E44"/>
    <w:rsid w:val="00405B55"/>
    <w:rsid w:val="00416338"/>
    <w:rsid w:val="00426F76"/>
    <w:rsid w:val="00434BE8"/>
    <w:rsid w:val="00452596"/>
    <w:rsid w:val="00453C7E"/>
    <w:rsid w:val="004603F9"/>
    <w:rsid w:val="00460920"/>
    <w:rsid w:val="00463382"/>
    <w:rsid w:val="004723C9"/>
    <w:rsid w:val="004737B7"/>
    <w:rsid w:val="0047512A"/>
    <w:rsid w:val="004751AC"/>
    <w:rsid w:val="00475996"/>
    <w:rsid w:val="0048022F"/>
    <w:rsid w:val="00485793"/>
    <w:rsid w:val="00486F0F"/>
    <w:rsid w:val="00490868"/>
    <w:rsid w:val="00496E03"/>
    <w:rsid w:val="004A41D1"/>
    <w:rsid w:val="004A6FF7"/>
    <w:rsid w:val="004A72E1"/>
    <w:rsid w:val="004A7A12"/>
    <w:rsid w:val="004B366E"/>
    <w:rsid w:val="004C0B51"/>
    <w:rsid w:val="004D2080"/>
    <w:rsid w:val="004D42B0"/>
    <w:rsid w:val="004E5328"/>
    <w:rsid w:val="004E6201"/>
    <w:rsid w:val="004F1EC7"/>
    <w:rsid w:val="00500F12"/>
    <w:rsid w:val="005039CC"/>
    <w:rsid w:val="00504EC7"/>
    <w:rsid w:val="00511FA6"/>
    <w:rsid w:val="00512F5E"/>
    <w:rsid w:val="0051525F"/>
    <w:rsid w:val="005164EB"/>
    <w:rsid w:val="005219D4"/>
    <w:rsid w:val="005275DC"/>
    <w:rsid w:val="00531B94"/>
    <w:rsid w:val="00534504"/>
    <w:rsid w:val="00535C7D"/>
    <w:rsid w:val="00541F50"/>
    <w:rsid w:val="0054389C"/>
    <w:rsid w:val="00545C4E"/>
    <w:rsid w:val="00552564"/>
    <w:rsid w:val="00552588"/>
    <w:rsid w:val="00555D76"/>
    <w:rsid w:val="00562D91"/>
    <w:rsid w:val="00563DB9"/>
    <w:rsid w:val="00573BB1"/>
    <w:rsid w:val="00585455"/>
    <w:rsid w:val="00587393"/>
    <w:rsid w:val="005928EC"/>
    <w:rsid w:val="00593B21"/>
    <w:rsid w:val="005A5EFA"/>
    <w:rsid w:val="005A64E7"/>
    <w:rsid w:val="005B2EB4"/>
    <w:rsid w:val="005B2F19"/>
    <w:rsid w:val="005B45B5"/>
    <w:rsid w:val="005B69F9"/>
    <w:rsid w:val="005C0B44"/>
    <w:rsid w:val="005C396B"/>
    <w:rsid w:val="005D1456"/>
    <w:rsid w:val="005D23D7"/>
    <w:rsid w:val="005D53B2"/>
    <w:rsid w:val="005F2947"/>
    <w:rsid w:val="006032F9"/>
    <w:rsid w:val="0060571F"/>
    <w:rsid w:val="00606AC0"/>
    <w:rsid w:val="006275A1"/>
    <w:rsid w:val="00630B5E"/>
    <w:rsid w:val="00641A3C"/>
    <w:rsid w:val="00641E0D"/>
    <w:rsid w:val="00642D56"/>
    <w:rsid w:val="0064302C"/>
    <w:rsid w:val="006438F2"/>
    <w:rsid w:val="00646662"/>
    <w:rsid w:val="00652BDF"/>
    <w:rsid w:val="00654329"/>
    <w:rsid w:val="00657D07"/>
    <w:rsid w:val="0066259E"/>
    <w:rsid w:val="00665E70"/>
    <w:rsid w:val="006701D0"/>
    <w:rsid w:val="00672133"/>
    <w:rsid w:val="00672367"/>
    <w:rsid w:val="006749D0"/>
    <w:rsid w:val="0067725A"/>
    <w:rsid w:val="00694127"/>
    <w:rsid w:val="0069659E"/>
    <w:rsid w:val="006A3940"/>
    <w:rsid w:val="006A4328"/>
    <w:rsid w:val="006A625D"/>
    <w:rsid w:val="006B1EB1"/>
    <w:rsid w:val="006B7388"/>
    <w:rsid w:val="006B74A1"/>
    <w:rsid w:val="006B763A"/>
    <w:rsid w:val="006C06DB"/>
    <w:rsid w:val="006C0A37"/>
    <w:rsid w:val="006C3D9D"/>
    <w:rsid w:val="006C6B90"/>
    <w:rsid w:val="006D36DC"/>
    <w:rsid w:val="006D4087"/>
    <w:rsid w:val="006D600F"/>
    <w:rsid w:val="006D71B2"/>
    <w:rsid w:val="006E1F13"/>
    <w:rsid w:val="006E262D"/>
    <w:rsid w:val="006E6A34"/>
    <w:rsid w:val="006F2E32"/>
    <w:rsid w:val="006F7AC7"/>
    <w:rsid w:val="00700837"/>
    <w:rsid w:val="0070432C"/>
    <w:rsid w:val="00712ADC"/>
    <w:rsid w:val="007157B8"/>
    <w:rsid w:val="00715958"/>
    <w:rsid w:val="00726F04"/>
    <w:rsid w:val="00736305"/>
    <w:rsid w:val="0073750C"/>
    <w:rsid w:val="0075090B"/>
    <w:rsid w:val="007509BC"/>
    <w:rsid w:val="00756FF0"/>
    <w:rsid w:val="00761D73"/>
    <w:rsid w:val="0076558F"/>
    <w:rsid w:val="007707E2"/>
    <w:rsid w:val="00772D56"/>
    <w:rsid w:val="0077764F"/>
    <w:rsid w:val="00780862"/>
    <w:rsid w:val="00780982"/>
    <w:rsid w:val="007912BB"/>
    <w:rsid w:val="00793696"/>
    <w:rsid w:val="007947A4"/>
    <w:rsid w:val="00795520"/>
    <w:rsid w:val="007B1972"/>
    <w:rsid w:val="007B545A"/>
    <w:rsid w:val="007C1AD0"/>
    <w:rsid w:val="007C24E3"/>
    <w:rsid w:val="007C3EBC"/>
    <w:rsid w:val="007C4B9F"/>
    <w:rsid w:val="007D1A2E"/>
    <w:rsid w:val="007E1DA4"/>
    <w:rsid w:val="007E3B9D"/>
    <w:rsid w:val="007E5647"/>
    <w:rsid w:val="007E5C04"/>
    <w:rsid w:val="007F61BF"/>
    <w:rsid w:val="00816152"/>
    <w:rsid w:val="00816E43"/>
    <w:rsid w:val="00817163"/>
    <w:rsid w:val="00820BFE"/>
    <w:rsid w:val="0082417C"/>
    <w:rsid w:val="008275E4"/>
    <w:rsid w:val="0084345C"/>
    <w:rsid w:val="008545B9"/>
    <w:rsid w:val="008575E3"/>
    <w:rsid w:val="0086003D"/>
    <w:rsid w:val="00866EDE"/>
    <w:rsid w:val="00867B3E"/>
    <w:rsid w:val="00874B13"/>
    <w:rsid w:val="00876A94"/>
    <w:rsid w:val="0088153D"/>
    <w:rsid w:val="0088195D"/>
    <w:rsid w:val="008832E8"/>
    <w:rsid w:val="00895902"/>
    <w:rsid w:val="00895D1B"/>
    <w:rsid w:val="00896099"/>
    <w:rsid w:val="008972EC"/>
    <w:rsid w:val="008979CC"/>
    <w:rsid w:val="008A1585"/>
    <w:rsid w:val="008A7B87"/>
    <w:rsid w:val="008B0974"/>
    <w:rsid w:val="008B50A8"/>
    <w:rsid w:val="008B520D"/>
    <w:rsid w:val="008B7F08"/>
    <w:rsid w:val="008C47FB"/>
    <w:rsid w:val="008D17A1"/>
    <w:rsid w:val="008E2EFF"/>
    <w:rsid w:val="008E4A69"/>
    <w:rsid w:val="008E5234"/>
    <w:rsid w:val="008E529D"/>
    <w:rsid w:val="008E5EDF"/>
    <w:rsid w:val="00904EA3"/>
    <w:rsid w:val="00925F1C"/>
    <w:rsid w:val="00925F62"/>
    <w:rsid w:val="00935762"/>
    <w:rsid w:val="00937CAD"/>
    <w:rsid w:val="009472B5"/>
    <w:rsid w:val="00952BEF"/>
    <w:rsid w:val="00955674"/>
    <w:rsid w:val="0096062C"/>
    <w:rsid w:val="00961B21"/>
    <w:rsid w:val="009702AA"/>
    <w:rsid w:val="009702CA"/>
    <w:rsid w:val="00971CB2"/>
    <w:rsid w:val="0097441E"/>
    <w:rsid w:val="00974E6D"/>
    <w:rsid w:val="009809BA"/>
    <w:rsid w:val="00981D8F"/>
    <w:rsid w:val="0098223F"/>
    <w:rsid w:val="009868CC"/>
    <w:rsid w:val="00993621"/>
    <w:rsid w:val="00994A4D"/>
    <w:rsid w:val="009A3314"/>
    <w:rsid w:val="009A42ED"/>
    <w:rsid w:val="009A5634"/>
    <w:rsid w:val="009B447A"/>
    <w:rsid w:val="009C20B3"/>
    <w:rsid w:val="009D1BDD"/>
    <w:rsid w:val="009D61FB"/>
    <w:rsid w:val="009E0ECA"/>
    <w:rsid w:val="009E2E0A"/>
    <w:rsid w:val="009F1B46"/>
    <w:rsid w:val="009F2410"/>
    <w:rsid w:val="009F74C0"/>
    <w:rsid w:val="00A1167F"/>
    <w:rsid w:val="00A243B6"/>
    <w:rsid w:val="00A27B6B"/>
    <w:rsid w:val="00A30FDC"/>
    <w:rsid w:val="00A332A5"/>
    <w:rsid w:val="00A414D6"/>
    <w:rsid w:val="00A41EC7"/>
    <w:rsid w:val="00A41F63"/>
    <w:rsid w:val="00A4245F"/>
    <w:rsid w:val="00A43B69"/>
    <w:rsid w:val="00A43B76"/>
    <w:rsid w:val="00A44770"/>
    <w:rsid w:val="00A44A99"/>
    <w:rsid w:val="00A579B8"/>
    <w:rsid w:val="00A6749D"/>
    <w:rsid w:val="00A83875"/>
    <w:rsid w:val="00A85213"/>
    <w:rsid w:val="00A86336"/>
    <w:rsid w:val="00A90B17"/>
    <w:rsid w:val="00A90BA2"/>
    <w:rsid w:val="00A9112F"/>
    <w:rsid w:val="00A91C21"/>
    <w:rsid w:val="00A94FD7"/>
    <w:rsid w:val="00AA034F"/>
    <w:rsid w:val="00AA271B"/>
    <w:rsid w:val="00AB1B5B"/>
    <w:rsid w:val="00AB286D"/>
    <w:rsid w:val="00AD2C99"/>
    <w:rsid w:val="00AE53DB"/>
    <w:rsid w:val="00AE5F31"/>
    <w:rsid w:val="00AF78F5"/>
    <w:rsid w:val="00B00909"/>
    <w:rsid w:val="00B00B76"/>
    <w:rsid w:val="00B01C55"/>
    <w:rsid w:val="00B02522"/>
    <w:rsid w:val="00B11D4F"/>
    <w:rsid w:val="00B12898"/>
    <w:rsid w:val="00B15B3F"/>
    <w:rsid w:val="00B2579E"/>
    <w:rsid w:val="00B2667F"/>
    <w:rsid w:val="00B26707"/>
    <w:rsid w:val="00B35065"/>
    <w:rsid w:val="00B40CA0"/>
    <w:rsid w:val="00B44CE6"/>
    <w:rsid w:val="00B468D5"/>
    <w:rsid w:val="00B526B7"/>
    <w:rsid w:val="00B55D20"/>
    <w:rsid w:val="00B642D4"/>
    <w:rsid w:val="00B65453"/>
    <w:rsid w:val="00B7009B"/>
    <w:rsid w:val="00B73AE8"/>
    <w:rsid w:val="00B7740D"/>
    <w:rsid w:val="00B779D8"/>
    <w:rsid w:val="00B81FE0"/>
    <w:rsid w:val="00B838CD"/>
    <w:rsid w:val="00BA0A13"/>
    <w:rsid w:val="00BA3A00"/>
    <w:rsid w:val="00BA4C99"/>
    <w:rsid w:val="00BB0B3E"/>
    <w:rsid w:val="00BB0D3D"/>
    <w:rsid w:val="00BB256D"/>
    <w:rsid w:val="00BB438D"/>
    <w:rsid w:val="00BC0A8C"/>
    <w:rsid w:val="00BC411C"/>
    <w:rsid w:val="00BC53B6"/>
    <w:rsid w:val="00BC5DD1"/>
    <w:rsid w:val="00BD3624"/>
    <w:rsid w:val="00BD423B"/>
    <w:rsid w:val="00BD4E68"/>
    <w:rsid w:val="00BD6A80"/>
    <w:rsid w:val="00BD7B1D"/>
    <w:rsid w:val="00BE054D"/>
    <w:rsid w:val="00BE185E"/>
    <w:rsid w:val="00BE5CFF"/>
    <w:rsid w:val="00BF48B8"/>
    <w:rsid w:val="00BF4990"/>
    <w:rsid w:val="00C002A4"/>
    <w:rsid w:val="00C01BE7"/>
    <w:rsid w:val="00C12B60"/>
    <w:rsid w:val="00C15C44"/>
    <w:rsid w:val="00C23697"/>
    <w:rsid w:val="00C257B8"/>
    <w:rsid w:val="00C3039F"/>
    <w:rsid w:val="00C35194"/>
    <w:rsid w:val="00C37E1C"/>
    <w:rsid w:val="00C41C31"/>
    <w:rsid w:val="00C53D1B"/>
    <w:rsid w:val="00C63295"/>
    <w:rsid w:val="00C63804"/>
    <w:rsid w:val="00C74A4F"/>
    <w:rsid w:val="00C760A7"/>
    <w:rsid w:val="00C81165"/>
    <w:rsid w:val="00C83406"/>
    <w:rsid w:val="00C9244D"/>
    <w:rsid w:val="00C93869"/>
    <w:rsid w:val="00C93C36"/>
    <w:rsid w:val="00CA103C"/>
    <w:rsid w:val="00CB570C"/>
    <w:rsid w:val="00CB577E"/>
    <w:rsid w:val="00CC16FF"/>
    <w:rsid w:val="00CC3C5B"/>
    <w:rsid w:val="00CC4418"/>
    <w:rsid w:val="00CD448D"/>
    <w:rsid w:val="00CD574C"/>
    <w:rsid w:val="00CD7E07"/>
    <w:rsid w:val="00D006EF"/>
    <w:rsid w:val="00D0170F"/>
    <w:rsid w:val="00D138B2"/>
    <w:rsid w:val="00D26188"/>
    <w:rsid w:val="00D464C5"/>
    <w:rsid w:val="00D51197"/>
    <w:rsid w:val="00D51D7C"/>
    <w:rsid w:val="00D5637D"/>
    <w:rsid w:val="00D56FB3"/>
    <w:rsid w:val="00D67F57"/>
    <w:rsid w:val="00D70FE8"/>
    <w:rsid w:val="00D73A00"/>
    <w:rsid w:val="00D76A1D"/>
    <w:rsid w:val="00D8323F"/>
    <w:rsid w:val="00D842AD"/>
    <w:rsid w:val="00D84C87"/>
    <w:rsid w:val="00D856C3"/>
    <w:rsid w:val="00D85E12"/>
    <w:rsid w:val="00D87E42"/>
    <w:rsid w:val="00DA038F"/>
    <w:rsid w:val="00DA38F5"/>
    <w:rsid w:val="00DA49D1"/>
    <w:rsid w:val="00DA73D8"/>
    <w:rsid w:val="00DB5BB8"/>
    <w:rsid w:val="00DB61A0"/>
    <w:rsid w:val="00DC17BB"/>
    <w:rsid w:val="00DC5EC2"/>
    <w:rsid w:val="00DD68F1"/>
    <w:rsid w:val="00DE01FD"/>
    <w:rsid w:val="00DE1A42"/>
    <w:rsid w:val="00DE2B1A"/>
    <w:rsid w:val="00DE3D9A"/>
    <w:rsid w:val="00DE7C9D"/>
    <w:rsid w:val="00DF182C"/>
    <w:rsid w:val="00DF6EEE"/>
    <w:rsid w:val="00E0128F"/>
    <w:rsid w:val="00E01C77"/>
    <w:rsid w:val="00E06515"/>
    <w:rsid w:val="00E14612"/>
    <w:rsid w:val="00E20869"/>
    <w:rsid w:val="00E242BC"/>
    <w:rsid w:val="00E252F3"/>
    <w:rsid w:val="00E27EAA"/>
    <w:rsid w:val="00E31B36"/>
    <w:rsid w:val="00E320A6"/>
    <w:rsid w:val="00E32A74"/>
    <w:rsid w:val="00E36616"/>
    <w:rsid w:val="00E37AB5"/>
    <w:rsid w:val="00E43874"/>
    <w:rsid w:val="00E441AB"/>
    <w:rsid w:val="00E44423"/>
    <w:rsid w:val="00E44E6D"/>
    <w:rsid w:val="00E47523"/>
    <w:rsid w:val="00E50C8E"/>
    <w:rsid w:val="00E54FDE"/>
    <w:rsid w:val="00E5721D"/>
    <w:rsid w:val="00E572FA"/>
    <w:rsid w:val="00E704C4"/>
    <w:rsid w:val="00E70BC9"/>
    <w:rsid w:val="00E73BF9"/>
    <w:rsid w:val="00E87143"/>
    <w:rsid w:val="00E90227"/>
    <w:rsid w:val="00E92928"/>
    <w:rsid w:val="00E935E2"/>
    <w:rsid w:val="00E974A7"/>
    <w:rsid w:val="00E9763E"/>
    <w:rsid w:val="00EA2566"/>
    <w:rsid w:val="00EA4A51"/>
    <w:rsid w:val="00EB1231"/>
    <w:rsid w:val="00EB1F74"/>
    <w:rsid w:val="00ED0BE5"/>
    <w:rsid w:val="00ED72C4"/>
    <w:rsid w:val="00ED77D7"/>
    <w:rsid w:val="00EE03FC"/>
    <w:rsid w:val="00EE252C"/>
    <w:rsid w:val="00EE29FB"/>
    <w:rsid w:val="00EE36CD"/>
    <w:rsid w:val="00EF47DD"/>
    <w:rsid w:val="00EF5B0F"/>
    <w:rsid w:val="00EF5D81"/>
    <w:rsid w:val="00F02C3F"/>
    <w:rsid w:val="00F06C05"/>
    <w:rsid w:val="00F1257B"/>
    <w:rsid w:val="00F12B5B"/>
    <w:rsid w:val="00F16F4E"/>
    <w:rsid w:val="00F25CD7"/>
    <w:rsid w:val="00F25F2A"/>
    <w:rsid w:val="00F2617C"/>
    <w:rsid w:val="00F369DE"/>
    <w:rsid w:val="00F41CD1"/>
    <w:rsid w:val="00F43457"/>
    <w:rsid w:val="00F44ABF"/>
    <w:rsid w:val="00F46DFA"/>
    <w:rsid w:val="00F52907"/>
    <w:rsid w:val="00F629B8"/>
    <w:rsid w:val="00F64680"/>
    <w:rsid w:val="00F64F7D"/>
    <w:rsid w:val="00F6526A"/>
    <w:rsid w:val="00F66717"/>
    <w:rsid w:val="00F70254"/>
    <w:rsid w:val="00F71F9A"/>
    <w:rsid w:val="00F72846"/>
    <w:rsid w:val="00F7296A"/>
    <w:rsid w:val="00F75171"/>
    <w:rsid w:val="00F90681"/>
    <w:rsid w:val="00F950A1"/>
    <w:rsid w:val="00F96031"/>
    <w:rsid w:val="00FA1870"/>
    <w:rsid w:val="00FA49C1"/>
    <w:rsid w:val="00FA6B3F"/>
    <w:rsid w:val="00FB2550"/>
    <w:rsid w:val="00FB3D33"/>
    <w:rsid w:val="00FB621E"/>
    <w:rsid w:val="00FB67D1"/>
    <w:rsid w:val="00FB67EC"/>
    <w:rsid w:val="00FC0E62"/>
    <w:rsid w:val="00FF67E2"/>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49E03"/>
  <w15:docId w15:val="{828C731C-0FE0-4E33-BC74-385756C0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FF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CFF"/>
    <w:rPr>
      <w:color w:val="0000FF" w:themeColor="hyperlink"/>
      <w:u w:val="single"/>
    </w:rPr>
  </w:style>
  <w:style w:type="paragraph" w:styleId="ListParagraph">
    <w:name w:val="List Paragraph"/>
    <w:basedOn w:val="Normal"/>
    <w:uiPriority w:val="34"/>
    <w:qFormat/>
    <w:rsid w:val="008545B9"/>
    <w:pPr>
      <w:ind w:left="720"/>
      <w:contextualSpacing/>
    </w:pPr>
  </w:style>
  <w:style w:type="paragraph" w:styleId="BalloonText">
    <w:name w:val="Balloon Text"/>
    <w:basedOn w:val="Normal"/>
    <w:link w:val="BalloonTextChar"/>
    <w:uiPriority w:val="99"/>
    <w:semiHidden/>
    <w:unhideWhenUsed/>
    <w:rsid w:val="00345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0E9"/>
    <w:rPr>
      <w:rFonts w:ascii="Tahoma" w:eastAsiaTheme="minorEastAsia" w:hAnsi="Tahoma" w:cs="Tahoma"/>
      <w:sz w:val="16"/>
      <w:szCs w:val="16"/>
      <w:lang w:val="en-US"/>
    </w:rPr>
  </w:style>
  <w:style w:type="paragraph" w:styleId="NoSpacing">
    <w:name w:val="No Spacing"/>
    <w:uiPriority w:val="1"/>
    <w:qFormat/>
    <w:rsid w:val="00531B94"/>
    <w:pPr>
      <w:spacing w:after="0" w:line="240" w:lineRule="auto"/>
    </w:pPr>
  </w:style>
  <w:style w:type="table" w:styleId="TableGrid">
    <w:name w:val="Table Grid"/>
    <w:basedOn w:val="TableNormal"/>
    <w:uiPriority w:val="59"/>
    <w:rsid w:val="00531B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F12B5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12B5B"/>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BD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A80"/>
    <w:rPr>
      <w:rFonts w:eastAsiaTheme="minorEastAsia"/>
      <w:lang w:val="en-US"/>
    </w:rPr>
  </w:style>
  <w:style w:type="paragraph" w:styleId="Footer">
    <w:name w:val="footer"/>
    <w:basedOn w:val="Normal"/>
    <w:link w:val="FooterChar"/>
    <w:uiPriority w:val="99"/>
    <w:unhideWhenUsed/>
    <w:rsid w:val="00BD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A80"/>
    <w:rPr>
      <w:rFonts w:eastAsiaTheme="minorEastAsia"/>
      <w:lang w:val="en-US"/>
    </w:rPr>
  </w:style>
  <w:style w:type="character" w:styleId="FollowedHyperlink">
    <w:name w:val="FollowedHyperlink"/>
    <w:basedOn w:val="DefaultParagraphFont"/>
    <w:uiPriority w:val="99"/>
    <w:semiHidden/>
    <w:unhideWhenUsed/>
    <w:rsid w:val="0005604E"/>
    <w:rPr>
      <w:color w:val="800080" w:themeColor="followedHyperlink"/>
      <w:u w:val="single"/>
    </w:rPr>
  </w:style>
  <w:style w:type="paragraph" w:customStyle="1" w:styleId="Default">
    <w:name w:val="Default"/>
    <w:rsid w:val="001B397F"/>
    <w:pPr>
      <w:autoSpaceDE w:val="0"/>
      <w:autoSpaceDN w:val="0"/>
      <w:adjustRightInd w:val="0"/>
      <w:spacing w:after="0" w:line="240" w:lineRule="auto"/>
    </w:pPr>
    <w:rPr>
      <w:rFonts w:ascii="Verdana" w:eastAsia="Calibri" w:hAnsi="Verdana" w:cs="Verdana"/>
      <w:color w:val="000000"/>
      <w:sz w:val="24"/>
      <w:szCs w:val="24"/>
    </w:rPr>
  </w:style>
  <w:style w:type="character" w:styleId="CommentReference">
    <w:name w:val="annotation reference"/>
    <w:basedOn w:val="DefaultParagraphFont"/>
    <w:uiPriority w:val="99"/>
    <w:semiHidden/>
    <w:unhideWhenUsed/>
    <w:rsid w:val="00B02522"/>
    <w:rPr>
      <w:sz w:val="16"/>
      <w:szCs w:val="16"/>
    </w:rPr>
  </w:style>
  <w:style w:type="paragraph" w:styleId="CommentText">
    <w:name w:val="annotation text"/>
    <w:basedOn w:val="Normal"/>
    <w:link w:val="CommentTextChar"/>
    <w:uiPriority w:val="99"/>
    <w:unhideWhenUsed/>
    <w:rsid w:val="00B0252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B02522"/>
    <w:rPr>
      <w:sz w:val="20"/>
      <w:szCs w:val="20"/>
      <w:lang w:val="en-US"/>
    </w:rPr>
  </w:style>
  <w:style w:type="paragraph" w:styleId="CommentSubject">
    <w:name w:val="annotation subject"/>
    <w:basedOn w:val="CommentText"/>
    <w:next w:val="CommentText"/>
    <w:link w:val="CommentSubjectChar"/>
    <w:uiPriority w:val="99"/>
    <w:semiHidden/>
    <w:unhideWhenUsed/>
    <w:rsid w:val="0088153D"/>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88153D"/>
    <w:rPr>
      <w:rFonts w:eastAsiaTheme="minorEastAsia"/>
      <w:b/>
      <w:bCs/>
      <w:sz w:val="20"/>
      <w:szCs w:val="20"/>
      <w:lang w:val="en-US"/>
    </w:rPr>
  </w:style>
  <w:style w:type="paragraph" w:styleId="Revision">
    <w:name w:val="Revision"/>
    <w:hidden/>
    <w:uiPriority w:val="99"/>
    <w:semiHidden/>
    <w:rsid w:val="00207022"/>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journal.umy.ac.id/index.%20php/jati/article/view/83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D383-7869-4F24-9D19-5E914908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13374</Words>
  <Characters>76235</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27-080514</dc:creator>
  <cp:lastModifiedBy>Eka Wirajuang Daurrohmah</cp:lastModifiedBy>
  <cp:revision>3</cp:revision>
  <cp:lastPrinted>2020-06-17T01:55:00Z</cp:lastPrinted>
  <dcterms:created xsi:type="dcterms:W3CDTF">2022-01-07T17:37:00Z</dcterms:created>
  <dcterms:modified xsi:type="dcterms:W3CDTF">2022-01-07T21:54:00Z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331d6afc-e3a3-31d4-ba7d-e779ad43c718</vt:lpwstr>
  </property>
  <property fmtid="{D5CDD505-2E9C-101B-9397-08002B2CF9AE}" pid="24" name="Mendeley Citation Style_1">
    <vt:lpwstr>http://www.zotero.org/styles/apa</vt:lpwstr>
  </property>
</Properties>
</file>