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4727C" w14:textId="3BE954FC" w:rsidR="007849A4" w:rsidRPr="00AE6D90" w:rsidRDefault="007849A4" w:rsidP="00FC6A6F">
      <w:pPr>
        <w:spacing w:after="0" w:line="240" w:lineRule="auto"/>
        <w:jc w:val="center"/>
        <w:rPr>
          <w:rFonts w:eastAsia="Times New Roman" w:cs="Calibri"/>
          <w:b/>
          <w:color w:val="000000"/>
          <w:sz w:val="24"/>
          <w:szCs w:val="24"/>
        </w:rPr>
      </w:pPr>
      <w:r w:rsidRPr="00AE6D90">
        <w:rPr>
          <w:rFonts w:eastAsia="Times New Roman" w:cs="Calibri"/>
          <w:b/>
          <w:color w:val="000000"/>
          <w:sz w:val="24"/>
          <w:szCs w:val="24"/>
        </w:rPr>
        <w:t xml:space="preserve">Determinants of Economic Dynamism among the 22 </w:t>
      </w:r>
      <w:r w:rsidR="00EC491E" w:rsidRPr="00AE6D90">
        <w:rPr>
          <w:rFonts w:eastAsia="Times New Roman" w:cs="Calibri"/>
          <w:b/>
          <w:color w:val="000000"/>
          <w:sz w:val="24"/>
          <w:szCs w:val="24"/>
        </w:rPr>
        <w:t>Municipalities</w:t>
      </w:r>
      <w:r w:rsidRPr="00AE6D90">
        <w:rPr>
          <w:rFonts w:eastAsia="Times New Roman" w:cs="Calibri"/>
          <w:b/>
          <w:color w:val="000000"/>
          <w:sz w:val="24"/>
          <w:szCs w:val="24"/>
        </w:rPr>
        <w:t xml:space="preserve"> in the Philippines</w:t>
      </w:r>
    </w:p>
    <w:p w14:paraId="376159E7" w14:textId="2F6C6C49" w:rsidR="001106CA" w:rsidRPr="00AE6D90" w:rsidRDefault="001106CA" w:rsidP="00A81F98">
      <w:pPr>
        <w:spacing w:after="0" w:line="240" w:lineRule="auto"/>
        <w:rPr>
          <w:rFonts w:cs="Calibri"/>
          <w:sz w:val="24"/>
          <w:szCs w:val="24"/>
        </w:rPr>
      </w:pPr>
    </w:p>
    <w:p w14:paraId="6F5A6B40" w14:textId="77777777" w:rsidR="001106CA" w:rsidRPr="00AE6D90" w:rsidRDefault="001106CA" w:rsidP="00A81F98">
      <w:pPr>
        <w:spacing w:line="240" w:lineRule="auto"/>
        <w:rPr>
          <w:rFonts w:cs="Calibri"/>
          <w:b/>
          <w:bCs/>
          <w:sz w:val="24"/>
          <w:szCs w:val="24"/>
        </w:rPr>
      </w:pPr>
    </w:p>
    <w:p w14:paraId="19AB1D80" w14:textId="66A9065F" w:rsidR="00E34416" w:rsidRPr="00AE6D90" w:rsidRDefault="00414155" w:rsidP="00E34416">
      <w:pPr>
        <w:spacing w:before="240" w:line="240" w:lineRule="auto"/>
        <w:rPr>
          <w:rFonts w:cs="Calibri"/>
          <w:b/>
          <w:bCs/>
          <w:sz w:val="24"/>
          <w:szCs w:val="24"/>
        </w:rPr>
      </w:pPr>
      <w:r w:rsidRPr="00AE6D90">
        <w:rPr>
          <w:rFonts w:cs="Calibri"/>
          <w:b/>
          <w:bCs/>
          <w:sz w:val="24"/>
          <w:szCs w:val="24"/>
        </w:rPr>
        <w:t>Abstract</w:t>
      </w:r>
    </w:p>
    <w:p w14:paraId="70B8714B" w14:textId="1D1E889B" w:rsidR="007849A4" w:rsidRPr="00AE6D90" w:rsidRDefault="006C1C50" w:rsidP="000356CE">
      <w:pPr>
        <w:spacing w:after="0"/>
        <w:ind w:right="720"/>
        <w:jc w:val="both"/>
        <w:rPr>
          <w:rFonts w:eastAsia="Century" w:cs="Calibri"/>
          <w:sz w:val="24"/>
          <w:szCs w:val="24"/>
        </w:rPr>
      </w:pPr>
      <w:r w:rsidRPr="00AE6D90">
        <w:rPr>
          <w:rFonts w:eastAsia="Century" w:cs="Calibri"/>
          <w:sz w:val="24"/>
          <w:szCs w:val="24"/>
        </w:rPr>
        <w:t>This study was conducted to identify the determinants of economic dynamism as proxy to investment climate of the 22 Municipalities in the Philippines based on their score on the three pillars namely infrastructure, government efficiency, and resiliency from the Cities and Municipalities Competitiveness (CMCI) Survey designed by the National Competitiveness Bureau. By employing the PCSE</w:t>
      </w:r>
      <w:r w:rsidR="0010028D" w:rsidRPr="00AE6D90">
        <w:rPr>
          <w:rFonts w:eastAsia="Century" w:cs="Calibri"/>
          <w:sz w:val="24"/>
          <w:szCs w:val="24"/>
        </w:rPr>
        <w:t xml:space="preserve"> </w:t>
      </w:r>
      <w:r w:rsidRPr="00AE6D90">
        <w:rPr>
          <w:rFonts w:eastAsia="Century" w:cs="Calibri"/>
          <w:sz w:val="24"/>
          <w:szCs w:val="24"/>
        </w:rPr>
        <w:t xml:space="preserve">in the analysis, the results show that economic dynamism of the 22 Municipalities are significantly driven by government efficiency and infrastructure. Furthermore, the year dummy variables showed that the economic dynamism scores for the years 2020, 2021, </w:t>
      </w:r>
      <w:r w:rsidR="00FC39BE" w:rsidRPr="00AE6D90">
        <w:rPr>
          <w:rFonts w:eastAsia="Century" w:cs="Calibri"/>
          <w:sz w:val="24"/>
          <w:szCs w:val="24"/>
        </w:rPr>
        <w:t xml:space="preserve">2022, </w:t>
      </w:r>
      <w:r w:rsidRPr="00AE6D90">
        <w:rPr>
          <w:rFonts w:eastAsia="Century" w:cs="Calibri"/>
          <w:sz w:val="24"/>
          <w:szCs w:val="24"/>
        </w:rPr>
        <w:t>and 202</w:t>
      </w:r>
      <w:r w:rsidR="00FC39BE" w:rsidRPr="00AE6D90">
        <w:rPr>
          <w:rFonts w:eastAsia="Century" w:cs="Calibri"/>
          <w:sz w:val="24"/>
          <w:szCs w:val="24"/>
        </w:rPr>
        <w:t>3</w:t>
      </w:r>
      <w:r w:rsidRPr="00AE6D90">
        <w:rPr>
          <w:rFonts w:eastAsia="Century" w:cs="Calibri"/>
          <w:sz w:val="24"/>
          <w:szCs w:val="24"/>
        </w:rPr>
        <w:t xml:space="preserve"> were significantly higher than the base year of 2017. This suggest</w:t>
      </w:r>
      <w:r w:rsidR="00FC6A6F" w:rsidRPr="00AE6D90">
        <w:rPr>
          <w:rFonts w:eastAsia="Century" w:cs="Calibri"/>
          <w:sz w:val="24"/>
          <w:szCs w:val="24"/>
        </w:rPr>
        <w:t>s</w:t>
      </w:r>
      <w:r w:rsidRPr="00AE6D90">
        <w:rPr>
          <w:rFonts w:eastAsia="Century" w:cs="Calibri"/>
          <w:sz w:val="24"/>
          <w:szCs w:val="24"/>
        </w:rPr>
        <w:t xml:space="preserve"> that the municipalities had improved their business climate over time, even during the pandemic. Based on the results, it is recommended that local government units (LGUs) focus on improving their performance in these areas of government efficiency and infrastructure pillar to create a more business-friendly environment and attract more investors. Additionally, while the resiliency pillar did not show a statistically significant effect on economic dynamism, further review and enhancement of the indicators measuring resilience were suggested to better capture its impact.</w:t>
      </w:r>
    </w:p>
    <w:p w14:paraId="629EB4BD" w14:textId="77777777" w:rsidR="000356CE" w:rsidRPr="00AE6D90" w:rsidRDefault="000356CE" w:rsidP="000356CE">
      <w:pPr>
        <w:spacing w:after="0"/>
        <w:ind w:right="720"/>
        <w:jc w:val="both"/>
        <w:rPr>
          <w:rFonts w:eastAsia="Century" w:cs="Calibri"/>
          <w:sz w:val="24"/>
          <w:szCs w:val="24"/>
        </w:rPr>
      </w:pPr>
    </w:p>
    <w:p w14:paraId="1F5656EA" w14:textId="13DD430A" w:rsidR="00414155" w:rsidRPr="00AE6D90" w:rsidRDefault="00414155" w:rsidP="00A81F98">
      <w:pPr>
        <w:spacing w:line="240" w:lineRule="auto"/>
        <w:rPr>
          <w:rFonts w:cs="Calibri"/>
          <w:bCs/>
          <w:sz w:val="24"/>
          <w:szCs w:val="24"/>
        </w:rPr>
      </w:pPr>
      <w:r w:rsidRPr="00AE6D90">
        <w:rPr>
          <w:rFonts w:cs="Calibri"/>
          <w:b/>
          <w:sz w:val="24"/>
          <w:szCs w:val="24"/>
        </w:rPr>
        <w:t>Keywords:</w:t>
      </w:r>
      <w:r w:rsidRPr="00AE6D90">
        <w:rPr>
          <w:rFonts w:cs="Calibri"/>
          <w:bCs/>
          <w:sz w:val="24"/>
          <w:szCs w:val="24"/>
        </w:rPr>
        <w:t xml:space="preserve"> </w:t>
      </w:r>
      <w:r w:rsidR="007849A4" w:rsidRPr="00AE6D90">
        <w:rPr>
          <w:rFonts w:cs="Calibri"/>
          <w:bCs/>
          <w:sz w:val="24"/>
          <w:szCs w:val="24"/>
        </w:rPr>
        <w:t>Economic Dynamism, Investment</w:t>
      </w:r>
      <w:r w:rsidR="009E5F65" w:rsidRPr="00AE6D90">
        <w:rPr>
          <w:rFonts w:cs="Calibri"/>
          <w:bCs/>
          <w:sz w:val="24"/>
          <w:szCs w:val="24"/>
        </w:rPr>
        <w:t xml:space="preserve"> climate</w:t>
      </w:r>
      <w:r w:rsidR="007849A4" w:rsidRPr="00AE6D90">
        <w:rPr>
          <w:rFonts w:cs="Calibri"/>
          <w:bCs/>
          <w:sz w:val="24"/>
          <w:szCs w:val="24"/>
        </w:rPr>
        <w:t xml:space="preserve">, </w:t>
      </w:r>
      <w:r w:rsidR="00EC491E" w:rsidRPr="00AE6D90">
        <w:rPr>
          <w:rFonts w:cs="Calibri"/>
          <w:bCs/>
          <w:sz w:val="24"/>
          <w:szCs w:val="24"/>
        </w:rPr>
        <w:t>Municipality</w:t>
      </w:r>
      <w:r w:rsidR="007849A4" w:rsidRPr="00AE6D90">
        <w:rPr>
          <w:rFonts w:cs="Calibri"/>
          <w:bCs/>
          <w:sz w:val="24"/>
          <w:szCs w:val="24"/>
        </w:rPr>
        <w:t>, Philippines, PCSE</w:t>
      </w:r>
    </w:p>
    <w:p w14:paraId="7BB50A12" w14:textId="2F07E4BE" w:rsidR="001106CA" w:rsidRPr="00AE6D90" w:rsidRDefault="00414155" w:rsidP="00A81F98">
      <w:pPr>
        <w:spacing w:line="240" w:lineRule="auto"/>
        <w:rPr>
          <w:rFonts w:cs="Calibri"/>
          <w:b/>
          <w:bCs/>
          <w:sz w:val="24"/>
          <w:szCs w:val="24"/>
        </w:rPr>
      </w:pPr>
      <w:r w:rsidRPr="00AE6D90">
        <w:rPr>
          <w:rFonts w:cs="Calibri"/>
          <w:b/>
          <w:sz w:val="24"/>
          <w:szCs w:val="24"/>
        </w:rPr>
        <w:t>JEL Classification</w:t>
      </w:r>
      <w:r w:rsidRPr="00AE6D90">
        <w:rPr>
          <w:rFonts w:cs="Calibri"/>
          <w:bCs/>
          <w:sz w:val="24"/>
          <w:szCs w:val="24"/>
        </w:rPr>
        <w:t xml:space="preserve">: </w:t>
      </w:r>
      <w:r w:rsidR="00B10A3F" w:rsidRPr="00AE6D90">
        <w:rPr>
          <w:rFonts w:cs="Calibri"/>
          <w:bCs/>
          <w:sz w:val="24"/>
          <w:szCs w:val="24"/>
        </w:rPr>
        <w:t xml:space="preserve">H11, D61, </w:t>
      </w:r>
      <w:r w:rsidR="005B5D00" w:rsidRPr="00AE6D90">
        <w:rPr>
          <w:rFonts w:cs="Calibri"/>
          <w:bCs/>
          <w:sz w:val="24"/>
          <w:szCs w:val="24"/>
        </w:rPr>
        <w:t xml:space="preserve">and </w:t>
      </w:r>
      <w:r w:rsidR="00B10A3F" w:rsidRPr="00AE6D90">
        <w:rPr>
          <w:rFonts w:cs="Calibri"/>
          <w:bCs/>
          <w:sz w:val="24"/>
          <w:szCs w:val="24"/>
        </w:rPr>
        <w:t>H54</w:t>
      </w:r>
    </w:p>
    <w:p w14:paraId="6EE8BED2" w14:textId="77777777" w:rsidR="00A81F98" w:rsidRPr="00AE6D90" w:rsidRDefault="00A81F98" w:rsidP="00A81F98">
      <w:pPr>
        <w:spacing w:before="240" w:line="240" w:lineRule="auto"/>
        <w:rPr>
          <w:rFonts w:cs="Calibri"/>
          <w:b/>
          <w:bCs/>
          <w:sz w:val="24"/>
          <w:szCs w:val="24"/>
        </w:rPr>
      </w:pPr>
    </w:p>
    <w:p w14:paraId="6C4A9042" w14:textId="51C0DCF0" w:rsidR="00072852" w:rsidRPr="00AE6D90" w:rsidRDefault="001C392E" w:rsidP="00A81F98">
      <w:pPr>
        <w:spacing w:before="240" w:line="240" w:lineRule="auto"/>
        <w:rPr>
          <w:rFonts w:cs="Calibri"/>
          <w:b/>
          <w:bCs/>
          <w:sz w:val="24"/>
          <w:szCs w:val="24"/>
        </w:rPr>
      </w:pPr>
      <w:r w:rsidRPr="00AE6D90">
        <w:rPr>
          <w:rFonts w:cs="Calibri"/>
          <w:b/>
          <w:bCs/>
          <w:sz w:val="24"/>
          <w:szCs w:val="24"/>
        </w:rPr>
        <w:t>Introductio</w:t>
      </w:r>
      <w:r w:rsidR="001106CA" w:rsidRPr="00AE6D90">
        <w:rPr>
          <w:rFonts w:cs="Calibri"/>
          <w:b/>
          <w:bCs/>
          <w:sz w:val="24"/>
          <w:szCs w:val="24"/>
        </w:rPr>
        <w:t>n</w:t>
      </w:r>
    </w:p>
    <w:p w14:paraId="56F7AA5A" w14:textId="223453C0" w:rsidR="007849A4" w:rsidRPr="00AE6D90" w:rsidRDefault="007849A4" w:rsidP="00FC6A6F">
      <w:pPr>
        <w:spacing w:after="0" w:line="240" w:lineRule="auto"/>
        <w:jc w:val="both"/>
        <w:rPr>
          <w:rFonts w:cs="Calibri"/>
          <w:sz w:val="24"/>
          <w:szCs w:val="24"/>
        </w:rPr>
      </w:pPr>
      <w:r w:rsidRPr="00AE6D90">
        <w:rPr>
          <w:rFonts w:cs="Calibri"/>
          <w:sz w:val="24"/>
          <w:szCs w:val="24"/>
        </w:rPr>
        <w:t xml:space="preserve">Municipalities and cities play crucial roles in the economic performance of regions and nations. As the presence of vibrant cities and municipalities creates a favorable environment for businesses to flourish, attracting investments and fostering entrepreneurship (González-García et al., 2019). It is crucial to analyze them in assessing the economic performance of countries, given their substantial impact on fostering economic growth and progress. According to Coulombe et al. (2022), municipalities and cities are key actors in the overall economic landscape, serving as centers of commerce, innovation, and economic activity. However, there exists a significant gap between municipalities and cities in terms of economic indicators. Based on study conducted by Khalid et al. (2019), economic indicators serve as an important function in understanding the disparities between municipalities and cities. These indicators include factors such as GDP, income per capita, employment rate, poverty level, and access to basic amenities. Likewise, cities demonstrate superior economic performance in areas where it is a prominent city </w:t>
      </w:r>
      <w:r w:rsidRPr="00AE6D90">
        <w:rPr>
          <w:rFonts w:cs="Calibri"/>
          <w:sz w:val="24"/>
          <w:szCs w:val="24"/>
        </w:rPr>
        <w:lastRenderedPageBreak/>
        <w:t>that has a strong urban governance capability, as opposed to regions where urban government capacity is more evenly distributed in which would result to a greater financial capacity for development initiatives from larger revenue bases and economies of scale (Ott et al., 2020). For instance, GDP per capita of New York City is significantly higher than that of smaller municipalities within the state (Yang, 202</w:t>
      </w:r>
      <w:r w:rsidR="008838B0" w:rsidRPr="00AE6D90">
        <w:rPr>
          <w:rFonts w:cs="Calibri"/>
          <w:sz w:val="24"/>
          <w:szCs w:val="24"/>
        </w:rPr>
        <w:t>3</w:t>
      </w:r>
      <w:r w:rsidRPr="00AE6D90">
        <w:rPr>
          <w:rFonts w:cs="Calibri"/>
          <w:sz w:val="24"/>
          <w:szCs w:val="24"/>
        </w:rPr>
        <w:t xml:space="preserve">). This demonstrates the ability of superior cities to attract and generate wealth, ultimately leading to a higher standard of living for their residents. Hence, cities possessing substantial government capacity wield significant influence in both policymaking and its subsequent implementation. </w:t>
      </w:r>
    </w:p>
    <w:p w14:paraId="34FD638A" w14:textId="77777777" w:rsidR="00A81F98" w:rsidRPr="00AE6D90" w:rsidRDefault="00A81F98" w:rsidP="00A81F98">
      <w:pPr>
        <w:spacing w:after="0" w:line="240" w:lineRule="auto"/>
        <w:rPr>
          <w:rFonts w:cs="Calibri"/>
          <w:sz w:val="24"/>
          <w:szCs w:val="24"/>
        </w:rPr>
      </w:pPr>
    </w:p>
    <w:p w14:paraId="1FBD0669" w14:textId="06C9B7A0" w:rsidR="007849A4" w:rsidRPr="00AE6D90" w:rsidRDefault="007849A4" w:rsidP="00FC6A6F">
      <w:pPr>
        <w:spacing w:after="0" w:line="240" w:lineRule="auto"/>
        <w:jc w:val="both"/>
        <w:rPr>
          <w:rFonts w:cs="Calibri"/>
          <w:sz w:val="24"/>
          <w:szCs w:val="24"/>
        </w:rPr>
      </w:pPr>
      <w:r w:rsidRPr="00AE6D90">
        <w:rPr>
          <w:rFonts w:cs="Calibri"/>
          <w:sz w:val="24"/>
          <w:szCs w:val="24"/>
        </w:rPr>
        <w:t>Municipalities, on the other hand, may provide necessary services but may lack the amenities or infrastructure seen in bigger urban regions because cities are frequently larger in terms of both geographical area and population, providing them with more resources and revenue-generating options. It faces challenges such as constrained resources, insufficient infrastructure, and a dearth of opportunities, leading to inferior economic indicators (</w:t>
      </w:r>
      <w:proofErr w:type="spellStart"/>
      <w:r w:rsidRPr="00AE6D90">
        <w:rPr>
          <w:rFonts w:cs="Calibri"/>
          <w:sz w:val="24"/>
          <w:szCs w:val="24"/>
        </w:rPr>
        <w:t>Kutlar</w:t>
      </w:r>
      <w:proofErr w:type="spellEnd"/>
      <w:r w:rsidRPr="00AE6D90">
        <w:rPr>
          <w:rFonts w:cs="Calibri"/>
          <w:sz w:val="24"/>
          <w:szCs w:val="24"/>
        </w:rPr>
        <w:t xml:space="preserve"> et al., 2012). The contrast in economic performance between municipalities and cities holds significant implications for policymakers and stakeholders, influencing decisions regarding resource distribution, urban planning, and strategies for poverty reduction. Consequently, addressing these economic disparities is imperative, advocating for inclusive development across all regions to attain sustainable economic growth and diminish inequality in developing nations. In addition, these Municipalities frequently encounter distinct challenges and opportunities in contrast to larger urban centers (Slack &amp; Bird, 2013). Disparities in performance can be ascribed to various factors, including the extent of investment in infrastructure, the existence of industry clusters, and the quality of governance.  </w:t>
      </w:r>
    </w:p>
    <w:p w14:paraId="049C237A" w14:textId="77777777" w:rsidR="007849A4" w:rsidRPr="00AE6D90" w:rsidRDefault="007849A4" w:rsidP="00FC6A6F">
      <w:pPr>
        <w:spacing w:after="0" w:line="240" w:lineRule="auto"/>
        <w:jc w:val="both"/>
        <w:rPr>
          <w:rFonts w:cs="Calibri"/>
          <w:sz w:val="24"/>
          <w:szCs w:val="24"/>
        </w:rPr>
      </w:pPr>
    </w:p>
    <w:p w14:paraId="33EE4D43" w14:textId="66E2539D" w:rsidR="007849A4" w:rsidRPr="00AE6D90" w:rsidRDefault="007849A4" w:rsidP="00FC6A6F">
      <w:pPr>
        <w:spacing w:after="0" w:line="240" w:lineRule="auto"/>
        <w:jc w:val="both"/>
        <w:rPr>
          <w:rFonts w:cs="Calibri"/>
          <w:sz w:val="24"/>
          <w:szCs w:val="24"/>
        </w:rPr>
      </w:pPr>
      <w:r w:rsidRPr="00AE6D90">
        <w:rPr>
          <w:rFonts w:cs="Calibri"/>
          <w:sz w:val="24"/>
          <w:szCs w:val="24"/>
        </w:rPr>
        <w:t>Municipalities being at the center of economic activity, ought to create an atmosphere that encourages investment in the development of infrastructure (Mubangizi, 2021). It was found by Berntzen and Johannessen (2016) that evaluating the preparedness of small and rural municipalities is crucial for any transition to a smart city, as it provides implementers and planners with information on the state of the infrastructure and important components of a municipality. By understanding their starting point, municipalities may better implement and improve the critical infrastructure and key components needed to transform into smart cities. It must be noted that Municipalities often lack basic amenities such as reliable transportation, healthcare facilities, and educational institutions, which compel people to migrate to urban areas in search of better opportunities and improved living conditions.</w:t>
      </w:r>
      <w:r w:rsidR="00FC070B" w:rsidRPr="00AE6D90">
        <w:rPr>
          <w:rFonts w:cs="Calibri"/>
          <w:sz w:val="24"/>
          <w:szCs w:val="24"/>
        </w:rPr>
        <w:t xml:space="preserve"> </w:t>
      </w:r>
      <w:r w:rsidRPr="00AE6D90">
        <w:rPr>
          <w:rFonts w:cs="Calibri"/>
          <w:sz w:val="24"/>
          <w:szCs w:val="24"/>
        </w:rPr>
        <w:t xml:space="preserve">Urbanization and economic growth are closely linked phenomena that have a significant impact on the development and performance of municipalities and cities. </w:t>
      </w:r>
      <w:proofErr w:type="spellStart"/>
      <w:r w:rsidRPr="00AE6D90">
        <w:rPr>
          <w:rFonts w:cs="Calibri"/>
          <w:sz w:val="24"/>
          <w:szCs w:val="24"/>
        </w:rPr>
        <w:t>Ajaero</w:t>
      </w:r>
      <w:proofErr w:type="spellEnd"/>
      <w:r w:rsidRPr="00AE6D90">
        <w:rPr>
          <w:rFonts w:cs="Calibri"/>
          <w:sz w:val="24"/>
          <w:szCs w:val="24"/>
        </w:rPr>
        <w:t xml:space="preserve"> and </w:t>
      </w:r>
      <w:proofErr w:type="spellStart"/>
      <w:r w:rsidRPr="00AE6D90">
        <w:rPr>
          <w:rFonts w:cs="Calibri"/>
          <w:sz w:val="24"/>
          <w:szCs w:val="24"/>
        </w:rPr>
        <w:t>Onokala</w:t>
      </w:r>
      <w:proofErr w:type="spellEnd"/>
      <w:r w:rsidRPr="00AE6D90">
        <w:rPr>
          <w:rFonts w:cs="Calibri"/>
          <w:sz w:val="24"/>
          <w:szCs w:val="24"/>
        </w:rPr>
        <w:t xml:space="preserve"> (2013) noted that initiatives to aim the improvement of socioeconomic conditions of rural areas, thereby reducing the push factors that drive individuals to migrate to urban centers. By providing essential infrastructure, such as roads, schools, and healthcare facilities, rural development initiatives can enhance the overall quality of life in rural communities, making them more attractive and viable for residents. Consequently, individuals may choose to stay in their hometowns rather than migrating to urban areas in search of better opportunities. Furthermore, these initiatives also promote the diversification of rural economies, creating employment opportunities and income sources that can help sustain the local population (Kronsell &amp; Mukhtar-Landgren, 2018).  By addressing the </w:t>
      </w:r>
      <w:r w:rsidRPr="00AE6D90">
        <w:rPr>
          <w:rFonts w:cs="Calibri"/>
          <w:sz w:val="24"/>
          <w:szCs w:val="24"/>
        </w:rPr>
        <w:lastRenderedPageBreak/>
        <w:t xml:space="preserve">root causes of migration, municipalities development initiatives can alleviate the strain on urban areas and contribute to more balanced regional development. </w:t>
      </w:r>
    </w:p>
    <w:p w14:paraId="1F89A8BD" w14:textId="77777777" w:rsidR="007849A4" w:rsidRPr="00AE6D90" w:rsidRDefault="007849A4" w:rsidP="00FC6A6F">
      <w:pPr>
        <w:spacing w:after="0" w:line="240" w:lineRule="auto"/>
        <w:jc w:val="both"/>
        <w:rPr>
          <w:rFonts w:cs="Calibri"/>
          <w:sz w:val="24"/>
          <w:szCs w:val="24"/>
        </w:rPr>
      </w:pPr>
    </w:p>
    <w:p w14:paraId="39AF9671" w14:textId="77777777" w:rsidR="00A40B4C" w:rsidRPr="00AE6D90" w:rsidRDefault="007849A4" w:rsidP="00FC6A6F">
      <w:pPr>
        <w:spacing w:after="0" w:line="240" w:lineRule="auto"/>
        <w:jc w:val="both"/>
        <w:rPr>
          <w:rFonts w:cs="Calibri"/>
          <w:sz w:val="24"/>
          <w:szCs w:val="24"/>
        </w:rPr>
      </w:pPr>
      <w:r w:rsidRPr="00AE6D90">
        <w:rPr>
          <w:rFonts w:cs="Calibri"/>
          <w:sz w:val="24"/>
          <w:szCs w:val="24"/>
        </w:rPr>
        <w:t>Initiatives to attract investments are undertaken not only at the national level but also at the local level. Municipalities involvement in this area is a critical first step in guaranteeing the region's sustainable growth. Since municipalities is at the center of economic activity, municipalities ought to create an atmosphere that encourages investment in the development of infrastructure. Over the next several decades, attracting investments at the municipal or municipal group level that match resources, capacity, and demand will be of utmost importance (</w:t>
      </w:r>
      <w:proofErr w:type="spellStart"/>
      <w:r w:rsidRPr="00AE6D90">
        <w:rPr>
          <w:rFonts w:cs="Calibri"/>
          <w:sz w:val="24"/>
          <w:szCs w:val="24"/>
        </w:rPr>
        <w:t>Tonkova</w:t>
      </w:r>
      <w:proofErr w:type="spellEnd"/>
      <w:r w:rsidRPr="00AE6D90">
        <w:rPr>
          <w:rFonts w:cs="Calibri"/>
          <w:sz w:val="24"/>
          <w:szCs w:val="24"/>
        </w:rPr>
        <w:t xml:space="preserve">, et al., 2017). </w:t>
      </w:r>
      <w:r w:rsidR="00FA66A0" w:rsidRPr="00AE6D90">
        <w:rPr>
          <w:rFonts w:cs="Calibri"/>
          <w:sz w:val="24"/>
          <w:szCs w:val="24"/>
        </w:rPr>
        <w:t xml:space="preserve"> </w:t>
      </w:r>
    </w:p>
    <w:p w14:paraId="34856A72" w14:textId="77777777" w:rsidR="00A40B4C" w:rsidRPr="00AE6D90" w:rsidRDefault="00A40B4C" w:rsidP="00FC6A6F">
      <w:pPr>
        <w:spacing w:after="0" w:line="240" w:lineRule="auto"/>
        <w:jc w:val="both"/>
        <w:rPr>
          <w:rFonts w:cs="Calibri"/>
          <w:sz w:val="24"/>
          <w:szCs w:val="24"/>
        </w:rPr>
      </w:pPr>
    </w:p>
    <w:p w14:paraId="7EE56E40" w14:textId="202B3463" w:rsidR="007849A4" w:rsidRPr="00AE6D90" w:rsidRDefault="007849A4" w:rsidP="00FC6A6F">
      <w:pPr>
        <w:spacing w:after="0" w:line="240" w:lineRule="auto"/>
        <w:jc w:val="both"/>
        <w:rPr>
          <w:rFonts w:cs="Calibri"/>
          <w:sz w:val="24"/>
          <w:szCs w:val="24"/>
        </w:rPr>
      </w:pPr>
      <w:r w:rsidRPr="00AE6D90">
        <w:rPr>
          <w:rFonts w:cs="Calibri"/>
          <w:sz w:val="24"/>
          <w:szCs w:val="24"/>
        </w:rPr>
        <w:t xml:space="preserve">Infrastructure encompasses physical resources that connect and support a community, facilitating the provision of products and services (DTI-CB, 2023). This includes fundamental production inputs such as electricity and water, production interconnections like roads and communications, and infrastructure for the creation of human capital (Palei, 2015). Evaluating the impact of infrastructure projects on economic growth requires an understanding of key variables for measuring economic dynamism, including road networks, availability of utilities, health and education sectors, and investment in infrastructure (Du &amp;amp; Douch, 2018; Arvanitidis &amp;amp; Petrakos, 2010). </w:t>
      </w:r>
      <w:proofErr w:type="spellStart"/>
      <w:r w:rsidRPr="00AE6D90">
        <w:rPr>
          <w:rFonts w:cs="Calibri"/>
          <w:sz w:val="24"/>
          <w:szCs w:val="24"/>
        </w:rPr>
        <w:t>Uda</w:t>
      </w:r>
      <w:proofErr w:type="spellEnd"/>
      <w:r w:rsidRPr="00AE6D90">
        <w:rPr>
          <w:rFonts w:cs="Calibri"/>
          <w:sz w:val="24"/>
          <w:szCs w:val="24"/>
        </w:rPr>
        <w:t xml:space="preserve"> and Bassey (2017) emphasize the critical role of infrastructure in boosting economic vitality, while </w:t>
      </w:r>
      <w:proofErr w:type="spellStart"/>
      <w:r w:rsidRPr="00AE6D90">
        <w:rPr>
          <w:rFonts w:cs="Calibri"/>
          <w:sz w:val="24"/>
          <w:szCs w:val="24"/>
        </w:rPr>
        <w:t>Elsnari</w:t>
      </w:r>
      <w:proofErr w:type="spellEnd"/>
      <w:r w:rsidRPr="00AE6D90">
        <w:rPr>
          <w:rFonts w:cs="Calibri"/>
          <w:sz w:val="24"/>
          <w:szCs w:val="24"/>
        </w:rPr>
        <w:t xml:space="preserve"> (2018) highlights its close relationship with economic growth and productivity. Adequate infrastructure, such as well-maintained transportation networks, facilitates efficient flow of goods and people, lowering transaction costs and attracting businesses and investors, leading to job </w:t>
      </w:r>
      <w:proofErr w:type="gramStart"/>
      <w:r w:rsidRPr="00AE6D90">
        <w:rPr>
          <w:rFonts w:cs="Calibri"/>
          <w:sz w:val="24"/>
          <w:szCs w:val="24"/>
        </w:rPr>
        <w:t>creation</w:t>
      </w:r>
      <w:proofErr w:type="gramEnd"/>
      <w:r w:rsidRPr="00AE6D90">
        <w:rPr>
          <w:rFonts w:cs="Calibri"/>
          <w:sz w:val="24"/>
          <w:szCs w:val="24"/>
        </w:rPr>
        <w:t xml:space="preserve"> and increased economic activity. Ultimately, assessing the influence of infrastructure projects demonstrates their critical role in supporting economic development and enhancing a nation's overall well-being (Palei, 2015).</w:t>
      </w:r>
    </w:p>
    <w:p w14:paraId="42C39A91" w14:textId="77777777" w:rsidR="007849A4" w:rsidRPr="00AE6D90" w:rsidRDefault="007849A4" w:rsidP="00FC6A6F">
      <w:pPr>
        <w:spacing w:after="0" w:line="240" w:lineRule="auto"/>
        <w:jc w:val="both"/>
        <w:rPr>
          <w:rFonts w:cs="Calibri"/>
          <w:sz w:val="24"/>
          <w:szCs w:val="24"/>
        </w:rPr>
      </w:pPr>
    </w:p>
    <w:p w14:paraId="650D7654" w14:textId="77777777" w:rsidR="007849A4" w:rsidRPr="00AE6D90" w:rsidRDefault="007849A4" w:rsidP="00FC6A6F">
      <w:pPr>
        <w:spacing w:after="0" w:line="240" w:lineRule="auto"/>
        <w:jc w:val="both"/>
        <w:rPr>
          <w:rFonts w:cs="Calibri"/>
          <w:sz w:val="24"/>
          <w:szCs w:val="24"/>
        </w:rPr>
      </w:pPr>
      <w:r w:rsidRPr="00AE6D90">
        <w:rPr>
          <w:rFonts w:cs="Calibri"/>
          <w:sz w:val="24"/>
          <w:szCs w:val="24"/>
        </w:rPr>
        <w:t xml:space="preserve">The importance of government efficiency on promoting economic growth in the municipal level must be </w:t>
      </w:r>
      <w:proofErr w:type="gramStart"/>
      <w:r w:rsidRPr="00AE6D90">
        <w:rPr>
          <w:rFonts w:cs="Calibri"/>
          <w:sz w:val="24"/>
          <w:szCs w:val="24"/>
        </w:rPr>
        <w:t>taken into account</w:t>
      </w:r>
      <w:proofErr w:type="gramEnd"/>
      <w:r w:rsidRPr="00AE6D90">
        <w:rPr>
          <w:rFonts w:cs="Calibri"/>
          <w:sz w:val="24"/>
          <w:szCs w:val="24"/>
        </w:rPr>
        <w:t>. Ning et al. (2021) emphasized the economic costs imposed by factors like lack of trustworthiness and inability to provide suitable business services. Farinha et al. (2020) identified ten indicators influencing government efficiency, including compliance with the Comprehensive Development Plan and capacity for local resources. This is crucial for enhancing the business environment and attracting investment, leading to positive economic performance (Rodríguez‐Pose &amp;amp; Zhang, 2019). Efficient governance fosters trust and reduces transaction costs, encouraging economic activity (Rodriguez-Pose &amp;amp; Zhang, 2019). Governments can stimulate economic activity and attract investment by promoting efficiency and creating a conducive business environment (Yang et al., 2021). The proper distribution of resources through competent governance facilitates sustainable economic growth (Wen et al., 2021). Policymakers should prioritize government efficiency to promote long-term growth and prosperity (Wen et al., 2021).</w:t>
      </w:r>
    </w:p>
    <w:p w14:paraId="4C8CBFCA" w14:textId="77777777" w:rsidR="007849A4" w:rsidRPr="00AE6D90" w:rsidRDefault="007849A4" w:rsidP="00FC6A6F">
      <w:pPr>
        <w:spacing w:after="0" w:line="240" w:lineRule="auto"/>
        <w:jc w:val="both"/>
        <w:rPr>
          <w:rFonts w:cs="Calibri"/>
          <w:sz w:val="24"/>
          <w:szCs w:val="24"/>
        </w:rPr>
      </w:pPr>
    </w:p>
    <w:p w14:paraId="5081638F" w14:textId="77777777" w:rsidR="007849A4" w:rsidRPr="00AE6D90" w:rsidRDefault="007849A4" w:rsidP="00FC6A6F">
      <w:pPr>
        <w:spacing w:after="0" w:line="240" w:lineRule="auto"/>
        <w:jc w:val="both"/>
        <w:rPr>
          <w:rFonts w:cs="Calibri"/>
          <w:sz w:val="24"/>
          <w:szCs w:val="24"/>
        </w:rPr>
      </w:pPr>
      <w:r w:rsidRPr="00AE6D90">
        <w:rPr>
          <w:rFonts w:cs="Calibri"/>
          <w:sz w:val="24"/>
          <w:szCs w:val="24"/>
        </w:rPr>
        <w:t>Moreover, resiliency which refers to the ability to absorb and adapt to changes, encompassing mechanisms for disaster preparedness and risk reduction, infrastructure, and coordination (</w:t>
      </w:r>
      <w:proofErr w:type="spellStart"/>
      <w:r w:rsidRPr="00AE6D90">
        <w:rPr>
          <w:rFonts w:cs="Calibri"/>
          <w:sz w:val="24"/>
          <w:szCs w:val="24"/>
        </w:rPr>
        <w:t>Bruneckiene</w:t>
      </w:r>
      <w:proofErr w:type="spellEnd"/>
      <w:r w:rsidRPr="00AE6D90">
        <w:rPr>
          <w:rFonts w:cs="Calibri"/>
          <w:sz w:val="24"/>
          <w:szCs w:val="24"/>
        </w:rPr>
        <w:t xml:space="preserve"> et al., 2018) is an important factor to attract investors. Factors for assessing resilience include disaster risk reduction plans, land use plans, emergency drills, early warning </w:t>
      </w:r>
      <w:r w:rsidRPr="00AE6D90">
        <w:rPr>
          <w:rFonts w:cs="Calibri"/>
          <w:sz w:val="24"/>
          <w:szCs w:val="24"/>
        </w:rPr>
        <w:lastRenderedPageBreak/>
        <w:t>systems, and budget allocation for resilience financing (Pant et al., 2014). For instance, the ratio of the disaster risk reduction budget to the local government unit budget serves as an indicator of resilience finance (Department of Budget and Management, 2019). Geohazard maps from the Mines and Geosciences Bureau aid in local risk assessments, while indicators for infrastructure resilience include emergency vehicles, utilities, trained responders, and sanitation facilities (Philippine News Agency, 2019). Studies show that strong economic dynamism contributes to resilience, supporting industries and attracting investments (Williams et al., 2013; Fratesi &amp;amp; Rodríguez-Pose, 2016). A dynamic and resilient economy is more attractive to investors due to its ability to recover from setbacks (Fratesi &amp;amp; Rodríguez-Pose, 2016).</w:t>
      </w:r>
    </w:p>
    <w:p w14:paraId="67CFB47E" w14:textId="77777777" w:rsidR="007849A4" w:rsidRPr="00AE6D90" w:rsidRDefault="007849A4" w:rsidP="00FC6A6F">
      <w:pPr>
        <w:spacing w:after="0" w:line="240" w:lineRule="auto"/>
        <w:jc w:val="both"/>
        <w:rPr>
          <w:rFonts w:cs="Calibri"/>
          <w:sz w:val="24"/>
          <w:szCs w:val="24"/>
        </w:rPr>
      </w:pPr>
    </w:p>
    <w:p w14:paraId="0F2890E4" w14:textId="740A6568" w:rsidR="007849A4" w:rsidRPr="00AE6D90" w:rsidRDefault="007849A4" w:rsidP="00FC6A6F">
      <w:pPr>
        <w:spacing w:after="0" w:line="240" w:lineRule="auto"/>
        <w:jc w:val="both"/>
        <w:rPr>
          <w:rFonts w:cs="Calibri"/>
          <w:sz w:val="24"/>
          <w:szCs w:val="24"/>
          <w:lang w:val="en-US"/>
        </w:rPr>
      </w:pPr>
      <w:r w:rsidRPr="00AE6D90">
        <w:rPr>
          <w:rFonts w:cs="Calibri"/>
          <w:sz w:val="24"/>
          <w:szCs w:val="24"/>
        </w:rPr>
        <w:t>T</w:t>
      </w:r>
      <w:r w:rsidRPr="00AE6D90">
        <w:rPr>
          <w:rFonts w:cs="Calibri"/>
          <w:sz w:val="24"/>
          <w:szCs w:val="24"/>
          <w:lang w:val="en-US"/>
        </w:rPr>
        <w:t xml:space="preserve">o assure higher returns for investors, it is crucial to create an optimal investment climate. </w:t>
      </w:r>
      <w:r w:rsidR="00B76D52" w:rsidRPr="00AE6D90">
        <w:rPr>
          <w:rFonts w:cs="Calibri"/>
          <w:sz w:val="24"/>
          <w:szCs w:val="24"/>
          <w:lang w:val="en-US"/>
        </w:rPr>
        <w:t xml:space="preserve">The study of </w:t>
      </w:r>
      <w:proofErr w:type="spellStart"/>
      <w:r w:rsidR="00B76D52" w:rsidRPr="00AE6D90">
        <w:rPr>
          <w:rFonts w:cs="Calibri"/>
          <w:sz w:val="24"/>
          <w:szCs w:val="24"/>
          <w:lang w:val="en-US"/>
        </w:rPr>
        <w:t>D’lonsod</w:t>
      </w:r>
      <w:proofErr w:type="spellEnd"/>
      <w:r w:rsidR="00B76D52" w:rsidRPr="00AE6D90">
        <w:rPr>
          <w:rFonts w:cs="Calibri"/>
          <w:sz w:val="24"/>
          <w:szCs w:val="24"/>
          <w:lang w:val="en-US"/>
        </w:rPr>
        <w:t xml:space="preserve">, et. al (2019) focuses on the factors affecting the investment climate of cities. </w:t>
      </w:r>
      <w:r w:rsidRPr="00AE6D90">
        <w:rPr>
          <w:rFonts w:cs="Calibri"/>
          <w:sz w:val="24"/>
          <w:szCs w:val="24"/>
          <w:lang w:val="en-US"/>
        </w:rPr>
        <w:t xml:space="preserve">However, there has been limited exploration of the factors that specifically influence the investment climate at the municipal level. With this, the study aims to identify the key factors that can influence the business climates of municipalities in the Philippines. To measure the business climate in this study, the economic dynamism pillar, which reflects the attractiveness of cities or municipalities to investors and the expansion made for business opportunities in the area (DTI-CB, 2023). </w:t>
      </w:r>
      <w:r w:rsidRPr="00AE6D90">
        <w:rPr>
          <w:rFonts w:cs="Calibri"/>
          <w:sz w:val="24"/>
          <w:szCs w:val="24"/>
        </w:rPr>
        <w:t xml:space="preserve">Hence, economic dynamism can be used as a basis in deciding as to where investors will locate or put up the business. </w:t>
      </w:r>
      <w:r w:rsidRPr="00AE6D90">
        <w:rPr>
          <w:rFonts w:cs="Calibri"/>
          <w:sz w:val="24"/>
          <w:szCs w:val="24"/>
          <w:lang w:val="en-US"/>
        </w:rPr>
        <w:t xml:space="preserve"> Specifically, this paper seeks to examine the effects of the following pillars from the Cities and Municipalities Competitiveness Index (CMCI) Survey namely government efficiency, infrastructure, and resiliency on the economic dynamism among the municipalities in the Philippines.  This paper provides valuable insights that can contribute to the development of strategies and policies aimed at fostering a favorable investment climate for Local Government Units (LGUs) at the municipal level in the Philippines. </w:t>
      </w:r>
    </w:p>
    <w:p w14:paraId="3A6A0A6E" w14:textId="77777777" w:rsidR="007849A4" w:rsidRPr="00AE6D90" w:rsidRDefault="007849A4" w:rsidP="007849A4">
      <w:pPr>
        <w:spacing w:after="0" w:line="240" w:lineRule="auto"/>
        <w:rPr>
          <w:rFonts w:cs="Calibri"/>
          <w:sz w:val="24"/>
          <w:szCs w:val="24"/>
          <w:lang w:val="en-US"/>
        </w:rPr>
      </w:pPr>
    </w:p>
    <w:p w14:paraId="4BEC8C64" w14:textId="77777777" w:rsidR="007849A4" w:rsidRPr="00AE6D90" w:rsidRDefault="007849A4" w:rsidP="00A81F98">
      <w:pPr>
        <w:spacing w:after="0" w:line="240" w:lineRule="auto"/>
        <w:rPr>
          <w:rFonts w:cs="Calibri"/>
          <w:b/>
          <w:bCs/>
          <w:sz w:val="24"/>
          <w:szCs w:val="24"/>
        </w:rPr>
      </w:pPr>
    </w:p>
    <w:p w14:paraId="1353D35D" w14:textId="580ED41F" w:rsidR="007849A4" w:rsidRPr="00AE6D90" w:rsidRDefault="007849A4" w:rsidP="00A81F98">
      <w:pPr>
        <w:spacing w:after="0" w:line="240" w:lineRule="auto"/>
        <w:rPr>
          <w:rFonts w:cs="Calibri"/>
          <w:b/>
          <w:bCs/>
          <w:i/>
          <w:iCs/>
          <w:sz w:val="24"/>
          <w:szCs w:val="24"/>
        </w:rPr>
      </w:pPr>
      <w:r w:rsidRPr="00AE6D90">
        <w:rPr>
          <w:rFonts w:cs="Calibri"/>
          <w:b/>
          <w:bCs/>
          <w:i/>
          <w:iCs/>
          <w:sz w:val="24"/>
          <w:szCs w:val="24"/>
        </w:rPr>
        <w:t>Background of CMCI Survey</w:t>
      </w:r>
    </w:p>
    <w:p w14:paraId="0BF48980" w14:textId="77777777" w:rsidR="007849A4" w:rsidRPr="00AE6D90" w:rsidRDefault="007849A4" w:rsidP="00A81F98">
      <w:pPr>
        <w:spacing w:after="0" w:line="240" w:lineRule="auto"/>
        <w:rPr>
          <w:rFonts w:cs="Calibri"/>
          <w:b/>
          <w:bCs/>
          <w:sz w:val="24"/>
          <w:szCs w:val="24"/>
        </w:rPr>
      </w:pPr>
    </w:p>
    <w:p w14:paraId="6A68F869" w14:textId="5F6FA3BB" w:rsidR="007849A4" w:rsidRPr="00AE6D90" w:rsidRDefault="0022647A" w:rsidP="00FC6A6F">
      <w:pPr>
        <w:spacing w:after="0" w:line="240" w:lineRule="auto"/>
        <w:jc w:val="both"/>
        <w:rPr>
          <w:rFonts w:cs="Calibri"/>
          <w:sz w:val="24"/>
          <w:szCs w:val="24"/>
        </w:rPr>
      </w:pPr>
      <w:r w:rsidRPr="00AE6D90">
        <w:rPr>
          <w:rFonts w:cs="Calibri"/>
          <w:color w:val="0A0A0A"/>
          <w:sz w:val="24"/>
          <w:szCs w:val="24"/>
          <w:shd w:val="clear" w:color="auto" w:fill="FFFFFF"/>
        </w:rPr>
        <w:t xml:space="preserve">CMCI is a program that encourages local governments to collect and submit data on their performance based on the five core and convergent pillars of Economic Dynamism, Government Efficiency, Infrastructure, Resiliency, and Innovation. </w:t>
      </w:r>
      <w:r w:rsidR="007849A4" w:rsidRPr="00AE6D90">
        <w:rPr>
          <w:rFonts w:cs="Calibri"/>
          <w:sz w:val="24"/>
          <w:szCs w:val="24"/>
        </w:rPr>
        <w:t>Th</w:t>
      </w:r>
      <w:r w:rsidR="0023418C" w:rsidRPr="00AE6D90">
        <w:rPr>
          <w:rFonts w:cs="Calibri"/>
          <w:sz w:val="24"/>
          <w:szCs w:val="24"/>
        </w:rPr>
        <w:t>is is conducted</w:t>
      </w:r>
      <w:r w:rsidR="007849A4" w:rsidRPr="00AE6D90">
        <w:rPr>
          <w:rFonts w:cs="Calibri"/>
          <w:sz w:val="24"/>
          <w:szCs w:val="24"/>
        </w:rPr>
        <w:t xml:space="preserve"> annual</w:t>
      </w:r>
      <w:r w:rsidR="0023418C" w:rsidRPr="00AE6D90">
        <w:rPr>
          <w:rFonts w:cs="Calibri"/>
          <w:sz w:val="24"/>
          <w:szCs w:val="24"/>
        </w:rPr>
        <w:t>ly</w:t>
      </w:r>
      <w:r w:rsidR="007849A4" w:rsidRPr="00AE6D90">
        <w:rPr>
          <w:rFonts w:cs="Calibri"/>
          <w:sz w:val="24"/>
          <w:szCs w:val="24"/>
        </w:rPr>
        <w:t xml:space="preserve"> </w:t>
      </w:r>
      <w:r w:rsidR="0023418C" w:rsidRPr="00AE6D90">
        <w:rPr>
          <w:rFonts w:cs="Calibri"/>
          <w:sz w:val="24"/>
          <w:szCs w:val="24"/>
        </w:rPr>
        <w:t>to</w:t>
      </w:r>
      <w:r w:rsidR="007849A4" w:rsidRPr="00AE6D90">
        <w:rPr>
          <w:rFonts w:cs="Calibri"/>
          <w:sz w:val="24"/>
          <w:szCs w:val="24"/>
        </w:rPr>
        <w:t xml:space="preserve"> evaluates the competitiveness of cities and municipalities in the Philippines, aiming to enhance its local competitiveness and attract more investors. Before its launch in 2011, there was no regular mechanism for compiling indicators of local government performance, leading to the creation of CMCI. The survey, conducted with the assistance of Regional Competitiveness Committees (RCCs), encourages LGUs of Philippine’ Cities and Municipalities to submit data based on five convergent pillars: Economic dynamism, Government efficiency, Infrastructure, Resiliency, and Innovation. Each pillar, consisting of ten indicators, provides a comprehensive view of LGU performance. The addition of Resiliency in 2017 and Innovation in 2021 reflects an ongoing effort to enhance the measurement of competitiveness.  The pillar of Economic dynamism focuses on capturing the growth of businesses and industries, as well as the promotion of employment opportunities. Its goal is to foster a thriving economy within cities and municipalities. On the other hand, the Government efficiency pillar emphasizes the quality and reliability of government services in supporting sustainable and effective expansion. It aims to ensure that local </w:t>
      </w:r>
      <w:r w:rsidR="007849A4" w:rsidRPr="00AE6D90">
        <w:rPr>
          <w:rFonts w:cs="Calibri"/>
          <w:sz w:val="24"/>
          <w:szCs w:val="24"/>
        </w:rPr>
        <w:lastRenderedPageBreak/>
        <w:t>governments provide efficient and responsive services to citizens and businesses. While the Infrastructure pillar serves as the foundation for communities by connecting, expanding, and sustaining their physical structures. This pillar plays a vital role in facilitating the delivery of goods and services to residents and industries. It encompasses various elements such as transportation systems, utilities, and public facilities. Resiliency, another important pillar, highlights how local governments prepare their areas, businesses, and people to respond effectively to different types of shocks or disruptions. It involves strategies and measures that enhance the ability of communities to recover and thrive in the face of challenges. Lastly, the Innovation pillar delves into the creation and implementation of new products, processes, or services. It aims to improve efficiency, effectiveness, and overall competitive advantage within the local economy. By encouraging innovation, cities and municipalities can stay at the forefront of technological advancements and promote continuous improvement in various sectors. (DTI-CB, 2023)</w:t>
      </w:r>
    </w:p>
    <w:p w14:paraId="3703004F" w14:textId="1ECCD48D" w:rsidR="009027FB" w:rsidRPr="00AE6D90" w:rsidRDefault="009027FB" w:rsidP="00FC6A6F">
      <w:pPr>
        <w:tabs>
          <w:tab w:val="left" w:pos="5629"/>
        </w:tabs>
        <w:spacing w:after="0" w:line="240" w:lineRule="auto"/>
        <w:jc w:val="both"/>
        <w:rPr>
          <w:rFonts w:cs="Calibri"/>
          <w:color w:val="000000" w:themeColor="text1"/>
          <w:sz w:val="24"/>
          <w:szCs w:val="24"/>
        </w:rPr>
      </w:pPr>
    </w:p>
    <w:p w14:paraId="6F2CD7DF" w14:textId="77777777" w:rsidR="0086607A" w:rsidRPr="00AE6D90" w:rsidRDefault="0086607A" w:rsidP="00A81F98">
      <w:pPr>
        <w:tabs>
          <w:tab w:val="left" w:pos="4005"/>
        </w:tabs>
        <w:spacing w:after="0" w:line="240" w:lineRule="auto"/>
        <w:ind w:left="4003" w:hanging="4003"/>
        <w:rPr>
          <w:rFonts w:cs="Calibri"/>
          <w:b/>
          <w:bCs/>
          <w:sz w:val="24"/>
          <w:szCs w:val="24"/>
        </w:rPr>
      </w:pPr>
    </w:p>
    <w:p w14:paraId="4A6C8992" w14:textId="30EBE52C" w:rsidR="004166E8" w:rsidRPr="00AE6D90" w:rsidRDefault="00AB6EC6" w:rsidP="00A81F98">
      <w:pPr>
        <w:spacing w:after="0" w:line="240" w:lineRule="auto"/>
        <w:rPr>
          <w:rFonts w:cs="Calibri"/>
          <w:b/>
          <w:bCs/>
          <w:sz w:val="24"/>
          <w:szCs w:val="24"/>
        </w:rPr>
      </w:pPr>
      <w:r w:rsidRPr="00AE6D90">
        <w:rPr>
          <w:rFonts w:cs="Calibri"/>
          <w:b/>
          <w:bCs/>
          <w:sz w:val="24"/>
          <w:szCs w:val="24"/>
        </w:rPr>
        <w:t>Methodology</w:t>
      </w:r>
      <w:bookmarkStart w:id="0" w:name="_Hlk40636335"/>
      <w:r w:rsidR="00CB6270" w:rsidRPr="00AE6D90">
        <w:rPr>
          <w:rFonts w:cs="Calibri"/>
          <w:b/>
          <w:bCs/>
          <w:sz w:val="24"/>
          <w:szCs w:val="24"/>
        </w:rPr>
        <w:t xml:space="preserve"> and data</w:t>
      </w:r>
    </w:p>
    <w:p w14:paraId="3E6D124C" w14:textId="77777777" w:rsidR="009027FB" w:rsidRPr="00AE6D90" w:rsidRDefault="009027FB" w:rsidP="00A81F98">
      <w:pPr>
        <w:spacing w:after="0" w:line="240" w:lineRule="auto"/>
        <w:rPr>
          <w:rFonts w:cs="Calibri"/>
          <w:b/>
          <w:bCs/>
          <w:i/>
          <w:iCs/>
          <w:sz w:val="24"/>
          <w:szCs w:val="24"/>
        </w:rPr>
      </w:pPr>
    </w:p>
    <w:p w14:paraId="28E94F93" w14:textId="42C9451C" w:rsidR="00A74788" w:rsidRPr="00AE6D90" w:rsidRDefault="00A74788" w:rsidP="00A81F98">
      <w:pPr>
        <w:spacing w:after="0" w:line="240" w:lineRule="auto"/>
        <w:rPr>
          <w:rFonts w:cs="Calibri"/>
          <w:b/>
          <w:bCs/>
          <w:i/>
          <w:iCs/>
          <w:sz w:val="24"/>
          <w:szCs w:val="24"/>
        </w:rPr>
      </w:pPr>
      <w:r w:rsidRPr="00AE6D90">
        <w:rPr>
          <w:rFonts w:cs="Calibri"/>
          <w:b/>
          <w:bCs/>
          <w:i/>
          <w:iCs/>
          <w:sz w:val="24"/>
          <w:szCs w:val="24"/>
        </w:rPr>
        <w:t>Sources of data</w:t>
      </w:r>
    </w:p>
    <w:p w14:paraId="5A0DC677" w14:textId="77777777" w:rsidR="002700DF" w:rsidRPr="00AE6D90" w:rsidRDefault="002700DF" w:rsidP="00A81F98">
      <w:pPr>
        <w:spacing w:after="0" w:line="240" w:lineRule="auto"/>
        <w:rPr>
          <w:rFonts w:cs="Calibri"/>
          <w:b/>
          <w:bCs/>
          <w:i/>
          <w:iCs/>
          <w:sz w:val="24"/>
          <w:szCs w:val="24"/>
        </w:rPr>
      </w:pPr>
    </w:p>
    <w:p w14:paraId="02B6EF4A" w14:textId="3F9692AB" w:rsidR="00AD0E97" w:rsidRPr="00AE6D90" w:rsidRDefault="004166E8" w:rsidP="00FC6A6F">
      <w:pPr>
        <w:autoSpaceDE w:val="0"/>
        <w:autoSpaceDN w:val="0"/>
        <w:adjustRightInd w:val="0"/>
        <w:spacing w:after="0" w:line="240" w:lineRule="auto"/>
        <w:jc w:val="both"/>
        <w:rPr>
          <w:rFonts w:eastAsiaTheme="minorHAnsi" w:cs="Calibri"/>
          <w:sz w:val="24"/>
          <w:szCs w:val="24"/>
        </w:rPr>
      </w:pPr>
      <w:r w:rsidRPr="00AE6D90">
        <w:rPr>
          <w:rFonts w:cs="Calibri"/>
          <w:sz w:val="24"/>
          <w:szCs w:val="24"/>
        </w:rPr>
        <w:t xml:space="preserve">The study used </w:t>
      </w:r>
      <w:r w:rsidR="00984507" w:rsidRPr="00AE6D90">
        <w:rPr>
          <w:rFonts w:cs="Calibri"/>
          <w:sz w:val="24"/>
          <w:szCs w:val="24"/>
        </w:rPr>
        <w:t xml:space="preserve">secondary data from the official website of the Department of Trade – Competitive Bureau in the Philippines. </w:t>
      </w:r>
      <w:r w:rsidR="00984507" w:rsidRPr="00AE6D90">
        <w:rPr>
          <w:rFonts w:eastAsia="Century" w:cs="Calibri"/>
          <w:sz w:val="24"/>
          <w:szCs w:val="24"/>
        </w:rPr>
        <w:t xml:space="preserve">The study covers the 22 </w:t>
      </w:r>
      <w:r w:rsidR="00F978D4" w:rsidRPr="00AE6D90">
        <w:rPr>
          <w:rFonts w:eastAsia="Century" w:cs="Calibri"/>
          <w:sz w:val="24"/>
          <w:szCs w:val="24"/>
        </w:rPr>
        <w:t>Municipalities</w:t>
      </w:r>
      <w:r w:rsidR="00984507" w:rsidRPr="00AE6D90">
        <w:rPr>
          <w:rFonts w:eastAsia="Century" w:cs="Calibri"/>
          <w:sz w:val="24"/>
          <w:szCs w:val="24"/>
        </w:rPr>
        <w:t xml:space="preserve"> of the Philippines with the period from 2017 to 2023 since the pillar of resiliency was introduced in 2017</w:t>
      </w:r>
      <w:r w:rsidR="00D60243" w:rsidRPr="00AE6D90">
        <w:rPr>
          <w:rFonts w:cs="Calibri"/>
          <w:sz w:val="24"/>
          <w:szCs w:val="24"/>
        </w:rPr>
        <w:t>.</w:t>
      </w:r>
      <w:r w:rsidR="00A911A9" w:rsidRPr="00AE6D90">
        <w:rPr>
          <w:rFonts w:cs="Calibri"/>
          <w:sz w:val="24"/>
          <w:szCs w:val="24"/>
        </w:rPr>
        <w:t xml:space="preserve"> It must be noted that data on the year 2018 was not captured due to unavailability of data for all municipalities</w:t>
      </w:r>
      <w:r w:rsidR="00F978D4" w:rsidRPr="00AE6D90">
        <w:rPr>
          <w:rFonts w:cs="Calibri"/>
          <w:sz w:val="24"/>
          <w:szCs w:val="24"/>
        </w:rPr>
        <w:t xml:space="preserve"> in the CMCI website</w:t>
      </w:r>
      <w:r w:rsidR="00A911A9" w:rsidRPr="00AE6D90">
        <w:rPr>
          <w:rFonts w:cs="Calibri"/>
          <w:sz w:val="24"/>
          <w:szCs w:val="24"/>
        </w:rPr>
        <w:t xml:space="preserve">. </w:t>
      </w:r>
      <w:r w:rsidR="009E7AD7" w:rsidRPr="00AE6D90">
        <w:rPr>
          <w:rFonts w:eastAsiaTheme="minorHAnsi" w:cs="Calibri"/>
          <w:sz w:val="24"/>
          <w:szCs w:val="24"/>
        </w:rPr>
        <w:t>T</w:t>
      </w:r>
      <w:r w:rsidR="00A911A9" w:rsidRPr="00AE6D90">
        <w:rPr>
          <w:rFonts w:eastAsiaTheme="minorHAnsi" w:cs="Calibri"/>
          <w:sz w:val="24"/>
          <w:szCs w:val="24"/>
        </w:rPr>
        <w:t>his research focuses only on</w:t>
      </w:r>
      <w:r w:rsidR="00A67CEC" w:rsidRPr="00AE6D90">
        <w:rPr>
          <w:rFonts w:eastAsiaTheme="minorHAnsi" w:cs="Calibri"/>
          <w:sz w:val="24"/>
          <w:szCs w:val="24"/>
        </w:rPr>
        <w:t xml:space="preserve"> </w:t>
      </w:r>
      <w:r w:rsidR="00A911A9" w:rsidRPr="00AE6D90">
        <w:rPr>
          <w:rFonts w:eastAsiaTheme="minorHAnsi" w:cs="Calibri"/>
          <w:sz w:val="24"/>
          <w:szCs w:val="24"/>
        </w:rPr>
        <w:t xml:space="preserve">the </w:t>
      </w:r>
      <w:r w:rsidR="009E7AD7" w:rsidRPr="00AE6D90">
        <w:rPr>
          <w:rFonts w:eastAsiaTheme="minorHAnsi" w:cs="Calibri"/>
          <w:sz w:val="24"/>
          <w:szCs w:val="24"/>
        </w:rPr>
        <w:t xml:space="preserve">22 </w:t>
      </w:r>
      <w:r w:rsidR="00A911A9" w:rsidRPr="00AE6D90">
        <w:rPr>
          <w:rFonts w:eastAsiaTheme="minorHAnsi" w:cs="Calibri"/>
          <w:sz w:val="24"/>
          <w:szCs w:val="24"/>
        </w:rPr>
        <w:t>municipalities of</w:t>
      </w:r>
      <w:r w:rsidR="009E7AD7" w:rsidRPr="00AE6D90">
        <w:rPr>
          <w:rFonts w:eastAsiaTheme="minorHAnsi" w:cs="Calibri"/>
          <w:sz w:val="24"/>
          <w:szCs w:val="24"/>
        </w:rPr>
        <w:t xml:space="preserve"> Philippines belonging in the same region</w:t>
      </w:r>
      <w:r w:rsidR="00017062" w:rsidRPr="00AE6D90">
        <w:rPr>
          <w:rFonts w:eastAsiaTheme="minorHAnsi" w:cs="Calibri"/>
          <w:sz w:val="24"/>
          <w:szCs w:val="24"/>
        </w:rPr>
        <w:t xml:space="preserve"> and province</w:t>
      </w:r>
      <w:r w:rsidR="00A911A9" w:rsidRPr="00AE6D90">
        <w:rPr>
          <w:rFonts w:eastAsiaTheme="minorHAnsi" w:cs="Calibri"/>
          <w:sz w:val="24"/>
          <w:szCs w:val="24"/>
        </w:rPr>
        <w:t>.</w:t>
      </w:r>
      <w:r w:rsidR="00A911A9" w:rsidRPr="00AE6D90">
        <w:rPr>
          <w:rFonts w:eastAsia="Century" w:cs="Calibri"/>
          <w:sz w:val="24"/>
          <w:szCs w:val="24"/>
        </w:rPr>
        <w:t xml:space="preserve"> </w:t>
      </w:r>
      <w:r w:rsidR="00D60243" w:rsidRPr="00AE6D90">
        <w:rPr>
          <w:rFonts w:eastAsia="Century" w:cs="Calibri"/>
          <w:sz w:val="24"/>
          <w:szCs w:val="24"/>
        </w:rPr>
        <w:t xml:space="preserve">Score is used over rank because the latter is highly influenced by the performance of other municipalities, hence not reflective of what the municipality does possess and does </w:t>
      </w:r>
      <w:r w:rsidR="0070554C" w:rsidRPr="00AE6D90">
        <w:rPr>
          <w:rFonts w:eastAsia="Century" w:cs="Calibri"/>
          <w:sz w:val="24"/>
          <w:szCs w:val="24"/>
        </w:rPr>
        <w:t>n</w:t>
      </w:r>
      <w:r w:rsidR="00D60243" w:rsidRPr="00AE6D90">
        <w:rPr>
          <w:rFonts w:eastAsia="Century" w:cs="Calibri"/>
          <w:sz w:val="24"/>
          <w:szCs w:val="24"/>
        </w:rPr>
        <w:t xml:space="preserve">ot possess. </w:t>
      </w:r>
      <w:r w:rsidR="00E05BA6" w:rsidRPr="00AE6D90">
        <w:rPr>
          <w:rFonts w:eastAsia="Century" w:cs="Calibri"/>
          <w:sz w:val="24"/>
          <w:szCs w:val="24"/>
        </w:rPr>
        <w:t xml:space="preserve"> The maximum score that each</w:t>
      </w:r>
      <w:r w:rsidR="00A67CEC" w:rsidRPr="00AE6D90">
        <w:rPr>
          <w:rFonts w:eastAsia="Century" w:cs="Calibri"/>
          <w:sz w:val="24"/>
          <w:szCs w:val="24"/>
        </w:rPr>
        <w:t xml:space="preserve"> </w:t>
      </w:r>
      <w:r w:rsidR="00E05BA6" w:rsidRPr="00AE6D90">
        <w:rPr>
          <w:rFonts w:eastAsia="Century" w:cs="Calibri"/>
          <w:sz w:val="24"/>
          <w:szCs w:val="24"/>
        </w:rPr>
        <w:t xml:space="preserve">municipality can get for each pillar is 20 points and </w:t>
      </w:r>
      <w:r w:rsidR="00BF7647" w:rsidRPr="00AE6D90">
        <w:rPr>
          <w:rFonts w:eastAsia="Century" w:cs="Calibri"/>
          <w:sz w:val="24"/>
          <w:szCs w:val="24"/>
        </w:rPr>
        <w:t xml:space="preserve">zero is the minimum value. The closer the score to 20 points, the </w:t>
      </w:r>
      <w:r w:rsidR="00DA1158" w:rsidRPr="00AE6D90">
        <w:rPr>
          <w:rFonts w:eastAsia="Century" w:cs="Calibri"/>
          <w:sz w:val="24"/>
          <w:szCs w:val="24"/>
        </w:rPr>
        <w:t xml:space="preserve">better is the performance of the municipality in terms of the concerned pillar. </w:t>
      </w:r>
      <w:r w:rsidR="008347E8" w:rsidRPr="00AE6D90">
        <w:rPr>
          <w:rFonts w:eastAsia="Century" w:cs="Calibri"/>
          <w:sz w:val="24"/>
          <w:szCs w:val="24"/>
        </w:rPr>
        <w:t>In this study,</w:t>
      </w:r>
      <w:r w:rsidR="00D60243" w:rsidRPr="00AE6D90">
        <w:rPr>
          <w:rFonts w:eastAsia="Century" w:cs="Calibri"/>
          <w:sz w:val="24"/>
          <w:szCs w:val="24"/>
        </w:rPr>
        <w:t xml:space="preserve"> </w:t>
      </w:r>
      <w:r w:rsidR="008347E8" w:rsidRPr="00AE6D90">
        <w:rPr>
          <w:rFonts w:eastAsia="Century" w:cs="Calibri"/>
          <w:sz w:val="24"/>
          <w:szCs w:val="24"/>
        </w:rPr>
        <w:t>i</w:t>
      </w:r>
      <w:r w:rsidR="00D60243" w:rsidRPr="00AE6D90">
        <w:rPr>
          <w:rFonts w:eastAsia="Century" w:cs="Calibri"/>
          <w:sz w:val="24"/>
          <w:szCs w:val="24"/>
        </w:rPr>
        <w:t>nnovation pillar was not included because it was considered in the CMCI starting in the year 2022.</w:t>
      </w:r>
    </w:p>
    <w:p w14:paraId="5B974298" w14:textId="77777777" w:rsidR="00EC491E" w:rsidRPr="00AE6D90" w:rsidRDefault="00EC491E" w:rsidP="00D60243">
      <w:pPr>
        <w:spacing w:after="0" w:line="240" w:lineRule="auto"/>
        <w:rPr>
          <w:rFonts w:cs="Calibri"/>
          <w:b/>
          <w:bCs/>
          <w:i/>
          <w:iCs/>
          <w:sz w:val="24"/>
          <w:szCs w:val="24"/>
        </w:rPr>
      </w:pPr>
    </w:p>
    <w:p w14:paraId="18052440" w14:textId="77777777" w:rsidR="00EC491E" w:rsidRPr="00AE6D90" w:rsidRDefault="00EC491E" w:rsidP="00EC491E">
      <w:pPr>
        <w:spacing w:after="0" w:line="240" w:lineRule="auto"/>
        <w:jc w:val="both"/>
        <w:rPr>
          <w:rFonts w:eastAsia="Century" w:cs="Calibri"/>
          <w:sz w:val="24"/>
          <w:szCs w:val="24"/>
        </w:rPr>
      </w:pPr>
    </w:p>
    <w:p w14:paraId="1A03CA7D" w14:textId="77777777" w:rsidR="00EC491E" w:rsidRPr="00AE6D90" w:rsidRDefault="00EC491E" w:rsidP="00EC491E">
      <w:pPr>
        <w:spacing w:after="0" w:line="240" w:lineRule="auto"/>
        <w:rPr>
          <w:rFonts w:cs="Calibri"/>
          <w:b/>
          <w:bCs/>
          <w:i/>
          <w:iCs/>
          <w:sz w:val="24"/>
          <w:szCs w:val="24"/>
        </w:rPr>
      </w:pPr>
      <w:r w:rsidRPr="00AE6D90">
        <w:rPr>
          <w:rFonts w:cs="Calibri"/>
          <w:b/>
          <w:bCs/>
          <w:i/>
          <w:iCs/>
          <w:sz w:val="24"/>
          <w:szCs w:val="24"/>
        </w:rPr>
        <w:t xml:space="preserve">Method of Estimation </w:t>
      </w:r>
    </w:p>
    <w:p w14:paraId="1E7BD9F4" w14:textId="77777777" w:rsidR="00EC491E" w:rsidRPr="00AE6D90" w:rsidRDefault="00EC491E" w:rsidP="00EC491E">
      <w:pPr>
        <w:spacing w:after="0" w:line="240" w:lineRule="auto"/>
        <w:rPr>
          <w:rFonts w:cs="Calibri"/>
          <w:sz w:val="24"/>
          <w:szCs w:val="24"/>
        </w:rPr>
      </w:pPr>
    </w:p>
    <w:p w14:paraId="47C6359E" w14:textId="0FD7B13F" w:rsidR="00EC491E" w:rsidRPr="00AE6D90" w:rsidRDefault="00EC491E" w:rsidP="00FC6A6F">
      <w:pPr>
        <w:spacing w:after="0" w:line="240" w:lineRule="auto"/>
        <w:jc w:val="both"/>
        <w:rPr>
          <w:rFonts w:cs="Calibri"/>
          <w:sz w:val="24"/>
          <w:szCs w:val="24"/>
        </w:rPr>
      </w:pPr>
      <w:r w:rsidRPr="00AE6D90">
        <w:rPr>
          <w:rFonts w:cs="Calibri"/>
          <w:sz w:val="24"/>
          <w:szCs w:val="24"/>
        </w:rPr>
        <w:t>The study applied multiple linear regression for panel data to determine the effect of government efficiency, infrastructure, and resiliency pillars on economic dynamism</w:t>
      </w:r>
      <w:r w:rsidR="00D4370D" w:rsidRPr="00AE6D90">
        <w:rPr>
          <w:rFonts w:cs="Calibri"/>
          <w:sz w:val="24"/>
          <w:szCs w:val="24"/>
        </w:rPr>
        <w:t xml:space="preserve"> of 22</w:t>
      </w:r>
      <w:r w:rsidR="00AD69AE" w:rsidRPr="00AE6D90">
        <w:rPr>
          <w:rFonts w:cs="Calibri"/>
          <w:sz w:val="24"/>
          <w:szCs w:val="24"/>
        </w:rPr>
        <w:t xml:space="preserve"> Municipalities in the Philippines</w:t>
      </w:r>
      <w:r w:rsidRPr="00AE6D90">
        <w:rPr>
          <w:rFonts w:cs="Calibri"/>
          <w:sz w:val="24"/>
          <w:szCs w:val="24"/>
        </w:rPr>
        <w:t xml:space="preserve">. </w:t>
      </w:r>
      <w:r w:rsidR="00F9044D" w:rsidRPr="00AE6D90">
        <w:rPr>
          <w:rFonts w:cs="Calibri"/>
          <w:sz w:val="24"/>
          <w:szCs w:val="24"/>
        </w:rPr>
        <w:t>The empirical model was estimated using the random and fixed effect model,</w:t>
      </w:r>
      <w:r w:rsidR="00AE6D90">
        <w:rPr>
          <w:rFonts w:cs="Calibri"/>
          <w:sz w:val="24"/>
          <w:szCs w:val="24"/>
        </w:rPr>
        <w:t xml:space="preserve"> </w:t>
      </w:r>
      <w:r w:rsidR="00AE6D90" w:rsidRPr="00AE6D90">
        <w:rPr>
          <w:rFonts w:cs="Calibri"/>
          <w:sz w:val="24"/>
          <w:szCs w:val="24"/>
        </w:rPr>
        <w:t>hence,</w:t>
      </w:r>
      <w:r w:rsidR="00F9044D" w:rsidRPr="00AE6D90">
        <w:rPr>
          <w:rFonts w:cs="Calibri"/>
          <w:sz w:val="24"/>
          <w:szCs w:val="24"/>
        </w:rPr>
        <w:t xml:space="preserve"> to test what model is appropriate, a Hausman test was conducted. </w:t>
      </w:r>
      <w:r w:rsidR="00C5216C" w:rsidRPr="00AE6D90">
        <w:rPr>
          <w:rFonts w:cs="Calibri"/>
          <w:sz w:val="24"/>
          <w:szCs w:val="24"/>
        </w:rPr>
        <w:t>Other necessary d</w:t>
      </w:r>
      <w:r w:rsidRPr="00AE6D90">
        <w:rPr>
          <w:rFonts w:cs="Calibri"/>
          <w:sz w:val="24"/>
          <w:szCs w:val="24"/>
        </w:rPr>
        <w:t xml:space="preserve">iagnostic </w:t>
      </w:r>
      <w:r w:rsidR="00E947BF" w:rsidRPr="00AE6D90">
        <w:rPr>
          <w:rFonts w:cs="Calibri"/>
          <w:sz w:val="24"/>
          <w:szCs w:val="24"/>
        </w:rPr>
        <w:t>tests were</w:t>
      </w:r>
      <w:r w:rsidR="00C5216C" w:rsidRPr="00AE6D90">
        <w:rPr>
          <w:rFonts w:cs="Calibri"/>
          <w:sz w:val="24"/>
          <w:szCs w:val="24"/>
        </w:rPr>
        <w:t xml:space="preserve"> also conducted to check if the model suffers from other econometric issues. The Variance Inflation Factor was performed to identify if the model has multicollinearity. The </w:t>
      </w:r>
      <w:proofErr w:type="spellStart"/>
      <w:r w:rsidR="00C5216C" w:rsidRPr="00AE6D90">
        <w:rPr>
          <w:rFonts w:cs="Calibri"/>
          <w:sz w:val="24"/>
          <w:szCs w:val="24"/>
        </w:rPr>
        <w:t>Pesaran</w:t>
      </w:r>
      <w:proofErr w:type="spellEnd"/>
      <w:r w:rsidR="00C5216C" w:rsidRPr="00AE6D90">
        <w:rPr>
          <w:rFonts w:cs="Calibri"/>
          <w:sz w:val="24"/>
          <w:szCs w:val="24"/>
        </w:rPr>
        <w:t xml:space="preserve"> CD test was used to assess the presence of cross-sectional dependence in panel dataset. Since the data involves </w:t>
      </w:r>
      <w:r w:rsidR="004244CB" w:rsidRPr="00AE6D90">
        <w:rPr>
          <w:rFonts w:cs="Calibri"/>
          <w:sz w:val="24"/>
          <w:szCs w:val="24"/>
        </w:rPr>
        <w:t xml:space="preserve">six (6) </w:t>
      </w:r>
      <w:r w:rsidR="00C5216C" w:rsidRPr="00AE6D90">
        <w:rPr>
          <w:rFonts w:cs="Calibri"/>
          <w:sz w:val="24"/>
          <w:szCs w:val="24"/>
        </w:rPr>
        <w:t>periods, the</w:t>
      </w:r>
      <w:r w:rsidR="00AE6D90">
        <w:rPr>
          <w:rFonts w:cs="Calibri"/>
          <w:sz w:val="24"/>
          <w:szCs w:val="24"/>
        </w:rPr>
        <w:t xml:space="preserve"> </w:t>
      </w:r>
      <w:r w:rsidR="00C5216C" w:rsidRPr="00AE6D90">
        <w:rPr>
          <w:rFonts w:cs="Calibri"/>
          <w:sz w:val="24"/>
          <w:szCs w:val="24"/>
        </w:rPr>
        <w:t xml:space="preserve">researchers also check the serial correlation to analyze if the model has </w:t>
      </w:r>
      <w:r w:rsidR="004244CB" w:rsidRPr="00AE6D90">
        <w:rPr>
          <w:rFonts w:cs="Calibri"/>
          <w:sz w:val="24"/>
          <w:szCs w:val="24"/>
        </w:rPr>
        <w:t xml:space="preserve">an </w:t>
      </w:r>
      <w:r w:rsidR="00C5216C" w:rsidRPr="00AE6D90">
        <w:rPr>
          <w:rFonts w:cs="Calibri"/>
          <w:sz w:val="24"/>
          <w:szCs w:val="24"/>
        </w:rPr>
        <w:t>autocorrelation</w:t>
      </w:r>
      <w:r w:rsidR="004244CB" w:rsidRPr="00AE6D90">
        <w:rPr>
          <w:rFonts w:cs="Calibri"/>
          <w:sz w:val="24"/>
          <w:szCs w:val="24"/>
        </w:rPr>
        <w:t xml:space="preserve"> problem</w:t>
      </w:r>
      <w:r w:rsidR="00C5216C" w:rsidRPr="00AE6D90">
        <w:rPr>
          <w:rFonts w:cs="Calibri"/>
          <w:sz w:val="24"/>
          <w:szCs w:val="24"/>
        </w:rPr>
        <w:t>. To check for heteroskedasticity, the Modified Wald test was also performed.</w:t>
      </w:r>
      <w:r w:rsidR="002F31FC" w:rsidRPr="00AE6D90">
        <w:rPr>
          <w:rFonts w:cs="Calibri"/>
          <w:sz w:val="24"/>
          <w:szCs w:val="24"/>
        </w:rPr>
        <w:t xml:space="preserve"> </w:t>
      </w:r>
      <w:r w:rsidR="00081CFD" w:rsidRPr="00AE6D90">
        <w:rPr>
          <w:rFonts w:cs="Calibri"/>
          <w:sz w:val="24"/>
          <w:szCs w:val="24"/>
        </w:rPr>
        <w:t xml:space="preserve">The model was assumed to have </w:t>
      </w:r>
      <w:r w:rsidR="005710EA" w:rsidRPr="00AE6D90">
        <w:rPr>
          <w:rFonts w:cs="Calibri"/>
          <w:sz w:val="24"/>
          <w:szCs w:val="24"/>
        </w:rPr>
        <w:t xml:space="preserve">a sampling </w:t>
      </w:r>
      <w:r w:rsidR="00087F6F" w:rsidRPr="00AE6D90">
        <w:rPr>
          <w:rFonts w:cs="Calibri"/>
          <w:sz w:val="24"/>
          <w:szCs w:val="24"/>
        </w:rPr>
        <w:t>distribution that</w:t>
      </w:r>
      <w:r w:rsidR="005710EA" w:rsidRPr="00AE6D90">
        <w:rPr>
          <w:rFonts w:cs="Calibri"/>
          <w:sz w:val="24"/>
          <w:szCs w:val="24"/>
        </w:rPr>
        <w:t xml:space="preserve"> is normally </w:t>
      </w:r>
      <w:r w:rsidR="005710EA" w:rsidRPr="00AE6D90">
        <w:rPr>
          <w:rFonts w:cs="Calibri"/>
          <w:sz w:val="24"/>
          <w:szCs w:val="24"/>
        </w:rPr>
        <w:lastRenderedPageBreak/>
        <w:t>distributed using the central limit t</w:t>
      </w:r>
      <w:r w:rsidR="00BB4672" w:rsidRPr="00AE6D90">
        <w:rPr>
          <w:rFonts w:cs="Calibri"/>
          <w:sz w:val="24"/>
          <w:szCs w:val="24"/>
        </w:rPr>
        <w:t>heorem which says that a</w:t>
      </w:r>
      <w:r w:rsidR="007102B7" w:rsidRPr="00AE6D90">
        <w:rPr>
          <w:rFonts w:cs="Calibri"/>
          <w:sz w:val="24"/>
          <w:szCs w:val="24"/>
        </w:rPr>
        <w:t xml:space="preserve">s sample size is becoming larger, </w:t>
      </w:r>
      <w:r w:rsidR="005B6AA0" w:rsidRPr="00AE6D90">
        <w:rPr>
          <w:rFonts w:cs="Calibri"/>
          <w:sz w:val="24"/>
          <w:szCs w:val="24"/>
        </w:rPr>
        <w:t xml:space="preserve">distribution of sample means becomes normal. </w:t>
      </w:r>
      <w:r w:rsidR="00C5216C" w:rsidRPr="00AE6D90">
        <w:rPr>
          <w:rFonts w:cs="Calibri"/>
          <w:sz w:val="24"/>
          <w:szCs w:val="24"/>
        </w:rPr>
        <w:t>Lastly, for the final regression of the model, the Panel-Corrected standard error</w:t>
      </w:r>
      <w:r w:rsidR="00087F6F" w:rsidRPr="00AE6D90">
        <w:rPr>
          <w:rFonts w:cs="Calibri"/>
          <w:sz w:val="24"/>
          <w:szCs w:val="24"/>
        </w:rPr>
        <w:t xml:space="preserve"> </w:t>
      </w:r>
      <w:r w:rsidR="0031150F" w:rsidRPr="00AE6D90">
        <w:rPr>
          <w:rFonts w:cs="Calibri"/>
          <w:sz w:val="24"/>
          <w:szCs w:val="24"/>
        </w:rPr>
        <w:t>(PCSE)</w:t>
      </w:r>
      <w:r w:rsidR="00C5216C" w:rsidRPr="00AE6D90">
        <w:rPr>
          <w:rFonts w:cs="Calibri"/>
          <w:sz w:val="24"/>
          <w:szCs w:val="24"/>
        </w:rPr>
        <w:t xml:space="preserve"> was used</w:t>
      </w:r>
      <w:r w:rsidR="00E947BF" w:rsidRPr="00AE6D90">
        <w:rPr>
          <w:rFonts w:cs="Calibri"/>
          <w:sz w:val="24"/>
          <w:szCs w:val="24"/>
        </w:rPr>
        <w:t xml:space="preserve"> to address issues</w:t>
      </w:r>
      <w:r w:rsidR="007E4928" w:rsidRPr="00AE6D90">
        <w:rPr>
          <w:rFonts w:cs="Calibri"/>
          <w:sz w:val="24"/>
          <w:szCs w:val="24"/>
        </w:rPr>
        <w:t xml:space="preserve"> of the empirical model</w:t>
      </w:r>
      <w:r w:rsidR="00E947BF" w:rsidRPr="00AE6D90">
        <w:rPr>
          <w:rFonts w:cs="Calibri"/>
          <w:sz w:val="24"/>
          <w:szCs w:val="24"/>
        </w:rPr>
        <w:t xml:space="preserve"> on heteroscedasticity and autocorrelation. </w:t>
      </w:r>
    </w:p>
    <w:p w14:paraId="193A4862" w14:textId="77777777" w:rsidR="00EC491E" w:rsidRPr="00AE6D90" w:rsidRDefault="00EC491E" w:rsidP="00D60243">
      <w:pPr>
        <w:spacing w:after="0" w:line="240" w:lineRule="auto"/>
        <w:rPr>
          <w:rFonts w:cs="Calibri"/>
          <w:sz w:val="24"/>
          <w:szCs w:val="24"/>
        </w:rPr>
      </w:pPr>
    </w:p>
    <w:p w14:paraId="70CE8C9E" w14:textId="77777777" w:rsidR="00D51169" w:rsidRPr="00AE6D90" w:rsidRDefault="00D51169" w:rsidP="00D51169">
      <w:pPr>
        <w:spacing w:after="0"/>
        <w:rPr>
          <w:rFonts w:eastAsia="Century" w:cs="Calibri"/>
          <w:b/>
          <w:bCs/>
          <w:sz w:val="24"/>
          <w:szCs w:val="24"/>
        </w:rPr>
      </w:pPr>
      <w:r w:rsidRPr="00AE6D90">
        <w:rPr>
          <w:rFonts w:eastAsia="Century" w:cs="Calibri"/>
          <w:b/>
          <w:bCs/>
          <w:i/>
          <w:sz w:val="24"/>
          <w:szCs w:val="24"/>
        </w:rPr>
        <w:t xml:space="preserve">Empirical Model </w:t>
      </w:r>
    </w:p>
    <w:p w14:paraId="3EF58A80" w14:textId="77777777" w:rsidR="00D51169" w:rsidRPr="00AE6D90" w:rsidRDefault="00D51169" w:rsidP="00D51169">
      <w:pPr>
        <w:spacing w:after="0" w:line="240" w:lineRule="auto"/>
        <w:jc w:val="both"/>
        <w:rPr>
          <w:rFonts w:eastAsia="Century" w:cs="Calibri"/>
          <w:sz w:val="24"/>
          <w:szCs w:val="24"/>
        </w:rPr>
      </w:pPr>
    </w:p>
    <w:p w14:paraId="6CCF2923" w14:textId="4A6B5639" w:rsidR="00D51169" w:rsidRPr="00AE6D90" w:rsidRDefault="000F5EB2" w:rsidP="00FC6A6F">
      <w:pPr>
        <w:spacing w:after="0" w:line="240" w:lineRule="auto"/>
        <w:rPr>
          <w:rFonts w:eastAsia="Century" w:cs="Calibri"/>
          <w:sz w:val="24"/>
          <w:szCs w:val="24"/>
        </w:rPr>
      </w:pPr>
      <w:r w:rsidRPr="00AE6D90">
        <w:rPr>
          <w:rFonts w:eastAsia="Century" w:cs="Calibri"/>
          <w:sz w:val="24"/>
          <w:szCs w:val="24"/>
        </w:rPr>
        <w:t xml:space="preserve">The model below depicts the relationship of the economic dynamism of the 22 </w:t>
      </w:r>
      <w:r w:rsidRPr="00AE6D90">
        <w:rPr>
          <w:rFonts w:eastAsia="Century" w:cs="Calibri"/>
          <w:sz w:val="24"/>
          <w:szCs w:val="24"/>
        </w:rPr>
        <w:tab/>
        <w:t xml:space="preserve">Municipalities in the Philippines to </w:t>
      </w:r>
      <w:r w:rsidR="00EC0AC3" w:rsidRPr="00AE6D90">
        <w:rPr>
          <w:rFonts w:eastAsia="Century" w:cs="Calibri"/>
          <w:sz w:val="24"/>
          <w:szCs w:val="24"/>
        </w:rPr>
        <w:t>its three (3) independent variables</w:t>
      </w:r>
      <w:r w:rsidR="00AE49BF" w:rsidRPr="00AE6D90">
        <w:rPr>
          <w:rFonts w:eastAsia="Century" w:cs="Calibri"/>
          <w:sz w:val="24"/>
          <w:szCs w:val="24"/>
        </w:rPr>
        <w:t xml:space="preserve"> using panel regression analysis</w:t>
      </w:r>
      <w:r w:rsidR="00EC0AC3" w:rsidRPr="00AE6D90">
        <w:rPr>
          <w:rFonts w:eastAsia="Century" w:cs="Calibri"/>
          <w:sz w:val="24"/>
          <w:szCs w:val="24"/>
        </w:rPr>
        <w:t>. T</w:t>
      </w:r>
      <w:r w:rsidR="005D39BB" w:rsidRPr="00AE6D90">
        <w:rPr>
          <w:rFonts w:eastAsia="Century" w:cs="Calibri"/>
          <w:sz w:val="24"/>
          <w:szCs w:val="24"/>
        </w:rPr>
        <w:t xml:space="preserve">he effect of all independent variables on the dependent variable </w:t>
      </w:r>
      <w:r w:rsidR="00D51169" w:rsidRPr="00AE6D90">
        <w:rPr>
          <w:rFonts w:eastAsia="Century" w:cs="Calibri"/>
          <w:sz w:val="24"/>
          <w:szCs w:val="24"/>
        </w:rPr>
        <w:t>w</w:t>
      </w:r>
      <w:r w:rsidR="005D39BB" w:rsidRPr="00AE6D90">
        <w:rPr>
          <w:rFonts w:eastAsia="Century" w:cs="Calibri"/>
          <w:sz w:val="24"/>
          <w:szCs w:val="24"/>
        </w:rPr>
        <w:t>ere</w:t>
      </w:r>
      <w:r w:rsidR="00D51169" w:rsidRPr="00AE6D90">
        <w:rPr>
          <w:rFonts w:eastAsia="Century" w:cs="Calibri"/>
          <w:sz w:val="24"/>
          <w:szCs w:val="24"/>
        </w:rPr>
        <w:t xml:space="preserve"> tested using the significance level of 5%:</w:t>
      </w:r>
    </w:p>
    <w:p w14:paraId="626A1F58" w14:textId="4345EA94" w:rsidR="00D51169" w:rsidRPr="00AE6D90" w:rsidRDefault="00D51169" w:rsidP="00D51169">
      <w:pPr>
        <w:spacing w:before="240" w:after="0" w:line="240" w:lineRule="auto"/>
        <w:jc w:val="center"/>
        <w:rPr>
          <w:rFonts w:eastAsia="Century" w:cs="Calibri"/>
          <w:b/>
          <w:bCs/>
          <w:i/>
          <w:sz w:val="24"/>
          <w:szCs w:val="24"/>
          <w:vertAlign w:val="subscript"/>
        </w:rPr>
      </w:pPr>
      <w:proofErr w:type="spellStart"/>
      <w:r w:rsidRPr="00AE6D90">
        <w:rPr>
          <w:rFonts w:eastAsia="Century" w:cs="Calibri"/>
          <w:b/>
          <w:bCs/>
          <w:i/>
          <w:sz w:val="24"/>
          <w:szCs w:val="24"/>
        </w:rPr>
        <w:t>ED</w:t>
      </w:r>
      <w:r w:rsidRPr="00AE6D90">
        <w:rPr>
          <w:rFonts w:eastAsia="Century" w:cs="Calibri"/>
          <w:b/>
          <w:bCs/>
          <w:i/>
          <w:sz w:val="24"/>
          <w:szCs w:val="24"/>
          <w:vertAlign w:val="subscript"/>
        </w:rPr>
        <w:t>it</w:t>
      </w:r>
      <w:proofErr w:type="spellEnd"/>
      <w:r w:rsidRPr="00AE6D90">
        <w:rPr>
          <w:rFonts w:eastAsia="Century" w:cs="Calibri"/>
          <w:b/>
          <w:bCs/>
          <w:i/>
          <w:sz w:val="24"/>
          <w:szCs w:val="24"/>
          <w:vertAlign w:val="subscript"/>
        </w:rPr>
        <w:t xml:space="preserve"> =</w:t>
      </w:r>
      <w:r w:rsidRPr="00AE6D90">
        <w:rPr>
          <w:rFonts w:eastAsia="Century" w:cs="Calibri"/>
          <w:b/>
          <w:bCs/>
          <w:i/>
          <w:sz w:val="24"/>
          <w:szCs w:val="24"/>
        </w:rPr>
        <w:t xml:space="preserve"> </w:t>
      </w:r>
      <w:r w:rsidRPr="00AE6D90">
        <w:rPr>
          <w:rFonts w:ascii="Cambria Math" w:eastAsia="Century" w:hAnsi="Cambria Math" w:cs="Cambria Math"/>
          <w:b/>
          <w:bCs/>
          <w:i/>
          <w:sz w:val="24"/>
          <w:szCs w:val="24"/>
        </w:rPr>
        <w:t>∝</w:t>
      </w:r>
      <w:r w:rsidRPr="00AE6D90">
        <w:rPr>
          <w:rFonts w:eastAsia="Century" w:cs="Calibri"/>
          <w:b/>
          <w:bCs/>
          <w:i/>
          <w:sz w:val="24"/>
          <w:szCs w:val="24"/>
        </w:rPr>
        <w:t xml:space="preserve"> + ß</w:t>
      </w:r>
      <w:r w:rsidRPr="00AE6D90">
        <w:rPr>
          <w:rFonts w:eastAsia="Century" w:cs="Calibri"/>
          <w:b/>
          <w:bCs/>
          <w:i/>
          <w:sz w:val="24"/>
          <w:szCs w:val="24"/>
          <w:vertAlign w:val="subscript"/>
        </w:rPr>
        <w:t>1</w:t>
      </w:r>
      <w:r w:rsidRPr="00AE6D90">
        <w:rPr>
          <w:rFonts w:eastAsia="Century" w:cs="Calibri"/>
          <w:b/>
          <w:bCs/>
          <w:i/>
          <w:sz w:val="24"/>
          <w:szCs w:val="24"/>
        </w:rPr>
        <w:t>GE</w:t>
      </w:r>
      <w:r w:rsidRPr="00AE6D90">
        <w:rPr>
          <w:rFonts w:eastAsia="Century" w:cs="Calibri"/>
          <w:b/>
          <w:bCs/>
          <w:i/>
          <w:sz w:val="24"/>
          <w:szCs w:val="24"/>
          <w:vertAlign w:val="subscript"/>
        </w:rPr>
        <w:t>it</w:t>
      </w:r>
      <w:r w:rsidRPr="00AE6D90">
        <w:rPr>
          <w:rFonts w:eastAsia="Century" w:cs="Calibri"/>
          <w:b/>
          <w:bCs/>
          <w:i/>
          <w:sz w:val="24"/>
          <w:szCs w:val="24"/>
        </w:rPr>
        <w:t xml:space="preserve"> + ß</w:t>
      </w:r>
      <w:r w:rsidRPr="00AE6D90">
        <w:rPr>
          <w:rFonts w:eastAsia="Century" w:cs="Calibri"/>
          <w:b/>
          <w:bCs/>
          <w:i/>
          <w:sz w:val="24"/>
          <w:szCs w:val="24"/>
          <w:vertAlign w:val="subscript"/>
        </w:rPr>
        <w:t>2</w:t>
      </w:r>
      <w:r w:rsidRPr="00AE6D90">
        <w:rPr>
          <w:rFonts w:eastAsia="Century" w:cs="Calibri"/>
          <w:b/>
          <w:bCs/>
          <w:i/>
          <w:sz w:val="24"/>
          <w:szCs w:val="24"/>
        </w:rPr>
        <w:t>INFR</w:t>
      </w:r>
      <w:r w:rsidRPr="00AE6D90">
        <w:rPr>
          <w:rFonts w:eastAsia="Century" w:cs="Calibri"/>
          <w:b/>
          <w:bCs/>
          <w:i/>
          <w:sz w:val="24"/>
          <w:szCs w:val="24"/>
          <w:vertAlign w:val="subscript"/>
        </w:rPr>
        <w:t xml:space="preserve">it </w:t>
      </w:r>
      <w:r w:rsidRPr="00AE6D90">
        <w:rPr>
          <w:rFonts w:eastAsia="Century" w:cs="Calibri"/>
          <w:b/>
          <w:bCs/>
          <w:i/>
          <w:sz w:val="24"/>
          <w:szCs w:val="24"/>
        </w:rPr>
        <w:t>+ ß</w:t>
      </w:r>
      <w:r w:rsidRPr="00AE6D90">
        <w:rPr>
          <w:rFonts w:eastAsia="Century" w:cs="Calibri"/>
          <w:b/>
          <w:bCs/>
          <w:i/>
          <w:sz w:val="24"/>
          <w:szCs w:val="24"/>
          <w:vertAlign w:val="subscript"/>
        </w:rPr>
        <w:t>3</w:t>
      </w:r>
      <w:r w:rsidRPr="00AE6D90">
        <w:rPr>
          <w:rFonts w:eastAsia="Century" w:cs="Calibri"/>
          <w:b/>
          <w:bCs/>
          <w:i/>
          <w:sz w:val="24"/>
          <w:szCs w:val="24"/>
        </w:rPr>
        <w:t>RESL</w:t>
      </w:r>
      <w:r w:rsidRPr="00AE6D90">
        <w:rPr>
          <w:rFonts w:eastAsia="Century" w:cs="Calibri"/>
          <w:b/>
          <w:bCs/>
          <w:i/>
          <w:sz w:val="24"/>
          <w:szCs w:val="24"/>
          <w:vertAlign w:val="subscript"/>
        </w:rPr>
        <w:t>it</w:t>
      </w:r>
      <w:r w:rsidRPr="00AE6D90">
        <w:rPr>
          <w:rFonts w:eastAsia="Century" w:cs="Calibri"/>
          <w:b/>
          <w:bCs/>
          <w:i/>
          <w:sz w:val="24"/>
          <w:szCs w:val="24"/>
        </w:rPr>
        <w:t xml:space="preserve"> + </w:t>
      </w:r>
      <w:proofErr w:type="spellStart"/>
      <w:r w:rsidRPr="00AE6D90">
        <w:rPr>
          <w:rFonts w:eastAsia="Century" w:cs="Calibri"/>
          <w:b/>
          <w:bCs/>
          <w:i/>
          <w:sz w:val="24"/>
          <w:szCs w:val="24"/>
        </w:rPr>
        <w:t>u</w:t>
      </w:r>
      <w:r w:rsidRPr="00AE6D90">
        <w:rPr>
          <w:rFonts w:eastAsia="Century" w:cs="Calibri"/>
          <w:b/>
          <w:bCs/>
          <w:i/>
          <w:sz w:val="24"/>
          <w:szCs w:val="24"/>
          <w:vertAlign w:val="subscript"/>
        </w:rPr>
        <w:t>it</w:t>
      </w:r>
      <w:proofErr w:type="spellEnd"/>
      <w:r w:rsidRPr="00AE6D90">
        <w:rPr>
          <w:rFonts w:eastAsia="Century" w:cs="Calibri"/>
          <w:b/>
          <w:bCs/>
          <w:i/>
          <w:sz w:val="24"/>
          <w:szCs w:val="24"/>
        </w:rPr>
        <w:t xml:space="preserve"> </w:t>
      </w:r>
    </w:p>
    <w:p w14:paraId="1C416816" w14:textId="77777777" w:rsidR="00D51169" w:rsidRPr="00AE6D90" w:rsidRDefault="00D51169" w:rsidP="00FC6A6F">
      <w:pPr>
        <w:spacing w:before="240" w:line="240" w:lineRule="auto"/>
        <w:rPr>
          <w:rFonts w:eastAsia="Century" w:cs="Calibri"/>
          <w:sz w:val="24"/>
          <w:szCs w:val="24"/>
        </w:rPr>
      </w:pPr>
      <w:proofErr w:type="gramStart"/>
      <w:r w:rsidRPr="00AE6D90">
        <w:rPr>
          <w:rFonts w:eastAsia="Century" w:cs="Calibri"/>
          <w:sz w:val="24"/>
          <w:szCs w:val="24"/>
        </w:rPr>
        <w:t>where</w:t>
      </w:r>
      <w:proofErr w:type="gramEnd"/>
    </w:p>
    <w:p w14:paraId="1442C3CD" w14:textId="77777777" w:rsidR="00D51169" w:rsidRPr="00AE6D90" w:rsidRDefault="00D51169" w:rsidP="00FC6A6F">
      <w:pPr>
        <w:spacing w:after="0" w:line="240" w:lineRule="auto"/>
        <w:jc w:val="both"/>
        <w:rPr>
          <w:rFonts w:eastAsia="Century" w:cs="Calibri"/>
          <w:b/>
          <w:i/>
          <w:sz w:val="24"/>
          <w:szCs w:val="24"/>
        </w:rPr>
      </w:pPr>
      <w:proofErr w:type="spellStart"/>
      <w:r w:rsidRPr="00AE6D90">
        <w:rPr>
          <w:rFonts w:eastAsia="Century" w:cs="Calibri"/>
          <w:i/>
          <w:sz w:val="24"/>
          <w:szCs w:val="24"/>
        </w:rPr>
        <w:t>ED</w:t>
      </w:r>
      <w:r w:rsidRPr="00AE6D90">
        <w:rPr>
          <w:rFonts w:eastAsia="Century" w:cs="Calibri"/>
          <w:b/>
          <w:i/>
          <w:sz w:val="24"/>
          <w:szCs w:val="24"/>
          <w:vertAlign w:val="subscript"/>
        </w:rPr>
        <w:t>it</w:t>
      </w:r>
      <w:proofErr w:type="spellEnd"/>
      <w:r w:rsidRPr="00AE6D90">
        <w:rPr>
          <w:rFonts w:eastAsia="Century" w:cs="Calibri"/>
          <w:b/>
          <w:i/>
          <w:sz w:val="24"/>
          <w:szCs w:val="24"/>
          <w:vertAlign w:val="subscript"/>
        </w:rPr>
        <w:t xml:space="preserve"> </w:t>
      </w:r>
      <w:r w:rsidRPr="00AE6D90">
        <w:rPr>
          <w:rFonts w:eastAsia="Century" w:cs="Calibri"/>
          <w:sz w:val="24"/>
          <w:szCs w:val="24"/>
        </w:rPr>
        <w:t xml:space="preserve">is the economic dynamism score of </w:t>
      </w:r>
      <w:proofErr w:type="gramStart"/>
      <w:r w:rsidRPr="00AE6D90">
        <w:rPr>
          <w:rFonts w:eastAsia="Century" w:cs="Calibri"/>
          <w:sz w:val="24"/>
          <w:szCs w:val="24"/>
        </w:rPr>
        <w:t>municipality</w:t>
      </w:r>
      <w:proofErr w:type="gramEnd"/>
      <w:r w:rsidRPr="00AE6D90">
        <w:rPr>
          <w:rFonts w:eastAsia="Century" w:cs="Calibri"/>
          <w:sz w:val="24"/>
          <w:szCs w:val="24"/>
        </w:rPr>
        <w:t xml:space="preserve"> </w:t>
      </w:r>
      <m:oMath>
        <m:r>
          <w:rPr>
            <w:rFonts w:ascii="Cambria Math" w:eastAsia="Century" w:hAnsi="Cambria Math" w:cs="Calibri"/>
            <w:sz w:val="24"/>
            <w:szCs w:val="24"/>
          </w:rPr>
          <m:t>i</m:t>
        </m:r>
      </m:oMath>
      <w:r w:rsidRPr="00AE6D90">
        <w:rPr>
          <w:rFonts w:eastAsia="Century" w:cs="Calibri"/>
          <w:sz w:val="24"/>
          <w:szCs w:val="24"/>
        </w:rPr>
        <w:t xml:space="preserve"> for the years 2017 to 2023;</w:t>
      </w:r>
      <w:r w:rsidRPr="00AE6D90">
        <w:rPr>
          <w:rFonts w:eastAsia="Century" w:cs="Calibri"/>
          <w:b/>
          <w:i/>
          <w:sz w:val="24"/>
          <w:szCs w:val="24"/>
        </w:rPr>
        <w:t xml:space="preserve"> </w:t>
      </w:r>
    </w:p>
    <w:p w14:paraId="605E3E9A" w14:textId="77777777" w:rsidR="00D51169" w:rsidRPr="00AE6D90" w:rsidRDefault="00D51169" w:rsidP="00FC6A6F">
      <w:pPr>
        <w:spacing w:after="0" w:line="240" w:lineRule="auto"/>
        <w:jc w:val="both"/>
        <w:rPr>
          <w:rFonts w:eastAsia="Century" w:cs="Calibri"/>
          <w:b/>
          <w:i/>
          <w:sz w:val="24"/>
          <w:szCs w:val="24"/>
        </w:rPr>
      </w:pPr>
    </w:p>
    <w:p w14:paraId="1A947D74" w14:textId="77777777" w:rsidR="00D51169" w:rsidRPr="00AE6D90" w:rsidRDefault="00D51169" w:rsidP="00FC6A6F">
      <w:pPr>
        <w:spacing w:after="0" w:line="240" w:lineRule="auto"/>
        <w:jc w:val="both"/>
        <w:rPr>
          <w:rFonts w:eastAsia="Century" w:cs="Calibri"/>
          <w:b/>
          <w:i/>
          <w:sz w:val="24"/>
          <w:szCs w:val="24"/>
        </w:rPr>
      </w:pPr>
      <w:r w:rsidRPr="00AE6D90">
        <w:rPr>
          <w:rFonts w:ascii="Cambria Math" w:eastAsia="Century" w:hAnsi="Cambria Math" w:cs="Cambria Math"/>
          <w:i/>
          <w:sz w:val="24"/>
          <w:szCs w:val="24"/>
        </w:rPr>
        <w:t>∝</w:t>
      </w:r>
      <w:r w:rsidRPr="00AE6D90">
        <w:rPr>
          <w:rFonts w:eastAsia="Century" w:cs="Calibri"/>
          <w:b/>
          <w:i/>
          <w:sz w:val="24"/>
          <w:szCs w:val="24"/>
        </w:rPr>
        <w:t xml:space="preserve"> </w:t>
      </w:r>
      <w:r w:rsidRPr="00AE6D90">
        <w:rPr>
          <w:rFonts w:eastAsia="Century" w:cs="Calibri"/>
          <w:sz w:val="24"/>
          <w:szCs w:val="24"/>
        </w:rPr>
        <w:t xml:space="preserve">is the </w:t>
      </w:r>
      <w:proofErr w:type="gramStart"/>
      <w:r w:rsidRPr="00AE6D90">
        <w:rPr>
          <w:rFonts w:eastAsia="Century" w:cs="Calibri"/>
          <w:sz w:val="24"/>
          <w:szCs w:val="24"/>
        </w:rPr>
        <w:t>intercept;</w:t>
      </w:r>
      <w:proofErr w:type="gramEnd"/>
      <w:r w:rsidRPr="00AE6D90">
        <w:rPr>
          <w:rFonts w:eastAsia="Century" w:cs="Calibri"/>
          <w:b/>
          <w:i/>
          <w:sz w:val="24"/>
          <w:szCs w:val="24"/>
        </w:rPr>
        <w:t xml:space="preserve"> </w:t>
      </w:r>
    </w:p>
    <w:p w14:paraId="4D9D8702" w14:textId="77777777" w:rsidR="00D51169" w:rsidRPr="00AE6D90" w:rsidRDefault="00D51169" w:rsidP="00FC6A6F">
      <w:pPr>
        <w:spacing w:after="0" w:line="240" w:lineRule="auto"/>
        <w:jc w:val="both"/>
        <w:rPr>
          <w:rFonts w:eastAsia="Century" w:cs="Calibri"/>
          <w:b/>
          <w:i/>
          <w:sz w:val="24"/>
          <w:szCs w:val="24"/>
        </w:rPr>
      </w:pPr>
    </w:p>
    <w:p w14:paraId="2F513696" w14:textId="77777777" w:rsidR="00D51169" w:rsidRPr="00AE6D90" w:rsidRDefault="00D51169" w:rsidP="00FC6A6F">
      <w:pPr>
        <w:spacing w:after="0" w:line="240" w:lineRule="auto"/>
        <w:jc w:val="both"/>
        <w:rPr>
          <w:rFonts w:eastAsia="Century" w:cs="Calibri"/>
          <w:sz w:val="24"/>
          <w:szCs w:val="24"/>
        </w:rPr>
      </w:pPr>
      <w:r w:rsidRPr="00AE6D90">
        <w:rPr>
          <w:rFonts w:eastAsia="Century" w:cs="Calibri"/>
          <w:i/>
          <w:sz w:val="24"/>
          <w:szCs w:val="24"/>
        </w:rPr>
        <w:t>ß</w:t>
      </w:r>
      <w:r w:rsidRPr="00AE6D90">
        <w:rPr>
          <w:rFonts w:eastAsia="Century" w:cs="Calibri"/>
          <w:i/>
          <w:sz w:val="24"/>
          <w:szCs w:val="24"/>
          <w:vertAlign w:val="subscript"/>
        </w:rPr>
        <w:t xml:space="preserve">1, </w:t>
      </w:r>
      <w:r w:rsidRPr="00AE6D90">
        <w:rPr>
          <w:rFonts w:eastAsia="Century" w:cs="Calibri"/>
          <w:i/>
          <w:sz w:val="24"/>
          <w:szCs w:val="24"/>
        </w:rPr>
        <w:t>ß</w:t>
      </w:r>
      <w:r w:rsidRPr="00AE6D90">
        <w:rPr>
          <w:rFonts w:eastAsia="Century" w:cs="Calibri"/>
          <w:i/>
          <w:sz w:val="24"/>
          <w:szCs w:val="24"/>
          <w:vertAlign w:val="subscript"/>
        </w:rPr>
        <w:t>2</w:t>
      </w:r>
      <w:r w:rsidRPr="00AE6D90">
        <w:rPr>
          <w:rFonts w:eastAsia="Century" w:cs="Calibri"/>
          <w:sz w:val="24"/>
          <w:szCs w:val="24"/>
        </w:rPr>
        <w:t xml:space="preserve">, </w:t>
      </w:r>
      <w:r w:rsidRPr="00AE6D90">
        <w:rPr>
          <w:rFonts w:eastAsia="Century" w:cs="Calibri"/>
          <w:i/>
          <w:sz w:val="24"/>
          <w:szCs w:val="24"/>
        </w:rPr>
        <w:t>ß</w:t>
      </w:r>
      <w:r w:rsidRPr="00AE6D90">
        <w:rPr>
          <w:rFonts w:eastAsia="Century" w:cs="Calibri"/>
          <w:i/>
          <w:sz w:val="24"/>
          <w:szCs w:val="24"/>
          <w:vertAlign w:val="subscript"/>
        </w:rPr>
        <w:t>3</w:t>
      </w:r>
      <w:r w:rsidRPr="00AE6D90">
        <w:rPr>
          <w:rFonts w:eastAsia="Century" w:cs="Calibri"/>
          <w:sz w:val="24"/>
          <w:szCs w:val="24"/>
        </w:rPr>
        <w:t xml:space="preserve"> are the slope coefficients of GE, INFR, and RESL, </w:t>
      </w:r>
      <w:proofErr w:type="gramStart"/>
      <w:r w:rsidRPr="00AE6D90">
        <w:rPr>
          <w:rFonts w:eastAsia="Century" w:cs="Calibri"/>
          <w:sz w:val="24"/>
          <w:szCs w:val="24"/>
        </w:rPr>
        <w:t>respectively;</w:t>
      </w:r>
      <w:proofErr w:type="gramEnd"/>
    </w:p>
    <w:p w14:paraId="59A7F0AE" w14:textId="77777777" w:rsidR="00D51169" w:rsidRPr="00AE6D90" w:rsidRDefault="00D51169" w:rsidP="00FC6A6F">
      <w:pPr>
        <w:spacing w:after="0" w:line="240" w:lineRule="auto"/>
        <w:jc w:val="both"/>
        <w:rPr>
          <w:rFonts w:eastAsia="Century" w:cs="Calibri"/>
          <w:sz w:val="24"/>
          <w:szCs w:val="24"/>
        </w:rPr>
      </w:pPr>
    </w:p>
    <w:p w14:paraId="1AC93B66" w14:textId="77777777" w:rsidR="00D51169" w:rsidRPr="00AE6D90" w:rsidRDefault="00D51169" w:rsidP="00FC6A6F">
      <w:pPr>
        <w:spacing w:after="0" w:line="240" w:lineRule="auto"/>
        <w:jc w:val="both"/>
        <w:rPr>
          <w:rFonts w:eastAsia="Century" w:cs="Calibri"/>
          <w:sz w:val="24"/>
          <w:szCs w:val="24"/>
        </w:rPr>
      </w:pPr>
      <w:proofErr w:type="spellStart"/>
      <w:r w:rsidRPr="00AE6D90">
        <w:rPr>
          <w:rFonts w:eastAsia="Century" w:cs="Calibri"/>
          <w:i/>
          <w:sz w:val="24"/>
          <w:szCs w:val="24"/>
        </w:rPr>
        <w:t>GE</w:t>
      </w:r>
      <w:r w:rsidRPr="00AE6D90">
        <w:rPr>
          <w:rFonts w:eastAsia="Century" w:cs="Calibri"/>
          <w:i/>
          <w:sz w:val="24"/>
          <w:szCs w:val="24"/>
          <w:vertAlign w:val="subscript"/>
        </w:rPr>
        <w:t>it</w:t>
      </w:r>
      <w:proofErr w:type="spellEnd"/>
      <w:r w:rsidRPr="00AE6D90">
        <w:rPr>
          <w:rFonts w:eastAsia="Century" w:cs="Calibri"/>
          <w:sz w:val="24"/>
          <w:szCs w:val="24"/>
        </w:rPr>
        <w:t xml:space="preserve"> is government efficiency score of </w:t>
      </w:r>
      <w:proofErr w:type="gramStart"/>
      <w:r w:rsidRPr="00AE6D90">
        <w:rPr>
          <w:rFonts w:eastAsia="Century" w:cs="Calibri"/>
          <w:sz w:val="24"/>
          <w:szCs w:val="24"/>
        </w:rPr>
        <w:t>municipality</w:t>
      </w:r>
      <w:proofErr w:type="gramEnd"/>
      <w:r w:rsidRPr="00AE6D90">
        <w:rPr>
          <w:rFonts w:eastAsia="Century" w:cs="Calibri"/>
          <w:sz w:val="24"/>
          <w:szCs w:val="24"/>
        </w:rPr>
        <w:t xml:space="preserve"> </w:t>
      </w:r>
      <m:oMath>
        <m:r>
          <w:rPr>
            <w:rFonts w:ascii="Cambria Math" w:eastAsia="Century" w:hAnsi="Cambria Math" w:cs="Calibri"/>
            <w:sz w:val="24"/>
            <w:szCs w:val="24"/>
          </w:rPr>
          <m:t>i</m:t>
        </m:r>
      </m:oMath>
      <w:r w:rsidRPr="00AE6D90">
        <w:rPr>
          <w:rFonts w:eastAsia="Century" w:cs="Calibri"/>
          <w:sz w:val="24"/>
          <w:szCs w:val="24"/>
        </w:rPr>
        <w:t xml:space="preserve"> for the years 2017 to 2023;</w:t>
      </w:r>
    </w:p>
    <w:p w14:paraId="34F87905" w14:textId="77777777" w:rsidR="00D51169" w:rsidRPr="00AE6D90" w:rsidRDefault="00D51169" w:rsidP="00FC6A6F">
      <w:pPr>
        <w:spacing w:after="0" w:line="240" w:lineRule="auto"/>
        <w:jc w:val="both"/>
        <w:rPr>
          <w:rFonts w:eastAsia="Century" w:cs="Calibri"/>
          <w:sz w:val="24"/>
          <w:szCs w:val="24"/>
        </w:rPr>
      </w:pPr>
    </w:p>
    <w:p w14:paraId="3B477ACD" w14:textId="77777777" w:rsidR="00D51169" w:rsidRPr="00AE6D90" w:rsidRDefault="00D51169" w:rsidP="00FC6A6F">
      <w:pPr>
        <w:spacing w:after="0" w:line="240" w:lineRule="auto"/>
        <w:jc w:val="both"/>
        <w:rPr>
          <w:rFonts w:eastAsia="Century" w:cs="Calibri"/>
          <w:sz w:val="24"/>
          <w:szCs w:val="24"/>
        </w:rPr>
      </w:pPr>
      <w:proofErr w:type="spellStart"/>
      <w:r w:rsidRPr="00AE6D90">
        <w:rPr>
          <w:rFonts w:eastAsia="Century" w:cs="Calibri"/>
          <w:i/>
          <w:sz w:val="24"/>
          <w:szCs w:val="24"/>
        </w:rPr>
        <w:t>INFR</w:t>
      </w:r>
      <w:r w:rsidRPr="00AE6D90">
        <w:rPr>
          <w:rFonts w:eastAsia="Century" w:cs="Calibri"/>
          <w:i/>
          <w:sz w:val="24"/>
          <w:szCs w:val="24"/>
          <w:vertAlign w:val="subscript"/>
        </w:rPr>
        <w:t>it</w:t>
      </w:r>
      <w:proofErr w:type="spellEnd"/>
      <w:r w:rsidRPr="00AE6D90">
        <w:rPr>
          <w:rFonts w:eastAsia="Century" w:cs="Calibri"/>
          <w:sz w:val="24"/>
          <w:szCs w:val="24"/>
        </w:rPr>
        <w:t xml:space="preserve"> is infrastructure score of </w:t>
      </w:r>
      <w:proofErr w:type="gramStart"/>
      <w:r w:rsidRPr="00AE6D90">
        <w:rPr>
          <w:rFonts w:eastAsia="Century" w:cs="Calibri"/>
          <w:sz w:val="24"/>
          <w:szCs w:val="24"/>
        </w:rPr>
        <w:t>municipality</w:t>
      </w:r>
      <w:proofErr w:type="gramEnd"/>
      <w:r w:rsidRPr="00AE6D90">
        <w:rPr>
          <w:rFonts w:eastAsia="Century" w:cs="Calibri"/>
          <w:sz w:val="24"/>
          <w:szCs w:val="24"/>
        </w:rPr>
        <w:t xml:space="preserve"> </w:t>
      </w:r>
      <m:oMath>
        <m:r>
          <w:rPr>
            <w:rFonts w:ascii="Cambria Math" w:eastAsia="Century" w:hAnsi="Cambria Math" w:cs="Calibri"/>
            <w:sz w:val="24"/>
            <w:szCs w:val="24"/>
          </w:rPr>
          <m:t xml:space="preserve">i </m:t>
        </m:r>
      </m:oMath>
      <w:r w:rsidRPr="00AE6D90">
        <w:rPr>
          <w:rFonts w:eastAsia="Century" w:cs="Calibri"/>
          <w:sz w:val="24"/>
          <w:szCs w:val="24"/>
        </w:rPr>
        <w:t xml:space="preserve"> for the years 2017 to 2023;</w:t>
      </w:r>
    </w:p>
    <w:p w14:paraId="403ED6FA" w14:textId="77777777" w:rsidR="00D51169" w:rsidRPr="00AE6D90" w:rsidRDefault="00D51169" w:rsidP="00FC6A6F">
      <w:pPr>
        <w:spacing w:after="0" w:line="240" w:lineRule="auto"/>
        <w:jc w:val="both"/>
        <w:rPr>
          <w:rFonts w:eastAsia="Century" w:cs="Calibri"/>
          <w:sz w:val="24"/>
          <w:szCs w:val="24"/>
        </w:rPr>
      </w:pPr>
    </w:p>
    <w:p w14:paraId="45C9F9C1" w14:textId="7B11AE2B" w:rsidR="00D51169" w:rsidRPr="00AE6D90" w:rsidRDefault="00D51169" w:rsidP="00FC6A6F">
      <w:pPr>
        <w:spacing w:after="0" w:line="240" w:lineRule="auto"/>
        <w:jc w:val="both"/>
        <w:rPr>
          <w:rFonts w:eastAsia="Century" w:cs="Calibri"/>
          <w:sz w:val="24"/>
          <w:szCs w:val="24"/>
        </w:rPr>
      </w:pPr>
      <w:proofErr w:type="spellStart"/>
      <w:r w:rsidRPr="00AE6D90">
        <w:rPr>
          <w:rFonts w:eastAsia="Century" w:cs="Calibri"/>
          <w:i/>
          <w:sz w:val="24"/>
          <w:szCs w:val="24"/>
        </w:rPr>
        <w:t>RESL</w:t>
      </w:r>
      <w:r w:rsidRPr="00AE6D90">
        <w:rPr>
          <w:rFonts w:eastAsia="Century" w:cs="Calibri"/>
          <w:i/>
          <w:sz w:val="24"/>
          <w:szCs w:val="24"/>
          <w:vertAlign w:val="subscript"/>
        </w:rPr>
        <w:t>it</w:t>
      </w:r>
      <w:proofErr w:type="spellEnd"/>
      <w:r w:rsidRPr="00AE6D90">
        <w:rPr>
          <w:rFonts w:eastAsia="Century" w:cs="Calibri"/>
          <w:i/>
          <w:sz w:val="24"/>
          <w:szCs w:val="24"/>
        </w:rPr>
        <w:t xml:space="preserve"> </w:t>
      </w:r>
      <w:r w:rsidRPr="00AE6D90">
        <w:rPr>
          <w:rFonts w:eastAsia="Century" w:cs="Calibri"/>
          <w:sz w:val="24"/>
          <w:szCs w:val="24"/>
        </w:rPr>
        <w:t xml:space="preserve">is the resiliency score of </w:t>
      </w:r>
      <w:proofErr w:type="gramStart"/>
      <w:r w:rsidRPr="00AE6D90">
        <w:rPr>
          <w:rFonts w:eastAsia="Century" w:cs="Calibri"/>
          <w:sz w:val="24"/>
          <w:szCs w:val="24"/>
        </w:rPr>
        <w:t>municipality</w:t>
      </w:r>
      <w:proofErr w:type="gramEnd"/>
      <w:r w:rsidRPr="00AE6D90">
        <w:rPr>
          <w:rFonts w:eastAsia="Century" w:cs="Calibri"/>
          <w:sz w:val="24"/>
          <w:szCs w:val="24"/>
        </w:rPr>
        <w:t xml:space="preserve"> </w:t>
      </w:r>
      <m:oMath>
        <m:r>
          <w:rPr>
            <w:rFonts w:ascii="Cambria Math" w:eastAsia="Century" w:hAnsi="Cambria Math" w:cs="Calibri"/>
            <w:sz w:val="24"/>
            <w:szCs w:val="24"/>
          </w:rPr>
          <m:t xml:space="preserve">i </m:t>
        </m:r>
      </m:oMath>
      <w:r w:rsidRPr="00AE6D90">
        <w:rPr>
          <w:rFonts w:eastAsia="Century" w:cs="Calibri"/>
          <w:sz w:val="24"/>
          <w:szCs w:val="24"/>
        </w:rPr>
        <w:t xml:space="preserve"> for the years 2017 to 2023; </w:t>
      </w:r>
      <w:r w:rsidR="008F39FB" w:rsidRPr="00AE6D90">
        <w:rPr>
          <w:rFonts w:eastAsia="Century" w:cs="Calibri"/>
          <w:sz w:val="24"/>
          <w:szCs w:val="24"/>
        </w:rPr>
        <w:t>and</w:t>
      </w:r>
    </w:p>
    <w:p w14:paraId="707F3F25" w14:textId="77777777" w:rsidR="00D51169" w:rsidRPr="00AE6D90" w:rsidRDefault="00D51169" w:rsidP="00FC6A6F">
      <w:pPr>
        <w:spacing w:after="0" w:line="240" w:lineRule="auto"/>
        <w:jc w:val="both"/>
        <w:rPr>
          <w:rFonts w:eastAsia="Century" w:cs="Calibri"/>
          <w:sz w:val="24"/>
          <w:szCs w:val="24"/>
        </w:rPr>
      </w:pPr>
    </w:p>
    <w:p w14:paraId="5CA66D12" w14:textId="545E15BE" w:rsidR="00D51169" w:rsidRPr="00AE6D90" w:rsidRDefault="00D51169" w:rsidP="00FC6A6F">
      <w:pPr>
        <w:spacing w:after="0" w:line="240" w:lineRule="auto"/>
        <w:jc w:val="both"/>
        <w:rPr>
          <w:rFonts w:eastAsia="Century" w:cs="Calibri"/>
          <w:sz w:val="24"/>
          <w:szCs w:val="24"/>
        </w:rPr>
      </w:pPr>
      <w:proofErr w:type="spellStart"/>
      <w:r w:rsidRPr="00AE6D90">
        <w:rPr>
          <w:rFonts w:eastAsia="Century" w:cs="Calibri"/>
          <w:i/>
          <w:sz w:val="24"/>
          <w:szCs w:val="24"/>
        </w:rPr>
        <w:t>u</w:t>
      </w:r>
      <w:r w:rsidRPr="00AE6D90">
        <w:rPr>
          <w:rFonts w:eastAsia="Century" w:cs="Calibri"/>
          <w:i/>
          <w:sz w:val="24"/>
          <w:szCs w:val="24"/>
          <w:vertAlign w:val="subscript"/>
        </w:rPr>
        <w:t>it</w:t>
      </w:r>
      <w:proofErr w:type="spellEnd"/>
      <w:r w:rsidRPr="00AE6D90">
        <w:rPr>
          <w:rFonts w:eastAsia="Century" w:cs="Calibri"/>
          <w:sz w:val="24"/>
          <w:szCs w:val="24"/>
        </w:rPr>
        <w:t xml:space="preserve"> is the individual </w:t>
      </w:r>
      <w:r w:rsidR="00160D37" w:rsidRPr="00AE6D90">
        <w:rPr>
          <w:rFonts w:eastAsia="Century" w:cs="Calibri"/>
          <w:sz w:val="24"/>
          <w:szCs w:val="24"/>
        </w:rPr>
        <w:t xml:space="preserve">error term. </w:t>
      </w:r>
    </w:p>
    <w:p w14:paraId="4F3B6DC0" w14:textId="77777777" w:rsidR="00AD0E97" w:rsidRPr="00AE6D90" w:rsidRDefault="00AD0E97" w:rsidP="002700DF">
      <w:pPr>
        <w:spacing w:after="0" w:line="240" w:lineRule="auto"/>
        <w:rPr>
          <w:rFonts w:cs="Calibri"/>
          <w:sz w:val="24"/>
          <w:szCs w:val="24"/>
        </w:rPr>
      </w:pPr>
    </w:p>
    <w:bookmarkEnd w:id="0"/>
    <w:p w14:paraId="11AB050D" w14:textId="77777777" w:rsidR="00AE6D90" w:rsidRDefault="00AE6D90" w:rsidP="00A81F98">
      <w:pPr>
        <w:spacing w:after="0" w:line="240" w:lineRule="auto"/>
        <w:rPr>
          <w:rFonts w:eastAsiaTheme="minorEastAsia" w:cs="Calibri"/>
          <w:b/>
          <w:bCs/>
          <w:sz w:val="24"/>
          <w:szCs w:val="24"/>
        </w:rPr>
      </w:pPr>
    </w:p>
    <w:p w14:paraId="0B6F8FF9" w14:textId="34A3F998" w:rsidR="00A84962" w:rsidRPr="00AE6D90" w:rsidRDefault="00F64B09" w:rsidP="00A81F98">
      <w:pPr>
        <w:spacing w:after="0" w:line="240" w:lineRule="auto"/>
        <w:rPr>
          <w:rFonts w:cs="Calibri"/>
          <w:sz w:val="24"/>
          <w:szCs w:val="24"/>
        </w:rPr>
      </w:pPr>
      <w:r w:rsidRPr="00AE6D90">
        <w:rPr>
          <w:rFonts w:eastAsiaTheme="minorEastAsia" w:cs="Calibri"/>
          <w:b/>
          <w:bCs/>
          <w:sz w:val="24"/>
          <w:szCs w:val="24"/>
        </w:rPr>
        <w:t>Results and Discussion</w:t>
      </w:r>
    </w:p>
    <w:p w14:paraId="74AA6D5B" w14:textId="77777777" w:rsidR="00D26D47" w:rsidRPr="00AE6D90" w:rsidRDefault="00D26D47" w:rsidP="00A81F98">
      <w:pPr>
        <w:spacing w:after="0" w:line="240" w:lineRule="auto"/>
        <w:rPr>
          <w:rFonts w:cs="Calibri"/>
          <w:b/>
          <w:bCs/>
          <w:i/>
          <w:iCs/>
          <w:sz w:val="24"/>
          <w:szCs w:val="24"/>
        </w:rPr>
      </w:pPr>
    </w:p>
    <w:p w14:paraId="382BD0DD" w14:textId="7D251BA8" w:rsidR="0076267C" w:rsidRPr="00AE6D90" w:rsidRDefault="003F5C3D" w:rsidP="00160D37">
      <w:pPr>
        <w:spacing w:after="0" w:line="240" w:lineRule="auto"/>
        <w:jc w:val="both"/>
        <w:rPr>
          <w:rFonts w:cs="Calibri"/>
          <w:b/>
          <w:bCs/>
          <w:i/>
          <w:iCs/>
          <w:sz w:val="24"/>
          <w:szCs w:val="24"/>
        </w:rPr>
      </w:pPr>
      <w:r w:rsidRPr="00AE6D90">
        <w:rPr>
          <w:rFonts w:cs="Calibri"/>
          <w:sz w:val="24"/>
          <w:szCs w:val="24"/>
        </w:rPr>
        <w:t>Table 1 presents a</w:t>
      </w:r>
      <w:r w:rsidR="00991CCF" w:rsidRPr="00AE6D90">
        <w:rPr>
          <w:rFonts w:cs="Calibri"/>
          <w:sz w:val="24"/>
          <w:szCs w:val="24"/>
        </w:rPr>
        <w:t xml:space="preserve"> descriptive summary information</w:t>
      </w:r>
      <w:r w:rsidRPr="00AE6D90">
        <w:rPr>
          <w:rFonts w:cs="Calibri"/>
          <w:sz w:val="24"/>
          <w:szCs w:val="24"/>
        </w:rPr>
        <w:t xml:space="preserve"> of the variables used in the panel regression analysi</w:t>
      </w:r>
      <w:r w:rsidR="00A758B7" w:rsidRPr="00AE6D90">
        <w:rPr>
          <w:rFonts w:cs="Calibri"/>
          <w:sz w:val="24"/>
          <w:szCs w:val="24"/>
        </w:rPr>
        <w:t>s</w:t>
      </w:r>
      <w:r w:rsidR="00962E00" w:rsidRPr="00AE6D90">
        <w:rPr>
          <w:rFonts w:cs="Calibri"/>
          <w:sz w:val="24"/>
          <w:szCs w:val="24"/>
        </w:rPr>
        <w:t>. For Economic dynamism scores of the 22 Municipalities from 2017 to 2023</w:t>
      </w:r>
      <w:r w:rsidR="008A2089" w:rsidRPr="00AE6D90">
        <w:rPr>
          <w:rFonts w:cs="Calibri"/>
          <w:sz w:val="24"/>
          <w:szCs w:val="24"/>
        </w:rPr>
        <w:t>, it</w:t>
      </w:r>
      <w:r w:rsidRPr="00AE6D90">
        <w:rPr>
          <w:rFonts w:cs="Calibri"/>
          <w:sz w:val="24"/>
          <w:szCs w:val="24"/>
        </w:rPr>
        <w:t xml:space="preserve"> reveals that the highest recorded score among the 22 municipalities is 8.3677</w:t>
      </w:r>
      <w:r w:rsidR="008A2089" w:rsidRPr="00AE6D90">
        <w:rPr>
          <w:rFonts w:cs="Calibri"/>
          <w:sz w:val="24"/>
          <w:szCs w:val="24"/>
        </w:rPr>
        <w:t xml:space="preserve"> </w:t>
      </w:r>
      <w:r w:rsidR="009520AA" w:rsidRPr="00AE6D90">
        <w:rPr>
          <w:rFonts w:cs="Calibri"/>
          <w:sz w:val="24"/>
          <w:szCs w:val="24"/>
        </w:rPr>
        <w:t xml:space="preserve">which </w:t>
      </w:r>
      <w:r w:rsidRPr="00AE6D90">
        <w:rPr>
          <w:rFonts w:cs="Calibri"/>
          <w:sz w:val="24"/>
          <w:szCs w:val="24"/>
        </w:rPr>
        <w:t xml:space="preserve">significantly surpass the mean score of 3.7875. In terms of government efficiency scores, the maximum recorded score is 11.9703, which is relatively close to the mean score of all municipalities at 8.3577. The infrastructure pillar achieved its highest score at 7.9614, while the resiliency pillar stands out with the highest maximum value of 18.1867 among all variables studied. It is evident from the discrepancies between the maximum and minimum values of these variables that certain municipalities may be underperforming or </w:t>
      </w:r>
      <w:proofErr w:type="gramStart"/>
      <w:r w:rsidR="00160D37" w:rsidRPr="00AE6D90">
        <w:rPr>
          <w:rFonts w:cs="Calibri"/>
          <w:sz w:val="24"/>
          <w:szCs w:val="24"/>
        </w:rPr>
        <w:t xml:space="preserve">lagging </w:t>
      </w:r>
      <w:r w:rsidR="00DE0E45" w:rsidRPr="00AE6D90">
        <w:rPr>
          <w:rFonts w:cs="Calibri"/>
          <w:sz w:val="24"/>
          <w:szCs w:val="24"/>
        </w:rPr>
        <w:t>behind</w:t>
      </w:r>
      <w:proofErr w:type="gramEnd"/>
      <w:r w:rsidRPr="00AE6D90">
        <w:rPr>
          <w:rFonts w:cs="Calibri"/>
          <w:sz w:val="24"/>
          <w:szCs w:val="24"/>
        </w:rPr>
        <w:t>.</w:t>
      </w:r>
    </w:p>
    <w:p w14:paraId="5D84D74E" w14:textId="77777777" w:rsidR="00A758B7" w:rsidRPr="00AE6D90" w:rsidRDefault="00A758B7" w:rsidP="00017062">
      <w:pPr>
        <w:spacing w:after="0" w:line="240" w:lineRule="auto"/>
        <w:rPr>
          <w:rFonts w:cs="Calibri"/>
          <w:b/>
          <w:bCs/>
          <w:sz w:val="24"/>
          <w:szCs w:val="24"/>
        </w:rPr>
      </w:pPr>
    </w:p>
    <w:p w14:paraId="01D23F67" w14:textId="3D8C20AA" w:rsidR="00B2640B" w:rsidRPr="00AE6D90" w:rsidRDefault="00B2640B" w:rsidP="00A81F98">
      <w:pPr>
        <w:spacing w:after="0" w:line="240" w:lineRule="auto"/>
        <w:rPr>
          <w:rFonts w:cs="Calibri"/>
          <w:sz w:val="24"/>
          <w:szCs w:val="24"/>
        </w:rPr>
      </w:pPr>
      <w:r w:rsidRPr="00AE6D90">
        <w:rPr>
          <w:rFonts w:cs="Calibri"/>
          <w:b/>
          <w:bCs/>
          <w:sz w:val="24"/>
          <w:szCs w:val="24"/>
        </w:rPr>
        <w:t xml:space="preserve">Table 1 </w:t>
      </w:r>
      <w:r w:rsidR="00017062" w:rsidRPr="00AE6D90">
        <w:rPr>
          <w:rFonts w:cs="Calibri"/>
          <w:sz w:val="24"/>
          <w:szCs w:val="24"/>
        </w:rPr>
        <w:t>Descriptive Statistics of the variables</w:t>
      </w:r>
    </w:p>
    <w:tbl>
      <w:tblPr>
        <w:tblW w:w="7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879"/>
        <w:gridCol w:w="1007"/>
        <w:gridCol w:w="1054"/>
        <w:gridCol w:w="1054"/>
        <w:gridCol w:w="1054"/>
      </w:tblGrid>
      <w:tr w:rsidR="006C53D2" w:rsidRPr="00AE6D90" w14:paraId="2787A7F9" w14:textId="77777777" w:rsidTr="006C53D2">
        <w:trPr>
          <w:trHeight w:val="290"/>
        </w:trPr>
        <w:tc>
          <w:tcPr>
            <w:tcW w:w="2781" w:type="dxa"/>
            <w:shd w:val="clear" w:color="auto" w:fill="auto"/>
            <w:noWrap/>
            <w:vAlign w:val="bottom"/>
          </w:tcPr>
          <w:p w14:paraId="1311C5E8" w14:textId="77777777" w:rsidR="006C53D2" w:rsidRPr="00AE6D90" w:rsidRDefault="006C53D2" w:rsidP="00EB6FFE">
            <w:pPr>
              <w:spacing w:after="0" w:line="240" w:lineRule="auto"/>
              <w:jc w:val="center"/>
              <w:rPr>
                <w:rFonts w:eastAsia="Times New Roman" w:cs="Calibri"/>
                <w:b/>
                <w:bCs/>
                <w:color w:val="000000"/>
                <w:sz w:val="24"/>
                <w:szCs w:val="24"/>
                <w:lang w:eastAsia="en-PH"/>
              </w:rPr>
            </w:pPr>
            <w:r w:rsidRPr="00AE6D90">
              <w:rPr>
                <w:rFonts w:eastAsia="Times New Roman" w:cs="Calibri"/>
                <w:b/>
                <w:bCs/>
                <w:color w:val="000000"/>
                <w:sz w:val="24"/>
                <w:szCs w:val="24"/>
                <w:lang w:eastAsia="en-PH"/>
              </w:rPr>
              <w:lastRenderedPageBreak/>
              <w:t>Variables</w:t>
            </w:r>
          </w:p>
        </w:tc>
        <w:tc>
          <w:tcPr>
            <w:tcW w:w="943" w:type="dxa"/>
          </w:tcPr>
          <w:p w14:paraId="685493DD" w14:textId="2F2446FD" w:rsidR="006C53D2" w:rsidRPr="00AE6D90" w:rsidRDefault="006C53D2" w:rsidP="00EB6FFE">
            <w:pPr>
              <w:spacing w:after="0" w:line="240" w:lineRule="auto"/>
              <w:jc w:val="center"/>
              <w:rPr>
                <w:rFonts w:eastAsia="Times New Roman" w:cs="Calibri"/>
                <w:b/>
                <w:bCs/>
                <w:color w:val="000000"/>
                <w:sz w:val="24"/>
                <w:szCs w:val="24"/>
                <w:lang w:eastAsia="en-PH"/>
              </w:rPr>
            </w:pPr>
            <w:r w:rsidRPr="00AE6D90">
              <w:rPr>
                <w:rFonts w:eastAsia="Times New Roman" w:cs="Calibri"/>
                <w:b/>
                <w:bCs/>
                <w:color w:val="000000"/>
                <w:sz w:val="24"/>
                <w:szCs w:val="24"/>
                <w:lang w:eastAsia="en-PH"/>
              </w:rPr>
              <w:t>N</w:t>
            </w:r>
          </w:p>
        </w:tc>
        <w:tc>
          <w:tcPr>
            <w:tcW w:w="943" w:type="dxa"/>
            <w:shd w:val="clear" w:color="auto" w:fill="auto"/>
            <w:noWrap/>
            <w:vAlign w:val="bottom"/>
          </w:tcPr>
          <w:p w14:paraId="2BE20ED4" w14:textId="330BD76F" w:rsidR="006C53D2" w:rsidRPr="00AE6D90" w:rsidRDefault="006C53D2" w:rsidP="00EB6FFE">
            <w:pPr>
              <w:spacing w:after="0" w:line="240" w:lineRule="auto"/>
              <w:jc w:val="center"/>
              <w:rPr>
                <w:rFonts w:eastAsia="Times New Roman" w:cs="Calibri"/>
                <w:b/>
                <w:bCs/>
                <w:color w:val="000000"/>
                <w:sz w:val="24"/>
                <w:szCs w:val="24"/>
                <w:lang w:eastAsia="en-PH"/>
              </w:rPr>
            </w:pPr>
            <w:r w:rsidRPr="00AE6D90">
              <w:rPr>
                <w:rFonts w:eastAsia="Times New Roman" w:cs="Calibri"/>
                <w:b/>
                <w:bCs/>
                <w:color w:val="000000"/>
                <w:sz w:val="24"/>
                <w:szCs w:val="24"/>
                <w:lang w:eastAsia="en-PH"/>
              </w:rPr>
              <w:t>Mean</w:t>
            </w:r>
          </w:p>
        </w:tc>
        <w:tc>
          <w:tcPr>
            <w:tcW w:w="1054" w:type="dxa"/>
            <w:shd w:val="clear" w:color="auto" w:fill="auto"/>
            <w:noWrap/>
            <w:vAlign w:val="bottom"/>
          </w:tcPr>
          <w:p w14:paraId="1A5FA1AD" w14:textId="77777777" w:rsidR="006C53D2" w:rsidRPr="00AE6D90" w:rsidRDefault="006C53D2" w:rsidP="00EB6FFE">
            <w:pPr>
              <w:spacing w:after="0" w:line="240" w:lineRule="auto"/>
              <w:jc w:val="center"/>
              <w:rPr>
                <w:rFonts w:eastAsia="Times New Roman" w:cs="Calibri"/>
                <w:b/>
                <w:bCs/>
                <w:color w:val="000000"/>
                <w:sz w:val="24"/>
                <w:szCs w:val="24"/>
                <w:lang w:eastAsia="en-PH"/>
              </w:rPr>
            </w:pPr>
            <w:r w:rsidRPr="00AE6D90">
              <w:rPr>
                <w:rFonts w:eastAsia="Times New Roman" w:cs="Calibri"/>
                <w:b/>
                <w:bCs/>
                <w:color w:val="000000"/>
                <w:sz w:val="24"/>
                <w:szCs w:val="24"/>
                <w:lang w:eastAsia="en-PH"/>
              </w:rPr>
              <w:t>Std. Dev.</w:t>
            </w:r>
          </w:p>
        </w:tc>
        <w:tc>
          <w:tcPr>
            <w:tcW w:w="1054" w:type="dxa"/>
            <w:shd w:val="clear" w:color="auto" w:fill="auto"/>
            <w:noWrap/>
            <w:vAlign w:val="bottom"/>
          </w:tcPr>
          <w:p w14:paraId="61CA2856" w14:textId="77777777" w:rsidR="006C53D2" w:rsidRPr="00AE6D90" w:rsidRDefault="006C53D2" w:rsidP="00EB6FFE">
            <w:pPr>
              <w:spacing w:after="0" w:line="240" w:lineRule="auto"/>
              <w:jc w:val="center"/>
              <w:rPr>
                <w:rFonts w:eastAsia="Times New Roman" w:cs="Calibri"/>
                <w:b/>
                <w:bCs/>
                <w:color w:val="000000"/>
                <w:sz w:val="24"/>
                <w:szCs w:val="24"/>
                <w:lang w:eastAsia="en-PH"/>
              </w:rPr>
            </w:pPr>
            <w:r w:rsidRPr="00AE6D90">
              <w:rPr>
                <w:rFonts w:eastAsia="Times New Roman" w:cs="Calibri"/>
                <w:b/>
                <w:bCs/>
                <w:color w:val="000000"/>
                <w:sz w:val="24"/>
                <w:szCs w:val="24"/>
                <w:lang w:eastAsia="en-PH"/>
              </w:rPr>
              <w:t>Min</w:t>
            </w:r>
          </w:p>
        </w:tc>
        <w:tc>
          <w:tcPr>
            <w:tcW w:w="1054" w:type="dxa"/>
            <w:shd w:val="clear" w:color="auto" w:fill="auto"/>
            <w:noWrap/>
            <w:vAlign w:val="bottom"/>
          </w:tcPr>
          <w:p w14:paraId="237A57D1" w14:textId="77777777" w:rsidR="006C53D2" w:rsidRPr="00AE6D90" w:rsidRDefault="006C53D2" w:rsidP="00EB6FFE">
            <w:pPr>
              <w:spacing w:after="0" w:line="240" w:lineRule="auto"/>
              <w:jc w:val="center"/>
              <w:rPr>
                <w:rFonts w:eastAsia="Times New Roman" w:cs="Calibri"/>
                <w:b/>
                <w:bCs/>
                <w:color w:val="000000"/>
                <w:sz w:val="24"/>
                <w:szCs w:val="24"/>
                <w:lang w:eastAsia="en-PH"/>
              </w:rPr>
            </w:pPr>
            <w:r w:rsidRPr="00AE6D90">
              <w:rPr>
                <w:rFonts w:eastAsia="Times New Roman" w:cs="Calibri"/>
                <w:b/>
                <w:bCs/>
                <w:color w:val="000000"/>
                <w:sz w:val="24"/>
                <w:szCs w:val="24"/>
                <w:lang w:eastAsia="en-PH"/>
              </w:rPr>
              <w:t>Max</w:t>
            </w:r>
          </w:p>
        </w:tc>
      </w:tr>
      <w:tr w:rsidR="006C53D2" w:rsidRPr="00AE6D90" w14:paraId="331831FB" w14:textId="77777777" w:rsidTr="006C53D2">
        <w:trPr>
          <w:trHeight w:val="290"/>
        </w:trPr>
        <w:tc>
          <w:tcPr>
            <w:tcW w:w="2781" w:type="dxa"/>
            <w:shd w:val="clear" w:color="auto" w:fill="auto"/>
            <w:noWrap/>
            <w:vAlign w:val="bottom"/>
            <w:hideMark/>
          </w:tcPr>
          <w:p w14:paraId="1A43B408" w14:textId="77777777" w:rsidR="006C53D2" w:rsidRPr="00AE6D90" w:rsidRDefault="006C53D2" w:rsidP="00EB6FFE">
            <w:pPr>
              <w:spacing w:after="0" w:line="240" w:lineRule="auto"/>
              <w:rPr>
                <w:rFonts w:eastAsia="Times New Roman" w:cs="Calibri"/>
                <w:color w:val="000000"/>
                <w:sz w:val="24"/>
                <w:szCs w:val="24"/>
                <w:lang w:eastAsia="en-PH"/>
              </w:rPr>
            </w:pPr>
            <w:r w:rsidRPr="00AE6D90">
              <w:rPr>
                <w:rFonts w:eastAsia="Times New Roman" w:cs="Calibri"/>
                <w:color w:val="000000"/>
                <w:sz w:val="24"/>
                <w:szCs w:val="24"/>
                <w:lang w:eastAsia="en-PH"/>
              </w:rPr>
              <w:t>Economic Dynamism</w:t>
            </w:r>
          </w:p>
        </w:tc>
        <w:tc>
          <w:tcPr>
            <w:tcW w:w="943" w:type="dxa"/>
          </w:tcPr>
          <w:p w14:paraId="1CD099C1" w14:textId="28CEB016" w:rsidR="006C53D2" w:rsidRPr="00AE6D90" w:rsidRDefault="0030357C" w:rsidP="00EB6FFE">
            <w:pPr>
              <w:spacing w:after="0" w:line="240" w:lineRule="auto"/>
              <w:jc w:val="center"/>
              <w:rPr>
                <w:rFonts w:eastAsia="Times New Roman" w:cs="Calibri"/>
                <w:color w:val="000000"/>
                <w:sz w:val="24"/>
                <w:szCs w:val="24"/>
                <w:lang w:eastAsia="en-PH"/>
              </w:rPr>
            </w:pPr>
            <w:r w:rsidRPr="00AE6D90">
              <w:rPr>
                <w:rFonts w:eastAsia="Times New Roman" w:cs="Calibri"/>
                <w:color w:val="000000"/>
                <w:sz w:val="24"/>
                <w:szCs w:val="24"/>
                <w:lang w:eastAsia="en-PH"/>
              </w:rPr>
              <w:t>132</w:t>
            </w:r>
          </w:p>
        </w:tc>
        <w:tc>
          <w:tcPr>
            <w:tcW w:w="943" w:type="dxa"/>
            <w:shd w:val="clear" w:color="auto" w:fill="auto"/>
            <w:noWrap/>
            <w:vAlign w:val="bottom"/>
            <w:hideMark/>
          </w:tcPr>
          <w:p w14:paraId="325E4FB4" w14:textId="746D367F" w:rsidR="006C53D2" w:rsidRPr="00AE6D90" w:rsidRDefault="006C53D2" w:rsidP="00EB6FFE">
            <w:pPr>
              <w:spacing w:after="0" w:line="240" w:lineRule="auto"/>
              <w:jc w:val="center"/>
              <w:rPr>
                <w:rFonts w:eastAsia="Times New Roman" w:cs="Calibri"/>
                <w:sz w:val="24"/>
                <w:szCs w:val="24"/>
                <w:lang w:eastAsia="en-PH"/>
              </w:rPr>
            </w:pPr>
            <w:r w:rsidRPr="00AE6D90">
              <w:rPr>
                <w:rFonts w:eastAsia="Times New Roman" w:cs="Calibri"/>
                <w:color w:val="000000"/>
                <w:sz w:val="24"/>
                <w:szCs w:val="24"/>
                <w:lang w:eastAsia="en-PH"/>
              </w:rPr>
              <w:t>3.7875</w:t>
            </w:r>
          </w:p>
        </w:tc>
        <w:tc>
          <w:tcPr>
            <w:tcW w:w="1054" w:type="dxa"/>
            <w:shd w:val="clear" w:color="auto" w:fill="auto"/>
            <w:noWrap/>
            <w:vAlign w:val="bottom"/>
            <w:hideMark/>
          </w:tcPr>
          <w:p w14:paraId="67247A17" w14:textId="77777777" w:rsidR="006C53D2" w:rsidRPr="00AE6D90" w:rsidRDefault="006C53D2" w:rsidP="00EB6FFE">
            <w:pPr>
              <w:spacing w:after="0" w:line="240" w:lineRule="auto"/>
              <w:jc w:val="center"/>
              <w:rPr>
                <w:rFonts w:eastAsia="Times New Roman" w:cs="Calibri"/>
                <w:sz w:val="24"/>
                <w:szCs w:val="24"/>
                <w:lang w:eastAsia="en-PH"/>
              </w:rPr>
            </w:pPr>
            <w:r w:rsidRPr="00AE6D90">
              <w:rPr>
                <w:rFonts w:eastAsia="Times New Roman" w:cs="Calibri"/>
                <w:color w:val="000000"/>
                <w:sz w:val="24"/>
                <w:szCs w:val="24"/>
                <w:lang w:eastAsia="en-PH"/>
              </w:rPr>
              <w:t>1.4381</w:t>
            </w:r>
          </w:p>
        </w:tc>
        <w:tc>
          <w:tcPr>
            <w:tcW w:w="1054" w:type="dxa"/>
            <w:shd w:val="clear" w:color="auto" w:fill="auto"/>
            <w:noWrap/>
            <w:vAlign w:val="bottom"/>
            <w:hideMark/>
          </w:tcPr>
          <w:p w14:paraId="7D6CAC0E" w14:textId="77777777" w:rsidR="006C53D2" w:rsidRPr="00AE6D90" w:rsidRDefault="006C53D2" w:rsidP="00EB6FFE">
            <w:pPr>
              <w:spacing w:after="0" w:line="240" w:lineRule="auto"/>
              <w:jc w:val="center"/>
              <w:rPr>
                <w:rFonts w:eastAsia="Times New Roman" w:cs="Calibri"/>
                <w:sz w:val="24"/>
                <w:szCs w:val="24"/>
                <w:lang w:eastAsia="en-PH"/>
              </w:rPr>
            </w:pPr>
            <w:r w:rsidRPr="00AE6D90">
              <w:rPr>
                <w:rFonts w:eastAsia="Times New Roman" w:cs="Calibri"/>
                <w:color w:val="000000"/>
                <w:sz w:val="24"/>
                <w:szCs w:val="24"/>
                <w:lang w:eastAsia="en-PH"/>
              </w:rPr>
              <w:t>1.3438</w:t>
            </w:r>
          </w:p>
        </w:tc>
        <w:tc>
          <w:tcPr>
            <w:tcW w:w="1054" w:type="dxa"/>
            <w:shd w:val="clear" w:color="auto" w:fill="auto"/>
            <w:noWrap/>
            <w:vAlign w:val="bottom"/>
            <w:hideMark/>
          </w:tcPr>
          <w:p w14:paraId="4D117DE9" w14:textId="77777777" w:rsidR="006C53D2" w:rsidRPr="00AE6D90" w:rsidRDefault="006C53D2" w:rsidP="00EB6FFE">
            <w:pPr>
              <w:spacing w:after="0" w:line="240" w:lineRule="auto"/>
              <w:jc w:val="center"/>
              <w:rPr>
                <w:rFonts w:eastAsia="Times New Roman" w:cs="Calibri"/>
                <w:sz w:val="24"/>
                <w:szCs w:val="24"/>
                <w:lang w:eastAsia="en-PH"/>
              </w:rPr>
            </w:pPr>
            <w:r w:rsidRPr="00AE6D90">
              <w:rPr>
                <w:rFonts w:eastAsia="Times New Roman" w:cs="Calibri"/>
                <w:color w:val="000000"/>
                <w:sz w:val="24"/>
                <w:szCs w:val="24"/>
                <w:lang w:eastAsia="en-PH"/>
              </w:rPr>
              <w:t>8.3677</w:t>
            </w:r>
          </w:p>
        </w:tc>
      </w:tr>
      <w:tr w:rsidR="006C53D2" w:rsidRPr="00AE6D90" w14:paraId="1A250ED7" w14:textId="77777777" w:rsidTr="006C53D2">
        <w:trPr>
          <w:trHeight w:val="290"/>
        </w:trPr>
        <w:tc>
          <w:tcPr>
            <w:tcW w:w="2781" w:type="dxa"/>
            <w:shd w:val="clear" w:color="auto" w:fill="auto"/>
            <w:noWrap/>
            <w:vAlign w:val="bottom"/>
            <w:hideMark/>
          </w:tcPr>
          <w:p w14:paraId="424237F6" w14:textId="77777777" w:rsidR="006C53D2" w:rsidRPr="00AE6D90" w:rsidRDefault="006C53D2" w:rsidP="00EB6FFE">
            <w:pPr>
              <w:spacing w:after="0" w:line="240" w:lineRule="auto"/>
              <w:rPr>
                <w:rFonts w:eastAsia="Times New Roman" w:cs="Calibri"/>
                <w:color w:val="000000"/>
                <w:sz w:val="24"/>
                <w:szCs w:val="24"/>
                <w:lang w:eastAsia="en-PH"/>
              </w:rPr>
            </w:pPr>
            <w:r w:rsidRPr="00AE6D90">
              <w:rPr>
                <w:rFonts w:eastAsia="Times New Roman" w:cs="Calibri"/>
                <w:color w:val="000000"/>
                <w:sz w:val="24"/>
                <w:szCs w:val="24"/>
                <w:lang w:eastAsia="en-PH"/>
              </w:rPr>
              <w:t>Government Efficiency</w:t>
            </w:r>
          </w:p>
        </w:tc>
        <w:tc>
          <w:tcPr>
            <w:tcW w:w="943" w:type="dxa"/>
          </w:tcPr>
          <w:p w14:paraId="61B81703" w14:textId="37FE0E0D" w:rsidR="006C53D2" w:rsidRPr="00AE6D90" w:rsidRDefault="0030357C" w:rsidP="00EB6FFE">
            <w:pPr>
              <w:spacing w:after="0" w:line="240" w:lineRule="auto"/>
              <w:jc w:val="center"/>
              <w:rPr>
                <w:rFonts w:eastAsia="Times New Roman" w:cs="Calibri"/>
                <w:color w:val="000000"/>
                <w:sz w:val="24"/>
                <w:szCs w:val="24"/>
                <w:lang w:eastAsia="en-PH"/>
              </w:rPr>
            </w:pPr>
            <w:r w:rsidRPr="00AE6D90">
              <w:rPr>
                <w:rFonts w:eastAsia="Times New Roman" w:cs="Calibri"/>
                <w:color w:val="000000"/>
                <w:sz w:val="24"/>
                <w:szCs w:val="24"/>
                <w:lang w:eastAsia="en-PH"/>
              </w:rPr>
              <w:t>132</w:t>
            </w:r>
          </w:p>
        </w:tc>
        <w:tc>
          <w:tcPr>
            <w:tcW w:w="943" w:type="dxa"/>
            <w:shd w:val="clear" w:color="auto" w:fill="auto"/>
            <w:noWrap/>
            <w:vAlign w:val="bottom"/>
            <w:hideMark/>
          </w:tcPr>
          <w:p w14:paraId="0169A0AD" w14:textId="5A1B3B20" w:rsidR="006C53D2" w:rsidRPr="00AE6D90" w:rsidRDefault="006C53D2" w:rsidP="00EB6FFE">
            <w:pPr>
              <w:spacing w:after="0" w:line="240" w:lineRule="auto"/>
              <w:jc w:val="center"/>
              <w:rPr>
                <w:rFonts w:eastAsia="Times New Roman" w:cs="Calibri"/>
                <w:color w:val="000000"/>
                <w:sz w:val="24"/>
                <w:szCs w:val="24"/>
                <w:lang w:eastAsia="en-PH"/>
              </w:rPr>
            </w:pPr>
            <w:r w:rsidRPr="00AE6D90">
              <w:rPr>
                <w:rFonts w:eastAsia="Times New Roman" w:cs="Calibri"/>
                <w:color w:val="000000"/>
                <w:sz w:val="24"/>
                <w:szCs w:val="24"/>
                <w:lang w:eastAsia="en-PH"/>
              </w:rPr>
              <w:t>8.3577</w:t>
            </w:r>
          </w:p>
        </w:tc>
        <w:tc>
          <w:tcPr>
            <w:tcW w:w="1054" w:type="dxa"/>
            <w:shd w:val="clear" w:color="auto" w:fill="auto"/>
            <w:noWrap/>
            <w:vAlign w:val="bottom"/>
            <w:hideMark/>
          </w:tcPr>
          <w:p w14:paraId="4C45CB30" w14:textId="77777777" w:rsidR="006C53D2" w:rsidRPr="00AE6D90" w:rsidRDefault="006C53D2" w:rsidP="00EB6FFE">
            <w:pPr>
              <w:spacing w:after="0" w:line="240" w:lineRule="auto"/>
              <w:jc w:val="center"/>
              <w:rPr>
                <w:rFonts w:eastAsia="Times New Roman" w:cs="Calibri"/>
                <w:color w:val="000000"/>
                <w:sz w:val="24"/>
                <w:szCs w:val="24"/>
                <w:lang w:eastAsia="en-PH"/>
              </w:rPr>
            </w:pPr>
            <w:r w:rsidRPr="00AE6D90">
              <w:rPr>
                <w:rFonts w:eastAsia="Times New Roman" w:cs="Calibri"/>
                <w:color w:val="000000"/>
                <w:sz w:val="24"/>
                <w:szCs w:val="24"/>
                <w:lang w:eastAsia="en-PH"/>
              </w:rPr>
              <w:t>2.4894</w:t>
            </w:r>
          </w:p>
        </w:tc>
        <w:tc>
          <w:tcPr>
            <w:tcW w:w="1054" w:type="dxa"/>
            <w:shd w:val="clear" w:color="auto" w:fill="auto"/>
            <w:noWrap/>
            <w:vAlign w:val="bottom"/>
            <w:hideMark/>
          </w:tcPr>
          <w:p w14:paraId="2C90CF13" w14:textId="77777777" w:rsidR="006C53D2" w:rsidRPr="00AE6D90" w:rsidRDefault="006C53D2" w:rsidP="00EB6FFE">
            <w:pPr>
              <w:spacing w:after="0" w:line="240" w:lineRule="auto"/>
              <w:jc w:val="center"/>
              <w:rPr>
                <w:rFonts w:eastAsia="Times New Roman" w:cs="Calibri"/>
                <w:color w:val="000000"/>
                <w:sz w:val="24"/>
                <w:szCs w:val="24"/>
                <w:lang w:eastAsia="en-PH"/>
              </w:rPr>
            </w:pPr>
            <w:r w:rsidRPr="00AE6D90">
              <w:rPr>
                <w:rFonts w:eastAsia="Times New Roman" w:cs="Calibri"/>
                <w:color w:val="000000"/>
                <w:sz w:val="24"/>
                <w:szCs w:val="24"/>
                <w:lang w:eastAsia="en-PH"/>
              </w:rPr>
              <w:t>1.0535</w:t>
            </w:r>
          </w:p>
        </w:tc>
        <w:tc>
          <w:tcPr>
            <w:tcW w:w="1054" w:type="dxa"/>
            <w:shd w:val="clear" w:color="auto" w:fill="auto"/>
            <w:noWrap/>
            <w:vAlign w:val="bottom"/>
            <w:hideMark/>
          </w:tcPr>
          <w:p w14:paraId="4A64DAA7" w14:textId="77777777" w:rsidR="006C53D2" w:rsidRPr="00AE6D90" w:rsidRDefault="006C53D2" w:rsidP="00EB6FFE">
            <w:pPr>
              <w:spacing w:after="0" w:line="240" w:lineRule="auto"/>
              <w:jc w:val="center"/>
              <w:rPr>
                <w:rFonts w:eastAsia="Times New Roman" w:cs="Calibri"/>
                <w:color w:val="000000"/>
                <w:sz w:val="24"/>
                <w:szCs w:val="24"/>
                <w:lang w:eastAsia="en-PH"/>
              </w:rPr>
            </w:pPr>
            <w:r w:rsidRPr="00AE6D90">
              <w:rPr>
                <w:rFonts w:eastAsia="Times New Roman" w:cs="Calibri"/>
                <w:color w:val="000000"/>
                <w:sz w:val="24"/>
                <w:szCs w:val="24"/>
                <w:lang w:eastAsia="en-PH"/>
              </w:rPr>
              <w:t>11.9703</w:t>
            </w:r>
          </w:p>
        </w:tc>
      </w:tr>
      <w:tr w:rsidR="006C53D2" w:rsidRPr="00AE6D90" w14:paraId="6D531943" w14:textId="77777777" w:rsidTr="006C53D2">
        <w:trPr>
          <w:trHeight w:val="290"/>
        </w:trPr>
        <w:tc>
          <w:tcPr>
            <w:tcW w:w="2781" w:type="dxa"/>
            <w:shd w:val="clear" w:color="auto" w:fill="auto"/>
            <w:noWrap/>
            <w:vAlign w:val="bottom"/>
            <w:hideMark/>
          </w:tcPr>
          <w:p w14:paraId="1AB6FD3D" w14:textId="77777777" w:rsidR="006C53D2" w:rsidRPr="00AE6D90" w:rsidRDefault="006C53D2" w:rsidP="00EB6FFE">
            <w:pPr>
              <w:spacing w:after="0" w:line="240" w:lineRule="auto"/>
              <w:rPr>
                <w:rFonts w:eastAsia="Times New Roman" w:cs="Calibri"/>
                <w:color w:val="000000"/>
                <w:sz w:val="24"/>
                <w:szCs w:val="24"/>
                <w:lang w:eastAsia="en-PH"/>
              </w:rPr>
            </w:pPr>
            <w:r w:rsidRPr="00AE6D90">
              <w:rPr>
                <w:rFonts w:eastAsia="Times New Roman" w:cs="Calibri"/>
                <w:color w:val="000000"/>
                <w:sz w:val="24"/>
                <w:szCs w:val="24"/>
                <w:lang w:eastAsia="en-PH"/>
              </w:rPr>
              <w:t>Infrastructure</w:t>
            </w:r>
          </w:p>
        </w:tc>
        <w:tc>
          <w:tcPr>
            <w:tcW w:w="943" w:type="dxa"/>
          </w:tcPr>
          <w:p w14:paraId="4B985F44" w14:textId="3FAB2E91" w:rsidR="006C53D2" w:rsidRPr="00AE6D90" w:rsidRDefault="0030357C" w:rsidP="00EB6FFE">
            <w:pPr>
              <w:spacing w:after="0" w:line="240" w:lineRule="auto"/>
              <w:jc w:val="center"/>
              <w:rPr>
                <w:rFonts w:eastAsia="Times New Roman" w:cs="Calibri"/>
                <w:color w:val="000000"/>
                <w:sz w:val="24"/>
                <w:szCs w:val="24"/>
                <w:lang w:eastAsia="en-PH"/>
              </w:rPr>
            </w:pPr>
            <w:r w:rsidRPr="00AE6D90">
              <w:rPr>
                <w:rFonts w:eastAsia="Times New Roman" w:cs="Calibri"/>
                <w:color w:val="000000"/>
                <w:sz w:val="24"/>
                <w:szCs w:val="24"/>
                <w:lang w:eastAsia="en-PH"/>
              </w:rPr>
              <w:t>132</w:t>
            </w:r>
          </w:p>
        </w:tc>
        <w:tc>
          <w:tcPr>
            <w:tcW w:w="943" w:type="dxa"/>
            <w:shd w:val="clear" w:color="auto" w:fill="auto"/>
            <w:noWrap/>
            <w:vAlign w:val="bottom"/>
            <w:hideMark/>
          </w:tcPr>
          <w:p w14:paraId="791DCA4C" w14:textId="70FA40E4" w:rsidR="006C53D2" w:rsidRPr="00AE6D90" w:rsidRDefault="006C53D2" w:rsidP="00EB6FFE">
            <w:pPr>
              <w:spacing w:after="0" w:line="240" w:lineRule="auto"/>
              <w:jc w:val="center"/>
              <w:rPr>
                <w:rFonts w:eastAsia="Times New Roman" w:cs="Calibri"/>
                <w:color w:val="000000"/>
                <w:sz w:val="24"/>
                <w:szCs w:val="24"/>
                <w:lang w:eastAsia="en-PH"/>
              </w:rPr>
            </w:pPr>
            <w:r w:rsidRPr="00AE6D90">
              <w:rPr>
                <w:rFonts w:eastAsia="Times New Roman" w:cs="Calibri"/>
                <w:color w:val="000000"/>
                <w:sz w:val="24"/>
                <w:szCs w:val="24"/>
                <w:lang w:eastAsia="en-PH"/>
              </w:rPr>
              <w:t>4.2725</w:t>
            </w:r>
          </w:p>
        </w:tc>
        <w:tc>
          <w:tcPr>
            <w:tcW w:w="1054" w:type="dxa"/>
            <w:shd w:val="clear" w:color="auto" w:fill="auto"/>
            <w:noWrap/>
            <w:vAlign w:val="bottom"/>
            <w:hideMark/>
          </w:tcPr>
          <w:p w14:paraId="06E6CE35" w14:textId="77777777" w:rsidR="006C53D2" w:rsidRPr="00AE6D90" w:rsidRDefault="006C53D2" w:rsidP="00EB6FFE">
            <w:pPr>
              <w:spacing w:after="0" w:line="240" w:lineRule="auto"/>
              <w:jc w:val="center"/>
              <w:rPr>
                <w:rFonts w:eastAsia="Times New Roman" w:cs="Calibri"/>
                <w:color w:val="000000"/>
                <w:sz w:val="24"/>
                <w:szCs w:val="24"/>
                <w:lang w:eastAsia="en-PH"/>
              </w:rPr>
            </w:pPr>
            <w:r w:rsidRPr="00AE6D90">
              <w:rPr>
                <w:rFonts w:eastAsia="Times New Roman" w:cs="Calibri"/>
                <w:color w:val="000000"/>
                <w:sz w:val="24"/>
                <w:szCs w:val="24"/>
                <w:lang w:eastAsia="en-PH"/>
              </w:rPr>
              <w:t>1.5950</w:t>
            </w:r>
          </w:p>
        </w:tc>
        <w:tc>
          <w:tcPr>
            <w:tcW w:w="1054" w:type="dxa"/>
            <w:shd w:val="clear" w:color="auto" w:fill="auto"/>
            <w:noWrap/>
            <w:vAlign w:val="bottom"/>
            <w:hideMark/>
          </w:tcPr>
          <w:p w14:paraId="5F817FD3" w14:textId="77777777" w:rsidR="006C53D2" w:rsidRPr="00AE6D90" w:rsidRDefault="006C53D2" w:rsidP="00EB6FFE">
            <w:pPr>
              <w:spacing w:after="0" w:line="240" w:lineRule="auto"/>
              <w:jc w:val="center"/>
              <w:rPr>
                <w:rFonts w:eastAsia="Times New Roman" w:cs="Calibri"/>
                <w:color w:val="000000"/>
                <w:sz w:val="24"/>
                <w:szCs w:val="24"/>
                <w:lang w:eastAsia="en-PH"/>
              </w:rPr>
            </w:pPr>
            <w:r w:rsidRPr="00AE6D90">
              <w:rPr>
                <w:rFonts w:eastAsia="Times New Roman" w:cs="Calibri"/>
                <w:color w:val="000000"/>
                <w:sz w:val="24"/>
                <w:szCs w:val="24"/>
                <w:lang w:eastAsia="en-PH"/>
              </w:rPr>
              <w:t>0.1773</w:t>
            </w:r>
          </w:p>
        </w:tc>
        <w:tc>
          <w:tcPr>
            <w:tcW w:w="1054" w:type="dxa"/>
            <w:shd w:val="clear" w:color="auto" w:fill="auto"/>
            <w:noWrap/>
            <w:vAlign w:val="bottom"/>
            <w:hideMark/>
          </w:tcPr>
          <w:p w14:paraId="0611A0D1" w14:textId="77777777" w:rsidR="006C53D2" w:rsidRPr="00AE6D90" w:rsidRDefault="006C53D2" w:rsidP="00EB6FFE">
            <w:pPr>
              <w:spacing w:after="0" w:line="240" w:lineRule="auto"/>
              <w:jc w:val="center"/>
              <w:rPr>
                <w:rFonts w:eastAsia="Times New Roman" w:cs="Calibri"/>
                <w:color w:val="000000"/>
                <w:sz w:val="24"/>
                <w:szCs w:val="24"/>
                <w:lang w:eastAsia="en-PH"/>
              </w:rPr>
            </w:pPr>
            <w:r w:rsidRPr="00AE6D90">
              <w:rPr>
                <w:rFonts w:eastAsia="Times New Roman" w:cs="Calibri"/>
                <w:color w:val="000000"/>
                <w:sz w:val="24"/>
                <w:szCs w:val="24"/>
                <w:lang w:eastAsia="en-PH"/>
              </w:rPr>
              <w:t>7.9614</w:t>
            </w:r>
          </w:p>
        </w:tc>
      </w:tr>
      <w:tr w:rsidR="006C53D2" w:rsidRPr="00AE6D90" w14:paraId="06B9A628" w14:textId="77777777" w:rsidTr="006C53D2">
        <w:trPr>
          <w:trHeight w:val="290"/>
        </w:trPr>
        <w:tc>
          <w:tcPr>
            <w:tcW w:w="2781" w:type="dxa"/>
            <w:shd w:val="clear" w:color="auto" w:fill="auto"/>
            <w:noWrap/>
            <w:vAlign w:val="bottom"/>
            <w:hideMark/>
          </w:tcPr>
          <w:p w14:paraId="27FD070B" w14:textId="77777777" w:rsidR="006C53D2" w:rsidRPr="00AE6D90" w:rsidRDefault="006C53D2" w:rsidP="00EB6FFE">
            <w:pPr>
              <w:spacing w:after="0" w:line="240" w:lineRule="auto"/>
              <w:rPr>
                <w:rFonts w:eastAsia="Times New Roman" w:cs="Calibri"/>
                <w:color w:val="000000"/>
                <w:sz w:val="24"/>
                <w:szCs w:val="24"/>
                <w:lang w:eastAsia="en-PH"/>
              </w:rPr>
            </w:pPr>
            <w:r w:rsidRPr="00AE6D90">
              <w:rPr>
                <w:rFonts w:eastAsia="Times New Roman" w:cs="Calibri"/>
                <w:color w:val="000000"/>
                <w:sz w:val="24"/>
                <w:szCs w:val="24"/>
                <w:lang w:eastAsia="en-PH"/>
              </w:rPr>
              <w:t xml:space="preserve">Resiliency </w:t>
            </w:r>
          </w:p>
        </w:tc>
        <w:tc>
          <w:tcPr>
            <w:tcW w:w="943" w:type="dxa"/>
          </w:tcPr>
          <w:p w14:paraId="45C873B4" w14:textId="325AE9FB" w:rsidR="006C53D2" w:rsidRPr="00AE6D90" w:rsidRDefault="0030357C" w:rsidP="00EB6FFE">
            <w:pPr>
              <w:spacing w:after="0" w:line="240" w:lineRule="auto"/>
              <w:jc w:val="center"/>
              <w:rPr>
                <w:rFonts w:eastAsia="Times New Roman" w:cs="Calibri"/>
                <w:color w:val="000000"/>
                <w:sz w:val="24"/>
                <w:szCs w:val="24"/>
                <w:lang w:eastAsia="en-PH"/>
              </w:rPr>
            </w:pPr>
            <w:r w:rsidRPr="00AE6D90">
              <w:rPr>
                <w:rFonts w:eastAsia="Times New Roman" w:cs="Calibri"/>
                <w:color w:val="000000"/>
                <w:sz w:val="24"/>
                <w:szCs w:val="24"/>
                <w:lang w:eastAsia="en-PH"/>
              </w:rPr>
              <w:t>132</w:t>
            </w:r>
          </w:p>
        </w:tc>
        <w:tc>
          <w:tcPr>
            <w:tcW w:w="943" w:type="dxa"/>
            <w:shd w:val="clear" w:color="auto" w:fill="auto"/>
            <w:noWrap/>
            <w:vAlign w:val="bottom"/>
            <w:hideMark/>
          </w:tcPr>
          <w:p w14:paraId="3103F375" w14:textId="521D36B4" w:rsidR="006C53D2" w:rsidRPr="00AE6D90" w:rsidRDefault="006C53D2" w:rsidP="00EB6FFE">
            <w:pPr>
              <w:spacing w:after="0" w:line="240" w:lineRule="auto"/>
              <w:jc w:val="center"/>
              <w:rPr>
                <w:rFonts w:eastAsia="Times New Roman" w:cs="Calibri"/>
                <w:color w:val="000000"/>
                <w:sz w:val="24"/>
                <w:szCs w:val="24"/>
                <w:lang w:eastAsia="en-PH"/>
              </w:rPr>
            </w:pPr>
            <w:r w:rsidRPr="00AE6D90">
              <w:rPr>
                <w:rFonts w:eastAsia="Times New Roman" w:cs="Calibri"/>
                <w:color w:val="000000"/>
                <w:sz w:val="24"/>
                <w:szCs w:val="24"/>
                <w:lang w:eastAsia="en-PH"/>
              </w:rPr>
              <w:t>12.5839</w:t>
            </w:r>
          </w:p>
        </w:tc>
        <w:tc>
          <w:tcPr>
            <w:tcW w:w="1054" w:type="dxa"/>
            <w:shd w:val="clear" w:color="auto" w:fill="auto"/>
            <w:noWrap/>
            <w:vAlign w:val="bottom"/>
            <w:hideMark/>
          </w:tcPr>
          <w:p w14:paraId="7F9FADC3" w14:textId="77777777" w:rsidR="006C53D2" w:rsidRPr="00AE6D90" w:rsidRDefault="006C53D2" w:rsidP="00EB6FFE">
            <w:pPr>
              <w:spacing w:after="0" w:line="240" w:lineRule="auto"/>
              <w:jc w:val="center"/>
              <w:rPr>
                <w:rFonts w:eastAsia="Times New Roman" w:cs="Calibri"/>
                <w:color w:val="000000"/>
                <w:sz w:val="24"/>
                <w:szCs w:val="24"/>
                <w:lang w:eastAsia="en-PH"/>
              </w:rPr>
            </w:pPr>
            <w:r w:rsidRPr="00AE6D90">
              <w:rPr>
                <w:rFonts w:eastAsia="Times New Roman" w:cs="Calibri"/>
                <w:color w:val="000000"/>
                <w:sz w:val="24"/>
                <w:szCs w:val="24"/>
                <w:lang w:eastAsia="en-PH"/>
              </w:rPr>
              <w:t>3.6176</w:t>
            </w:r>
          </w:p>
        </w:tc>
        <w:tc>
          <w:tcPr>
            <w:tcW w:w="1054" w:type="dxa"/>
            <w:shd w:val="clear" w:color="auto" w:fill="auto"/>
            <w:noWrap/>
            <w:vAlign w:val="bottom"/>
            <w:hideMark/>
          </w:tcPr>
          <w:p w14:paraId="2BD9FF03" w14:textId="77777777" w:rsidR="006C53D2" w:rsidRPr="00AE6D90" w:rsidRDefault="006C53D2" w:rsidP="00EB6FFE">
            <w:pPr>
              <w:spacing w:after="0" w:line="240" w:lineRule="auto"/>
              <w:jc w:val="center"/>
              <w:rPr>
                <w:rFonts w:eastAsia="Times New Roman" w:cs="Calibri"/>
                <w:color w:val="000000"/>
                <w:sz w:val="24"/>
                <w:szCs w:val="24"/>
                <w:lang w:eastAsia="en-PH"/>
              </w:rPr>
            </w:pPr>
            <w:r w:rsidRPr="00AE6D90">
              <w:rPr>
                <w:rFonts w:eastAsia="Times New Roman" w:cs="Calibri"/>
                <w:color w:val="000000"/>
                <w:sz w:val="24"/>
                <w:szCs w:val="24"/>
                <w:lang w:eastAsia="en-PH"/>
              </w:rPr>
              <w:t>0</w:t>
            </w:r>
          </w:p>
        </w:tc>
        <w:tc>
          <w:tcPr>
            <w:tcW w:w="1054" w:type="dxa"/>
            <w:shd w:val="clear" w:color="auto" w:fill="auto"/>
            <w:noWrap/>
            <w:vAlign w:val="bottom"/>
            <w:hideMark/>
          </w:tcPr>
          <w:p w14:paraId="6518E297" w14:textId="77777777" w:rsidR="006C53D2" w:rsidRPr="00AE6D90" w:rsidRDefault="006C53D2" w:rsidP="00EB6FFE">
            <w:pPr>
              <w:spacing w:after="0" w:line="240" w:lineRule="auto"/>
              <w:jc w:val="center"/>
              <w:rPr>
                <w:rFonts w:eastAsia="Times New Roman" w:cs="Calibri"/>
                <w:color w:val="000000"/>
                <w:sz w:val="24"/>
                <w:szCs w:val="24"/>
                <w:lang w:eastAsia="en-PH"/>
              </w:rPr>
            </w:pPr>
            <w:r w:rsidRPr="00AE6D90">
              <w:rPr>
                <w:rFonts w:eastAsia="Times New Roman" w:cs="Calibri"/>
                <w:color w:val="000000"/>
                <w:sz w:val="24"/>
                <w:szCs w:val="24"/>
                <w:lang w:eastAsia="en-PH"/>
              </w:rPr>
              <w:t>18.1867</w:t>
            </w:r>
          </w:p>
        </w:tc>
      </w:tr>
    </w:tbl>
    <w:p w14:paraId="24E6A39A" w14:textId="77777777" w:rsidR="00CC52BF" w:rsidRPr="00AE6D90" w:rsidRDefault="00CC52BF" w:rsidP="00A81F98">
      <w:pPr>
        <w:spacing w:after="0" w:line="240" w:lineRule="auto"/>
        <w:rPr>
          <w:rFonts w:cs="Calibri"/>
          <w:b/>
          <w:bCs/>
          <w:i/>
          <w:iCs/>
          <w:sz w:val="24"/>
          <w:szCs w:val="24"/>
        </w:rPr>
      </w:pPr>
    </w:p>
    <w:p w14:paraId="23B43FAB" w14:textId="77777777" w:rsidR="00CC52BF" w:rsidRPr="00AE6D90" w:rsidRDefault="00CC52BF" w:rsidP="00A81F98">
      <w:pPr>
        <w:spacing w:after="0" w:line="240" w:lineRule="auto"/>
        <w:rPr>
          <w:rFonts w:cs="Calibri"/>
          <w:b/>
          <w:bCs/>
          <w:i/>
          <w:iCs/>
          <w:sz w:val="24"/>
          <w:szCs w:val="24"/>
        </w:rPr>
      </w:pPr>
    </w:p>
    <w:p w14:paraId="2964D999" w14:textId="20D12A44" w:rsidR="00CC52BF" w:rsidRPr="00AE6D90" w:rsidRDefault="00EA10D3" w:rsidP="00A81F98">
      <w:pPr>
        <w:spacing w:after="0" w:line="240" w:lineRule="auto"/>
        <w:rPr>
          <w:rFonts w:cs="Calibri"/>
          <w:b/>
          <w:bCs/>
          <w:i/>
          <w:iCs/>
          <w:sz w:val="24"/>
          <w:szCs w:val="24"/>
        </w:rPr>
      </w:pPr>
      <w:r w:rsidRPr="00AE6D90">
        <w:rPr>
          <w:rFonts w:cs="Calibri"/>
          <w:b/>
          <w:bCs/>
          <w:i/>
          <w:iCs/>
          <w:sz w:val="24"/>
          <w:szCs w:val="24"/>
        </w:rPr>
        <w:t>Panel Data Model Specification</w:t>
      </w:r>
    </w:p>
    <w:p w14:paraId="50D5D16F" w14:textId="77777777" w:rsidR="005C53B1" w:rsidRPr="00AE6D90" w:rsidRDefault="005C53B1" w:rsidP="00A81F98">
      <w:pPr>
        <w:spacing w:after="0" w:line="240" w:lineRule="auto"/>
        <w:rPr>
          <w:rFonts w:cs="Calibri"/>
          <w:b/>
          <w:bCs/>
          <w:sz w:val="24"/>
          <w:szCs w:val="24"/>
        </w:rPr>
      </w:pPr>
    </w:p>
    <w:p w14:paraId="62C5E1A1" w14:textId="2B3525BB" w:rsidR="00E24462" w:rsidRPr="00AE6D90" w:rsidRDefault="00FB51B3" w:rsidP="00160D37">
      <w:pPr>
        <w:spacing w:after="0" w:line="240" w:lineRule="auto"/>
        <w:jc w:val="both"/>
        <w:rPr>
          <w:rFonts w:cs="Calibri"/>
          <w:sz w:val="24"/>
          <w:szCs w:val="24"/>
        </w:rPr>
      </w:pPr>
      <w:r w:rsidRPr="00AE6D90">
        <w:rPr>
          <w:rFonts w:cs="Calibri"/>
          <w:sz w:val="24"/>
          <w:szCs w:val="24"/>
        </w:rPr>
        <w:t>To identify whether to use a Fixed Effect</w:t>
      </w:r>
      <w:r w:rsidR="00630046" w:rsidRPr="00AE6D90">
        <w:rPr>
          <w:rFonts w:cs="Calibri"/>
          <w:sz w:val="24"/>
          <w:szCs w:val="24"/>
        </w:rPr>
        <w:t xml:space="preserve"> (FE)</w:t>
      </w:r>
      <w:r w:rsidRPr="00AE6D90">
        <w:rPr>
          <w:rFonts w:cs="Calibri"/>
          <w:sz w:val="24"/>
          <w:szCs w:val="24"/>
        </w:rPr>
        <w:t xml:space="preserve"> or Random Effect</w:t>
      </w:r>
      <w:r w:rsidR="00630046" w:rsidRPr="00AE6D90">
        <w:rPr>
          <w:rFonts w:cs="Calibri"/>
          <w:sz w:val="24"/>
          <w:szCs w:val="24"/>
        </w:rPr>
        <w:t xml:space="preserve"> (RE)</w:t>
      </w:r>
      <w:r w:rsidRPr="00AE6D90">
        <w:rPr>
          <w:rFonts w:cs="Calibri"/>
          <w:sz w:val="24"/>
          <w:szCs w:val="24"/>
        </w:rPr>
        <w:t xml:space="preserve"> model, a Hausman test was conducted. If the Hausman Test is statistically significant, </w:t>
      </w:r>
      <w:r w:rsidR="00630046" w:rsidRPr="00AE6D90">
        <w:rPr>
          <w:rFonts w:cs="Calibri"/>
          <w:sz w:val="24"/>
          <w:szCs w:val="24"/>
        </w:rPr>
        <w:t xml:space="preserve">FE </w:t>
      </w:r>
      <w:r w:rsidRPr="00AE6D90">
        <w:rPr>
          <w:rFonts w:cs="Calibri"/>
          <w:sz w:val="24"/>
          <w:szCs w:val="24"/>
        </w:rPr>
        <w:t xml:space="preserve">model should be used and if it is not statistically significant </w:t>
      </w:r>
      <w:r w:rsidR="00630046" w:rsidRPr="00AE6D90">
        <w:rPr>
          <w:rFonts w:cs="Calibri"/>
          <w:sz w:val="24"/>
          <w:szCs w:val="24"/>
        </w:rPr>
        <w:t xml:space="preserve">RE </w:t>
      </w:r>
      <w:r w:rsidRPr="00AE6D90">
        <w:rPr>
          <w:rFonts w:cs="Calibri"/>
          <w:sz w:val="24"/>
          <w:szCs w:val="24"/>
        </w:rPr>
        <w:t xml:space="preserve">model was appropriate. As shown in Table 2, the Hausman Test was depicted to be statistically significant, therefore, the </w:t>
      </w:r>
      <w:r w:rsidR="00630046" w:rsidRPr="00AE6D90">
        <w:rPr>
          <w:rFonts w:cs="Calibri"/>
          <w:sz w:val="24"/>
          <w:szCs w:val="24"/>
        </w:rPr>
        <w:t xml:space="preserve">FE </w:t>
      </w:r>
      <w:r w:rsidRPr="00AE6D90">
        <w:rPr>
          <w:rFonts w:cs="Calibri"/>
          <w:sz w:val="24"/>
          <w:szCs w:val="24"/>
        </w:rPr>
        <w:t xml:space="preserve">model was more appropriate than the </w:t>
      </w:r>
      <w:r w:rsidR="00630046" w:rsidRPr="00AE6D90">
        <w:rPr>
          <w:rFonts w:cs="Calibri"/>
          <w:sz w:val="24"/>
          <w:szCs w:val="24"/>
        </w:rPr>
        <w:t xml:space="preserve">RE </w:t>
      </w:r>
      <w:r w:rsidRPr="00AE6D90">
        <w:rPr>
          <w:rFonts w:cs="Calibri"/>
          <w:sz w:val="24"/>
          <w:szCs w:val="24"/>
        </w:rPr>
        <w:t>model.</w:t>
      </w:r>
    </w:p>
    <w:p w14:paraId="375D754E" w14:textId="77777777" w:rsidR="006B4907" w:rsidRPr="00AE6D90" w:rsidRDefault="006B4907" w:rsidP="00160D37">
      <w:pPr>
        <w:spacing w:after="0" w:line="240" w:lineRule="auto"/>
        <w:jc w:val="both"/>
        <w:rPr>
          <w:rFonts w:cs="Calibri"/>
          <w:b/>
          <w:bCs/>
          <w:i/>
          <w:iCs/>
          <w:sz w:val="24"/>
          <w:szCs w:val="24"/>
        </w:rPr>
      </w:pPr>
    </w:p>
    <w:p w14:paraId="08E33E6C" w14:textId="35D05D67" w:rsidR="00763FD6" w:rsidRPr="00AE6D90" w:rsidRDefault="00763FD6" w:rsidP="00A81F98">
      <w:pPr>
        <w:spacing w:after="0" w:line="240" w:lineRule="auto"/>
        <w:rPr>
          <w:rFonts w:cs="Calibri"/>
          <w:b/>
          <w:bCs/>
          <w:sz w:val="24"/>
          <w:szCs w:val="24"/>
        </w:rPr>
      </w:pPr>
      <w:r w:rsidRPr="00AE6D90">
        <w:rPr>
          <w:rFonts w:cs="Calibri"/>
          <w:b/>
          <w:bCs/>
          <w:sz w:val="24"/>
          <w:szCs w:val="24"/>
        </w:rPr>
        <w:t xml:space="preserve">Table 2 </w:t>
      </w:r>
      <w:r w:rsidRPr="00AE6D90">
        <w:rPr>
          <w:rFonts w:cs="Calibri"/>
          <w:sz w:val="24"/>
          <w:szCs w:val="24"/>
        </w:rPr>
        <w:t>Hausman Test</w:t>
      </w:r>
      <w:r w:rsidR="0020044F" w:rsidRPr="00AE6D90">
        <w:rPr>
          <w:rFonts w:cs="Calibri"/>
          <w:b/>
          <w:bCs/>
          <w:sz w:val="24"/>
          <w:szCs w:val="24"/>
        </w:rPr>
        <w:t xml:space="preserve"> </w:t>
      </w:r>
    </w:p>
    <w:tbl>
      <w:tblPr>
        <w:tblStyle w:val="TableGrid"/>
        <w:tblW w:w="0" w:type="auto"/>
        <w:tblLook w:val="04A0" w:firstRow="1" w:lastRow="0" w:firstColumn="1" w:lastColumn="0" w:noHBand="0" w:noVBand="1"/>
      </w:tblPr>
      <w:tblGrid>
        <w:gridCol w:w="2259"/>
        <w:gridCol w:w="2229"/>
        <w:gridCol w:w="752"/>
        <w:gridCol w:w="1843"/>
        <w:gridCol w:w="2126"/>
      </w:tblGrid>
      <w:tr w:rsidR="00C6679D" w:rsidRPr="00AE6D90" w14:paraId="286303AB" w14:textId="52E744E2" w:rsidTr="001E603C">
        <w:tc>
          <w:tcPr>
            <w:tcW w:w="2259" w:type="dxa"/>
          </w:tcPr>
          <w:p w14:paraId="6CC83CF7" w14:textId="3DF4036B" w:rsidR="00C6679D" w:rsidRPr="00AE6D90" w:rsidRDefault="00C6679D" w:rsidP="00A81F98">
            <w:pPr>
              <w:spacing w:after="0" w:line="240" w:lineRule="auto"/>
              <w:rPr>
                <w:rFonts w:cs="Calibri"/>
                <w:b/>
                <w:bCs/>
                <w:sz w:val="24"/>
                <w:szCs w:val="24"/>
              </w:rPr>
            </w:pPr>
            <w:r w:rsidRPr="00AE6D90">
              <w:rPr>
                <w:rFonts w:cs="Calibri"/>
                <w:b/>
                <w:bCs/>
                <w:sz w:val="24"/>
                <w:szCs w:val="24"/>
              </w:rPr>
              <w:t>Test Summary</w:t>
            </w:r>
          </w:p>
        </w:tc>
        <w:tc>
          <w:tcPr>
            <w:tcW w:w="2229" w:type="dxa"/>
          </w:tcPr>
          <w:p w14:paraId="58D7CAFC" w14:textId="7EDA469C" w:rsidR="00C6679D" w:rsidRPr="00AE6D90" w:rsidRDefault="00C6679D" w:rsidP="00A81F98">
            <w:pPr>
              <w:spacing w:after="0" w:line="240" w:lineRule="auto"/>
              <w:rPr>
                <w:rFonts w:cs="Calibri"/>
                <w:b/>
                <w:bCs/>
                <w:sz w:val="24"/>
                <w:szCs w:val="24"/>
              </w:rPr>
            </w:pPr>
            <w:r w:rsidRPr="00AE6D90">
              <w:rPr>
                <w:rFonts w:cs="Calibri"/>
                <w:b/>
                <w:bCs/>
                <w:sz w:val="24"/>
                <w:szCs w:val="24"/>
              </w:rPr>
              <w:t>Chi-sq. Statistic</w:t>
            </w:r>
          </w:p>
        </w:tc>
        <w:tc>
          <w:tcPr>
            <w:tcW w:w="752" w:type="dxa"/>
          </w:tcPr>
          <w:p w14:paraId="145267BC" w14:textId="26B2BAFA" w:rsidR="00C6679D" w:rsidRPr="00AE6D90" w:rsidRDefault="00C6679D" w:rsidP="00A81F98">
            <w:pPr>
              <w:spacing w:after="0" w:line="240" w:lineRule="auto"/>
              <w:rPr>
                <w:rFonts w:cs="Calibri"/>
                <w:b/>
                <w:bCs/>
                <w:sz w:val="24"/>
                <w:szCs w:val="24"/>
              </w:rPr>
            </w:pPr>
            <w:proofErr w:type="spellStart"/>
            <w:r w:rsidRPr="00AE6D90">
              <w:rPr>
                <w:rFonts w:cs="Calibri"/>
                <w:b/>
                <w:bCs/>
                <w:sz w:val="24"/>
                <w:szCs w:val="24"/>
              </w:rPr>
              <w:t>df</w:t>
            </w:r>
            <w:proofErr w:type="spellEnd"/>
          </w:p>
        </w:tc>
        <w:tc>
          <w:tcPr>
            <w:tcW w:w="1843" w:type="dxa"/>
          </w:tcPr>
          <w:p w14:paraId="69931E1B" w14:textId="6976F99A" w:rsidR="00C6679D" w:rsidRPr="00AE6D90" w:rsidRDefault="00C6679D" w:rsidP="00A81F98">
            <w:pPr>
              <w:spacing w:after="0" w:line="240" w:lineRule="auto"/>
              <w:rPr>
                <w:rFonts w:cs="Calibri"/>
                <w:b/>
                <w:bCs/>
                <w:sz w:val="24"/>
                <w:szCs w:val="24"/>
              </w:rPr>
            </w:pPr>
            <w:r w:rsidRPr="00AE6D90">
              <w:rPr>
                <w:rFonts w:cs="Calibri"/>
                <w:b/>
                <w:bCs/>
                <w:sz w:val="24"/>
                <w:szCs w:val="24"/>
              </w:rPr>
              <w:t>Prob&gt;chi-sq</w:t>
            </w:r>
          </w:p>
        </w:tc>
        <w:tc>
          <w:tcPr>
            <w:tcW w:w="2126" w:type="dxa"/>
          </w:tcPr>
          <w:p w14:paraId="0D4A77A2" w14:textId="5C155793" w:rsidR="00C6679D" w:rsidRPr="00AE6D90" w:rsidRDefault="00C6679D" w:rsidP="00A81F98">
            <w:pPr>
              <w:spacing w:after="0" w:line="240" w:lineRule="auto"/>
              <w:rPr>
                <w:rFonts w:cs="Calibri"/>
                <w:b/>
                <w:bCs/>
                <w:sz w:val="24"/>
                <w:szCs w:val="24"/>
              </w:rPr>
            </w:pPr>
            <w:r w:rsidRPr="00AE6D90">
              <w:rPr>
                <w:rFonts w:cs="Calibri"/>
                <w:b/>
                <w:bCs/>
                <w:sz w:val="24"/>
                <w:szCs w:val="24"/>
              </w:rPr>
              <w:t>Remark</w:t>
            </w:r>
          </w:p>
        </w:tc>
      </w:tr>
      <w:tr w:rsidR="00C6679D" w:rsidRPr="00AE6D90" w14:paraId="7F0E4AEE" w14:textId="03197F05" w:rsidTr="001E603C">
        <w:tc>
          <w:tcPr>
            <w:tcW w:w="2259" w:type="dxa"/>
          </w:tcPr>
          <w:p w14:paraId="799090CF" w14:textId="5A1EF689" w:rsidR="00C6679D" w:rsidRPr="00AE6D90" w:rsidRDefault="00C6679D" w:rsidP="00A81F98">
            <w:pPr>
              <w:spacing w:after="0" w:line="240" w:lineRule="auto"/>
              <w:rPr>
                <w:rFonts w:cs="Calibri"/>
                <w:sz w:val="24"/>
                <w:szCs w:val="24"/>
              </w:rPr>
            </w:pPr>
            <w:r w:rsidRPr="00AE6D90">
              <w:rPr>
                <w:rFonts w:cs="Calibri"/>
                <w:sz w:val="24"/>
                <w:szCs w:val="24"/>
              </w:rPr>
              <w:t>Cross-section random</w:t>
            </w:r>
          </w:p>
        </w:tc>
        <w:tc>
          <w:tcPr>
            <w:tcW w:w="2229" w:type="dxa"/>
          </w:tcPr>
          <w:p w14:paraId="3A103F4C" w14:textId="59ECE94C" w:rsidR="00C6679D" w:rsidRPr="00AE6D90" w:rsidRDefault="00C6679D" w:rsidP="00A81F98">
            <w:pPr>
              <w:spacing w:after="0" w:line="240" w:lineRule="auto"/>
              <w:rPr>
                <w:rFonts w:cs="Calibri"/>
                <w:sz w:val="24"/>
                <w:szCs w:val="24"/>
              </w:rPr>
            </w:pPr>
            <w:r w:rsidRPr="00AE6D90">
              <w:rPr>
                <w:rFonts w:cs="Calibri"/>
                <w:sz w:val="24"/>
                <w:szCs w:val="24"/>
              </w:rPr>
              <w:t>12.86</w:t>
            </w:r>
          </w:p>
        </w:tc>
        <w:tc>
          <w:tcPr>
            <w:tcW w:w="752" w:type="dxa"/>
          </w:tcPr>
          <w:p w14:paraId="286D5A27" w14:textId="70BEFDCB" w:rsidR="00C6679D" w:rsidRPr="00AE6D90" w:rsidRDefault="00C6679D" w:rsidP="00A81F98">
            <w:pPr>
              <w:spacing w:after="0" w:line="240" w:lineRule="auto"/>
              <w:rPr>
                <w:rFonts w:cs="Calibri"/>
                <w:sz w:val="24"/>
                <w:szCs w:val="24"/>
              </w:rPr>
            </w:pPr>
            <w:r w:rsidRPr="00AE6D90">
              <w:rPr>
                <w:rFonts w:cs="Calibri"/>
                <w:sz w:val="24"/>
                <w:szCs w:val="24"/>
              </w:rPr>
              <w:t>3</w:t>
            </w:r>
          </w:p>
        </w:tc>
        <w:tc>
          <w:tcPr>
            <w:tcW w:w="1843" w:type="dxa"/>
          </w:tcPr>
          <w:p w14:paraId="1C59283E" w14:textId="532560C8" w:rsidR="00C6679D" w:rsidRPr="00AE6D90" w:rsidRDefault="00C6679D" w:rsidP="00A81F98">
            <w:pPr>
              <w:spacing w:after="0" w:line="240" w:lineRule="auto"/>
              <w:rPr>
                <w:rFonts w:cs="Calibri"/>
                <w:sz w:val="24"/>
                <w:szCs w:val="24"/>
              </w:rPr>
            </w:pPr>
            <w:r w:rsidRPr="00AE6D90">
              <w:rPr>
                <w:rFonts w:cs="Calibri"/>
                <w:sz w:val="24"/>
                <w:szCs w:val="24"/>
              </w:rPr>
              <w:t>0.0049</w:t>
            </w:r>
          </w:p>
        </w:tc>
        <w:tc>
          <w:tcPr>
            <w:tcW w:w="2126" w:type="dxa"/>
          </w:tcPr>
          <w:p w14:paraId="042A82E4" w14:textId="5BA997D0" w:rsidR="00C6679D" w:rsidRPr="00AE6D90" w:rsidRDefault="00C6679D" w:rsidP="00A81F98">
            <w:pPr>
              <w:spacing w:after="0" w:line="240" w:lineRule="auto"/>
              <w:rPr>
                <w:rFonts w:cs="Calibri"/>
                <w:sz w:val="24"/>
                <w:szCs w:val="24"/>
              </w:rPr>
            </w:pPr>
            <w:r w:rsidRPr="00AE6D90">
              <w:rPr>
                <w:rFonts w:cs="Calibri"/>
                <w:sz w:val="24"/>
                <w:szCs w:val="24"/>
              </w:rPr>
              <w:t>FE is appropriate</w:t>
            </w:r>
          </w:p>
        </w:tc>
      </w:tr>
    </w:tbl>
    <w:p w14:paraId="30BD1E19" w14:textId="77777777" w:rsidR="004C21E0" w:rsidRPr="00AE6D90" w:rsidRDefault="004C21E0" w:rsidP="00A81F98">
      <w:pPr>
        <w:spacing w:after="0" w:line="240" w:lineRule="auto"/>
        <w:rPr>
          <w:rFonts w:cs="Calibri"/>
          <w:b/>
          <w:bCs/>
          <w:sz w:val="24"/>
          <w:szCs w:val="24"/>
        </w:rPr>
      </w:pPr>
    </w:p>
    <w:p w14:paraId="043F9FF2" w14:textId="05108B77" w:rsidR="00FB51B3" w:rsidRPr="00AE6D90" w:rsidRDefault="00F026A8" w:rsidP="001A77EF">
      <w:pPr>
        <w:spacing w:after="0" w:line="240" w:lineRule="auto"/>
        <w:rPr>
          <w:rFonts w:cs="Calibri"/>
          <w:sz w:val="24"/>
          <w:szCs w:val="24"/>
        </w:rPr>
      </w:pPr>
      <w:r w:rsidRPr="00AE6D90">
        <w:rPr>
          <w:rFonts w:cs="Calibri"/>
          <w:sz w:val="24"/>
          <w:szCs w:val="24"/>
        </w:rPr>
        <w:t xml:space="preserve">Given that the model is more appropriate for </w:t>
      </w:r>
      <w:r w:rsidR="00630046" w:rsidRPr="00AE6D90">
        <w:rPr>
          <w:rFonts w:cs="Calibri"/>
          <w:sz w:val="24"/>
          <w:szCs w:val="24"/>
        </w:rPr>
        <w:t xml:space="preserve">FE </w:t>
      </w:r>
      <w:r w:rsidRPr="00AE6D90">
        <w:rPr>
          <w:rFonts w:cs="Calibri"/>
          <w:sz w:val="24"/>
          <w:szCs w:val="24"/>
        </w:rPr>
        <w:t xml:space="preserve">compared to </w:t>
      </w:r>
      <w:r w:rsidR="00630046" w:rsidRPr="00AE6D90">
        <w:rPr>
          <w:rFonts w:cs="Calibri"/>
          <w:sz w:val="24"/>
          <w:szCs w:val="24"/>
        </w:rPr>
        <w:t>RE</w:t>
      </w:r>
      <w:r w:rsidR="00F051CB" w:rsidRPr="00AE6D90">
        <w:rPr>
          <w:rFonts w:cs="Calibri"/>
          <w:sz w:val="24"/>
          <w:szCs w:val="24"/>
        </w:rPr>
        <w:t>, then a test to determine</w:t>
      </w:r>
      <w:r w:rsidRPr="00AE6D90">
        <w:rPr>
          <w:rFonts w:cs="Calibri"/>
          <w:sz w:val="24"/>
          <w:szCs w:val="24"/>
        </w:rPr>
        <w:t xml:space="preserve"> if the model is </w:t>
      </w:r>
      <w:r w:rsidR="00F051CB" w:rsidRPr="00AE6D90">
        <w:rPr>
          <w:rFonts w:cs="Calibri"/>
          <w:sz w:val="24"/>
          <w:szCs w:val="24"/>
        </w:rPr>
        <w:t>better</w:t>
      </w:r>
      <w:r w:rsidRPr="00AE6D90">
        <w:rPr>
          <w:rFonts w:cs="Calibri"/>
          <w:sz w:val="24"/>
          <w:szCs w:val="24"/>
        </w:rPr>
        <w:t xml:space="preserve"> to be analyze using pooled regression or </w:t>
      </w:r>
      <w:r w:rsidR="00630046" w:rsidRPr="00AE6D90">
        <w:rPr>
          <w:rFonts w:cs="Calibri"/>
          <w:sz w:val="24"/>
          <w:szCs w:val="24"/>
        </w:rPr>
        <w:t xml:space="preserve">FE </w:t>
      </w:r>
      <w:r w:rsidR="00F051CB" w:rsidRPr="00AE6D90">
        <w:rPr>
          <w:rFonts w:cs="Calibri"/>
          <w:sz w:val="24"/>
          <w:szCs w:val="24"/>
        </w:rPr>
        <w:t>must be conducted</w:t>
      </w:r>
      <w:r w:rsidR="00EB0145">
        <w:rPr>
          <w:rFonts w:cs="Calibri"/>
          <w:sz w:val="24"/>
          <w:szCs w:val="24"/>
        </w:rPr>
        <w:t>,</w:t>
      </w:r>
      <w:r w:rsidR="008A19EC" w:rsidRPr="00AE6D90">
        <w:rPr>
          <w:rFonts w:cs="Calibri"/>
          <w:sz w:val="24"/>
          <w:szCs w:val="24"/>
        </w:rPr>
        <w:t xml:space="preserve"> which is the Chow test. </w:t>
      </w:r>
      <w:r w:rsidR="00B42494" w:rsidRPr="00AE6D90">
        <w:rPr>
          <w:rFonts w:cs="Calibri"/>
          <w:sz w:val="24"/>
          <w:szCs w:val="24"/>
        </w:rPr>
        <w:t>For this test, if the prob&gt;F is significant then it indicates that</w:t>
      </w:r>
      <w:r w:rsidR="00D6051E" w:rsidRPr="00AE6D90">
        <w:rPr>
          <w:rFonts w:cs="Calibri"/>
          <w:sz w:val="24"/>
          <w:szCs w:val="24"/>
        </w:rPr>
        <w:t xml:space="preserve"> </w:t>
      </w:r>
      <w:r w:rsidR="00630046" w:rsidRPr="00AE6D90">
        <w:rPr>
          <w:rFonts w:cs="Calibri"/>
          <w:sz w:val="24"/>
          <w:szCs w:val="24"/>
        </w:rPr>
        <w:t xml:space="preserve">FE </w:t>
      </w:r>
      <w:r w:rsidR="00D6051E" w:rsidRPr="00AE6D90">
        <w:rPr>
          <w:rFonts w:cs="Calibri"/>
          <w:sz w:val="24"/>
          <w:szCs w:val="24"/>
        </w:rPr>
        <w:t xml:space="preserve">is more appropriate. As shown in Table 3, the test indicates a prob&gt;F of 0.0000 indicating significance at 1% level which means that </w:t>
      </w:r>
      <w:r w:rsidR="00630046" w:rsidRPr="00AE6D90">
        <w:rPr>
          <w:rFonts w:cs="Calibri"/>
          <w:sz w:val="24"/>
          <w:szCs w:val="24"/>
        </w:rPr>
        <w:t xml:space="preserve">FE </w:t>
      </w:r>
      <w:r w:rsidR="00D6051E" w:rsidRPr="00AE6D90">
        <w:rPr>
          <w:rFonts w:cs="Calibri"/>
          <w:sz w:val="24"/>
          <w:szCs w:val="24"/>
        </w:rPr>
        <w:t xml:space="preserve">is the suitable for the model. </w:t>
      </w:r>
    </w:p>
    <w:p w14:paraId="00C99014" w14:textId="06F0EA4F" w:rsidR="00D6051E" w:rsidRPr="00AE6D90" w:rsidRDefault="001E603C" w:rsidP="001E603C">
      <w:pPr>
        <w:tabs>
          <w:tab w:val="left" w:pos="11023"/>
        </w:tabs>
        <w:spacing w:after="0" w:line="240" w:lineRule="auto"/>
        <w:rPr>
          <w:rFonts w:cs="Calibri"/>
          <w:sz w:val="24"/>
          <w:szCs w:val="24"/>
        </w:rPr>
      </w:pPr>
      <w:r>
        <w:rPr>
          <w:rFonts w:cs="Calibri"/>
          <w:sz w:val="24"/>
          <w:szCs w:val="24"/>
        </w:rPr>
        <w:tab/>
      </w:r>
    </w:p>
    <w:p w14:paraId="5C55EC2B" w14:textId="6C09A806" w:rsidR="001A77EF" w:rsidRPr="00AE6D90" w:rsidRDefault="001A77EF" w:rsidP="001A77EF">
      <w:pPr>
        <w:spacing w:after="0" w:line="240" w:lineRule="auto"/>
        <w:rPr>
          <w:rFonts w:cs="Calibri"/>
          <w:b/>
          <w:bCs/>
          <w:sz w:val="24"/>
          <w:szCs w:val="24"/>
        </w:rPr>
      </w:pPr>
      <w:r w:rsidRPr="00AE6D90">
        <w:rPr>
          <w:rFonts w:cs="Calibri"/>
          <w:b/>
          <w:bCs/>
          <w:sz w:val="24"/>
          <w:szCs w:val="24"/>
        </w:rPr>
        <w:t>Table 3</w:t>
      </w:r>
      <w:r w:rsidR="004622AE" w:rsidRPr="00AE6D90">
        <w:rPr>
          <w:rFonts w:cs="Calibri"/>
          <w:b/>
          <w:bCs/>
          <w:sz w:val="24"/>
          <w:szCs w:val="24"/>
        </w:rPr>
        <w:t xml:space="preserve"> </w:t>
      </w:r>
      <w:r w:rsidR="00FB7272" w:rsidRPr="00AE6D90">
        <w:rPr>
          <w:rFonts w:cs="Calibri"/>
          <w:sz w:val="24"/>
          <w:szCs w:val="24"/>
        </w:rPr>
        <w:t>Ch</w:t>
      </w:r>
      <w:r w:rsidR="00E80ADE" w:rsidRPr="00AE6D90">
        <w:rPr>
          <w:rFonts w:cs="Calibri"/>
          <w:sz w:val="24"/>
          <w:szCs w:val="24"/>
        </w:rPr>
        <w:t>ow test</w:t>
      </w:r>
      <w:r w:rsidR="00E80ADE" w:rsidRPr="00AE6D90">
        <w:rPr>
          <w:rFonts w:cs="Calibri"/>
          <w:b/>
          <w:bCs/>
          <w:sz w:val="24"/>
          <w:szCs w:val="24"/>
        </w:rPr>
        <w:t xml:space="preserve"> </w:t>
      </w:r>
    </w:p>
    <w:tbl>
      <w:tblPr>
        <w:tblStyle w:val="TableGrid"/>
        <w:tblW w:w="0" w:type="auto"/>
        <w:tblLook w:val="04A0" w:firstRow="1" w:lastRow="0" w:firstColumn="1" w:lastColumn="0" w:noHBand="0" w:noVBand="1"/>
      </w:tblPr>
      <w:tblGrid>
        <w:gridCol w:w="1944"/>
        <w:gridCol w:w="1944"/>
      </w:tblGrid>
      <w:tr w:rsidR="008B0804" w:rsidRPr="00AE6D90" w14:paraId="5FE77C0F" w14:textId="2DE97FCE" w:rsidTr="00FE3F0E">
        <w:tc>
          <w:tcPr>
            <w:tcW w:w="1944" w:type="dxa"/>
          </w:tcPr>
          <w:p w14:paraId="6DAEA471" w14:textId="52D73AD0" w:rsidR="008B0804" w:rsidRPr="00AE6D90" w:rsidRDefault="008B0804" w:rsidP="00EB6FFE">
            <w:pPr>
              <w:spacing w:after="0" w:line="240" w:lineRule="auto"/>
              <w:rPr>
                <w:rFonts w:cs="Calibri"/>
                <w:b/>
                <w:bCs/>
                <w:sz w:val="24"/>
                <w:szCs w:val="24"/>
              </w:rPr>
            </w:pPr>
            <w:r w:rsidRPr="00AE6D90">
              <w:rPr>
                <w:rFonts w:cs="Calibri"/>
                <w:b/>
                <w:bCs/>
                <w:sz w:val="24"/>
                <w:szCs w:val="24"/>
              </w:rPr>
              <w:t>Prob&gt;F</w:t>
            </w:r>
          </w:p>
        </w:tc>
        <w:tc>
          <w:tcPr>
            <w:tcW w:w="1944" w:type="dxa"/>
          </w:tcPr>
          <w:p w14:paraId="71D8D2D5" w14:textId="66736D05" w:rsidR="008B0804" w:rsidRPr="00AE6D90" w:rsidRDefault="008B0804" w:rsidP="00EB6FFE">
            <w:pPr>
              <w:spacing w:after="0" w:line="240" w:lineRule="auto"/>
              <w:rPr>
                <w:rFonts w:cs="Calibri"/>
                <w:b/>
                <w:bCs/>
                <w:sz w:val="24"/>
                <w:szCs w:val="24"/>
              </w:rPr>
            </w:pPr>
            <w:r w:rsidRPr="00AE6D90">
              <w:rPr>
                <w:rFonts w:cs="Calibri"/>
                <w:b/>
                <w:bCs/>
                <w:sz w:val="24"/>
                <w:szCs w:val="24"/>
              </w:rPr>
              <w:t>Remark</w:t>
            </w:r>
          </w:p>
        </w:tc>
      </w:tr>
      <w:tr w:rsidR="008B0804" w:rsidRPr="00AE6D90" w14:paraId="4289F488" w14:textId="2172B60E" w:rsidTr="00FE3F0E">
        <w:tc>
          <w:tcPr>
            <w:tcW w:w="1944" w:type="dxa"/>
          </w:tcPr>
          <w:p w14:paraId="39C12A8B" w14:textId="5CD45767" w:rsidR="008B0804" w:rsidRPr="00AE6D90" w:rsidRDefault="008B0804" w:rsidP="00EB6FFE">
            <w:pPr>
              <w:spacing w:after="0" w:line="240" w:lineRule="auto"/>
              <w:rPr>
                <w:rFonts w:cs="Calibri"/>
                <w:sz w:val="24"/>
                <w:szCs w:val="24"/>
              </w:rPr>
            </w:pPr>
            <w:r w:rsidRPr="00AE6D90">
              <w:rPr>
                <w:rFonts w:cs="Calibri"/>
                <w:sz w:val="24"/>
                <w:szCs w:val="24"/>
              </w:rPr>
              <w:t>0.00</w:t>
            </w:r>
            <w:r w:rsidR="00C64AA5" w:rsidRPr="00AE6D90">
              <w:rPr>
                <w:rFonts w:cs="Calibri"/>
                <w:sz w:val="24"/>
                <w:szCs w:val="24"/>
              </w:rPr>
              <w:t>00</w:t>
            </w:r>
          </w:p>
        </w:tc>
        <w:tc>
          <w:tcPr>
            <w:tcW w:w="1944" w:type="dxa"/>
          </w:tcPr>
          <w:p w14:paraId="48BEFC65" w14:textId="6A329C0E" w:rsidR="008B0804" w:rsidRPr="00AE6D90" w:rsidRDefault="008B0804" w:rsidP="00EB6FFE">
            <w:pPr>
              <w:spacing w:after="0" w:line="240" w:lineRule="auto"/>
              <w:rPr>
                <w:rFonts w:cs="Calibri"/>
                <w:sz w:val="24"/>
                <w:szCs w:val="24"/>
              </w:rPr>
            </w:pPr>
            <w:r w:rsidRPr="00AE6D90">
              <w:rPr>
                <w:rFonts w:cs="Calibri"/>
                <w:sz w:val="24"/>
                <w:szCs w:val="24"/>
              </w:rPr>
              <w:t>FE is appropriate</w:t>
            </w:r>
          </w:p>
        </w:tc>
      </w:tr>
    </w:tbl>
    <w:p w14:paraId="4176E923" w14:textId="77777777" w:rsidR="001A77EF" w:rsidRPr="00AE6D90" w:rsidRDefault="001A77EF" w:rsidP="001A77EF">
      <w:pPr>
        <w:spacing w:after="0" w:line="240" w:lineRule="auto"/>
        <w:rPr>
          <w:rFonts w:cs="Calibri"/>
          <w:b/>
          <w:bCs/>
          <w:sz w:val="24"/>
          <w:szCs w:val="24"/>
        </w:rPr>
      </w:pPr>
    </w:p>
    <w:p w14:paraId="2ECE20B3" w14:textId="77777777" w:rsidR="004C21E0" w:rsidRPr="00AE6D90" w:rsidRDefault="004C21E0" w:rsidP="00A81F98">
      <w:pPr>
        <w:spacing w:after="0" w:line="240" w:lineRule="auto"/>
        <w:rPr>
          <w:rFonts w:cs="Calibri"/>
          <w:b/>
          <w:bCs/>
          <w:i/>
          <w:iCs/>
          <w:sz w:val="24"/>
          <w:szCs w:val="24"/>
        </w:rPr>
      </w:pPr>
    </w:p>
    <w:p w14:paraId="37FA91B0" w14:textId="28D747BA" w:rsidR="00F94AFE" w:rsidRPr="00AE6D90" w:rsidRDefault="00F6612B" w:rsidP="00A81F98">
      <w:pPr>
        <w:spacing w:after="0" w:line="240" w:lineRule="auto"/>
        <w:rPr>
          <w:rFonts w:cs="Calibri"/>
          <w:sz w:val="24"/>
          <w:szCs w:val="24"/>
        </w:rPr>
      </w:pPr>
      <w:r w:rsidRPr="00AE6D90">
        <w:rPr>
          <w:rFonts w:cs="Calibri"/>
          <w:sz w:val="24"/>
          <w:szCs w:val="24"/>
        </w:rPr>
        <w:t xml:space="preserve">To determine if there is a time fixed effects needed in </w:t>
      </w:r>
      <w:r w:rsidR="00F94AFE" w:rsidRPr="00AE6D90">
        <w:rPr>
          <w:rFonts w:cs="Calibri"/>
          <w:sz w:val="24"/>
          <w:szCs w:val="24"/>
        </w:rPr>
        <w:t>running the FE model</w:t>
      </w:r>
      <w:r w:rsidR="002D3754" w:rsidRPr="00AE6D90">
        <w:rPr>
          <w:rFonts w:cs="Calibri"/>
          <w:sz w:val="24"/>
          <w:szCs w:val="24"/>
        </w:rPr>
        <w:t xml:space="preserve">, then a </w:t>
      </w:r>
      <w:proofErr w:type="spellStart"/>
      <w:r w:rsidR="002D3754" w:rsidRPr="00AE6D90">
        <w:rPr>
          <w:rFonts w:cs="Calibri"/>
          <w:sz w:val="24"/>
          <w:szCs w:val="24"/>
        </w:rPr>
        <w:t>testparm</w:t>
      </w:r>
      <w:proofErr w:type="spellEnd"/>
      <w:r w:rsidR="002D3754" w:rsidRPr="00AE6D90">
        <w:rPr>
          <w:rFonts w:cs="Calibri"/>
          <w:sz w:val="24"/>
          <w:szCs w:val="24"/>
        </w:rPr>
        <w:t xml:space="preserve"> is conducted. </w:t>
      </w:r>
      <w:proofErr w:type="spellStart"/>
      <w:r w:rsidR="002D3754" w:rsidRPr="00AE6D90">
        <w:rPr>
          <w:rFonts w:cs="Calibri"/>
          <w:sz w:val="24"/>
          <w:szCs w:val="24"/>
        </w:rPr>
        <w:t>Testparm</w:t>
      </w:r>
      <w:proofErr w:type="spellEnd"/>
      <w:r w:rsidR="002D3754" w:rsidRPr="00AE6D90">
        <w:rPr>
          <w:rFonts w:cs="Calibri"/>
          <w:sz w:val="24"/>
          <w:szCs w:val="24"/>
        </w:rPr>
        <w:t xml:space="preserve"> is a </w:t>
      </w:r>
      <w:r w:rsidR="00521AC8" w:rsidRPr="00AE6D90">
        <w:rPr>
          <w:rFonts w:cs="Calibri"/>
          <w:sz w:val="24"/>
          <w:szCs w:val="24"/>
        </w:rPr>
        <w:t>join test to check if the time dummies which is the year captured in the study are equal to zero</w:t>
      </w:r>
      <w:r w:rsidR="006F2913" w:rsidRPr="00AE6D90">
        <w:rPr>
          <w:rFonts w:cs="Calibri"/>
          <w:sz w:val="24"/>
          <w:szCs w:val="24"/>
        </w:rPr>
        <w:t xml:space="preserve">. Time fixed effect is needed when the prob&gt;F of </w:t>
      </w:r>
      <w:proofErr w:type="spellStart"/>
      <w:r w:rsidR="006F2913" w:rsidRPr="00AE6D90">
        <w:rPr>
          <w:rFonts w:cs="Calibri"/>
          <w:sz w:val="24"/>
          <w:szCs w:val="24"/>
        </w:rPr>
        <w:t>testparm</w:t>
      </w:r>
      <w:proofErr w:type="spellEnd"/>
      <w:r w:rsidR="006F2913" w:rsidRPr="00AE6D90">
        <w:rPr>
          <w:rFonts w:cs="Calibri"/>
          <w:sz w:val="24"/>
          <w:szCs w:val="24"/>
        </w:rPr>
        <w:t xml:space="preserve"> is statistically significant at 5% level. Based on the result</w:t>
      </w:r>
      <w:r w:rsidR="00630046" w:rsidRPr="00AE6D90">
        <w:rPr>
          <w:rFonts w:cs="Calibri"/>
          <w:sz w:val="24"/>
          <w:szCs w:val="24"/>
        </w:rPr>
        <w:t xml:space="preserve"> in Table 4</w:t>
      </w:r>
      <w:r w:rsidR="006F2913" w:rsidRPr="00AE6D90">
        <w:rPr>
          <w:rFonts w:cs="Calibri"/>
          <w:sz w:val="24"/>
          <w:szCs w:val="24"/>
        </w:rPr>
        <w:t xml:space="preserve">, </w:t>
      </w:r>
      <w:r w:rsidR="00205E78" w:rsidRPr="00AE6D90">
        <w:rPr>
          <w:rFonts w:cs="Calibri"/>
          <w:sz w:val="24"/>
          <w:szCs w:val="24"/>
        </w:rPr>
        <w:t>the prob&gt;F is statistically significant at 1% implying that time fixed effec</w:t>
      </w:r>
      <w:r w:rsidR="00630046" w:rsidRPr="00AE6D90">
        <w:rPr>
          <w:rFonts w:cs="Calibri"/>
          <w:sz w:val="24"/>
          <w:szCs w:val="24"/>
        </w:rPr>
        <w:t xml:space="preserve">ts should be included in running the FE model. </w:t>
      </w:r>
    </w:p>
    <w:p w14:paraId="72D3C278" w14:textId="77777777" w:rsidR="00F94AFE" w:rsidRPr="00AE6D90" w:rsidRDefault="00F94AFE" w:rsidP="00A81F98">
      <w:pPr>
        <w:spacing w:after="0" w:line="240" w:lineRule="auto"/>
        <w:rPr>
          <w:rFonts w:cs="Calibri"/>
          <w:b/>
          <w:bCs/>
          <w:i/>
          <w:iCs/>
          <w:sz w:val="24"/>
          <w:szCs w:val="24"/>
        </w:rPr>
      </w:pPr>
    </w:p>
    <w:p w14:paraId="50A4A942" w14:textId="60F495B5" w:rsidR="00CE5798" w:rsidRPr="00AE6D90" w:rsidRDefault="00CE5798" w:rsidP="00A81F98">
      <w:pPr>
        <w:spacing w:after="0" w:line="240" w:lineRule="auto"/>
        <w:rPr>
          <w:rFonts w:cs="Calibri"/>
          <w:b/>
          <w:bCs/>
          <w:sz w:val="24"/>
          <w:szCs w:val="24"/>
        </w:rPr>
      </w:pPr>
      <w:r w:rsidRPr="00AE6D90">
        <w:rPr>
          <w:rFonts w:cs="Calibri"/>
          <w:b/>
          <w:bCs/>
          <w:sz w:val="24"/>
          <w:szCs w:val="24"/>
        </w:rPr>
        <w:t xml:space="preserve">Table </w:t>
      </w:r>
      <w:r w:rsidR="00F83E0F" w:rsidRPr="00AE6D90">
        <w:rPr>
          <w:rFonts w:cs="Calibri"/>
          <w:b/>
          <w:bCs/>
          <w:sz w:val="24"/>
          <w:szCs w:val="24"/>
        </w:rPr>
        <w:t>4</w:t>
      </w:r>
      <w:r w:rsidRPr="00AE6D90">
        <w:rPr>
          <w:rFonts w:cs="Calibri"/>
          <w:b/>
          <w:bCs/>
          <w:sz w:val="24"/>
          <w:szCs w:val="24"/>
        </w:rPr>
        <w:t xml:space="preserve"> </w:t>
      </w:r>
      <w:proofErr w:type="spellStart"/>
      <w:r w:rsidRPr="00AE6D90">
        <w:rPr>
          <w:rFonts w:cs="Calibri"/>
          <w:sz w:val="24"/>
          <w:szCs w:val="24"/>
        </w:rPr>
        <w:t>Test</w:t>
      </w:r>
      <w:r w:rsidR="00F11855" w:rsidRPr="00AE6D90">
        <w:rPr>
          <w:rFonts w:cs="Calibri"/>
          <w:sz w:val="24"/>
          <w:szCs w:val="24"/>
        </w:rPr>
        <w:t>parm</w:t>
      </w:r>
      <w:proofErr w:type="spellEnd"/>
      <w:r w:rsidR="00F11855" w:rsidRPr="00AE6D90">
        <w:rPr>
          <w:rFonts w:cs="Calibri"/>
          <w:sz w:val="24"/>
          <w:szCs w:val="24"/>
        </w:rPr>
        <w:t xml:space="preserve"> to detect </w:t>
      </w:r>
      <w:r w:rsidR="00174F80" w:rsidRPr="00AE6D90">
        <w:rPr>
          <w:rFonts w:cs="Calibri"/>
          <w:sz w:val="24"/>
          <w:szCs w:val="24"/>
        </w:rPr>
        <w:t>if time</w:t>
      </w:r>
      <w:r w:rsidRPr="00AE6D90">
        <w:rPr>
          <w:rFonts w:cs="Calibri"/>
          <w:sz w:val="24"/>
          <w:szCs w:val="24"/>
        </w:rPr>
        <w:t xml:space="preserve">-effects </w:t>
      </w:r>
      <w:proofErr w:type="gramStart"/>
      <w:r w:rsidR="00174F80" w:rsidRPr="00AE6D90">
        <w:rPr>
          <w:rFonts w:cs="Calibri"/>
          <w:sz w:val="24"/>
          <w:szCs w:val="24"/>
        </w:rPr>
        <w:t>is</w:t>
      </w:r>
      <w:proofErr w:type="gramEnd"/>
      <w:r w:rsidR="00174F80" w:rsidRPr="00AE6D90">
        <w:rPr>
          <w:rFonts w:cs="Calibri"/>
          <w:sz w:val="24"/>
          <w:szCs w:val="24"/>
        </w:rPr>
        <w:t xml:space="preserve"> needed in the fixed effect model</w:t>
      </w:r>
    </w:p>
    <w:tbl>
      <w:tblPr>
        <w:tblStyle w:val="TableGrid"/>
        <w:tblW w:w="0" w:type="auto"/>
        <w:tblLook w:val="04A0" w:firstRow="1" w:lastRow="0" w:firstColumn="1" w:lastColumn="0" w:noHBand="0" w:noVBand="1"/>
      </w:tblPr>
      <w:tblGrid>
        <w:gridCol w:w="1555"/>
        <w:gridCol w:w="1134"/>
        <w:gridCol w:w="4819"/>
      </w:tblGrid>
      <w:tr w:rsidR="00174F80" w:rsidRPr="00AE6D90" w14:paraId="0B553184" w14:textId="77777777" w:rsidTr="006B4907">
        <w:tc>
          <w:tcPr>
            <w:tcW w:w="1555" w:type="dxa"/>
          </w:tcPr>
          <w:p w14:paraId="6D49A976" w14:textId="6BCF0462" w:rsidR="00174F80" w:rsidRPr="00AE6D90" w:rsidRDefault="00174F80" w:rsidP="00A81F98">
            <w:pPr>
              <w:spacing w:after="0" w:line="240" w:lineRule="auto"/>
              <w:rPr>
                <w:rFonts w:cs="Calibri"/>
                <w:b/>
                <w:bCs/>
                <w:sz w:val="24"/>
                <w:szCs w:val="24"/>
              </w:rPr>
            </w:pPr>
            <w:r w:rsidRPr="00AE6D90">
              <w:rPr>
                <w:rFonts w:cs="Calibri"/>
                <w:b/>
                <w:bCs/>
                <w:sz w:val="24"/>
                <w:szCs w:val="24"/>
              </w:rPr>
              <w:t>F-statistic</w:t>
            </w:r>
          </w:p>
        </w:tc>
        <w:tc>
          <w:tcPr>
            <w:tcW w:w="1134" w:type="dxa"/>
          </w:tcPr>
          <w:p w14:paraId="3DF6FF2A" w14:textId="1425CB08" w:rsidR="00174F80" w:rsidRPr="00AE6D90" w:rsidRDefault="00174F80" w:rsidP="00A81F98">
            <w:pPr>
              <w:spacing w:after="0" w:line="240" w:lineRule="auto"/>
              <w:rPr>
                <w:rFonts w:cs="Calibri"/>
                <w:b/>
                <w:bCs/>
                <w:sz w:val="24"/>
                <w:szCs w:val="24"/>
              </w:rPr>
            </w:pPr>
            <w:r w:rsidRPr="00AE6D90">
              <w:rPr>
                <w:rFonts w:cs="Calibri"/>
                <w:b/>
                <w:bCs/>
                <w:sz w:val="24"/>
                <w:szCs w:val="24"/>
              </w:rPr>
              <w:t>Prob</w:t>
            </w:r>
            <w:r w:rsidR="00BA56D2" w:rsidRPr="00AE6D90">
              <w:rPr>
                <w:rFonts w:cs="Calibri"/>
                <w:b/>
                <w:bCs/>
                <w:sz w:val="24"/>
                <w:szCs w:val="24"/>
              </w:rPr>
              <w:t>&gt;F</w:t>
            </w:r>
          </w:p>
        </w:tc>
        <w:tc>
          <w:tcPr>
            <w:tcW w:w="4819" w:type="dxa"/>
          </w:tcPr>
          <w:p w14:paraId="47A7CC4B" w14:textId="4A9F91C8" w:rsidR="00174F80" w:rsidRPr="00AE6D90" w:rsidRDefault="00BA56D2" w:rsidP="00A81F98">
            <w:pPr>
              <w:spacing w:after="0" w:line="240" w:lineRule="auto"/>
              <w:rPr>
                <w:rFonts w:cs="Calibri"/>
                <w:b/>
                <w:bCs/>
                <w:sz w:val="24"/>
                <w:szCs w:val="24"/>
              </w:rPr>
            </w:pPr>
            <w:r w:rsidRPr="00AE6D90">
              <w:rPr>
                <w:rFonts w:cs="Calibri"/>
                <w:b/>
                <w:bCs/>
                <w:sz w:val="24"/>
                <w:szCs w:val="24"/>
              </w:rPr>
              <w:t>Remark</w:t>
            </w:r>
          </w:p>
        </w:tc>
      </w:tr>
      <w:tr w:rsidR="00174F80" w:rsidRPr="00AE6D90" w14:paraId="1AFF32EA" w14:textId="77777777" w:rsidTr="006B4907">
        <w:tc>
          <w:tcPr>
            <w:tcW w:w="1555" w:type="dxa"/>
          </w:tcPr>
          <w:p w14:paraId="5E594761" w14:textId="3CCA423F" w:rsidR="00174F80" w:rsidRPr="00AE6D90" w:rsidRDefault="00866ACE" w:rsidP="00A81F98">
            <w:pPr>
              <w:spacing w:after="0" w:line="240" w:lineRule="auto"/>
              <w:rPr>
                <w:rFonts w:cs="Calibri"/>
                <w:sz w:val="24"/>
                <w:szCs w:val="24"/>
              </w:rPr>
            </w:pPr>
            <w:r w:rsidRPr="00AE6D90">
              <w:rPr>
                <w:rFonts w:cs="Calibri"/>
                <w:sz w:val="24"/>
                <w:szCs w:val="24"/>
              </w:rPr>
              <w:t>14.08</w:t>
            </w:r>
          </w:p>
        </w:tc>
        <w:tc>
          <w:tcPr>
            <w:tcW w:w="1134" w:type="dxa"/>
          </w:tcPr>
          <w:p w14:paraId="22143772" w14:textId="057196C5" w:rsidR="00174F80" w:rsidRPr="00AE6D90" w:rsidRDefault="00866ACE" w:rsidP="00A81F98">
            <w:pPr>
              <w:spacing w:after="0" w:line="240" w:lineRule="auto"/>
              <w:rPr>
                <w:rFonts w:cs="Calibri"/>
                <w:sz w:val="24"/>
                <w:szCs w:val="24"/>
              </w:rPr>
            </w:pPr>
            <w:r w:rsidRPr="00AE6D90">
              <w:rPr>
                <w:rFonts w:cs="Calibri"/>
                <w:sz w:val="24"/>
                <w:szCs w:val="24"/>
              </w:rPr>
              <w:t>0.0000</w:t>
            </w:r>
          </w:p>
        </w:tc>
        <w:tc>
          <w:tcPr>
            <w:tcW w:w="4819" w:type="dxa"/>
          </w:tcPr>
          <w:p w14:paraId="7C9FD6C5" w14:textId="648AD324" w:rsidR="00174F80" w:rsidRPr="00AE6D90" w:rsidRDefault="005C6006" w:rsidP="00A81F98">
            <w:pPr>
              <w:spacing w:after="0" w:line="240" w:lineRule="auto"/>
              <w:rPr>
                <w:rFonts w:cs="Calibri"/>
                <w:sz w:val="24"/>
                <w:szCs w:val="24"/>
              </w:rPr>
            </w:pPr>
            <w:r w:rsidRPr="00AE6D90">
              <w:rPr>
                <w:rFonts w:cs="Calibri"/>
                <w:sz w:val="24"/>
                <w:szCs w:val="24"/>
              </w:rPr>
              <w:t xml:space="preserve">There should be time-effects included in the </w:t>
            </w:r>
            <w:r w:rsidR="00EB2885" w:rsidRPr="00AE6D90">
              <w:rPr>
                <w:rFonts w:cs="Calibri"/>
                <w:sz w:val="24"/>
                <w:szCs w:val="24"/>
              </w:rPr>
              <w:t>model</w:t>
            </w:r>
          </w:p>
        </w:tc>
      </w:tr>
    </w:tbl>
    <w:p w14:paraId="000918A5" w14:textId="77777777" w:rsidR="00174F80" w:rsidRPr="00AE6D90" w:rsidRDefault="00174F80" w:rsidP="00A81F98">
      <w:pPr>
        <w:spacing w:after="0" w:line="240" w:lineRule="auto"/>
        <w:rPr>
          <w:rFonts w:cs="Calibri"/>
          <w:b/>
          <w:bCs/>
          <w:i/>
          <w:iCs/>
          <w:sz w:val="24"/>
          <w:szCs w:val="24"/>
        </w:rPr>
      </w:pPr>
    </w:p>
    <w:p w14:paraId="4704AFBB" w14:textId="77777777" w:rsidR="00F83E0F" w:rsidRPr="00AE6D90" w:rsidRDefault="00F83E0F" w:rsidP="00A81F98">
      <w:pPr>
        <w:spacing w:after="0" w:line="240" w:lineRule="auto"/>
        <w:rPr>
          <w:rFonts w:cs="Calibri"/>
          <w:b/>
          <w:bCs/>
          <w:i/>
          <w:iCs/>
          <w:sz w:val="24"/>
          <w:szCs w:val="24"/>
        </w:rPr>
      </w:pPr>
    </w:p>
    <w:p w14:paraId="609AABCF" w14:textId="22202A54" w:rsidR="00EA10D3" w:rsidRPr="00AE6D90" w:rsidRDefault="00E24462" w:rsidP="00A81F98">
      <w:pPr>
        <w:spacing w:after="0" w:line="240" w:lineRule="auto"/>
        <w:rPr>
          <w:rFonts w:cs="Calibri"/>
          <w:b/>
          <w:bCs/>
          <w:i/>
          <w:iCs/>
          <w:sz w:val="24"/>
          <w:szCs w:val="24"/>
        </w:rPr>
      </w:pPr>
      <w:r w:rsidRPr="00AE6D90">
        <w:rPr>
          <w:rFonts w:cs="Calibri"/>
          <w:b/>
          <w:bCs/>
          <w:i/>
          <w:iCs/>
          <w:sz w:val="24"/>
          <w:szCs w:val="24"/>
        </w:rPr>
        <w:t>Assumptions of O</w:t>
      </w:r>
      <w:r w:rsidR="006B4907" w:rsidRPr="00AE6D90">
        <w:rPr>
          <w:rFonts w:cs="Calibri"/>
          <w:b/>
          <w:bCs/>
          <w:i/>
          <w:iCs/>
          <w:sz w:val="24"/>
          <w:szCs w:val="24"/>
        </w:rPr>
        <w:t>rdinary Least Square</w:t>
      </w:r>
      <w:r w:rsidR="00EB2885" w:rsidRPr="00AE6D90">
        <w:rPr>
          <w:rFonts w:cs="Calibri"/>
          <w:b/>
          <w:bCs/>
          <w:i/>
          <w:iCs/>
          <w:sz w:val="24"/>
          <w:szCs w:val="24"/>
        </w:rPr>
        <w:t xml:space="preserve"> for Panel Analysis</w:t>
      </w:r>
    </w:p>
    <w:p w14:paraId="43DA187F" w14:textId="77777777" w:rsidR="00E24462" w:rsidRPr="00AE6D90" w:rsidRDefault="00E24462" w:rsidP="00A81F98">
      <w:pPr>
        <w:spacing w:after="0" w:line="240" w:lineRule="auto"/>
        <w:rPr>
          <w:rFonts w:cs="Calibri"/>
          <w:b/>
          <w:bCs/>
          <w:i/>
          <w:iCs/>
          <w:sz w:val="24"/>
          <w:szCs w:val="24"/>
        </w:rPr>
      </w:pPr>
    </w:p>
    <w:p w14:paraId="190E080E" w14:textId="0C88296E" w:rsidR="00C64AA5" w:rsidRPr="00AE6D90" w:rsidRDefault="004500D5" w:rsidP="004500D5">
      <w:pPr>
        <w:autoSpaceDE w:val="0"/>
        <w:autoSpaceDN w:val="0"/>
        <w:adjustRightInd w:val="0"/>
        <w:spacing w:after="0" w:line="240" w:lineRule="auto"/>
        <w:rPr>
          <w:rFonts w:eastAsiaTheme="minorHAnsi" w:cs="Calibri"/>
          <w:sz w:val="24"/>
          <w:szCs w:val="24"/>
        </w:rPr>
      </w:pPr>
      <w:r w:rsidRPr="00AE6D90">
        <w:rPr>
          <w:rFonts w:eastAsiaTheme="minorHAnsi" w:cs="Calibri"/>
          <w:sz w:val="24"/>
          <w:szCs w:val="24"/>
        </w:rPr>
        <w:t xml:space="preserve">The variance inflation factor (VIF) test is conducted to evaluate the multicollinearity of the variables in the model. The rule of thumb for VIF is that values </w:t>
      </w:r>
      <w:r w:rsidR="00363F64" w:rsidRPr="00AE6D90">
        <w:rPr>
          <w:rFonts w:eastAsiaTheme="minorHAnsi" w:cs="Calibri"/>
          <w:sz w:val="24"/>
          <w:szCs w:val="24"/>
        </w:rPr>
        <w:t xml:space="preserve">beyond 10 </w:t>
      </w:r>
      <w:r w:rsidRPr="00AE6D90">
        <w:rPr>
          <w:rFonts w:eastAsiaTheme="minorHAnsi" w:cs="Calibri"/>
          <w:sz w:val="24"/>
          <w:szCs w:val="24"/>
        </w:rPr>
        <w:t>indicate that the model is suffering from</w:t>
      </w:r>
      <w:r w:rsidR="00363F64" w:rsidRPr="00AE6D90">
        <w:rPr>
          <w:rFonts w:eastAsiaTheme="minorHAnsi" w:cs="Calibri"/>
          <w:sz w:val="24"/>
          <w:szCs w:val="24"/>
        </w:rPr>
        <w:t xml:space="preserve"> serious </w:t>
      </w:r>
      <w:r w:rsidRPr="00AE6D90">
        <w:rPr>
          <w:rFonts w:eastAsiaTheme="minorHAnsi" w:cs="Calibri"/>
          <w:sz w:val="24"/>
          <w:szCs w:val="24"/>
        </w:rPr>
        <w:t>multicollinearity.</w:t>
      </w:r>
      <w:r w:rsidR="00363F64" w:rsidRPr="00AE6D90">
        <w:rPr>
          <w:rFonts w:eastAsiaTheme="minorHAnsi" w:cs="Calibri"/>
          <w:sz w:val="24"/>
          <w:szCs w:val="24"/>
        </w:rPr>
        <w:t xml:space="preserve"> Based on result from Table 5, it can be inferred that the model is not suffering from a problem of serious multicollinearity</w:t>
      </w:r>
      <w:r w:rsidR="00A06236" w:rsidRPr="00AE6D90">
        <w:rPr>
          <w:rFonts w:eastAsiaTheme="minorHAnsi" w:cs="Calibri"/>
          <w:sz w:val="24"/>
          <w:szCs w:val="24"/>
        </w:rPr>
        <w:t xml:space="preserve"> given that the mean VIF of the model is only 2.56. </w:t>
      </w:r>
    </w:p>
    <w:p w14:paraId="59D71363" w14:textId="77777777" w:rsidR="004500D5" w:rsidRPr="00AE6D90" w:rsidRDefault="004500D5" w:rsidP="00A81F98">
      <w:pPr>
        <w:spacing w:after="0" w:line="240" w:lineRule="auto"/>
        <w:rPr>
          <w:rFonts w:cs="Calibri"/>
          <w:b/>
          <w:bCs/>
          <w:i/>
          <w:iCs/>
          <w:sz w:val="24"/>
          <w:szCs w:val="24"/>
        </w:rPr>
      </w:pPr>
    </w:p>
    <w:p w14:paraId="3B0C78D4" w14:textId="6010FCCF" w:rsidR="00D540F8" w:rsidRPr="00AE6D90" w:rsidRDefault="00C64AA5" w:rsidP="00A81F98">
      <w:pPr>
        <w:spacing w:after="0" w:line="240" w:lineRule="auto"/>
        <w:rPr>
          <w:rFonts w:cs="Calibri"/>
          <w:sz w:val="24"/>
          <w:szCs w:val="24"/>
        </w:rPr>
      </w:pPr>
      <w:r w:rsidRPr="00AE6D90">
        <w:rPr>
          <w:rFonts w:cs="Calibri"/>
          <w:b/>
          <w:bCs/>
          <w:sz w:val="24"/>
          <w:szCs w:val="24"/>
        </w:rPr>
        <w:t xml:space="preserve">Table </w:t>
      </w:r>
      <w:r w:rsidR="00231FA2" w:rsidRPr="00AE6D90">
        <w:rPr>
          <w:rFonts w:cs="Calibri"/>
          <w:b/>
          <w:bCs/>
          <w:sz w:val="24"/>
          <w:szCs w:val="24"/>
        </w:rPr>
        <w:t>5</w:t>
      </w:r>
      <w:r w:rsidRPr="00AE6D90">
        <w:rPr>
          <w:rFonts w:cs="Calibri"/>
          <w:b/>
          <w:bCs/>
          <w:i/>
          <w:iCs/>
          <w:sz w:val="24"/>
          <w:szCs w:val="24"/>
        </w:rPr>
        <w:t xml:space="preserve"> </w:t>
      </w:r>
      <w:r w:rsidR="00D540F8" w:rsidRPr="00AE6D90">
        <w:rPr>
          <w:rFonts w:cs="Calibri"/>
          <w:sz w:val="24"/>
          <w:szCs w:val="24"/>
        </w:rPr>
        <w:t>Multicollinearity Test</w:t>
      </w: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992"/>
        <w:gridCol w:w="1276"/>
        <w:gridCol w:w="3260"/>
      </w:tblGrid>
      <w:tr w:rsidR="00312E87" w:rsidRPr="00AE6D90" w14:paraId="61220F45" w14:textId="1CC5DCE9" w:rsidTr="00DA3D06">
        <w:trPr>
          <w:trHeight w:val="290"/>
        </w:trPr>
        <w:tc>
          <w:tcPr>
            <w:tcW w:w="2547" w:type="dxa"/>
            <w:shd w:val="clear" w:color="auto" w:fill="auto"/>
            <w:noWrap/>
            <w:vAlign w:val="bottom"/>
            <w:hideMark/>
          </w:tcPr>
          <w:p w14:paraId="46CE6763" w14:textId="61EF2AD4" w:rsidR="00312E87" w:rsidRPr="00AE6D90" w:rsidRDefault="00312E87" w:rsidP="002B0577">
            <w:pPr>
              <w:spacing w:after="0" w:line="240" w:lineRule="auto"/>
              <w:jc w:val="center"/>
              <w:rPr>
                <w:rFonts w:eastAsia="Times New Roman" w:cs="Calibri"/>
                <w:b/>
                <w:bCs/>
                <w:color w:val="000000"/>
                <w:sz w:val="24"/>
                <w:szCs w:val="24"/>
                <w:lang w:eastAsia="en-PH"/>
              </w:rPr>
            </w:pPr>
            <w:r w:rsidRPr="00AE6D90">
              <w:rPr>
                <w:rFonts w:eastAsia="Times New Roman" w:cs="Calibri"/>
                <w:b/>
                <w:bCs/>
                <w:color w:val="000000"/>
                <w:sz w:val="24"/>
                <w:szCs w:val="24"/>
                <w:lang w:eastAsia="en-PH"/>
              </w:rPr>
              <w:t>Independent Variables</w:t>
            </w:r>
          </w:p>
        </w:tc>
        <w:tc>
          <w:tcPr>
            <w:tcW w:w="992" w:type="dxa"/>
            <w:shd w:val="clear" w:color="auto" w:fill="auto"/>
            <w:noWrap/>
            <w:vAlign w:val="bottom"/>
            <w:hideMark/>
          </w:tcPr>
          <w:p w14:paraId="77611BC6" w14:textId="77777777" w:rsidR="00312E87" w:rsidRPr="00AE6D90" w:rsidRDefault="00312E87" w:rsidP="002B0577">
            <w:pPr>
              <w:spacing w:after="0" w:line="240" w:lineRule="auto"/>
              <w:jc w:val="center"/>
              <w:rPr>
                <w:rFonts w:eastAsia="Times New Roman" w:cs="Calibri"/>
                <w:b/>
                <w:bCs/>
                <w:color w:val="000000"/>
                <w:sz w:val="24"/>
                <w:szCs w:val="24"/>
                <w:lang w:eastAsia="en-PH"/>
              </w:rPr>
            </w:pPr>
            <w:r w:rsidRPr="00AE6D90">
              <w:rPr>
                <w:rFonts w:eastAsia="Times New Roman" w:cs="Calibri"/>
                <w:b/>
                <w:bCs/>
                <w:color w:val="000000"/>
                <w:sz w:val="24"/>
                <w:szCs w:val="24"/>
                <w:lang w:eastAsia="en-PH"/>
              </w:rPr>
              <w:t>VIF</w:t>
            </w:r>
          </w:p>
        </w:tc>
        <w:tc>
          <w:tcPr>
            <w:tcW w:w="1276" w:type="dxa"/>
            <w:shd w:val="clear" w:color="auto" w:fill="auto"/>
            <w:noWrap/>
            <w:vAlign w:val="bottom"/>
            <w:hideMark/>
          </w:tcPr>
          <w:p w14:paraId="637380D3" w14:textId="77777777" w:rsidR="00312E87" w:rsidRPr="00AE6D90" w:rsidRDefault="00312E87" w:rsidP="002B0577">
            <w:pPr>
              <w:spacing w:after="0" w:line="240" w:lineRule="auto"/>
              <w:jc w:val="center"/>
              <w:rPr>
                <w:rFonts w:eastAsia="Times New Roman" w:cs="Calibri"/>
                <w:b/>
                <w:bCs/>
                <w:color w:val="000000"/>
                <w:sz w:val="24"/>
                <w:szCs w:val="24"/>
                <w:lang w:eastAsia="en-PH"/>
              </w:rPr>
            </w:pPr>
            <w:r w:rsidRPr="00AE6D90">
              <w:rPr>
                <w:rFonts w:eastAsia="Times New Roman" w:cs="Calibri"/>
                <w:b/>
                <w:bCs/>
                <w:color w:val="000000"/>
                <w:sz w:val="24"/>
                <w:szCs w:val="24"/>
                <w:lang w:eastAsia="en-PH"/>
              </w:rPr>
              <w:t>1/VIF</w:t>
            </w:r>
          </w:p>
        </w:tc>
        <w:tc>
          <w:tcPr>
            <w:tcW w:w="3260" w:type="dxa"/>
          </w:tcPr>
          <w:p w14:paraId="6DB8883F" w14:textId="1356CFD6" w:rsidR="00312E87" w:rsidRPr="00AE6D90" w:rsidRDefault="00312E87" w:rsidP="002B0577">
            <w:pPr>
              <w:spacing w:after="0" w:line="240" w:lineRule="auto"/>
              <w:jc w:val="center"/>
              <w:rPr>
                <w:rFonts w:eastAsia="Times New Roman" w:cs="Calibri"/>
                <w:b/>
                <w:bCs/>
                <w:color w:val="000000"/>
                <w:sz w:val="24"/>
                <w:szCs w:val="24"/>
                <w:lang w:eastAsia="en-PH"/>
              </w:rPr>
            </w:pPr>
            <w:r w:rsidRPr="00AE6D90">
              <w:rPr>
                <w:rFonts w:eastAsia="Times New Roman" w:cs="Calibri"/>
                <w:b/>
                <w:bCs/>
                <w:color w:val="000000"/>
                <w:sz w:val="24"/>
                <w:szCs w:val="24"/>
                <w:lang w:eastAsia="en-PH"/>
              </w:rPr>
              <w:t>Remark</w:t>
            </w:r>
          </w:p>
        </w:tc>
      </w:tr>
      <w:tr w:rsidR="00312E87" w:rsidRPr="00AE6D90" w14:paraId="1138587C" w14:textId="1FCC3102" w:rsidTr="00DA3D06">
        <w:trPr>
          <w:trHeight w:val="290"/>
        </w:trPr>
        <w:tc>
          <w:tcPr>
            <w:tcW w:w="2547" w:type="dxa"/>
            <w:shd w:val="clear" w:color="auto" w:fill="auto"/>
            <w:noWrap/>
            <w:vAlign w:val="bottom"/>
            <w:hideMark/>
          </w:tcPr>
          <w:p w14:paraId="07A846FA" w14:textId="7D86225D" w:rsidR="00312E87" w:rsidRPr="00AE6D90" w:rsidRDefault="00312E87" w:rsidP="002B0577">
            <w:pPr>
              <w:spacing w:after="0" w:line="240" w:lineRule="auto"/>
              <w:rPr>
                <w:rFonts w:eastAsia="Times New Roman" w:cs="Calibri"/>
                <w:color w:val="000000"/>
                <w:sz w:val="24"/>
                <w:szCs w:val="24"/>
                <w:lang w:eastAsia="en-PH"/>
              </w:rPr>
            </w:pPr>
            <w:r w:rsidRPr="00AE6D90">
              <w:rPr>
                <w:rFonts w:eastAsia="Times New Roman" w:cs="Calibri"/>
                <w:color w:val="000000"/>
                <w:sz w:val="24"/>
                <w:szCs w:val="24"/>
                <w:lang w:eastAsia="en-PH"/>
              </w:rPr>
              <w:t>Economic Dynamism</w:t>
            </w:r>
          </w:p>
        </w:tc>
        <w:tc>
          <w:tcPr>
            <w:tcW w:w="992" w:type="dxa"/>
            <w:shd w:val="clear" w:color="auto" w:fill="auto"/>
            <w:noWrap/>
            <w:vAlign w:val="bottom"/>
            <w:hideMark/>
          </w:tcPr>
          <w:p w14:paraId="5DB79599" w14:textId="77777777" w:rsidR="00312E87" w:rsidRPr="00AE6D90" w:rsidRDefault="00312E87" w:rsidP="002B0577">
            <w:pPr>
              <w:spacing w:after="0" w:line="240" w:lineRule="auto"/>
              <w:jc w:val="right"/>
              <w:rPr>
                <w:rFonts w:eastAsia="Times New Roman" w:cs="Calibri"/>
                <w:color w:val="000000"/>
                <w:sz w:val="24"/>
                <w:szCs w:val="24"/>
                <w:lang w:eastAsia="en-PH"/>
              </w:rPr>
            </w:pPr>
            <w:r w:rsidRPr="00AE6D90">
              <w:rPr>
                <w:rFonts w:eastAsia="Times New Roman" w:cs="Calibri"/>
                <w:color w:val="000000"/>
                <w:sz w:val="24"/>
                <w:szCs w:val="24"/>
                <w:lang w:eastAsia="en-PH"/>
              </w:rPr>
              <w:t>3.35</w:t>
            </w:r>
          </w:p>
        </w:tc>
        <w:tc>
          <w:tcPr>
            <w:tcW w:w="1276" w:type="dxa"/>
            <w:shd w:val="clear" w:color="auto" w:fill="auto"/>
            <w:noWrap/>
            <w:vAlign w:val="bottom"/>
            <w:hideMark/>
          </w:tcPr>
          <w:p w14:paraId="66F2F1EF" w14:textId="2F045730" w:rsidR="00312E87" w:rsidRPr="00AE6D90" w:rsidRDefault="00312E87" w:rsidP="002B0577">
            <w:pPr>
              <w:spacing w:after="0" w:line="240" w:lineRule="auto"/>
              <w:jc w:val="right"/>
              <w:rPr>
                <w:rFonts w:eastAsia="Times New Roman" w:cs="Calibri"/>
                <w:color w:val="000000"/>
                <w:sz w:val="24"/>
                <w:szCs w:val="24"/>
                <w:lang w:eastAsia="en-PH"/>
              </w:rPr>
            </w:pPr>
            <w:r w:rsidRPr="00AE6D90">
              <w:rPr>
                <w:rFonts w:eastAsia="Times New Roman" w:cs="Calibri"/>
                <w:color w:val="000000"/>
                <w:sz w:val="24"/>
                <w:szCs w:val="24"/>
                <w:lang w:eastAsia="en-PH"/>
              </w:rPr>
              <w:t>0.2988</w:t>
            </w:r>
          </w:p>
        </w:tc>
        <w:tc>
          <w:tcPr>
            <w:tcW w:w="3260" w:type="dxa"/>
            <w:vMerge w:val="restart"/>
          </w:tcPr>
          <w:p w14:paraId="7780ECAB" w14:textId="5016F724" w:rsidR="00312E87" w:rsidRPr="00AE6D90" w:rsidRDefault="00DA3D06" w:rsidP="002B0577">
            <w:pPr>
              <w:spacing w:after="0" w:line="240" w:lineRule="auto"/>
              <w:jc w:val="right"/>
              <w:rPr>
                <w:rFonts w:eastAsia="Times New Roman" w:cs="Calibri"/>
                <w:color w:val="000000"/>
                <w:sz w:val="24"/>
                <w:szCs w:val="24"/>
                <w:lang w:eastAsia="en-PH"/>
              </w:rPr>
            </w:pPr>
            <w:r w:rsidRPr="00AE6D90">
              <w:rPr>
                <w:rFonts w:eastAsia="Times New Roman" w:cs="Calibri"/>
                <w:color w:val="000000"/>
                <w:sz w:val="24"/>
                <w:szCs w:val="24"/>
                <w:lang w:eastAsia="en-PH"/>
              </w:rPr>
              <w:t xml:space="preserve">The model is not suffering from serious multicollinearity </w:t>
            </w:r>
          </w:p>
        </w:tc>
      </w:tr>
      <w:tr w:rsidR="00312E87" w:rsidRPr="00AE6D90" w14:paraId="5F0FA21B" w14:textId="47173285" w:rsidTr="00DA3D06">
        <w:trPr>
          <w:trHeight w:val="290"/>
        </w:trPr>
        <w:tc>
          <w:tcPr>
            <w:tcW w:w="2547" w:type="dxa"/>
            <w:shd w:val="clear" w:color="auto" w:fill="auto"/>
            <w:noWrap/>
            <w:vAlign w:val="bottom"/>
            <w:hideMark/>
          </w:tcPr>
          <w:p w14:paraId="39A74DC9" w14:textId="68B1EBB4" w:rsidR="00312E87" w:rsidRPr="00AE6D90" w:rsidRDefault="00312E87" w:rsidP="002B0577">
            <w:pPr>
              <w:spacing w:after="0" w:line="240" w:lineRule="auto"/>
              <w:rPr>
                <w:rFonts w:eastAsia="Times New Roman" w:cs="Calibri"/>
                <w:color w:val="000000"/>
                <w:sz w:val="24"/>
                <w:szCs w:val="24"/>
                <w:lang w:eastAsia="en-PH"/>
              </w:rPr>
            </w:pPr>
            <w:r w:rsidRPr="00AE6D90">
              <w:rPr>
                <w:rFonts w:eastAsia="Times New Roman" w:cs="Calibri"/>
                <w:color w:val="000000"/>
                <w:sz w:val="24"/>
                <w:szCs w:val="24"/>
                <w:lang w:eastAsia="en-PH"/>
              </w:rPr>
              <w:t>Government Efficiency</w:t>
            </w:r>
          </w:p>
        </w:tc>
        <w:tc>
          <w:tcPr>
            <w:tcW w:w="992" w:type="dxa"/>
            <w:shd w:val="clear" w:color="auto" w:fill="auto"/>
            <w:noWrap/>
            <w:vAlign w:val="bottom"/>
            <w:hideMark/>
          </w:tcPr>
          <w:p w14:paraId="625FEF76" w14:textId="77777777" w:rsidR="00312E87" w:rsidRPr="00AE6D90" w:rsidRDefault="00312E87" w:rsidP="002B0577">
            <w:pPr>
              <w:spacing w:after="0" w:line="240" w:lineRule="auto"/>
              <w:jc w:val="right"/>
              <w:rPr>
                <w:rFonts w:eastAsia="Times New Roman" w:cs="Calibri"/>
                <w:color w:val="000000"/>
                <w:sz w:val="24"/>
                <w:szCs w:val="24"/>
                <w:lang w:eastAsia="en-PH"/>
              </w:rPr>
            </w:pPr>
            <w:r w:rsidRPr="00AE6D90">
              <w:rPr>
                <w:rFonts w:eastAsia="Times New Roman" w:cs="Calibri"/>
                <w:color w:val="000000"/>
                <w:sz w:val="24"/>
                <w:szCs w:val="24"/>
                <w:lang w:eastAsia="en-PH"/>
              </w:rPr>
              <w:t>2.51</w:t>
            </w:r>
          </w:p>
        </w:tc>
        <w:tc>
          <w:tcPr>
            <w:tcW w:w="1276" w:type="dxa"/>
            <w:shd w:val="clear" w:color="auto" w:fill="auto"/>
            <w:noWrap/>
            <w:vAlign w:val="bottom"/>
            <w:hideMark/>
          </w:tcPr>
          <w:p w14:paraId="15725ABC" w14:textId="2219C279" w:rsidR="00312E87" w:rsidRPr="00AE6D90" w:rsidRDefault="00312E87" w:rsidP="002B0577">
            <w:pPr>
              <w:spacing w:after="0" w:line="240" w:lineRule="auto"/>
              <w:jc w:val="right"/>
              <w:rPr>
                <w:rFonts w:eastAsia="Times New Roman" w:cs="Calibri"/>
                <w:color w:val="000000"/>
                <w:sz w:val="24"/>
                <w:szCs w:val="24"/>
                <w:lang w:eastAsia="en-PH"/>
              </w:rPr>
            </w:pPr>
            <w:r w:rsidRPr="00AE6D90">
              <w:rPr>
                <w:rFonts w:eastAsia="Times New Roman" w:cs="Calibri"/>
                <w:color w:val="000000"/>
                <w:sz w:val="24"/>
                <w:szCs w:val="24"/>
                <w:lang w:eastAsia="en-PH"/>
              </w:rPr>
              <w:t>0.397</w:t>
            </w:r>
            <w:r w:rsidR="005E65BB">
              <w:rPr>
                <w:rFonts w:eastAsia="Times New Roman" w:cs="Calibri"/>
                <w:color w:val="000000"/>
                <w:sz w:val="24"/>
                <w:szCs w:val="24"/>
                <w:lang w:eastAsia="en-PH"/>
              </w:rPr>
              <w:t>8</w:t>
            </w:r>
          </w:p>
        </w:tc>
        <w:tc>
          <w:tcPr>
            <w:tcW w:w="3260" w:type="dxa"/>
            <w:vMerge/>
          </w:tcPr>
          <w:p w14:paraId="5FF9ECE9" w14:textId="77777777" w:rsidR="00312E87" w:rsidRPr="00AE6D90" w:rsidRDefault="00312E87" w:rsidP="002B0577">
            <w:pPr>
              <w:spacing w:after="0" w:line="240" w:lineRule="auto"/>
              <w:jc w:val="right"/>
              <w:rPr>
                <w:rFonts w:eastAsia="Times New Roman" w:cs="Calibri"/>
                <w:color w:val="000000"/>
                <w:sz w:val="24"/>
                <w:szCs w:val="24"/>
                <w:lang w:eastAsia="en-PH"/>
              </w:rPr>
            </w:pPr>
          </w:p>
        </w:tc>
      </w:tr>
      <w:tr w:rsidR="00312E87" w:rsidRPr="00AE6D90" w14:paraId="506B41A9" w14:textId="0B584831" w:rsidTr="00DA3D06">
        <w:trPr>
          <w:trHeight w:val="290"/>
        </w:trPr>
        <w:tc>
          <w:tcPr>
            <w:tcW w:w="2547" w:type="dxa"/>
            <w:shd w:val="clear" w:color="auto" w:fill="auto"/>
            <w:noWrap/>
            <w:vAlign w:val="bottom"/>
            <w:hideMark/>
          </w:tcPr>
          <w:p w14:paraId="75CACE68" w14:textId="49798048" w:rsidR="00312E87" w:rsidRPr="00AE6D90" w:rsidRDefault="00312E87" w:rsidP="002B0577">
            <w:pPr>
              <w:spacing w:after="0" w:line="240" w:lineRule="auto"/>
              <w:rPr>
                <w:rFonts w:eastAsia="Times New Roman" w:cs="Calibri"/>
                <w:color w:val="000000"/>
                <w:sz w:val="24"/>
                <w:szCs w:val="24"/>
                <w:lang w:eastAsia="en-PH"/>
              </w:rPr>
            </w:pPr>
            <w:r w:rsidRPr="00AE6D90">
              <w:rPr>
                <w:rFonts w:eastAsia="Times New Roman" w:cs="Calibri"/>
                <w:color w:val="000000"/>
                <w:sz w:val="24"/>
                <w:szCs w:val="24"/>
                <w:lang w:eastAsia="en-PH"/>
              </w:rPr>
              <w:t>Infrastructure</w:t>
            </w:r>
          </w:p>
        </w:tc>
        <w:tc>
          <w:tcPr>
            <w:tcW w:w="992" w:type="dxa"/>
            <w:shd w:val="clear" w:color="auto" w:fill="auto"/>
            <w:noWrap/>
            <w:vAlign w:val="bottom"/>
            <w:hideMark/>
          </w:tcPr>
          <w:p w14:paraId="005D5B81" w14:textId="77777777" w:rsidR="00312E87" w:rsidRPr="00AE6D90" w:rsidRDefault="00312E87" w:rsidP="002B0577">
            <w:pPr>
              <w:spacing w:after="0" w:line="240" w:lineRule="auto"/>
              <w:jc w:val="right"/>
              <w:rPr>
                <w:rFonts w:eastAsia="Times New Roman" w:cs="Calibri"/>
                <w:color w:val="000000"/>
                <w:sz w:val="24"/>
                <w:szCs w:val="24"/>
                <w:lang w:eastAsia="en-PH"/>
              </w:rPr>
            </w:pPr>
            <w:r w:rsidRPr="00AE6D90">
              <w:rPr>
                <w:rFonts w:eastAsia="Times New Roman" w:cs="Calibri"/>
                <w:color w:val="000000"/>
                <w:sz w:val="24"/>
                <w:szCs w:val="24"/>
                <w:lang w:eastAsia="en-PH"/>
              </w:rPr>
              <w:t>1.83</w:t>
            </w:r>
          </w:p>
        </w:tc>
        <w:tc>
          <w:tcPr>
            <w:tcW w:w="1276" w:type="dxa"/>
            <w:shd w:val="clear" w:color="auto" w:fill="auto"/>
            <w:noWrap/>
            <w:vAlign w:val="bottom"/>
            <w:hideMark/>
          </w:tcPr>
          <w:p w14:paraId="188C10C0" w14:textId="37C4BB03" w:rsidR="00312E87" w:rsidRPr="00AE6D90" w:rsidRDefault="00312E87" w:rsidP="002B0577">
            <w:pPr>
              <w:spacing w:after="0" w:line="240" w:lineRule="auto"/>
              <w:jc w:val="right"/>
              <w:rPr>
                <w:rFonts w:eastAsia="Times New Roman" w:cs="Calibri"/>
                <w:color w:val="000000"/>
                <w:sz w:val="24"/>
                <w:szCs w:val="24"/>
                <w:lang w:eastAsia="en-PH"/>
              </w:rPr>
            </w:pPr>
            <w:r w:rsidRPr="00AE6D90">
              <w:rPr>
                <w:rFonts w:eastAsia="Times New Roman" w:cs="Calibri"/>
                <w:color w:val="000000"/>
                <w:sz w:val="24"/>
                <w:szCs w:val="24"/>
                <w:lang w:eastAsia="en-PH"/>
              </w:rPr>
              <w:t>0.547</w:t>
            </w:r>
            <w:r w:rsidR="005E65BB">
              <w:rPr>
                <w:rFonts w:eastAsia="Times New Roman" w:cs="Calibri"/>
                <w:color w:val="000000"/>
                <w:sz w:val="24"/>
                <w:szCs w:val="24"/>
                <w:lang w:eastAsia="en-PH"/>
              </w:rPr>
              <w:t>5</w:t>
            </w:r>
          </w:p>
        </w:tc>
        <w:tc>
          <w:tcPr>
            <w:tcW w:w="3260" w:type="dxa"/>
            <w:vMerge/>
          </w:tcPr>
          <w:p w14:paraId="54D63586" w14:textId="77777777" w:rsidR="00312E87" w:rsidRPr="00AE6D90" w:rsidRDefault="00312E87" w:rsidP="002B0577">
            <w:pPr>
              <w:spacing w:after="0" w:line="240" w:lineRule="auto"/>
              <w:jc w:val="right"/>
              <w:rPr>
                <w:rFonts w:eastAsia="Times New Roman" w:cs="Calibri"/>
                <w:color w:val="000000"/>
                <w:sz w:val="24"/>
                <w:szCs w:val="24"/>
                <w:lang w:eastAsia="en-PH"/>
              </w:rPr>
            </w:pPr>
          </w:p>
        </w:tc>
      </w:tr>
      <w:tr w:rsidR="00312E87" w:rsidRPr="00AE6D90" w14:paraId="3A1FE225" w14:textId="50E21A12" w:rsidTr="00DA3D06">
        <w:trPr>
          <w:trHeight w:val="290"/>
        </w:trPr>
        <w:tc>
          <w:tcPr>
            <w:tcW w:w="2547" w:type="dxa"/>
            <w:shd w:val="clear" w:color="auto" w:fill="auto"/>
            <w:noWrap/>
            <w:vAlign w:val="bottom"/>
            <w:hideMark/>
          </w:tcPr>
          <w:p w14:paraId="61555734" w14:textId="77777777" w:rsidR="00312E87" w:rsidRPr="00AE6D90" w:rsidRDefault="00312E87" w:rsidP="002B0577">
            <w:pPr>
              <w:spacing w:after="0" w:line="240" w:lineRule="auto"/>
              <w:rPr>
                <w:rFonts w:eastAsia="Times New Roman" w:cs="Calibri"/>
                <w:color w:val="000000"/>
                <w:sz w:val="24"/>
                <w:szCs w:val="24"/>
                <w:lang w:eastAsia="en-PH"/>
              </w:rPr>
            </w:pPr>
            <w:r w:rsidRPr="00AE6D90">
              <w:rPr>
                <w:rFonts w:eastAsia="Times New Roman" w:cs="Calibri"/>
                <w:color w:val="000000"/>
                <w:sz w:val="24"/>
                <w:szCs w:val="24"/>
                <w:lang w:eastAsia="en-PH"/>
              </w:rPr>
              <w:t>Mean VIF</w:t>
            </w:r>
          </w:p>
        </w:tc>
        <w:tc>
          <w:tcPr>
            <w:tcW w:w="992" w:type="dxa"/>
            <w:shd w:val="clear" w:color="auto" w:fill="auto"/>
            <w:noWrap/>
            <w:vAlign w:val="bottom"/>
            <w:hideMark/>
          </w:tcPr>
          <w:p w14:paraId="21FF529D" w14:textId="77777777" w:rsidR="00312E87" w:rsidRPr="00AE6D90" w:rsidRDefault="00312E87" w:rsidP="002B0577">
            <w:pPr>
              <w:spacing w:after="0" w:line="240" w:lineRule="auto"/>
              <w:jc w:val="right"/>
              <w:rPr>
                <w:rFonts w:eastAsia="Times New Roman" w:cs="Calibri"/>
                <w:color w:val="000000"/>
                <w:sz w:val="24"/>
                <w:szCs w:val="24"/>
                <w:lang w:eastAsia="en-PH"/>
              </w:rPr>
            </w:pPr>
            <w:r w:rsidRPr="00AE6D90">
              <w:rPr>
                <w:rFonts w:eastAsia="Times New Roman" w:cs="Calibri"/>
                <w:color w:val="000000"/>
                <w:sz w:val="24"/>
                <w:szCs w:val="24"/>
                <w:lang w:eastAsia="en-PH"/>
              </w:rPr>
              <w:t>2.56</w:t>
            </w:r>
          </w:p>
        </w:tc>
        <w:tc>
          <w:tcPr>
            <w:tcW w:w="1276" w:type="dxa"/>
            <w:shd w:val="clear" w:color="auto" w:fill="auto"/>
            <w:noWrap/>
            <w:vAlign w:val="bottom"/>
            <w:hideMark/>
          </w:tcPr>
          <w:p w14:paraId="5B111A04" w14:textId="77777777" w:rsidR="00312E87" w:rsidRPr="00AE6D90" w:rsidRDefault="00312E87" w:rsidP="002B0577">
            <w:pPr>
              <w:spacing w:after="0" w:line="240" w:lineRule="auto"/>
              <w:jc w:val="right"/>
              <w:rPr>
                <w:rFonts w:eastAsia="Times New Roman" w:cs="Calibri"/>
                <w:color w:val="000000"/>
                <w:sz w:val="24"/>
                <w:szCs w:val="24"/>
                <w:lang w:eastAsia="en-PH"/>
              </w:rPr>
            </w:pPr>
          </w:p>
        </w:tc>
        <w:tc>
          <w:tcPr>
            <w:tcW w:w="3260" w:type="dxa"/>
            <w:vMerge/>
          </w:tcPr>
          <w:p w14:paraId="0D0EF9BC" w14:textId="77777777" w:rsidR="00312E87" w:rsidRPr="00AE6D90" w:rsidRDefault="00312E87" w:rsidP="002B0577">
            <w:pPr>
              <w:spacing w:after="0" w:line="240" w:lineRule="auto"/>
              <w:jc w:val="right"/>
              <w:rPr>
                <w:rFonts w:eastAsia="Times New Roman" w:cs="Calibri"/>
                <w:color w:val="000000"/>
                <w:sz w:val="24"/>
                <w:szCs w:val="24"/>
                <w:lang w:eastAsia="en-PH"/>
              </w:rPr>
            </w:pPr>
          </w:p>
        </w:tc>
      </w:tr>
    </w:tbl>
    <w:p w14:paraId="6E6B56E9" w14:textId="77777777" w:rsidR="00D540F8" w:rsidRPr="00AE6D90" w:rsidRDefault="00D540F8" w:rsidP="00A81F98">
      <w:pPr>
        <w:spacing w:after="0" w:line="240" w:lineRule="auto"/>
        <w:rPr>
          <w:rFonts w:cs="Calibri"/>
          <w:b/>
          <w:bCs/>
          <w:i/>
          <w:iCs/>
          <w:sz w:val="24"/>
          <w:szCs w:val="24"/>
        </w:rPr>
      </w:pPr>
    </w:p>
    <w:p w14:paraId="10F5AFE3" w14:textId="77777777" w:rsidR="00231FA2" w:rsidRPr="00AE6D90" w:rsidRDefault="00231FA2" w:rsidP="00A06236">
      <w:pPr>
        <w:autoSpaceDE w:val="0"/>
        <w:autoSpaceDN w:val="0"/>
        <w:adjustRightInd w:val="0"/>
        <w:spacing w:after="0" w:line="240" w:lineRule="auto"/>
        <w:rPr>
          <w:rFonts w:cs="Calibri"/>
          <w:b/>
          <w:bCs/>
          <w:sz w:val="24"/>
          <w:szCs w:val="24"/>
        </w:rPr>
      </w:pPr>
    </w:p>
    <w:p w14:paraId="7A679160" w14:textId="23ABCD74" w:rsidR="00A06236" w:rsidRPr="00AE6D90" w:rsidRDefault="00A06236" w:rsidP="00A06236">
      <w:pPr>
        <w:autoSpaceDE w:val="0"/>
        <w:autoSpaceDN w:val="0"/>
        <w:adjustRightInd w:val="0"/>
        <w:spacing w:after="0" w:line="240" w:lineRule="auto"/>
        <w:rPr>
          <w:rFonts w:eastAsiaTheme="minorHAnsi" w:cs="Calibri"/>
          <w:sz w:val="24"/>
          <w:szCs w:val="24"/>
        </w:rPr>
      </w:pPr>
      <w:r w:rsidRPr="00AE6D90">
        <w:rPr>
          <w:rFonts w:eastAsiaTheme="minorHAnsi" w:cs="Calibri"/>
          <w:sz w:val="24"/>
          <w:szCs w:val="24"/>
        </w:rPr>
        <w:t>The modified Wald test was conducted to check for the presence of groupwise heteroskedasticity in the data</w:t>
      </w:r>
      <w:r w:rsidR="006A306C" w:rsidRPr="00AE6D90">
        <w:rPr>
          <w:rFonts w:eastAsiaTheme="minorHAnsi" w:cs="Calibri"/>
          <w:sz w:val="24"/>
          <w:szCs w:val="24"/>
        </w:rPr>
        <w:t>. The</w:t>
      </w:r>
      <w:r w:rsidRPr="00AE6D90">
        <w:rPr>
          <w:rFonts w:eastAsiaTheme="minorHAnsi" w:cs="Calibri"/>
          <w:sz w:val="24"/>
          <w:szCs w:val="24"/>
        </w:rPr>
        <w:t xml:space="preserve"> test indicated that </w:t>
      </w:r>
      <w:r w:rsidR="003D41A6" w:rsidRPr="00AE6D90">
        <w:rPr>
          <w:rFonts w:eastAsiaTheme="minorHAnsi" w:cs="Calibri"/>
          <w:sz w:val="24"/>
          <w:szCs w:val="24"/>
        </w:rPr>
        <w:t>a p-value that is statistically significant at 1% level causing for the rejection of the null that the model is not suffering from</w:t>
      </w:r>
      <w:r w:rsidR="009013EC" w:rsidRPr="00AE6D90">
        <w:rPr>
          <w:rFonts w:eastAsiaTheme="minorHAnsi" w:cs="Calibri"/>
          <w:sz w:val="24"/>
          <w:szCs w:val="24"/>
        </w:rPr>
        <w:t xml:space="preserve"> </w:t>
      </w:r>
      <w:r w:rsidR="003D41A6" w:rsidRPr="00AE6D90">
        <w:rPr>
          <w:rFonts w:eastAsiaTheme="minorHAnsi" w:cs="Calibri"/>
          <w:sz w:val="24"/>
          <w:szCs w:val="24"/>
        </w:rPr>
        <w:t>hete</w:t>
      </w:r>
      <w:r w:rsidR="009013EC" w:rsidRPr="00AE6D90">
        <w:rPr>
          <w:rFonts w:eastAsiaTheme="minorHAnsi" w:cs="Calibri"/>
          <w:sz w:val="24"/>
          <w:szCs w:val="24"/>
        </w:rPr>
        <w:t xml:space="preserve">roscedasticity as presented in Table 6. </w:t>
      </w:r>
    </w:p>
    <w:p w14:paraId="44326B1A" w14:textId="77777777" w:rsidR="00A06236" w:rsidRPr="00AE6D90" w:rsidRDefault="00A06236" w:rsidP="00A81F98">
      <w:pPr>
        <w:spacing w:after="0" w:line="240" w:lineRule="auto"/>
        <w:rPr>
          <w:rFonts w:cs="Calibri"/>
          <w:b/>
          <w:bCs/>
          <w:sz w:val="24"/>
          <w:szCs w:val="24"/>
        </w:rPr>
      </w:pPr>
    </w:p>
    <w:p w14:paraId="67EB945B" w14:textId="3C695BA6" w:rsidR="002B0577" w:rsidRPr="00AE6D90" w:rsidRDefault="002B0577" w:rsidP="00A81F98">
      <w:pPr>
        <w:spacing w:after="0" w:line="240" w:lineRule="auto"/>
        <w:rPr>
          <w:rFonts w:cs="Calibri"/>
          <w:b/>
          <w:bCs/>
          <w:sz w:val="24"/>
          <w:szCs w:val="24"/>
        </w:rPr>
      </w:pPr>
      <w:r w:rsidRPr="00AE6D90">
        <w:rPr>
          <w:rFonts w:cs="Calibri"/>
          <w:b/>
          <w:bCs/>
          <w:sz w:val="24"/>
          <w:szCs w:val="24"/>
        </w:rPr>
        <w:t xml:space="preserve">Table </w:t>
      </w:r>
      <w:r w:rsidR="00EB2885" w:rsidRPr="00AE6D90">
        <w:rPr>
          <w:rFonts w:cs="Calibri"/>
          <w:b/>
          <w:bCs/>
          <w:sz w:val="24"/>
          <w:szCs w:val="24"/>
        </w:rPr>
        <w:t>6</w:t>
      </w:r>
      <w:r w:rsidRPr="00AE6D90">
        <w:rPr>
          <w:rFonts w:cs="Calibri"/>
          <w:b/>
          <w:bCs/>
          <w:sz w:val="24"/>
          <w:szCs w:val="24"/>
        </w:rPr>
        <w:t xml:space="preserve"> </w:t>
      </w:r>
      <w:r w:rsidR="00F657C5" w:rsidRPr="00AE6D90">
        <w:rPr>
          <w:rFonts w:cs="Calibri"/>
          <w:sz w:val="24"/>
          <w:szCs w:val="24"/>
        </w:rPr>
        <w:t xml:space="preserve">Modified Wald Test for </w:t>
      </w:r>
      <w:r w:rsidR="006766B9" w:rsidRPr="00AE6D90">
        <w:rPr>
          <w:rFonts w:cs="Calibri"/>
          <w:sz w:val="24"/>
          <w:szCs w:val="24"/>
        </w:rPr>
        <w:t xml:space="preserve">Groupwise </w:t>
      </w:r>
      <w:r w:rsidR="00312E87" w:rsidRPr="00AE6D90">
        <w:rPr>
          <w:rFonts w:cs="Calibri"/>
          <w:sz w:val="24"/>
          <w:szCs w:val="24"/>
        </w:rPr>
        <w:t xml:space="preserve">Heteroscedasticity </w:t>
      </w:r>
      <w:r w:rsidR="006766B9" w:rsidRPr="00AE6D90">
        <w:rPr>
          <w:rFonts w:cs="Calibri"/>
          <w:sz w:val="24"/>
          <w:szCs w:val="24"/>
        </w:rPr>
        <w:t xml:space="preserve">in Fixed Effect </w:t>
      </w:r>
      <w:r w:rsidR="002D368E" w:rsidRPr="00AE6D90">
        <w:rPr>
          <w:rFonts w:cs="Calibri"/>
          <w:sz w:val="24"/>
          <w:szCs w:val="24"/>
        </w:rPr>
        <w:t>Regression Model</w:t>
      </w:r>
    </w:p>
    <w:tbl>
      <w:tblPr>
        <w:tblStyle w:val="TableGrid"/>
        <w:tblW w:w="0" w:type="auto"/>
        <w:tblLook w:val="04A0" w:firstRow="1" w:lastRow="0" w:firstColumn="1" w:lastColumn="0" w:noHBand="0" w:noVBand="1"/>
      </w:tblPr>
      <w:tblGrid>
        <w:gridCol w:w="1944"/>
        <w:gridCol w:w="1944"/>
        <w:gridCol w:w="4045"/>
      </w:tblGrid>
      <w:tr w:rsidR="00547D71" w:rsidRPr="00AE6D90" w14:paraId="457C7CD3" w14:textId="77777777" w:rsidTr="00231FA2">
        <w:tc>
          <w:tcPr>
            <w:tcW w:w="1944" w:type="dxa"/>
          </w:tcPr>
          <w:p w14:paraId="0E88AE50" w14:textId="1D010D89" w:rsidR="00547D71" w:rsidRPr="00AE6D90" w:rsidRDefault="00547D71" w:rsidP="002D368E">
            <w:pPr>
              <w:spacing w:after="0" w:line="240" w:lineRule="auto"/>
              <w:rPr>
                <w:rFonts w:cs="Calibri"/>
                <w:b/>
                <w:bCs/>
                <w:sz w:val="24"/>
                <w:szCs w:val="24"/>
              </w:rPr>
            </w:pPr>
            <w:r w:rsidRPr="00AE6D90">
              <w:rPr>
                <w:rFonts w:cs="Calibri"/>
                <w:b/>
                <w:bCs/>
                <w:sz w:val="24"/>
                <w:szCs w:val="24"/>
              </w:rPr>
              <w:t>Chi-sq. Statistic</w:t>
            </w:r>
          </w:p>
        </w:tc>
        <w:tc>
          <w:tcPr>
            <w:tcW w:w="1944" w:type="dxa"/>
          </w:tcPr>
          <w:p w14:paraId="2641BBEF" w14:textId="45DBC28F" w:rsidR="00547D71" w:rsidRPr="00AE6D90" w:rsidRDefault="00547D71" w:rsidP="002D368E">
            <w:pPr>
              <w:spacing w:after="0" w:line="240" w:lineRule="auto"/>
              <w:rPr>
                <w:rFonts w:cs="Calibri"/>
                <w:b/>
                <w:bCs/>
                <w:sz w:val="24"/>
                <w:szCs w:val="24"/>
              </w:rPr>
            </w:pPr>
            <w:r w:rsidRPr="00AE6D90">
              <w:rPr>
                <w:rFonts w:cs="Calibri"/>
                <w:b/>
                <w:bCs/>
                <w:sz w:val="24"/>
                <w:szCs w:val="24"/>
              </w:rPr>
              <w:t>Prob&gt;F</w:t>
            </w:r>
          </w:p>
        </w:tc>
        <w:tc>
          <w:tcPr>
            <w:tcW w:w="4045" w:type="dxa"/>
          </w:tcPr>
          <w:p w14:paraId="42D376AC" w14:textId="77777777" w:rsidR="00547D71" w:rsidRPr="00AE6D90" w:rsidRDefault="00547D71" w:rsidP="002D368E">
            <w:pPr>
              <w:spacing w:after="0" w:line="240" w:lineRule="auto"/>
              <w:rPr>
                <w:rFonts w:cs="Calibri"/>
                <w:b/>
                <w:bCs/>
                <w:sz w:val="24"/>
                <w:szCs w:val="24"/>
              </w:rPr>
            </w:pPr>
            <w:r w:rsidRPr="00AE6D90">
              <w:rPr>
                <w:rFonts w:cs="Calibri"/>
                <w:b/>
                <w:bCs/>
                <w:sz w:val="24"/>
                <w:szCs w:val="24"/>
              </w:rPr>
              <w:t>Remark</w:t>
            </w:r>
          </w:p>
        </w:tc>
      </w:tr>
      <w:tr w:rsidR="00547D71" w:rsidRPr="00AE6D90" w14:paraId="34BF472B" w14:textId="77777777" w:rsidTr="00231FA2">
        <w:tc>
          <w:tcPr>
            <w:tcW w:w="1944" w:type="dxa"/>
          </w:tcPr>
          <w:p w14:paraId="57C20D29" w14:textId="03FB3EE0" w:rsidR="00547D71" w:rsidRPr="00AE6D90" w:rsidRDefault="00547D71" w:rsidP="00EB6FFE">
            <w:pPr>
              <w:spacing w:after="0" w:line="240" w:lineRule="auto"/>
              <w:rPr>
                <w:rFonts w:cs="Calibri"/>
                <w:sz w:val="24"/>
                <w:szCs w:val="24"/>
              </w:rPr>
            </w:pPr>
            <w:r w:rsidRPr="00AE6D90">
              <w:rPr>
                <w:rFonts w:cs="Calibri"/>
                <w:sz w:val="24"/>
                <w:szCs w:val="24"/>
              </w:rPr>
              <w:t>543.48</w:t>
            </w:r>
          </w:p>
        </w:tc>
        <w:tc>
          <w:tcPr>
            <w:tcW w:w="1944" w:type="dxa"/>
          </w:tcPr>
          <w:p w14:paraId="53CD8A69" w14:textId="540FA24C" w:rsidR="00547D71" w:rsidRPr="00AE6D90" w:rsidRDefault="00547D71" w:rsidP="00EB6FFE">
            <w:pPr>
              <w:spacing w:after="0" w:line="240" w:lineRule="auto"/>
              <w:rPr>
                <w:rFonts w:cs="Calibri"/>
                <w:sz w:val="24"/>
                <w:szCs w:val="24"/>
              </w:rPr>
            </w:pPr>
            <w:r w:rsidRPr="00AE6D90">
              <w:rPr>
                <w:rFonts w:cs="Calibri"/>
                <w:sz w:val="24"/>
                <w:szCs w:val="24"/>
              </w:rPr>
              <w:t>0.0000</w:t>
            </w:r>
          </w:p>
        </w:tc>
        <w:tc>
          <w:tcPr>
            <w:tcW w:w="4045" w:type="dxa"/>
          </w:tcPr>
          <w:p w14:paraId="0F43BD3B" w14:textId="41FF1386" w:rsidR="00547D71" w:rsidRPr="00AE6D90" w:rsidRDefault="00547D71" w:rsidP="00EB6FFE">
            <w:pPr>
              <w:spacing w:after="0" w:line="240" w:lineRule="auto"/>
              <w:rPr>
                <w:rFonts w:cs="Calibri"/>
                <w:sz w:val="24"/>
                <w:szCs w:val="24"/>
              </w:rPr>
            </w:pPr>
            <w:r w:rsidRPr="00AE6D90">
              <w:rPr>
                <w:rFonts w:cs="Calibri"/>
                <w:sz w:val="24"/>
                <w:szCs w:val="24"/>
              </w:rPr>
              <w:t>Model is suffering from Heteroscedasticity</w:t>
            </w:r>
          </w:p>
        </w:tc>
      </w:tr>
    </w:tbl>
    <w:p w14:paraId="65C338C2" w14:textId="77777777" w:rsidR="00B2640B" w:rsidRPr="00AE6D90" w:rsidRDefault="00B2640B" w:rsidP="00A81F98">
      <w:pPr>
        <w:spacing w:after="0" w:line="240" w:lineRule="auto"/>
        <w:rPr>
          <w:rFonts w:cs="Calibri"/>
          <w:b/>
          <w:bCs/>
          <w:i/>
          <w:iCs/>
          <w:sz w:val="24"/>
          <w:szCs w:val="24"/>
        </w:rPr>
      </w:pPr>
    </w:p>
    <w:p w14:paraId="285F0500" w14:textId="164B892F" w:rsidR="00547D71" w:rsidRPr="00AE6D90" w:rsidRDefault="00AB2C23" w:rsidP="00CE223C">
      <w:pPr>
        <w:autoSpaceDE w:val="0"/>
        <w:autoSpaceDN w:val="0"/>
        <w:adjustRightInd w:val="0"/>
        <w:spacing w:after="0" w:line="240" w:lineRule="auto"/>
        <w:rPr>
          <w:rFonts w:eastAsiaTheme="minorHAnsi" w:cs="Calibri"/>
          <w:sz w:val="24"/>
          <w:szCs w:val="24"/>
        </w:rPr>
      </w:pPr>
      <w:r w:rsidRPr="00AE6D90">
        <w:rPr>
          <w:rFonts w:cs="Calibri"/>
          <w:sz w:val="24"/>
          <w:szCs w:val="24"/>
        </w:rPr>
        <w:t>Moreover, to</w:t>
      </w:r>
      <w:r w:rsidR="009B6ED1" w:rsidRPr="00AE6D90">
        <w:rPr>
          <w:rFonts w:eastAsiaTheme="minorHAnsi" w:cs="Calibri"/>
          <w:sz w:val="24"/>
          <w:szCs w:val="24"/>
        </w:rPr>
        <w:t xml:space="preserve"> test whether the variables are correlated between groups in a panel setting, the </w:t>
      </w:r>
      <w:proofErr w:type="spellStart"/>
      <w:r w:rsidR="009B6ED1" w:rsidRPr="00AE6D90">
        <w:rPr>
          <w:rFonts w:eastAsiaTheme="minorHAnsi" w:cs="Calibri"/>
          <w:sz w:val="24"/>
          <w:szCs w:val="24"/>
        </w:rPr>
        <w:t>Pesaran</w:t>
      </w:r>
      <w:proofErr w:type="spellEnd"/>
      <w:r w:rsidR="009B6ED1" w:rsidRPr="00AE6D90">
        <w:rPr>
          <w:rFonts w:eastAsiaTheme="minorHAnsi" w:cs="Calibri"/>
          <w:sz w:val="24"/>
          <w:szCs w:val="24"/>
        </w:rPr>
        <w:t xml:space="preserve"> CD Test</w:t>
      </w:r>
      <w:r w:rsidR="007527A9">
        <w:rPr>
          <w:rFonts w:eastAsiaTheme="minorHAnsi" w:cs="Calibri"/>
          <w:sz w:val="24"/>
          <w:szCs w:val="24"/>
        </w:rPr>
        <w:t xml:space="preserve"> was conducted</w:t>
      </w:r>
      <w:r w:rsidR="00CE223C" w:rsidRPr="00AE6D90">
        <w:rPr>
          <w:rFonts w:eastAsiaTheme="minorHAnsi" w:cs="Calibri"/>
          <w:sz w:val="24"/>
          <w:szCs w:val="24"/>
        </w:rPr>
        <w:t xml:space="preserve">. </w:t>
      </w:r>
      <w:r w:rsidR="008373C9" w:rsidRPr="00AE6D90">
        <w:rPr>
          <w:rFonts w:eastAsiaTheme="minorHAnsi" w:cs="Calibri"/>
          <w:sz w:val="24"/>
          <w:szCs w:val="24"/>
        </w:rPr>
        <w:t>Based on Table 7, the</w:t>
      </w:r>
      <w:r w:rsidR="009B6ED1" w:rsidRPr="00AE6D90">
        <w:rPr>
          <w:rFonts w:eastAsiaTheme="minorHAnsi" w:cs="Calibri"/>
          <w:sz w:val="24"/>
          <w:szCs w:val="24"/>
        </w:rPr>
        <w:t xml:space="preserve"> result indicates to be </w:t>
      </w:r>
      <w:r w:rsidR="00CE223C" w:rsidRPr="00AE6D90">
        <w:rPr>
          <w:rFonts w:eastAsiaTheme="minorHAnsi" w:cs="Calibri"/>
          <w:sz w:val="24"/>
          <w:szCs w:val="24"/>
        </w:rPr>
        <w:t xml:space="preserve">not statistically </w:t>
      </w:r>
      <w:r w:rsidR="009B6ED1" w:rsidRPr="00AE6D90">
        <w:rPr>
          <w:rFonts w:eastAsiaTheme="minorHAnsi" w:cs="Calibri"/>
          <w:sz w:val="24"/>
          <w:szCs w:val="24"/>
        </w:rPr>
        <w:t>significant at 5%</w:t>
      </w:r>
      <w:r w:rsidR="0008594E">
        <w:rPr>
          <w:rFonts w:eastAsiaTheme="minorHAnsi" w:cs="Calibri"/>
          <w:sz w:val="24"/>
          <w:szCs w:val="24"/>
        </w:rPr>
        <w:t xml:space="preserve"> level</w:t>
      </w:r>
      <w:r w:rsidR="009B6ED1" w:rsidRPr="00AE6D90">
        <w:rPr>
          <w:rFonts w:eastAsiaTheme="minorHAnsi" w:cs="Calibri"/>
          <w:sz w:val="24"/>
          <w:szCs w:val="24"/>
        </w:rPr>
        <w:t>, which means the model has</w:t>
      </w:r>
      <w:r w:rsidR="00CE223C" w:rsidRPr="00AE6D90">
        <w:rPr>
          <w:rFonts w:eastAsiaTheme="minorHAnsi" w:cs="Calibri"/>
          <w:sz w:val="24"/>
          <w:szCs w:val="24"/>
        </w:rPr>
        <w:t xml:space="preserve"> no issue on</w:t>
      </w:r>
      <w:r w:rsidR="009B6ED1" w:rsidRPr="00AE6D90">
        <w:rPr>
          <w:rFonts w:eastAsiaTheme="minorHAnsi" w:cs="Calibri"/>
          <w:sz w:val="24"/>
          <w:szCs w:val="24"/>
        </w:rPr>
        <w:t xml:space="preserve"> cross-sectional dependence.</w:t>
      </w:r>
    </w:p>
    <w:p w14:paraId="677178C8" w14:textId="77777777" w:rsidR="00547D71" w:rsidRPr="00AE6D90" w:rsidRDefault="00547D71" w:rsidP="00A81F98">
      <w:pPr>
        <w:spacing w:after="0" w:line="240" w:lineRule="auto"/>
        <w:rPr>
          <w:rFonts w:cs="Calibri"/>
          <w:b/>
          <w:bCs/>
          <w:i/>
          <w:iCs/>
          <w:sz w:val="24"/>
          <w:szCs w:val="24"/>
        </w:rPr>
      </w:pPr>
    </w:p>
    <w:p w14:paraId="5CAB833C" w14:textId="259B1A56" w:rsidR="00547D71" w:rsidRPr="00AE6D90" w:rsidRDefault="00547D71" w:rsidP="00A81F98">
      <w:pPr>
        <w:spacing w:after="0" w:line="240" w:lineRule="auto"/>
        <w:rPr>
          <w:rFonts w:cs="Calibri"/>
          <w:sz w:val="24"/>
          <w:szCs w:val="24"/>
        </w:rPr>
      </w:pPr>
      <w:r w:rsidRPr="00AE6D90">
        <w:rPr>
          <w:rFonts w:cs="Calibri"/>
          <w:b/>
          <w:bCs/>
          <w:sz w:val="24"/>
          <w:szCs w:val="24"/>
        </w:rPr>
        <w:t>Table</w:t>
      </w:r>
      <w:r w:rsidR="00EB2885" w:rsidRPr="00AE6D90">
        <w:rPr>
          <w:rFonts w:cs="Calibri"/>
          <w:b/>
          <w:bCs/>
          <w:sz w:val="24"/>
          <w:szCs w:val="24"/>
        </w:rPr>
        <w:t xml:space="preserve"> 7</w:t>
      </w:r>
      <w:r w:rsidR="00231FA2" w:rsidRPr="00AE6D90">
        <w:rPr>
          <w:rFonts w:cs="Calibri"/>
          <w:b/>
          <w:bCs/>
          <w:sz w:val="24"/>
          <w:szCs w:val="24"/>
        </w:rPr>
        <w:t xml:space="preserve"> </w:t>
      </w:r>
      <w:proofErr w:type="spellStart"/>
      <w:r w:rsidR="002E4923" w:rsidRPr="00AE6D90">
        <w:rPr>
          <w:rFonts w:cs="Calibri"/>
          <w:sz w:val="24"/>
          <w:szCs w:val="24"/>
        </w:rPr>
        <w:t>Pesaran</w:t>
      </w:r>
      <w:r w:rsidR="00EB2885" w:rsidRPr="00AE6D90">
        <w:rPr>
          <w:rFonts w:cs="Calibri"/>
          <w:sz w:val="24"/>
          <w:szCs w:val="24"/>
        </w:rPr>
        <w:t>’</w:t>
      </w:r>
      <w:r w:rsidR="002E4923" w:rsidRPr="00AE6D90">
        <w:rPr>
          <w:rFonts w:cs="Calibri"/>
          <w:sz w:val="24"/>
          <w:szCs w:val="24"/>
        </w:rPr>
        <w:t>s</w:t>
      </w:r>
      <w:proofErr w:type="spellEnd"/>
      <w:r w:rsidR="002E4923" w:rsidRPr="00AE6D90">
        <w:rPr>
          <w:rFonts w:cs="Calibri"/>
          <w:sz w:val="24"/>
          <w:szCs w:val="24"/>
        </w:rPr>
        <w:t xml:space="preserve"> test of </w:t>
      </w:r>
      <w:r w:rsidR="00517CAA" w:rsidRPr="00AE6D90">
        <w:rPr>
          <w:rFonts w:cs="Calibri"/>
          <w:sz w:val="24"/>
          <w:szCs w:val="24"/>
        </w:rPr>
        <w:t>cross-sectional</w:t>
      </w:r>
      <w:r w:rsidR="002E4923" w:rsidRPr="00AE6D90">
        <w:rPr>
          <w:rFonts w:cs="Calibri"/>
          <w:sz w:val="24"/>
          <w:szCs w:val="24"/>
        </w:rPr>
        <w:t xml:space="preserve"> independence</w:t>
      </w:r>
    </w:p>
    <w:tbl>
      <w:tblPr>
        <w:tblStyle w:val="TableGrid"/>
        <w:tblW w:w="0" w:type="auto"/>
        <w:tblLook w:val="04A0" w:firstRow="1" w:lastRow="0" w:firstColumn="1" w:lastColumn="0" w:noHBand="0" w:noVBand="1"/>
      </w:tblPr>
      <w:tblGrid>
        <w:gridCol w:w="3256"/>
        <w:gridCol w:w="2409"/>
        <w:gridCol w:w="2977"/>
      </w:tblGrid>
      <w:tr w:rsidR="00AD7761" w:rsidRPr="00AE6D90" w14:paraId="1D78C540" w14:textId="77777777" w:rsidTr="00231FA2">
        <w:tc>
          <w:tcPr>
            <w:tcW w:w="3256" w:type="dxa"/>
          </w:tcPr>
          <w:p w14:paraId="4152A6D4" w14:textId="4BDA2030" w:rsidR="00AD7761" w:rsidRPr="00AE6D90" w:rsidRDefault="00AD7761" w:rsidP="00A81F98">
            <w:pPr>
              <w:spacing w:after="0" w:line="240" w:lineRule="auto"/>
              <w:rPr>
                <w:rFonts w:cs="Calibri"/>
                <w:b/>
                <w:bCs/>
                <w:sz w:val="24"/>
                <w:szCs w:val="24"/>
              </w:rPr>
            </w:pPr>
            <w:proofErr w:type="spellStart"/>
            <w:r w:rsidRPr="00AE6D90">
              <w:rPr>
                <w:rFonts w:cs="Calibri"/>
                <w:b/>
                <w:bCs/>
                <w:sz w:val="24"/>
                <w:szCs w:val="24"/>
              </w:rPr>
              <w:t>Pesaran's</w:t>
            </w:r>
            <w:proofErr w:type="spellEnd"/>
            <w:r w:rsidRPr="00AE6D90">
              <w:rPr>
                <w:rFonts w:cs="Calibri"/>
                <w:b/>
                <w:bCs/>
                <w:sz w:val="24"/>
                <w:szCs w:val="24"/>
              </w:rPr>
              <w:t xml:space="preserve"> test of </w:t>
            </w:r>
            <w:r w:rsidR="00517CAA" w:rsidRPr="00AE6D90">
              <w:rPr>
                <w:rFonts w:cs="Calibri"/>
                <w:b/>
                <w:bCs/>
                <w:sz w:val="24"/>
                <w:szCs w:val="24"/>
              </w:rPr>
              <w:t>cross-sectional</w:t>
            </w:r>
            <w:r w:rsidRPr="00AE6D90">
              <w:rPr>
                <w:rFonts w:cs="Calibri"/>
                <w:b/>
                <w:bCs/>
                <w:sz w:val="24"/>
                <w:szCs w:val="24"/>
              </w:rPr>
              <w:t xml:space="preserve"> independence</w:t>
            </w:r>
          </w:p>
        </w:tc>
        <w:tc>
          <w:tcPr>
            <w:tcW w:w="2409" w:type="dxa"/>
          </w:tcPr>
          <w:p w14:paraId="1AD6F579" w14:textId="54095EF4" w:rsidR="00AD7761" w:rsidRPr="00AE6D90" w:rsidRDefault="00AD7761" w:rsidP="00A81F98">
            <w:pPr>
              <w:spacing w:after="0" w:line="240" w:lineRule="auto"/>
              <w:rPr>
                <w:rFonts w:cs="Calibri"/>
                <w:b/>
                <w:bCs/>
                <w:sz w:val="24"/>
                <w:szCs w:val="24"/>
              </w:rPr>
            </w:pPr>
            <w:r w:rsidRPr="00AE6D90">
              <w:rPr>
                <w:rFonts w:cs="Calibri"/>
                <w:b/>
                <w:bCs/>
                <w:sz w:val="24"/>
                <w:szCs w:val="24"/>
              </w:rPr>
              <w:t>Prob&gt;F</w:t>
            </w:r>
          </w:p>
        </w:tc>
        <w:tc>
          <w:tcPr>
            <w:tcW w:w="2977" w:type="dxa"/>
          </w:tcPr>
          <w:p w14:paraId="4393F05C" w14:textId="29F31A3A" w:rsidR="00AD7761" w:rsidRPr="00AE6D90" w:rsidRDefault="00AD7761" w:rsidP="00A81F98">
            <w:pPr>
              <w:spacing w:after="0" w:line="240" w:lineRule="auto"/>
              <w:rPr>
                <w:rFonts w:cs="Calibri"/>
                <w:b/>
                <w:bCs/>
                <w:sz w:val="24"/>
                <w:szCs w:val="24"/>
              </w:rPr>
            </w:pPr>
            <w:r w:rsidRPr="00AE6D90">
              <w:rPr>
                <w:rFonts w:cs="Calibri"/>
                <w:b/>
                <w:bCs/>
                <w:sz w:val="24"/>
                <w:szCs w:val="24"/>
              </w:rPr>
              <w:t>Remark</w:t>
            </w:r>
          </w:p>
        </w:tc>
      </w:tr>
      <w:tr w:rsidR="00AD7761" w:rsidRPr="00AE6D90" w14:paraId="1617DE49" w14:textId="77777777" w:rsidTr="00231FA2">
        <w:tc>
          <w:tcPr>
            <w:tcW w:w="3256" w:type="dxa"/>
          </w:tcPr>
          <w:p w14:paraId="475B6B65" w14:textId="675EA851" w:rsidR="00AD7761" w:rsidRPr="00AE6D90" w:rsidRDefault="00AD7761" w:rsidP="00A81F98">
            <w:pPr>
              <w:spacing w:after="0" w:line="240" w:lineRule="auto"/>
              <w:rPr>
                <w:rFonts w:cs="Calibri"/>
                <w:sz w:val="24"/>
                <w:szCs w:val="24"/>
              </w:rPr>
            </w:pPr>
            <w:r w:rsidRPr="00AE6D90">
              <w:rPr>
                <w:rFonts w:cs="Calibri"/>
                <w:sz w:val="24"/>
                <w:szCs w:val="24"/>
              </w:rPr>
              <w:t>-1.428</w:t>
            </w:r>
          </w:p>
        </w:tc>
        <w:tc>
          <w:tcPr>
            <w:tcW w:w="2409" w:type="dxa"/>
          </w:tcPr>
          <w:p w14:paraId="1933DE88" w14:textId="2DAA8184" w:rsidR="00AD7761" w:rsidRPr="00AE6D90" w:rsidRDefault="00AD7761" w:rsidP="00A81F98">
            <w:pPr>
              <w:spacing w:after="0" w:line="240" w:lineRule="auto"/>
              <w:rPr>
                <w:rFonts w:cs="Calibri"/>
                <w:sz w:val="24"/>
                <w:szCs w:val="24"/>
              </w:rPr>
            </w:pPr>
            <w:r w:rsidRPr="00AE6D90">
              <w:rPr>
                <w:rFonts w:cs="Calibri"/>
                <w:sz w:val="24"/>
                <w:szCs w:val="24"/>
              </w:rPr>
              <w:t>1.8467</w:t>
            </w:r>
          </w:p>
        </w:tc>
        <w:tc>
          <w:tcPr>
            <w:tcW w:w="2977" w:type="dxa"/>
          </w:tcPr>
          <w:p w14:paraId="75ECBCE7" w14:textId="5E142FF5" w:rsidR="00AD7761" w:rsidRPr="00AE6D90" w:rsidRDefault="00AD7761" w:rsidP="00A81F98">
            <w:pPr>
              <w:spacing w:after="0" w:line="240" w:lineRule="auto"/>
              <w:rPr>
                <w:rFonts w:cs="Calibri"/>
                <w:sz w:val="24"/>
                <w:szCs w:val="24"/>
              </w:rPr>
            </w:pPr>
            <w:r w:rsidRPr="00AE6D90">
              <w:rPr>
                <w:rFonts w:cs="Calibri"/>
                <w:sz w:val="24"/>
                <w:szCs w:val="24"/>
              </w:rPr>
              <w:t>Cr</w:t>
            </w:r>
            <w:r w:rsidR="00F04600" w:rsidRPr="00AE6D90">
              <w:rPr>
                <w:rFonts w:cs="Calibri"/>
                <w:sz w:val="24"/>
                <w:szCs w:val="24"/>
              </w:rPr>
              <w:t>oss sectional Independence</w:t>
            </w:r>
          </w:p>
        </w:tc>
      </w:tr>
    </w:tbl>
    <w:p w14:paraId="52B20E9B" w14:textId="5EA8DE17" w:rsidR="00547D71" w:rsidRPr="00AE6D90" w:rsidRDefault="00547D71" w:rsidP="00A81F98">
      <w:pPr>
        <w:spacing w:after="0" w:line="240" w:lineRule="auto"/>
        <w:rPr>
          <w:rFonts w:cs="Calibri"/>
          <w:b/>
          <w:bCs/>
          <w:i/>
          <w:iCs/>
          <w:sz w:val="24"/>
          <w:szCs w:val="24"/>
        </w:rPr>
      </w:pPr>
    </w:p>
    <w:p w14:paraId="1679266E" w14:textId="27AC11CA" w:rsidR="002A5C55" w:rsidRPr="00AE6D90" w:rsidRDefault="002A5C55" w:rsidP="002A5C55">
      <w:pPr>
        <w:autoSpaceDE w:val="0"/>
        <w:autoSpaceDN w:val="0"/>
        <w:adjustRightInd w:val="0"/>
        <w:spacing w:after="0" w:line="240" w:lineRule="auto"/>
        <w:rPr>
          <w:rFonts w:eastAsiaTheme="minorHAnsi" w:cs="Calibri"/>
          <w:sz w:val="24"/>
          <w:szCs w:val="24"/>
        </w:rPr>
      </w:pPr>
      <w:r w:rsidRPr="00AE6D90">
        <w:rPr>
          <w:rFonts w:eastAsiaTheme="minorHAnsi" w:cs="Calibri"/>
          <w:sz w:val="24"/>
          <w:szCs w:val="24"/>
        </w:rPr>
        <w:t xml:space="preserve">The study also </w:t>
      </w:r>
      <w:r w:rsidR="00912D1F" w:rsidRPr="00AE6D90">
        <w:rPr>
          <w:rFonts w:eastAsiaTheme="minorHAnsi" w:cs="Calibri"/>
          <w:sz w:val="24"/>
          <w:szCs w:val="24"/>
        </w:rPr>
        <w:t>checks</w:t>
      </w:r>
      <w:r w:rsidRPr="00AE6D90">
        <w:rPr>
          <w:rFonts w:eastAsiaTheme="minorHAnsi" w:cs="Calibri"/>
          <w:sz w:val="24"/>
          <w:szCs w:val="24"/>
        </w:rPr>
        <w:t xml:space="preserve"> if the model is suffering from serial correlation. By looking at the prob &gt;F in Table </w:t>
      </w:r>
      <w:r w:rsidR="009677BD" w:rsidRPr="00AE6D90">
        <w:rPr>
          <w:rFonts w:eastAsiaTheme="minorHAnsi" w:cs="Calibri"/>
          <w:sz w:val="24"/>
          <w:szCs w:val="24"/>
        </w:rPr>
        <w:t>8</w:t>
      </w:r>
      <w:r w:rsidRPr="00AE6D90">
        <w:rPr>
          <w:rFonts w:eastAsiaTheme="minorHAnsi" w:cs="Calibri"/>
          <w:sz w:val="24"/>
          <w:szCs w:val="24"/>
        </w:rPr>
        <w:t xml:space="preserve">, it </w:t>
      </w:r>
      <w:r w:rsidR="00E56715" w:rsidRPr="00AE6D90">
        <w:rPr>
          <w:rFonts w:eastAsiaTheme="minorHAnsi" w:cs="Calibri"/>
          <w:sz w:val="24"/>
          <w:szCs w:val="24"/>
        </w:rPr>
        <w:t>revealed</w:t>
      </w:r>
      <w:r w:rsidRPr="00AE6D90">
        <w:rPr>
          <w:rFonts w:eastAsiaTheme="minorHAnsi" w:cs="Calibri"/>
          <w:sz w:val="24"/>
          <w:szCs w:val="24"/>
        </w:rPr>
        <w:t xml:space="preserve"> to be significant at </w:t>
      </w:r>
      <w:r w:rsidR="008A07CF" w:rsidRPr="00AE6D90">
        <w:rPr>
          <w:rFonts w:eastAsiaTheme="minorHAnsi" w:cs="Calibri"/>
          <w:sz w:val="24"/>
          <w:szCs w:val="24"/>
        </w:rPr>
        <w:t>1</w:t>
      </w:r>
      <w:r w:rsidRPr="00AE6D90">
        <w:rPr>
          <w:rFonts w:eastAsiaTheme="minorHAnsi" w:cs="Calibri"/>
          <w:sz w:val="24"/>
          <w:szCs w:val="24"/>
        </w:rPr>
        <w:t>%</w:t>
      </w:r>
      <w:r w:rsidR="008A07CF" w:rsidRPr="00AE6D90">
        <w:rPr>
          <w:rFonts w:eastAsiaTheme="minorHAnsi" w:cs="Calibri"/>
          <w:sz w:val="24"/>
          <w:szCs w:val="24"/>
        </w:rPr>
        <w:t xml:space="preserve"> level</w:t>
      </w:r>
      <w:r w:rsidRPr="00AE6D90">
        <w:rPr>
          <w:rFonts w:eastAsiaTheme="minorHAnsi" w:cs="Calibri"/>
          <w:sz w:val="24"/>
          <w:szCs w:val="24"/>
        </w:rPr>
        <w:t xml:space="preserve"> which </w:t>
      </w:r>
      <w:r w:rsidR="008A07CF" w:rsidRPr="00AE6D90">
        <w:rPr>
          <w:rFonts w:eastAsiaTheme="minorHAnsi" w:cs="Calibri"/>
          <w:sz w:val="24"/>
          <w:szCs w:val="24"/>
        </w:rPr>
        <w:t>implies that</w:t>
      </w:r>
      <w:r w:rsidRPr="00AE6D90">
        <w:rPr>
          <w:rFonts w:eastAsiaTheme="minorHAnsi" w:cs="Calibri"/>
          <w:sz w:val="24"/>
          <w:szCs w:val="24"/>
        </w:rPr>
        <w:t xml:space="preserve"> the model has </w:t>
      </w:r>
      <w:r w:rsidR="008A07CF" w:rsidRPr="00AE6D90">
        <w:rPr>
          <w:rFonts w:eastAsiaTheme="minorHAnsi" w:cs="Calibri"/>
          <w:sz w:val="24"/>
          <w:szCs w:val="24"/>
        </w:rPr>
        <w:t xml:space="preserve">a problem of first-order autocorrelation. </w:t>
      </w:r>
    </w:p>
    <w:p w14:paraId="4A0C6772" w14:textId="0BD37A4E" w:rsidR="005E65BB" w:rsidRPr="00AE6D90" w:rsidRDefault="005E65BB" w:rsidP="00F04600">
      <w:pPr>
        <w:spacing w:after="0" w:line="240" w:lineRule="auto"/>
        <w:rPr>
          <w:rFonts w:cs="Calibri"/>
          <w:b/>
          <w:bCs/>
          <w:i/>
          <w:iCs/>
          <w:sz w:val="24"/>
          <w:szCs w:val="24"/>
        </w:rPr>
      </w:pPr>
    </w:p>
    <w:p w14:paraId="276278CE" w14:textId="576E327D" w:rsidR="00547D71" w:rsidRPr="00AE6D90" w:rsidRDefault="00F04600" w:rsidP="00A81F98">
      <w:pPr>
        <w:spacing w:after="0" w:line="240" w:lineRule="auto"/>
        <w:rPr>
          <w:rFonts w:cs="Calibri"/>
          <w:sz w:val="24"/>
          <w:szCs w:val="24"/>
        </w:rPr>
      </w:pPr>
      <w:r w:rsidRPr="00AE6D90">
        <w:rPr>
          <w:rFonts w:cs="Calibri"/>
          <w:b/>
          <w:bCs/>
          <w:sz w:val="24"/>
          <w:szCs w:val="24"/>
        </w:rPr>
        <w:t xml:space="preserve">Table </w:t>
      </w:r>
      <w:r w:rsidR="009677BD" w:rsidRPr="00AE6D90">
        <w:rPr>
          <w:rFonts w:cs="Calibri"/>
          <w:b/>
          <w:bCs/>
          <w:sz w:val="24"/>
          <w:szCs w:val="24"/>
        </w:rPr>
        <w:t>8</w:t>
      </w:r>
      <w:r w:rsidRPr="00AE6D90">
        <w:rPr>
          <w:rFonts w:cs="Calibri"/>
          <w:b/>
          <w:bCs/>
          <w:i/>
          <w:iCs/>
          <w:sz w:val="24"/>
          <w:szCs w:val="24"/>
        </w:rPr>
        <w:t xml:space="preserve"> </w:t>
      </w:r>
      <w:r w:rsidR="00730622" w:rsidRPr="00AE6D90">
        <w:rPr>
          <w:rFonts w:cs="Calibri"/>
          <w:sz w:val="24"/>
          <w:szCs w:val="24"/>
        </w:rPr>
        <w:t>Wooldridge test for autocorrelation in panel data</w:t>
      </w:r>
    </w:p>
    <w:tbl>
      <w:tblPr>
        <w:tblStyle w:val="TableGrid"/>
        <w:tblW w:w="0" w:type="auto"/>
        <w:tblLook w:val="04A0" w:firstRow="1" w:lastRow="0" w:firstColumn="1" w:lastColumn="0" w:noHBand="0" w:noVBand="1"/>
      </w:tblPr>
      <w:tblGrid>
        <w:gridCol w:w="1696"/>
        <w:gridCol w:w="1276"/>
        <w:gridCol w:w="3544"/>
      </w:tblGrid>
      <w:tr w:rsidR="00730622" w:rsidRPr="00AE6D90" w14:paraId="7162CF57" w14:textId="77777777" w:rsidTr="00230FA4">
        <w:tc>
          <w:tcPr>
            <w:tcW w:w="1696" w:type="dxa"/>
          </w:tcPr>
          <w:p w14:paraId="0E2B95A0" w14:textId="61450ABC" w:rsidR="00730622" w:rsidRPr="00AE6D90" w:rsidRDefault="00F55FA0" w:rsidP="00EB6FFE">
            <w:pPr>
              <w:spacing w:after="0" w:line="240" w:lineRule="auto"/>
              <w:rPr>
                <w:rFonts w:cs="Calibri"/>
                <w:b/>
                <w:bCs/>
                <w:i/>
                <w:iCs/>
                <w:sz w:val="24"/>
                <w:szCs w:val="24"/>
              </w:rPr>
            </w:pPr>
            <w:r w:rsidRPr="00AE6D90">
              <w:rPr>
                <w:rFonts w:cs="Calibri"/>
                <w:b/>
                <w:bCs/>
                <w:i/>
                <w:iCs/>
                <w:sz w:val="24"/>
                <w:szCs w:val="24"/>
              </w:rPr>
              <w:t>F</w:t>
            </w:r>
            <w:r w:rsidR="00494813" w:rsidRPr="00AE6D90">
              <w:rPr>
                <w:rFonts w:cs="Calibri"/>
                <w:b/>
                <w:bCs/>
                <w:i/>
                <w:iCs/>
                <w:sz w:val="24"/>
                <w:szCs w:val="24"/>
              </w:rPr>
              <w:t>- Statistic</w:t>
            </w:r>
          </w:p>
        </w:tc>
        <w:tc>
          <w:tcPr>
            <w:tcW w:w="1276" w:type="dxa"/>
          </w:tcPr>
          <w:p w14:paraId="3917DC9D" w14:textId="77777777" w:rsidR="00730622" w:rsidRPr="00AE6D90" w:rsidRDefault="00730622" w:rsidP="00EB6FFE">
            <w:pPr>
              <w:spacing w:after="0" w:line="240" w:lineRule="auto"/>
              <w:rPr>
                <w:rFonts w:cs="Calibri"/>
                <w:b/>
                <w:bCs/>
                <w:i/>
                <w:iCs/>
                <w:sz w:val="24"/>
                <w:szCs w:val="24"/>
              </w:rPr>
            </w:pPr>
            <w:r w:rsidRPr="00AE6D90">
              <w:rPr>
                <w:rFonts w:cs="Calibri"/>
                <w:b/>
                <w:bCs/>
                <w:i/>
                <w:iCs/>
                <w:sz w:val="24"/>
                <w:szCs w:val="24"/>
              </w:rPr>
              <w:t>Prob&gt;F</w:t>
            </w:r>
          </w:p>
        </w:tc>
        <w:tc>
          <w:tcPr>
            <w:tcW w:w="3544" w:type="dxa"/>
          </w:tcPr>
          <w:p w14:paraId="6377436E" w14:textId="77777777" w:rsidR="00730622" w:rsidRPr="00AE6D90" w:rsidRDefault="00730622" w:rsidP="00EB6FFE">
            <w:pPr>
              <w:spacing w:after="0" w:line="240" w:lineRule="auto"/>
              <w:rPr>
                <w:rFonts w:cs="Calibri"/>
                <w:b/>
                <w:bCs/>
                <w:i/>
                <w:iCs/>
                <w:sz w:val="24"/>
                <w:szCs w:val="24"/>
              </w:rPr>
            </w:pPr>
            <w:r w:rsidRPr="00AE6D90">
              <w:rPr>
                <w:rFonts w:cs="Calibri"/>
                <w:b/>
                <w:bCs/>
                <w:i/>
                <w:iCs/>
                <w:sz w:val="24"/>
                <w:szCs w:val="24"/>
              </w:rPr>
              <w:t>Remark</w:t>
            </w:r>
          </w:p>
        </w:tc>
      </w:tr>
      <w:tr w:rsidR="00730622" w:rsidRPr="00AE6D90" w14:paraId="7B76FBED" w14:textId="77777777" w:rsidTr="00230FA4">
        <w:tc>
          <w:tcPr>
            <w:tcW w:w="1696" w:type="dxa"/>
          </w:tcPr>
          <w:p w14:paraId="76B92A86" w14:textId="3014637A" w:rsidR="00730622" w:rsidRPr="00AE6D90" w:rsidRDefault="00494813" w:rsidP="00EB6FFE">
            <w:pPr>
              <w:spacing w:after="0" w:line="240" w:lineRule="auto"/>
              <w:rPr>
                <w:rFonts w:cs="Calibri"/>
                <w:sz w:val="24"/>
                <w:szCs w:val="24"/>
              </w:rPr>
            </w:pPr>
            <w:r w:rsidRPr="00AE6D90">
              <w:rPr>
                <w:rFonts w:cs="Calibri"/>
                <w:sz w:val="24"/>
                <w:szCs w:val="24"/>
              </w:rPr>
              <w:lastRenderedPageBreak/>
              <w:t>14.286</w:t>
            </w:r>
          </w:p>
        </w:tc>
        <w:tc>
          <w:tcPr>
            <w:tcW w:w="1276" w:type="dxa"/>
          </w:tcPr>
          <w:p w14:paraId="38A14281" w14:textId="15348B75" w:rsidR="00730622" w:rsidRPr="00AE6D90" w:rsidRDefault="00494813" w:rsidP="00EB6FFE">
            <w:pPr>
              <w:spacing w:after="0" w:line="240" w:lineRule="auto"/>
              <w:rPr>
                <w:rFonts w:cs="Calibri"/>
                <w:sz w:val="24"/>
                <w:szCs w:val="24"/>
              </w:rPr>
            </w:pPr>
            <w:r w:rsidRPr="00AE6D90">
              <w:rPr>
                <w:rFonts w:cs="Calibri"/>
                <w:sz w:val="24"/>
                <w:szCs w:val="24"/>
              </w:rPr>
              <w:t>0.0011</w:t>
            </w:r>
          </w:p>
        </w:tc>
        <w:tc>
          <w:tcPr>
            <w:tcW w:w="3544" w:type="dxa"/>
          </w:tcPr>
          <w:p w14:paraId="1D811107" w14:textId="32EEC3CD" w:rsidR="00730622" w:rsidRPr="00AE6D90" w:rsidRDefault="00CE5798" w:rsidP="00EB6FFE">
            <w:pPr>
              <w:spacing w:after="0" w:line="240" w:lineRule="auto"/>
              <w:rPr>
                <w:rFonts w:cs="Calibri"/>
                <w:sz w:val="24"/>
                <w:szCs w:val="24"/>
              </w:rPr>
            </w:pPr>
            <w:r w:rsidRPr="00AE6D90">
              <w:rPr>
                <w:rFonts w:cs="Calibri"/>
                <w:sz w:val="24"/>
                <w:szCs w:val="24"/>
              </w:rPr>
              <w:t>There is first -order autocorrelation</w:t>
            </w:r>
          </w:p>
        </w:tc>
      </w:tr>
    </w:tbl>
    <w:p w14:paraId="2E861C16" w14:textId="77777777" w:rsidR="00CE5798" w:rsidRPr="00AE6D90" w:rsidRDefault="00CE5798" w:rsidP="00A81F98">
      <w:pPr>
        <w:spacing w:after="0" w:line="240" w:lineRule="auto"/>
        <w:rPr>
          <w:rFonts w:cs="Calibri"/>
          <w:b/>
          <w:bCs/>
          <w:i/>
          <w:iCs/>
          <w:sz w:val="24"/>
          <w:szCs w:val="24"/>
        </w:rPr>
      </w:pPr>
    </w:p>
    <w:p w14:paraId="40A60AE6" w14:textId="77777777" w:rsidR="00CE5798" w:rsidRPr="00AE6D90" w:rsidRDefault="00CE5798" w:rsidP="00A81F98">
      <w:pPr>
        <w:spacing w:after="0" w:line="240" w:lineRule="auto"/>
        <w:rPr>
          <w:rFonts w:cs="Calibri"/>
          <w:b/>
          <w:bCs/>
          <w:i/>
          <w:iCs/>
          <w:sz w:val="24"/>
          <w:szCs w:val="24"/>
        </w:rPr>
      </w:pPr>
    </w:p>
    <w:p w14:paraId="47200C56" w14:textId="69F03ECC" w:rsidR="00CC52BF" w:rsidRPr="00AE6D90" w:rsidRDefault="00CC52BF" w:rsidP="00A81F98">
      <w:pPr>
        <w:spacing w:after="0" w:line="240" w:lineRule="auto"/>
        <w:rPr>
          <w:rFonts w:cs="Calibri"/>
          <w:b/>
          <w:bCs/>
          <w:i/>
          <w:iCs/>
          <w:sz w:val="24"/>
          <w:szCs w:val="24"/>
        </w:rPr>
      </w:pPr>
      <w:r w:rsidRPr="00AE6D90">
        <w:rPr>
          <w:rFonts w:cs="Calibri"/>
          <w:b/>
          <w:bCs/>
          <w:i/>
          <w:iCs/>
          <w:sz w:val="24"/>
          <w:szCs w:val="24"/>
        </w:rPr>
        <w:t xml:space="preserve">Final Model </w:t>
      </w:r>
    </w:p>
    <w:p w14:paraId="077335E4" w14:textId="77777777" w:rsidR="00EC0AC3" w:rsidRPr="00AE6D90" w:rsidRDefault="00EC0AC3" w:rsidP="00A81F98">
      <w:pPr>
        <w:spacing w:after="0" w:line="240" w:lineRule="auto"/>
        <w:rPr>
          <w:rFonts w:cs="Calibri"/>
          <w:b/>
          <w:bCs/>
          <w:i/>
          <w:iCs/>
          <w:sz w:val="24"/>
          <w:szCs w:val="24"/>
        </w:rPr>
      </w:pPr>
    </w:p>
    <w:p w14:paraId="4132E976" w14:textId="356912B3" w:rsidR="006B6445" w:rsidRPr="00AE6D90" w:rsidRDefault="006B6445" w:rsidP="00A975D2">
      <w:pPr>
        <w:jc w:val="both"/>
        <w:rPr>
          <w:rFonts w:cs="Calibri"/>
          <w:b/>
          <w:bCs/>
          <w:i/>
          <w:iCs/>
          <w:sz w:val="24"/>
          <w:szCs w:val="24"/>
        </w:rPr>
      </w:pPr>
      <w:r w:rsidRPr="00AE6D90">
        <w:rPr>
          <w:rFonts w:eastAsia="Century" w:cs="Calibri"/>
          <w:sz w:val="24"/>
          <w:szCs w:val="24"/>
        </w:rPr>
        <w:t xml:space="preserve">Table </w:t>
      </w:r>
      <w:r w:rsidR="009677BD" w:rsidRPr="00AE6D90">
        <w:rPr>
          <w:rFonts w:eastAsia="Century" w:cs="Calibri"/>
          <w:sz w:val="24"/>
          <w:szCs w:val="24"/>
        </w:rPr>
        <w:t>9</w:t>
      </w:r>
      <w:r w:rsidRPr="00AE6D90">
        <w:rPr>
          <w:rFonts w:eastAsia="Century" w:cs="Calibri"/>
          <w:sz w:val="24"/>
          <w:szCs w:val="24"/>
        </w:rPr>
        <w:t xml:space="preserve"> shows </w:t>
      </w:r>
      <w:proofErr w:type="gramStart"/>
      <w:r w:rsidRPr="00AE6D90">
        <w:rPr>
          <w:rFonts w:eastAsia="Century" w:cs="Calibri"/>
          <w:sz w:val="24"/>
          <w:szCs w:val="24"/>
        </w:rPr>
        <w:t xml:space="preserve">the </w:t>
      </w:r>
      <w:r w:rsidR="004456E5" w:rsidRPr="00AE6D90">
        <w:rPr>
          <w:rFonts w:eastAsia="Century" w:cs="Calibri"/>
          <w:sz w:val="24"/>
          <w:szCs w:val="24"/>
        </w:rPr>
        <w:t xml:space="preserve">final </w:t>
      </w:r>
      <w:r w:rsidRPr="00AE6D90">
        <w:rPr>
          <w:rFonts w:eastAsia="Century" w:cs="Calibri"/>
          <w:sz w:val="24"/>
          <w:szCs w:val="24"/>
        </w:rPr>
        <w:t>result</w:t>
      </w:r>
      <w:proofErr w:type="gramEnd"/>
      <w:r w:rsidRPr="00AE6D90">
        <w:rPr>
          <w:rFonts w:eastAsia="Century" w:cs="Calibri"/>
          <w:sz w:val="24"/>
          <w:szCs w:val="24"/>
        </w:rPr>
        <w:t xml:space="preserve"> of the </w:t>
      </w:r>
      <w:r w:rsidR="004456E5" w:rsidRPr="00AE6D90">
        <w:rPr>
          <w:rFonts w:eastAsia="Century" w:cs="Calibri"/>
          <w:sz w:val="24"/>
          <w:szCs w:val="24"/>
        </w:rPr>
        <w:t xml:space="preserve">panel </w:t>
      </w:r>
      <w:r w:rsidRPr="00AE6D90">
        <w:rPr>
          <w:rFonts w:eastAsia="Century" w:cs="Calibri"/>
          <w:sz w:val="24"/>
          <w:szCs w:val="24"/>
        </w:rPr>
        <w:t>regression</w:t>
      </w:r>
      <w:r w:rsidR="004456E5" w:rsidRPr="00AE6D90">
        <w:rPr>
          <w:rFonts w:eastAsia="Century" w:cs="Calibri"/>
          <w:sz w:val="24"/>
          <w:szCs w:val="24"/>
        </w:rPr>
        <w:t xml:space="preserve"> after conducting </w:t>
      </w:r>
      <w:r w:rsidR="006A6250" w:rsidRPr="00AE6D90">
        <w:rPr>
          <w:rFonts w:eastAsia="Century" w:cs="Calibri"/>
          <w:sz w:val="24"/>
          <w:szCs w:val="24"/>
        </w:rPr>
        <w:t>a series of diagnostic tests</w:t>
      </w:r>
      <w:r w:rsidRPr="00AE6D90">
        <w:rPr>
          <w:rFonts w:eastAsia="Century" w:cs="Calibri"/>
          <w:sz w:val="24"/>
          <w:szCs w:val="24"/>
        </w:rPr>
        <w:t>.</w:t>
      </w:r>
      <w:r w:rsidR="00DA2EEF">
        <w:rPr>
          <w:rFonts w:eastAsia="Century" w:cs="Calibri"/>
          <w:sz w:val="24"/>
          <w:szCs w:val="24"/>
        </w:rPr>
        <w:t xml:space="preserve"> PCSE was employed to address problems on heteroscedasticity and first-order autocorrelation </w:t>
      </w:r>
      <w:r w:rsidR="00321F48">
        <w:rPr>
          <w:rFonts w:eastAsia="Century" w:cs="Calibri"/>
          <w:sz w:val="24"/>
          <w:szCs w:val="24"/>
        </w:rPr>
        <w:t xml:space="preserve">that were </w:t>
      </w:r>
      <w:r w:rsidR="00DA2EEF">
        <w:rPr>
          <w:rFonts w:eastAsia="Century" w:cs="Calibri"/>
          <w:sz w:val="24"/>
          <w:szCs w:val="24"/>
        </w:rPr>
        <w:t>identified</w:t>
      </w:r>
      <w:r w:rsidR="002F00A6">
        <w:rPr>
          <w:rFonts w:eastAsia="Century" w:cs="Calibri"/>
          <w:sz w:val="24"/>
          <w:szCs w:val="24"/>
        </w:rPr>
        <w:t xml:space="preserve">. </w:t>
      </w:r>
      <w:r w:rsidRPr="00AE6D90">
        <w:rPr>
          <w:rFonts w:eastAsia="Century" w:cs="Calibri"/>
          <w:sz w:val="24"/>
          <w:szCs w:val="24"/>
        </w:rPr>
        <w:t xml:space="preserve"> </w:t>
      </w:r>
      <w:r w:rsidR="002F00A6">
        <w:rPr>
          <w:rFonts w:eastAsia="Century" w:cs="Calibri"/>
          <w:sz w:val="24"/>
          <w:szCs w:val="24"/>
        </w:rPr>
        <w:t>The model</w:t>
      </w:r>
      <w:r w:rsidRPr="00AE6D90">
        <w:rPr>
          <w:rFonts w:eastAsia="Century" w:cs="Calibri"/>
          <w:sz w:val="24"/>
          <w:szCs w:val="24"/>
        </w:rPr>
        <w:t xml:space="preserve"> has a total of </w:t>
      </w:r>
      <w:r w:rsidR="006A6250" w:rsidRPr="00AE6D90">
        <w:rPr>
          <w:rFonts w:eastAsia="Century" w:cs="Calibri"/>
          <w:sz w:val="24"/>
          <w:szCs w:val="24"/>
        </w:rPr>
        <w:t>132</w:t>
      </w:r>
      <w:r w:rsidRPr="00AE6D90">
        <w:rPr>
          <w:rFonts w:eastAsia="Century" w:cs="Calibri"/>
          <w:sz w:val="24"/>
          <w:szCs w:val="24"/>
        </w:rPr>
        <w:t xml:space="preserve"> observations for all 22 Municipalities </w:t>
      </w:r>
      <w:r w:rsidR="002F00A6">
        <w:rPr>
          <w:rFonts w:eastAsia="Century" w:cs="Calibri"/>
          <w:sz w:val="24"/>
          <w:szCs w:val="24"/>
        </w:rPr>
        <w:t>in</w:t>
      </w:r>
      <w:r w:rsidRPr="00AE6D90">
        <w:rPr>
          <w:rFonts w:eastAsia="Century" w:cs="Calibri"/>
          <w:sz w:val="24"/>
          <w:szCs w:val="24"/>
        </w:rPr>
        <w:t xml:space="preserve"> </w:t>
      </w:r>
      <w:r w:rsidR="006A6250" w:rsidRPr="00AE6D90">
        <w:rPr>
          <w:rFonts w:eastAsia="Century" w:cs="Calibri"/>
          <w:sz w:val="24"/>
          <w:szCs w:val="24"/>
        </w:rPr>
        <w:t>the Philippines</w:t>
      </w:r>
      <w:r w:rsidRPr="00AE6D90">
        <w:rPr>
          <w:rFonts w:eastAsia="Century" w:cs="Calibri"/>
          <w:sz w:val="24"/>
          <w:szCs w:val="24"/>
        </w:rPr>
        <w:t xml:space="preserve"> for a duration of </w:t>
      </w:r>
      <w:r w:rsidR="005A73AA" w:rsidRPr="00AE6D90">
        <w:rPr>
          <w:rFonts w:eastAsia="Century" w:cs="Calibri"/>
          <w:sz w:val="24"/>
          <w:szCs w:val="24"/>
        </w:rPr>
        <w:t>6</w:t>
      </w:r>
      <w:r w:rsidRPr="00AE6D90">
        <w:rPr>
          <w:rFonts w:eastAsia="Century" w:cs="Calibri"/>
          <w:sz w:val="24"/>
          <w:szCs w:val="24"/>
        </w:rPr>
        <w:t xml:space="preserve"> years. </w:t>
      </w:r>
      <w:r w:rsidR="00D73818" w:rsidRPr="00AE6D90">
        <w:rPr>
          <w:rFonts w:eastAsia="Century" w:cs="Calibri"/>
          <w:sz w:val="24"/>
          <w:szCs w:val="24"/>
        </w:rPr>
        <w:t>The overall model had an R-squared value of 0.5386, indicating that 53.86% of the variation in economic dynamism could be explained by the three independent variables. The prob&gt;chi-square value of 0.0000 indicated that the model with the identified independent variables fit the data significantly better at a 1% level than the model without any independent variables.</w:t>
      </w:r>
    </w:p>
    <w:p w14:paraId="328D27B5" w14:textId="4B07BD01" w:rsidR="005E6A9E" w:rsidRPr="005E65BB" w:rsidRDefault="005E6A9E" w:rsidP="00302A7D">
      <w:pPr>
        <w:spacing w:after="0" w:line="240" w:lineRule="auto"/>
        <w:jc w:val="both"/>
        <w:rPr>
          <w:rFonts w:eastAsia="Century" w:cs="Calibri"/>
          <w:sz w:val="24"/>
          <w:szCs w:val="24"/>
        </w:rPr>
      </w:pPr>
      <w:r w:rsidRPr="00AE6D90">
        <w:rPr>
          <w:rFonts w:eastAsia="Century" w:cs="Calibri"/>
          <w:b/>
          <w:bCs/>
          <w:sz w:val="24"/>
          <w:szCs w:val="24"/>
        </w:rPr>
        <w:t xml:space="preserve">Table </w:t>
      </w:r>
      <w:r w:rsidR="009677BD" w:rsidRPr="00AE6D90">
        <w:rPr>
          <w:rFonts w:eastAsia="Century" w:cs="Calibri"/>
          <w:b/>
          <w:bCs/>
          <w:sz w:val="24"/>
          <w:szCs w:val="24"/>
        </w:rPr>
        <w:t>9</w:t>
      </w:r>
      <w:r w:rsidR="00302A7D" w:rsidRPr="00AE6D90">
        <w:rPr>
          <w:rFonts w:eastAsia="Century" w:cs="Calibri"/>
          <w:b/>
          <w:bCs/>
          <w:sz w:val="24"/>
          <w:szCs w:val="24"/>
        </w:rPr>
        <w:t xml:space="preserve"> </w:t>
      </w:r>
      <w:r w:rsidRPr="00AE6D90">
        <w:rPr>
          <w:rFonts w:eastAsia="Century" w:cs="Calibri"/>
          <w:sz w:val="24"/>
          <w:szCs w:val="24"/>
        </w:rPr>
        <w:t>PCSE Regression Result on the effect of Government Efficiency, Infrastructure, and Resiliency on Economic Dynamism</w:t>
      </w:r>
      <w:r w:rsidR="0070554F" w:rsidRPr="00AE6D90">
        <w:rPr>
          <w:rFonts w:eastAsia="Century" w:cs="Calibri"/>
          <w:sz w:val="24"/>
          <w:szCs w:val="24"/>
        </w:rPr>
        <w:t xml:space="preserve"> of 22 Municipalities in the Philippines</w:t>
      </w:r>
    </w:p>
    <w:tbl>
      <w:tblPr>
        <w:tblW w:w="4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547"/>
        <w:gridCol w:w="2321"/>
      </w:tblGrid>
      <w:tr w:rsidR="005E6A9E" w:rsidRPr="00AE6D90" w14:paraId="5A416FFD" w14:textId="77777777" w:rsidTr="005E65BB">
        <w:trPr>
          <w:trHeight w:val="280"/>
          <w:jc w:val="center"/>
        </w:trPr>
        <w:tc>
          <w:tcPr>
            <w:tcW w:w="2547" w:type="dxa"/>
            <w:shd w:val="clear" w:color="auto" w:fill="auto"/>
            <w:vAlign w:val="bottom"/>
          </w:tcPr>
          <w:p w14:paraId="6C39118F" w14:textId="77777777" w:rsidR="005E6A9E" w:rsidRPr="00AE6D90" w:rsidRDefault="005E6A9E" w:rsidP="008B1D59">
            <w:pPr>
              <w:spacing w:after="0" w:line="240" w:lineRule="auto"/>
              <w:jc w:val="center"/>
              <w:rPr>
                <w:rFonts w:eastAsia="Century" w:cs="Calibri"/>
                <w:b/>
                <w:bCs/>
                <w:color w:val="000000"/>
                <w:sz w:val="24"/>
                <w:szCs w:val="24"/>
              </w:rPr>
            </w:pPr>
            <w:r w:rsidRPr="00AE6D90">
              <w:rPr>
                <w:rFonts w:eastAsia="Century" w:cs="Calibri"/>
                <w:b/>
                <w:bCs/>
                <w:color w:val="000000"/>
                <w:sz w:val="24"/>
                <w:szCs w:val="24"/>
              </w:rPr>
              <w:t>Variable</w:t>
            </w:r>
          </w:p>
        </w:tc>
        <w:tc>
          <w:tcPr>
            <w:tcW w:w="2321" w:type="dxa"/>
            <w:shd w:val="clear" w:color="auto" w:fill="auto"/>
            <w:vAlign w:val="bottom"/>
          </w:tcPr>
          <w:p w14:paraId="64638DBD" w14:textId="77777777" w:rsidR="005E6A9E" w:rsidRPr="00AE6D90" w:rsidRDefault="005E6A9E" w:rsidP="008B1D59">
            <w:pPr>
              <w:spacing w:after="0" w:line="240" w:lineRule="auto"/>
              <w:jc w:val="center"/>
              <w:rPr>
                <w:rFonts w:eastAsia="Century" w:cs="Calibri"/>
                <w:b/>
                <w:bCs/>
                <w:color w:val="000000"/>
                <w:sz w:val="24"/>
                <w:szCs w:val="24"/>
              </w:rPr>
            </w:pPr>
            <w:r w:rsidRPr="00AE6D90">
              <w:rPr>
                <w:rFonts w:eastAsia="Century" w:cs="Calibri"/>
                <w:b/>
                <w:bCs/>
                <w:color w:val="000000"/>
                <w:sz w:val="24"/>
                <w:szCs w:val="24"/>
              </w:rPr>
              <w:t>Coefficient</w:t>
            </w:r>
          </w:p>
        </w:tc>
      </w:tr>
      <w:tr w:rsidR="005E6A9E" w:rsidRPr="00AE6D90" w14:paraId="26FC137D" w14:textId="77777777" w:rsidTr="005E65BB">
        <w:trPr>
          <w:trHeight w:val="280"/>
          <w:jc w:val="center"/>
        </w:trPr>
        <w:tc>
          <w:tcPr>
            <w:tcW w:w="2547" w:type="dxa"/>
            <w:shd w:val="clear" w:color="auto" w:fill="auto"/>
            <w:vAlign w:val="bottom"/>
          </w:tcPr>
          <w:p w14:paraId="1B721F12" w14:textId="77777777" w:rsidR="005E6A9E" w:rsidRPr="00AE6D90" w:rsidRDefault="005E6A9E" w:rsidP="00EB6FFE">
            <w:pPr>
              <w:spacing w:after="0" w:line="240" w:lineRule="auto"/>
              <w:rPr>
                <w:rFonts w:eastAsia="Century" w:cs="Calibri"/>
                <w:color w:val="000000"/>
                <w:sz w:val="24"/>
                <w:szCs w:val="24"/>
              </w:rPr>
            </w:pPr>
            <w:r w:rsidRPr="00AE6D90">
              <w:rPr>
                <w:rFonts w:eastAsia="Century" w:cs="Calibri"/>
                <w:color w:val="000000"/>
                <w:sz w:val="24"/>
                <w:szCs w:val="24"/>
              </w:rPr>
              <w:t>Government Efficiency</w:t>
            </w:r>
          </w:p>
        </w:tc>
        <w:tc>
          <w:tcPr>
            <w:tcW w:w="2321" w:type="dxa"/>
            <w:shd w:val="clear" w:color="auto" w:fill="auto"/>
            <w:vAlign w:val="bottom"/>
          </w:tcPr>
          <w:p w14:paraId="041EA712" w14:textId="39A88975" w:rsidR="005E6A9E" w:rsidRPr="00AE6D90" w:rsidRDefault="005E6A9E" w:rsidP="00EB6FFE">
            <w:pPr>
              <w:spacing w:after="0" w:line="240" w:lineRule="auto"/>
              <w:rPr>
                <w:rFonts w:eastAsia="Century" w:cs="Calibri"/>
                <w:color w:val="000000"/>
                <w:sz w:val="24"/>
                <w:szCs w:val="24"/>
              </w:rPr>
            </w:pPr>
            <w:r w:rsidRPr="00AE6D90">
              <w:rPr>
                <w:rFonts w:eastAsia="Century" w:cs="Calibri"/>
                <w:color w:val="000000"/>
                <w:sz w:val="24"/>
                <w:szCs w:val="24"/>
              </w:rPr>
              <w:t>0.</w:t>
            </w:r>
            <w:r w:rsidR="007C0D64" w:rsidRPr="00AE6D90">
              <w:rPr>
                <w:rFonts w:eastAsia="Century" w:cs="Calibri"/>
                <w:color w:val="000000"/>
                <w:sz w:val="24"/>
                <w:szCs w:val="24"/>
              </w:rPr>
              <w:t>2222</w:t>
            </w:r>
            <w:r w:rsidRPr="00AE6D90">
              <w:rPr>
                <w:rFonts w:eastAsia="Century" w:cs="Calibri"/>
                <w:color w:val="000000"/>
                <w:sz w:val="24"/>
                <w:szCs w:val="24"/>
              </w:rPr>
              <w:t>**</w:t>
            </w:r>
            <w:r w:rsidR="007C0D64" w:rsidRPr="00AE6D90">
              <w:rPr>
                <w:rFonts w:eastAsia="Century" w:cs="Calibri"/>
                <w:color w:val="000000"/>
                <w:sz w:val="24"/>
                <w:szCs w:val="24"/>
              </w:rPr>
              <w:t>*</w:t>
            </w:r>
          </w:p>
        </w:tc>
      </w:tr>
      <w:tr w:rsidR="005E6A9E" w:rsidRPr="00AE6D90" w14:paraId="2987075F" w14:textId="77777777" w:rsidTr="005E65BB">
        <w:trPr>
          <w:trHeight w:val="280"/>
          <w:jc w:val="center"/>
        </w:trPr>
        <w:tc>
          <w:tcPr>
            <w:tcW w:w="2547" w:type="dxa"/>
            <w:shd w:val="clear" w:color="auto" w:fill="auto"/>
            <w:vAlign w:val="bottom"/>
          </w:tcPr>
          <w:p w14:paraId="2F8473DC" w14:textId="77777777" w:rsidR="005E6A9E" w:rsidRPr="00AE6D90" w:rsidRDefault="005E6A9E" w:rsidP="00EB6FFE">
            <w:pPr>
              <w:spacing w:after="0" w:line="240" w:lineRule="auto"/>
              <w:rPr>
                <w:rFonts w:eastAsia="Century" w:cs="Calibri"/>
                <w:color w:val="000000"/>
                <w:sz w:val="24"/>
                <w:szCs w:val="24"/>
              </w:rPr>
            </w:pPr>
            <w:r w:rsidRPr="00AE6D90">
              <w:rPr>
                <w:rFonts w:eastAsia="Century" w:cs="Calibri"/>
                <w:color w:val="000000"/>
                <w:sz w:val="24"/>
                <w:szCs w:val="24"/>
              </w:rPr>
              <w:t>Infrastructure</w:t>
            </w:r>
          </w:p>
        </w:tc>
        <w:tc>
          <w:tcPr>
            <w:tcW w:w="2321" w:type="dxa"/>
            <w:shd w:val="clear" w:color="auto" w:fill="auto"/>
            <w:vAlign w:val="bottom"/>
          </w:tcPr>
          <w:p w14:paraId="075D8369" w14:textId="3DB3E88D" w:rsidR="005E6A9E" w:rsidRPr="00AE6D90" w:rsidRDefault="005E6A9E" w:rsidP="00EB6FFE">
            <w:pPr>
              <w:spacing w:after="0" w:line="240" w:lineRule="auto"/>
              <w:rPr>
                <w:rFonts w:eastAsia="Century" w:cs="Calibri"/>
                <w:color w:val="000000"/>
                <w:sz w:val="24"/>
                <w:szCs w:val="24"/>
              </w:rPr>
            </w:pPr>
            <w:r w:rsidRPr="00AE6D90">
              <w:rPr>
                <w:rFonts w:eastAsia="Century" w:cs="Calibri"/>
                <w:color w:val="000000"/>
                <w:sz w:val="24"/>
                <w:szCs w:val="24"/>
              </w:rPr>
              <w:t>0.</w:t>
            </w:r>
            <w:r w:rsidR="007C0D64" w:rsidRPr="00AE6D90">
              <w:rPr>
                <w:rFonts w:eastAsia="Century" w:cs="Calibri"/>
                <w:color w:val="000000"/>
                <w:sz w:val="24"/>
                <w:szCs w:val="24"/>
              </w:rPr>
              <w:t>396</w:t>
            </w:r>
            <w:r w:rsidR="00FB5410" w:rsidRPr="00AE6D90">
              <w:rPr>
                <w:rFonts w:eastAsia="Century" w:cs="Calibri"/>
                <w:color w:val="000000"/>
                <w:sz w:val="24"/>
                <w:szCs w:val="24"/>
              </w:rPr>
              <w:t>4</w:t>
            </w:r>
            <w:r w:rsidRPr="00AE6D90">
              <w:rPr>
                <w:rFonts w:eastAsia="Century" w:cs="Calibri"/>
                <w:color w:val="000000"/>
                <w:sz w:val="24"/>
                <w:szCs w:val="24"/>
              </w:rPr>
              <w:t>***</w:t>
            </w:r>
          </w:p>
        </w:tc>
      </w:tr>
      <w:tr w:rsidR="005E6A9E" w:rsidRPr="00AE6D90" w14:paraId="2D04B6BC" w14:textId="77777777" w:rsidTr="005E65BB">
        <w:trPr>
          <w:trHeight w:val="280"/>
          <w:jc w:val="center"/>
        </w:trPr>
        <w:tc>
          <w:tcPr>
            <w:tcW w:w="2547" w:type="dxa"/>
            <w:shd w:val="clear" w:color="auto" w:fill="auto"/>
            <w:vAlign w:val="bottom"/>
          </w:tcPr>
          <w:p w14:paraId="3C329224" w14:textId="77777777" w:rsidR="005E6A9E" w:rsidRPr="00AE6D90" w:rsidRDefault="005E6A9E" w:rsidP="00EB6FFE">
            <w:pPr>
              <w:spacing w:after="0" w:line="240" w:lineRule="auto"/>
              <w:rPr>
                <w:rFonts w:eastAsia="Century" w:cs="Calibri"/>
                <w:color w:val="000000"/>
                <w:sz w:val="24"/>
                <w:szCs w:val="24"/>
              </w:rPr>
            </w:pPr>
            <w:r w:rsidRPr="00AE6D90">
              <w:rPr>
                <w:rFonts w:eastAsia="Century" w:cs="Calibri"/>
                <w:color w:val="000000"/>
                <w:sz w:val="24"/>
                <w:szCs w:val="24"/>
              </w:rPr>
              <w:t>Resiliency</w:t>
            </w:r>
          </w:p>
        </w:tc>
        <w:tc>
          <w:tcPr>
            <w:tcW w:w="2321" w:type="dxa"/>
            <w:shd w:val="clear" w:color="auto" w:fill="auto"/>
            <w:vAlign w:val="bottom"/>
          </w:tcPr>
          <w:p w14:paraId="7B1D459E" w14:textId="4D715D04" w:rsidR="005E6A9E" w:rsidRPr="00AE6D90" w:rsidRDefault="00FB5410" w:rsidP="00EB6FFE">
            <w:pPr>
              <w:spacing w:after="0" w:line="240" w:lineRule="auto"/>
              <w:rPr>
                <w:rFonts w:eastAsia="Century" w:cs="Calibri"/>
                <w:color w:val="000000"/>
                <w:sz w:val="24"/>
                <w:szCs w:val="24"/>
              </w:rPr>
            </w:pPr>
            <w:r w:rsidRPr="00AE6D90">
              <w:rPr>
                <w:rFonts w:eastAsia="Century" w:cs="Calibri"/>
                <w:color w:val="000000"/>
                <w:sz w:val="24"/>
                <w:szCs w:val="24"/>
              </w:rPr>
              <w:t>-0.0413</w:t>
            </w:r>
          </w:p>
        </w:tc>
      </w:tr>
      <w:tr w:rsidR="00FB5410" w:rsidRPr="00AE6D90" w14:paraId="1E56870A" w14:textId="77777777" w:rsidTr="005E65BB">
        <w:trPr>
          <w:trHeight w:val="280"/>
          <w:jc w:val="center"/>
        </w:trPr>
        <w:tc>
          <w:tcPr>
            <w:tcW w:w="2547" w:type="dxa"/>
            <w:shd w:val="clear" w:color="auto" w:fill="auto"/>
            <w:vAlign w:val="bottom"/>
          </w:tcPr>
          <w:p w14:paraId="0735C0E8" w14:textId="09AB9FEF" w:rsidR="00FB5410" w:rsidRPr="00AE6D90" w:rsidRDefault="00656526" w:rsidP="00EB6FFE">
            <w:pPr>
              <w:spacing w:after="0" w:line="240" w:lineRule="auto"/>
              <w:rPr>
                <w:rFonts w:eastAsia="Century" w:cs="Calibri"/>
                <w:color w:val="000000"/>
                <w:sz w:val="24"/>
                <w:szCs w:val="24"/>
              </w:rPr>
            </w:pPr>
            <w:r w:rsidRPr="00AE6D90">
              <w:rPr>
                <w:rFonts w:eastAsia="Century" w:cs="Calibri"/>
                <w:color w:val="000000"/>
                <w:sz w:val="24"/>
                <w:szCs w:val="24"/>
              </w:rPr>
              <w:t>Year</w:t>
            </w:r>
          </w:p>
        </w:tc>
        <w:tc>
          <w:tcPr>
            <w:tcW w:w="2321" w:type="dxa"/>
            <w:shd w:val="clear" w:color="auto" w:fill="auto"/>
            <w:vAlign w:val="bottom"/>
          </w:tcPr>
          <w:p w14:paraId="34363330" w14:textId="77777777" w:rsidR="00FB5410" w:rsidRPr="00AE6D90" w:rsidRDefault="00FB5410" w:rsidP="00EB6FFE">
            <w:pPr>
              <w:spacing w:after="0" w:line="240" w:lineRule="auto"/>
              <w:rPr>
                <w:rFonts w:eastAsia="Century" w:cs="Calibri"/>
                <w:color w:val="000000"/>
                <w:sz w:val="24"/>
                <w:szCs w:val="24"/>
              </w:rPr>
            </w:pPr>
          </w:p>
        </w:tc>
      </w:tr>
      <w:tr w:rsidR="00FB5410" w:rsidRPr="00AE6D90" w14:paraId="479102FA" w14:textId="77777777" w:rsidTr="005E65BB">
        <w:trPr>
          <w:trHeight w:val="280"/>
          <w:jc w:val="center"/>
        </w:trPr>
        <w:tc>
          <w:tcPr>
            <w:tcW w:w="2547" w:type="dxa"/>
            <w:shd w:val="clear" w:color="auto" w:fill="auto"/>
            <w:vAlign w:val="bottom"/>
          </w:tcPr>
          <w:p w14:paraId="27261B83" w14:textId="354F1029" w:rsidR="00FB5410" w:rsidRPr="00AE6D90" w:rsidRDefault="00656526" w:rsidP="00656526">
            <w:pPr>
              <w:spacing w:after="0" w:line="240" w:lineRule="auto"/>
              <w:jc w:val="right"/>
              <w:rPr>
                <w:rFonts w:eastAsia="Century" w:cs="Calibri"/>
                <w:color w:val="000000"/>
                <w:sz w:val="24"/>
                <w:szCs w:val="24"/>
              </w:rPr>
            </w:pPr>
            <w:r w:rsidRPr="00AE6D90">
              <w:rPr>
                <w:rFonts w:eastAsia="Century" w:cs="Calibri"/>
                <w:color w:val="000000"/>
                <w:sz w:val="24"/>
                <w:szCs w:val="24"/>
              </w:rPr>
              <w:t>2019</w:t>
            </w:r>
          </w:p>
        </w:tc>
        <w:tc>
          <w:tcPr>
            <w:tcW w:w="2321" w:type="dxa"/>
            <w:shd w:val="clear" w:color="auto" w:fill="auto"/>
            <w:vAlign w:val="bottom"/>
          </w:tcPr>
          <w:p w14:paraId="7BFA2CAE" w14:textId="247A9F10" w:rsidR="00FB5410" w:rsidRPr="00AE6D90" w:rsidRDefault="00585A61" w:rsidP="00EB6FFE">
            <w:pPr>
              <w:spacing w:after="0" w:line="240" w:lineRule="auto"/>
              <w:rPr>
                <w:rFonts w:eastAsia="Century" w:cs="Calibri"/>
                <w:color w:val="000000"/>
                <w:sz w:val="24"/>
                <w:szCs w:val="24"/>
              </w:rPr>
            </w:pPr>
            <w:r w:rsidRPr="00AE6D90">
              <w:rPr>
                <w:rFonts w:eastAsia="Century" w:cs="Calibri"/>
                <w:color w:val="000000"/>
                <w:sz w:val="24"/>
                <w:szCs w:val="24"/>
              </w:rPr>
              <w:t>0.1949</w:t>
            </w:r>
          </w:p>
        </w:tc>
      </w:tr>
      <w:tr w:rsidR="00FB5410" w:rsidRPr="00AE6D90" w14:paraId="2979D8C0" w14:textId="77777777" w:rsidTr="005E65BB">
        <w:trPr>
          <w:trHeight w:val="280"/>
          <w:jc w:val="center"/>
        </w:trPr>
        <w:tc>
          <w:tcPr>
            <w:tcW w:w="2547" w:type="dxa"/>
            <w:shd w:val="clear" w:color="auto" w:fill="auto"/>
            <w:vAlign w:val="bottom"/>
          </w:tcPr>
          <w:p w14:paraId="61FEEDEE" w14:textId="7045B7DE" w:rsidR="00FB5410" w:rsidRPr="00AE6D90" w:rsidRDefault="00656526" w:rsidP="00656526">
            <w:pPr>
              <w:spacing w:after="0" w:line="240" w:lineRule="auto"/>
              <w:jc w:val="right"/>
              <w:rPr>
                <w:rFonts w:eastAsia="Century" w:cs="Calibri"/>
                <w:color w:val="000000"/>
                <w:sz w:val="24"/>
                <w:szCs w:val="24"/>
              </w:rPr>
            </w:pPr>
            <w:r w:rsidRPr="00AE6D90">
              <w:rPr>
                <w:rFonts w:eastAsia="Century" w:cs="Calibri"/>
                <w:color w:val="000000"/>
                <w:sz w:val="24"/>
                <w:szCs w:val="24"/>
              </w:rPr>
              <w:t>2020</w:t>
            </w:r>
          </w:p>
        </w:tc>
        <w:tc>
          <w:tcPr>
            <w:tcW w:w="2321" w:type="dxa"/>
            <w:shd w:val="clear" w:color="auto" w:fill="auto"/>
            <w:vAlign w:val="bottom"/>
          </w:tcPr>
          <w:p w14:paraId="0BFAA432" w14:textId="06529D33" w:rsidR="00FB5410" w:rsidRPr="00AE6D90" w:rsidRDefault="00585A61" w:rsidP="00EB6FFE">
            <w:pPr>
              <w:spacing w:after="0" w:line="240" w:lineRule="auto"/>
              <w:rPr>
                <w:rFonts w:eastAsia="Century" w:cs="Calibri"/>
                <w:color w:val="000000"/>
                <w:sz w:val="24"/>
                <w:szCs w:val="24"/>
              </w:rPr>
            </w:pPr>
            <w:r w:rsidRPr="00AE6D90">
              <w:rPr>
                <w:rFonts w:eastAsia="Century" w:cs="Calibri"/>
                <w:color w:val="000000"/>
                <w:sz w:val="24"/>
                <w:szCs w:val="24"/>
              </w:rPr>
              <w:t>1.2823</w:t>
            </w:r>
            <w:r w:rsidR="009E2018" w:rsidRPr="00AE6D90">
              <w:rPr>
                <w:rFonts w:eastAsia="Century" w:cs="Calibri"/>
                <w:color w:val="000000"/>
                <w:sz w:val="24"/>
                <w:szCs w:val="24"/>
              </w:rPr>
              <w:t>***</w:t>
            </w:r>
          </w:p>
        </w:tc>
      </w:tr>
      <w:tr w:rsidR="00FB5410" w:rsidRPr="00AE6D90" w14:paraId="394DF402" w14:textId="77777777" w:rsidTr="005E65BB">
        <w:trPr>
          <w:trHeight w:val="280"/>
          <w:jc w:val="center"/>
        </w:trPr>
        <w:tc>
          <w:tcPr>
            <w:tcW w:w="2547" w:type="dxa"/>
            <w:shd w:val="clear" w:color="auto" w:fill="auto"/>
            <w:vAlign w:val="bottom"/>
          </w:tcPr>
          <w:p w14:paraId="06DB2C80" w14:textId="0E0008C3" w:rsidR="00FB5410" w:rsidRPr="00AE6D90" w:rsidRDefault="00656526" w:rsidP="00656526">
            <w:pPr>
              <w:spacing w:after="0" w:line="240" w:lineRule="auto"/>
              <w:jc w:val="right"/>
              <w:rPr>
                <w:rFonts w:eastAsia="Century" w:cs="Calibri"/>
                <w:color w:val="000000"/>
                <w:sz w:val="24"/>
                <w:szCs w:val="24"/>
              </w:rPr>
            </w:pPr>
            <w:r w:rsidRPr="00AE6D90">
              <w:rPr>
                <w:rFonts w:eastAsia="Century" w:cs="Calibri"/>
                <w:color w:val="000000"/>
                <w:sz w:val="24"/>
                <w:szCs w:val="24"/>
              </w:rPr>
              <w:t>2021</w:t>
            </w:r>
          </w:p>
        </w:tc>
        <w:tc>
          <w:tcPr>
            <w:tcW w:w="2321" w:type="dxa"/>
            <w:shd w:val="clear" w:color="auto" w:fill="auto"/>
            <w:vAlign w:val="bottom"/>
          </w:tcPr>
          <w:p w14:paraId="2146EF10" w14:textId="1F85ACA6" w:rsidR="00FB5410" w:rsidRPr="00AE6D90" w:rsidRDefault="00585A61" w:rsidP="00EB6FFE">
            <w:pPr>
              <w:spacing w:after="0" w:line="240" w:lineRule="auto"/>
              <w:rPr>
                <w:rFonts w:eastAsia="Century" w:cs="Calibri"/>
                <w:color w:val="000000"/>
                <w:sz w:val="24"/>
                <w:szCs w:val="24"/>
              </w:rPr>
            </w:pPr>
            <w:r w:rsidRPr="00AE6D90">
              <w:rPr>
                <w:rFonts w:eastAsia="Century" w:cs="Calibri"/>
                <w:color w:val="000000"/>
                <w:sz w:val="24"/>
                <w:szCs w:val="24"/>
              </w:rPr>
              <w:t>1.2301</w:t>
            </w:r>
            <w:r w:rsidR="009E2018" w:rsidRPr="00AE6D90">
              <w:rPr>
                <w:rFonts w:eastAsia="Century" w:cs="Calibri"/>
                <w:color w:val="000000"/>
                <w:sz w:val="24"/>
                <w:szCs w:val="24"/>
              </w:rPr>
              <w:t>***</w:t>
            </w:r>
          </w:p>
        </w:tc>
      </w:tr>
      <w:tr w:rsidR="00FB5410" w:rsidRPr="00AE6D90" w14:paraId="7EA387A4" w14:textId="77777777" w:rsidTr="005E65BB">
        <w:trPr>
          <w:trHeight w:val="280"/>
          <w:jc w:val="center"/>
        </w:trPr>
        <w:tc>
          <w:tcPr>
            <w:tcW w:w="2547" w:type="dxa"/>
            <w:shd w:val="clear" w:color="auto" w:fill="auto"/>
            <w:vAlign w:val="bottom"/>
          </w:tcPr>
          <w:p w14:paraId="6BDA5B3C" w14:textId="34D2A942" w:rsidR="00FB5410" w:rsidRPr="00AE6D90" w:rsidRDefault="00656526" w:rsidP="00656526">
            <w:pPr>
              <w:spacing w:after="0" w:line="240" w:lineRule="auto"/>
              <w:jc w:val="right"/>
              <w:rPr>
                <w:rFonts w:eastAsia="Century" w:cs="Calibri"/>
                <w:color w:val="000000"/>
                <w:sz w:val="24"/>
                <w:szCs w:val="24"/>
              </w:rPr>
            </w:pPr>
            <w:r w:rsidRPr="00AE6D90">
              <w:rPr>
                <w:rFonts w:eastAsia="Century" w:cs="Calibri"/>
                <w:color w:val="000000"/>
                <w:sz w:val="24"/>
                <w:szCs w:val="24"/>
              </w:rPr>
              <w:t>2022</w:t>
            </w:r>
          </w:p>
        </w:tc>
        <w:tc>
          <w:tcPr>
            <w:tcW w:w="2321" w:type="dxa"/>
            <w:shd w:val="clear" w:color="auto" w:fill="auto"/>
            <w:vAlign w:val="bottom"/>
          </w:tcPr>
          <w:p w14:paraId="32EB0ECC" w14:textId="67AA98CB" w:rsidR="00FB5410" w:rsidRPr="00AE6D90" w:rsidRDefault="00585A61" w:rsidP="00EB6FFE">
            <w:pPr>
              <w:spacing w:after="0" w:line="240" w:lineRule="auto"/>
              <w:rPr>
                <w:rFonts w:eastAsia="Century" w:cs="Calibri"/>
                <w:color w:val="000000"/>
                <w:sz w:val="24"/>
                <w:szCs w:val="24"/>
              </w:rPr>
            </w:pPr>
            <w:r w:rsidRPr="00AE6D90">
              <w:rPr>
                <w:rFonts w:eastAsia="Century" w:cs="Calibri"/>
                <w:color w:val="000000"/>
                <w:sz w:val="24"/>
                <w:szCs w:val="24"/>
              </w:rPr>
              <w:t>1.85</w:t>
            </w:r>
            <w:r w:rsidR="009E2018" w:rsidRPr="00AE6D90">
              <w:rPr>
                <w:rFonts w:eastAsia="Century" w:cs="Calibri"/>
                <w:color w:val="000000"/>
                <w:sz w:val="24"/>
                <w:szCs w:val="24"/>
              </w:rPr>
              <w:t>53***</w:t>
            </w:r>
          </w:p>
        </w:tc>
      </w:tr>
      <w:tr w:rsidR="00656526" w:rsidRPr="00AE6D90" w14:paraId="1F654B7B" w14:textId="77777777" w:rsidTr="005E65BB">
        <w:trPr>
          <w:trHeight w:val="280"/>
          <w:jc w:val="center"/>
        </w:trPr>
        <w:tc>
          <w:tcPr>
            <w:tcW w:w="2547" w:type="dxa"/>
            <w:shd w:val="clear" w:color="auto" w:fill="auto"/>
            <w:vAlign w:val="bottom"/>
          </w:tcPr>
          <w:p w14:paraId="4B17C4F7" w14:textId="10B1A8B0" w:rsidR="00656526" w:rsidRPr="00AE6D90" w:rsidRDefault="00656526" w:rsidP="00656526">
            <w:pPr>
              <w:spacing w:after="0" w:line="240" w:lineRule="auto"/>
              <w:jc w:val="right"/>
              <w:rPr>
                <w:rFonts w:eastAsia="Century" w:cs="Calibri"/>
                <w:color w:val="000000"/>
                <w:sz w:val="24"/>
                <w:szCs w:val="24"/>
              </w:rPr>
            </w:pPr>
            <w:r w:rsidRPr="00AE6D90">
              <w:rPr>
                <w:rFonts w:eastAsia="Century" w:cs="Calibri"/>
                <w:color w:val="000000"/>
                <w:sz w:val="24"/>
                <w:szCs w:val="24"/>
              </w:rPr>
              <w:t>2023</w:t>
            </w:r>
          </w:p>
        </w:tc>
        <w:tc>
          <w:tcPr>
            <w:tcW w:w="2321" w:type="dxa"/>
            <w:shd w:val="clear" w:color="auto" w:fill="auto"/>
            <w:vAlign w:val="bottom"/>
          </w:tcPr>
          <w:p w14:paraId="69EC0AC0" w14:textId="4D2D6FFF" w:rsidR="00656526" w:rsidRPr="00AE6D90" w:rsidRDefault="009E2018" w:rsidP="00EB6FFE">
            <w:pPr>
              <w:spacing w:after="0" w:line="240" w:lineRule="auto"/>
              <w:rPr>
                <w:rFonts w:eastAsia="Century" w:cs="Calibri"/>
                <w:color w:val="000000"/>
                <w:sz w:val="24"/>
                <w:szCs w:val="24"/>
              </w:rPr>
            </w:pPr>
            <w:r w:rsidRPr="00AE6D90">
              <w:rPr>
                <w:rFonts w:eastAsia="Century" w:cs="Calibri"/>
                <w:color w:val="000000"/>
                <w:sz w:val="24"/>
                <w:szCs w:val="24"/>
              </w:rPr>
              <w:t>1.1657***</w:t>
            </w:r>
          </w:p>
        </w:tc>
      </w:tr>
      <w:tr w:rsidR="005E6A9E" w:rsidRPr="00AE6D90" w14:paraId="3F5B3319" w14:textId="77777777" w:rsidTr="005E65BB">
        <w:trPr>
          <w:trHeight w:val="280"/>
          <w:jc w:val="center"/>
        </w:trPr>
        <w:tc>
          <w:tcPr>
            <w:tcW w:w="2547" w:type="dxa"/>
            <w:shd w:val="clear" w:color="auto" w:fill="auto"/>
            <w:vAlign w:val="bottom"/>
          </w:tcPr>
          <w:p w14:paraId="28E31959" w14:textId="77777777" w:rsidR="005E6A9E" w:rsidRPr="00AE6D90" w:rsidRDefault="005E6A9E" w:rsidP="00EB6FFE">
            <w:pPr>
              <w:spacing w:after="0" w:line="240" w:lineRule="auto"/>
              <w:rPr>
                <w:rFonts w:eastAsia="Century" w:cs="Calibri"/>
                <w:color w:val="000000"/>
                <w:sz w:val="24"/>
                <w:szCs w:val="24"/>
              </w:rPr>
            </w:pPr>
            <w:r w:rsidRPr="00AE6D90">
              <w:rPr>
                <w:rFonts w:eastAsia="Century" w:cs="Calibri"/>
                <w:color w:val="000000"/>
                <w:sz w:val="24"/>
                <w:szCs w:val="24"/>
              </w:rPr>
              <w:t>Constant</w:t>
            </w:r>
          </w:p>
        </w:tc>
        <w:tc>
          <w:tcPr>
            <w:tcW w:w="2321" w:type="dxa"/>
            <w:shd w:val="clear" w:color="auto" w:fill="auto"/>
            <w:vAlign w:val="bottom"/>
          </w:tcPr>
          <w:p w14:paraId="2B503703" w14:textId="5FBC3010" w:rsidR="005E6A9E" w:rsidRPr="00AE6D90" w:rsidRDefault="009E2018" w:rsidP="00EB6FFE">
            <w:pPr>
              <w:spacing w:after="0" w:line="240" w:lineRule="auto"/>
              <w:rPr>
                <w:rFonts w:eastAsia="Century" w:cs="Calibri"/>
                <w:color w:val="000000"/>
                <w:sz w:val="24"/>
                <w:szCs w:val="24"/>
              </w:rPr>
            </w:pPr>
            <w:r w:rsidRPr="00AE6D90">
              <w:rPr>
                <w:rFonts w:eastAsia="Century" w:cs="Calibri"/>
                <w:color w:val="000000"/>
                <w:sz w:val="24"/>
                <w:szCs w:val="24"/>
              </w:rPr>
              <w:t>-0.1</w:t>
            </w:r>
            <w:r w:rsidR="006676D4" w:rsidRPr="00AE6D90">
              <w:rPr>
                <w:rFonts w:eastAsia="Century" w:cs="Calibri"/>
                <w:color w:val="000000"/>
                <w:sz w:val="24"/>
                <w:szCs w:val="24"/>
              </w:rPr>
              <w:t>980</w:t>
            </w:r>
          </w:p>
        </w:tc>
      </w:tr>
      <w:tr w:rsidR="005E6A9E" w:rsidRPr="00AE6D90" w14:paraId="3F727AE1" w14:textId="77777777" w:rsidTr="005E65BB">
        <w:trPr>
          <w:trHeight w:val="280"/>
          <w:jc w:val="center"/>
        </w:trPr>
        <w:tc>
          <w:tcPr>
            <w:tcW w:w="2547" w:type="dxa"/>
            <w:shd w:val="clear" w:color="auto" w:fill="auto"/>
            <w:vAlign w:val="bottom"/>
          </w:tcPr>
          <w:p w14:paraId="28C42B16" w14:textId="77777777" w:rsidR="005E6A9E" w:rsidRPr="00AE6D90" w:rsidRDefault="005E6A9E" w:rsidP="00EB6FFE">
            <w:pPr>
              <w:spacing w:after="0" w:line="240" w:lineRule="auto"/>
              <w:rPr>
                <w:rFonts w:eastAsia="Century" w:cs="Calibri"/>
                <w:color w:val="000000"/>
                <w:sz w:val="24"/>
                <w:szCs w:val="24"/>
              </w:rPr>
            </w:pPr>
            <w:r w:rsidRPr="00AE6D90">
              <w:rPr>
                <w:rFonts w:eastAsia="Century" w:cs="Calibri"/>
                <w:color w:val="000000"/>
                <w:sz w:val="24"/>
                <w:szCs w:val="24"/>
              </w:rPr>
              <w:t>N</w:t>
            </w:r>
          </w:p>
        </w:tc>
        <w:tc>
          <w:tcPr>
            <w:tcW w:w="2321" w:type="dxa"/>
            <w:shd w:val="clear" w:color="auto" w:fill="auto"/>
            <w:vAlign w:val="bottom"/>
          </w:tcPr>
          <w:p w14:paraId="08B5BF24" w14:textId="561007F0" w:rsidR="005E6A9E" w:rsidRPr="00AE6D90" w:rsidRDefault="006676D4" w:rsidP="00EB6FFE">
            <w:pPr>
              <w:spacing w:after="0" w:line="240" w:lineRule="auto"/>
              <w:rPr>
                <w:rFonts w:eastAsia="Century" w:cs="Calibri"/>
                <w:color w:val="000000"/>
                <w:sz w:val="24"/>
                <w:szCs w:val="24"/>
              </w:rPr>
            </w:pPr>
            <w:r w:rsidRPr="00AE6D90">
              <w:rPr>
                <w:rFonts w:eastAsia="Century" w:cs="Calibri"/>
                <w:color w:val="000000"/>
                <w:sz w:val="24"/>
                <w:szCs w:val="24"/>
              </w:rPr>
              <w:t>132</w:t>
            </w:r>
          </w:p>
        </w:tc>
      </w:tr>
      <w:tr w:rsidR="005E6A9E" w:rsidRPr="00AE6D90" w14:paraId="644BC38C" w14:textId="77777777" w:rsidTr="005E65BB">
        <w:trPr>
          <w:trHeight w:val="280"/>
          <w:jc w:val="center"/>
        </w:trPr>
        <w:tc>
          <w:tcPr>
            <w:tcW w:w="2547" w:type="dxa"/>
            <w:shd w:val="clear" w:color="auto" w:fill="auto"/>
            <w:vAlign w:val="bottom"/>
          </w:tcPr>
          <w:p w14:paraId="25E0E96C" w14:textId="77777777" w:rsidR="005E6A9E" w:rsidRPr="00AE6D90" w:rsidRDefault="005E6A9E" w:rsidP="00EB6FFE">
            <w:pPr>
              <w:spacing w:after="0" w:line="240" w:lineRule="auto"/>
              <w:rPr>
                <w:rFonts w:eastAsia="Century" w:cs="Calibri"/>
                <w:color w:val="000000"/>
                <w:sz w:val="24"/>
                <w:szCs w:val="24"/>
              </w:rPr>
            </w:pPr>
            <w:r w:rsidRPr="00AE6D90">
              <w:rPr>
                <w:rFonts w:eastAsia="Century" w:cs="Calibri"/>
                <w:color w:val="000000"/>
                <w:sz w:val="24"/>
                <w:szCs w:val="24"/>
              </w:rPr>
              <w:t>Number of groups</w:t>
            </w:r>
          </w:p>
        </w:tc>
        <w:tc>
          <w:tcPr>
            <w:tcW w:w="2321" w:type="dxa"/>
            <w:shd w:val="clear" w:color="auto" w:fill="auto"/>
            <w:vAlign w:val="bottom"/>
          </w:tcPr>
          <w:p w14:paraId="4067AC5A" w14:textId="77777777" w:rsidR="005E6A9E" w:rsidRPr="00AE6D90" w:rsidRDefault="005E6A9E" w:rsidP="00EB6FFE">
            <w:pPr>
              <w:spacing w:after="0" w:line="240" w:lineRule="auto"/>
              <w:rPr>
                <w:rFonts w:eastAsia="Century" w:cs="Calibri"/>
                <w:color w:val="000000"/>
                <w:sz w:val="24"/>
                <w:szCs w:val="24"/>
              </w:rPr>
            </w:pPr>
            <w:r w:rsidRPr="00AE6D90">
              <w:rPr>
                <w:rFonts w:eastAsia="Century" w:cs="Calibri"/>
                <w:color w:val="000000"/>
                <w:sz w:val="24"/>
                <w:szCs w:val="24"/>
              </w:rPr>
              <w:t>22</w:t>
            </w:r>
          </w:p>
        </w:tc>
      </w:tr>
      <w:tr w:rsidR="005E6A9E" w:rsidRPr="00AE6D90" w14:paraId="676FB7B8" w14:textId="77777777" w:rsidTr="005E65BB">
        <w:trPr>
          <w:trHeight w:val="280"/>
          <w:jc w:val="center"/>
        </w:trPr>
        <w:tc>
          <w:tcPr>
            <w:tcW w:w="2547" w:type="dxa"/>
            <w:shd w:val="clear" w:color="auto" w:fill="auto"/>
            <w:vAlign w:val="bottom"/>
          </w:tcPr>
          <w:p w14:paraId="4999BD4E" w14:textId="77777777" w:rsidR="005E6A9E" w:rsidRPr="00AE6D90" w:rsidRDefault="005E6A9E" w:rsidP="00EB6FFE">
            <w:pPr>
              <w:spacing w:after="0" w:line="240" w:lineRule="auto"/>
              <w:rPr>
                <w:rFonts w:eastAsia="Century" w:cs="Calibri"/>
                <w:color w:val="000000"/>
                <w:sz w:val="24"/>
                <w:szCs w:val="24"/>
              </w:rPr>
            </w:pPr>
            <w:r w:rsidRPr="00AE6D90">
              <w:rPr>
                <w:rFonts w:eastAsia="Century" w:cs="Calibri"/>
                <w:color w:val="000000"/>
                <w:sz w:val="24"/>
                <w:szCs w:val="24"/>
              </w:rPr>
              <w:t>Number of periods</w:t>
            </w:r>
          </w:p>
        </w:tc>
        <w:tc>
          <w:tcPr>
            <w:tcW w:w="2321" w:type="dxa"/>
            <w:shd w:val="clear" w:color="auto" w:fill="auto"/>
            <w:vAlign w:val="bottom"/>
          </w:tcPr>
          <w:p w14:paraId="2A00454F" w14:textId="6C5CDF40" w:rsidR="005E6A9E" w:rsidRPr="00AE6D90" w:rsidRDefault="002145D7" w:rsidP="00EB6FFE">
            <w:pPr>
              <w:spacing w:after="0" w:line="240" w:lineRule="auto"/>
              <w:rPr>
                <w:rFonts w:eastAsia="Century" w:cs="Calibri"/>
                <w:color w:val="000000"/>
                <w:sz w:val="24"/>
                <w:szCs w:val="24"/>
              </w:rPr>
            </w:pPr>
            <w:r w:rsidRPr="00AE6D90">
              <w:rPr>
                <w:rFonts w:eastAsia="Century" w:cs="Calibri"/>
                <w:color w:val="000000"/>
                <w:sz w:val="24"/>
                <w:szCs w:val="24"/>
              </w:rPr>
              <w:t>6</w:t>
            </w:r>
          </w:p>
        </w:tc>
      </w:tr>
      <w:tr w:rsidR="005E6A9E" w:rsidRPr="00AE6D90" w14:paraId="7740C8BB" w14:textId="77777777" w:rsidTr="005E65BB">
        <w:trPr>
          <w:trHeight w:val="280"/>
          <w:jc w:val="center"/>
        </w:trPr>
        <w:tc>
          <w:tcPr>
            <w:tcW w:w="2547" w:type="dxa"/>
            <w:shd w:val="clear" w:color="auto" w:fill="auto"/>
            <w:vAlign w:val="bottom"/>
          </w:tcPr>
          <w:p w14:paraId="43E80DBF" w14:textId="77777777" w:rsidR="005E6A9E" w:rsidRPr="00AE6D90" w:rsidRDefault="005E6A9E" w:rsidP="00EB6FFE">
            <w:pPr>
              <w:spacing w:after="0" w:line="240" w:lineRule="auto"/>
              <w:rPr>
                <w:rFonts w:eastAsia="Century" w:cs="Calibri"/>
                <w:color w:val="000000"/>
                <w:sz w:val="24"/>
                <w:szCs w:val="24"/>
              </w:rPr>
            </w:pPr>
            <w:r w:rsidRPr="00AE6D90">
              <w:rPr>
                <w:rFonts w:eastAsia="Century" w:cs="Calibri"/>
                <w:color w:val="000000"/>
                <w:sz w:val="24"/>
                <w:szCs w:val="24"/>
              </w:rPr>
              <w:t>R-squared</w:t>
            </w:r>
          </w:p>
        </w:tc>
        <w:tc>
          <w:tcPr>
            <w:tcW w:w="2321" w:type="dxa"/>
            <w:shd w:val="clear" w:color="auto" w:fill="auto"/>
            <w:vAlign w:val="bottom"/>
          </w:tcPr>
          <w:p w14:paraId="3864348D" w14:textId="0C38DDA1" w:rsidR="005E6A9E" w:rsidRPr="00AE6D90" w:rsidRDefault="005E6A9E" w:rsidP="00EB6FFE">
            <w:pPr>
              <w:spacing w:after="0" w:line="240" w:lineRule="auto"/>
              <w:rPr>
                <w:rFonts w:eastAsia="Century" w:cs="Calibri"/>
                <w:color w:val="000000"/>
                <w:sz w:val="24"/>
                <w:szCs w:val="24"/>
              </w:rPr>
            </w:pPr>
            <w:r w:rsidRPr="00AE6D90">
              <w:rPr>
                <w:rFonts w:eastAsia="Century" w:cs="Calibri"/>
                <w:color w:val="000000"/>
                <w:sz w:val="24"/>
                <w:szCs w:val="24"/>
              </w:rPr>
              <w:t>0.</w:t>
            </w:r>
            <w:r w:rsidR="002145D7" w:rsidRPr="00AE6D90">
              <w:rPr>
                <w:rFonts w:eastAsia="Century" w:cs="Calibri"/>
                <w:color w:val="000000"/>
                <w:sz w:val="24"/>
                <w:szCs w:val="24"/>
              </w:rPr>
              <w:t>5386</w:t>
            </w:r>
          </w:p>
        </w:tc>
      </w:tr>
      <w:tr w:rsidR="005E6A9E" w:rsidRPr="00AE6D90" w14:paraId="1C10BA7E" w14:textId="77777777" w:rsidTr="005E65BB">
        <w:trPr>
          <w:trHeight w:val="280"/>
          <w:jc w:val="center"/>
        </w:trPr>
        <w:tc>
          <w:tcPr>
            <w:tcW w:w="2547" w:type="dxa"/>
            <w:shd w:val="clear" w:color="auto" w:fill="auto"/>
            <w:vAlign w:val="bottom"/>
          </w:tcPr>
          <w:p w14:paraId="0B61A107" w14:textId="77777777" w:rsidR="005E6A9E" w:rsidRPr="00AE6D90" w:rsidRDefault="005E6A9E" w:rsidP="00EB6FFE">
            <w:pPr>
              <w:spacing w:after="0" w:line="240" w:lineRule="auto"/>
              <w:rPr>
                <w:rFonts w:eastAsia="Century" w:cs="Calibri"/>
                <w:color w:val="000000"/>
                <w:sz w:val="24"/>
                <w:szCs w:val="24"/>
              </w:rPr>
            </w:pPr>
            <w:r w:rsidRPr="00AE6D90">
              <w:rPr>
                <w:rFonts w:eastAsia="Century" w:cs="Calibri"/>
                <w:color w:val="000000"/>
                <w:sz w:val="24"/>
                <w:szCs w:val="24"/>
              </w:rPr>
              <w:t xml:space="preserve">Prob &gt;chi2 </w:t>
            </w:r>
          </w:p>
        </w:tc>
        <w:tc>
          <w:tcPr>
            <w:tcW w:w="2321" w:type="dxa"/>
            <w:shd w:val="clear" w:color="auto" w:fill="auto"/>
            <w:vAlign w:val="bottom"/>
          </w:tcPr>
          <w:p w14:paraId="3B6B3D05" w14:textId="633E0D0F" w:rsidR="005E6A9E" w:rsidRPr="00AE6D90" w:rsidRDefault="005E6A9E" w:rsidP="00EB6FFE">
            <w:pPr>
              <w:spacing w:after="0" w:line="240" w:lineRule="auto"/>
              <w:rPr>
                <w:rFonts w:eastAsia="Century" w:cs="Calibri"/>
                <w:color w:val="000000"/>
                <w:sz w:val="24"/>
                <w:szCs w:val="24"/>
              </w:rPr>
            </w:pPr>
            <w:r w:rsidRPr="00AE6D90">
              <w:rPr>
                <w:rFonts w:eastAsia="Century" w:cs="Calibri"/>
                <w:color w:val="000000"/>
                <w:sz w:val="24"/>
                <w:szCs w:val="24"/>
              </w:rPr>
              <w:t>0.0000</w:t>
            </w:r>
            <w:r w:rsidR="002145D7" w:rsidRPr="00AE6D90">
              <w:rPr>
                <w:rFonts w:eastAsia="Century" w:cs="Calibri"/>
                <w:color w:val="000000"/>
                <w:sz w:val="24"/>
                <w:szCs w:val="24"/>
              </w:rPr>
              <w:t>***</w:t>
            </w:r>
          </w:p>
        </w:tc>
      </w:tr>
    </w:tbl>
    <w:p w14:paraId="54C54DED" w14:textId="630EB739" w:rsidR="005A73AA" w:rsidRPr="00AE6D90" w:rsidRDefault="00386FDC" w:rsidP="0062081B">
      <w:pPr>
        <w:rPr>
          <w:rFonts w:eastAsia="Century" w:cs="Calibri"/>
          <w:i/>
          <w:sz w:val="24"/>
          <w:szCs w:val="24"/>
        </w:rPr>
      </w:pPr>
      <w:r w:rsidRPr="00AE6D90">
        <w:rPr>
          <w:rFonts w:eastAsia="Century" w:cs="Calibri"/>
          <w:i/>
          <w:sz w:val="24"/>
          <w:szCs w:val="24"/>
        </w:rPr>
        <w:t xml:space="preserve"> </w:t>
      </w:r>
      <w:r w:rsidR="005E65BB">
        <w:rPr>
          <w:rFonts w:eastAsia="Century" w:cs="Calibri"/>
          <w:i/>
          <w:sz w:val="24"/>
          <w:szCs w:val="24"/>
        </w:rPr>
        <w:t xml:space="preserve">                                         </w:t>
      </w:r>
      <w:r w:rsidR="005E6A9E" w:rsidRPr="00AE6D90">
        <w:rPr>
          <w:rFonts w:eastAsia="Century" w:cs="Calibri"/>
          <w:i/>
          <w:sz w:val="24"/>
          <w:szCs w:val="24"/>
        </w:rPr>
        <w:t>Level of significance: 1% ***, 5%**, 10% *</w:t>
      </w:r>
    </w:p>
    <w:p w14:paraId="14511933" w14:textId="77777777" w:rsidR="00302A7D" w:rsidRPr="00AE6D90" w:rsidRDefault="00302A7D" w:rsidP="00EB14ED">
      <w:pPr>
        <w:jc w:val="both"/>
        <w:rPr>
          <w:rFonts w:eastAsia="Century" w:cs="Calibri"/>
          <w:sz w:val="24"/>
          <w:szCs w:val="24"/>
        </w:rPr>
      </w:pPr>
    </w:p>
    <w:p w14:paraId="0B4DBE41" w14:textId="04D22FFD" w:rsidR="00EB14ED" w:rsidRDefault="00386FDC" w:rsidP="00EB14ED">
      <w:pPr>
        <w:jc w:val="both"/>
        <w:rPr>
          <w:rFonts w:eastAsia="Century" w:cs="Calibri"/>
          <w:sz w:val="24"/>
          <w:szCs w:val="24"/>
        </w:rPr>
      </w:pPr>
      <w:r w:rsidRPr="00AE6D90">
        <w:rPr>
          <w:rFonts w:eastAsia="Century" w:cs="Calibri"/>
          <w:sz w:val="24"/>
          <w:szCs w:val="24"/>
        </w:rPr>
        <w:t>Moreover, t</w:t>
      </w:r>
      <w:r w:rsidR="005A73AA" w:rsidRPr="00AE6D90">
        <w:rPr>
          <w:rFonts w:eastAsia="Century" w:cs="Calibri"/>
          <w:sz w:val="24"/>
          <w:szCs w:val="24"/>
        </w:rPr>
        <w:t xml:space="preserve">he result of the regression presented in Table </w:t>
      </w:r>
      <w:r w:rsidR="00B9415D">
        <w:rPr>
          <w:rFonts w:eastAsia="Century" w:cs="Calibri"/>
          <w:sz w:val="24"/>
          <w:szCs w:val="24"/>
        </w:rPr>
        <w:t xml:space="preserve">9 </w:t>
      </w:r>
      <w:r w:rsidR="005A73AA" w:rsidRPr="00AE6D90">
        <w:rPr>
          <w:rFonts w:eastAsia="Century" w:cs="Calibri"/>
          <w:sz w:val="24"/>
          <w:szCs w:val="24"/>
        </w:rPr>
        <w:t>shows that both scores in government efficiency and infrastructure pillar are significant at 1% level. Both coefficients are positive indicating a positive effect on Economic dynamism score. This implies that an increase in the scores of municipalities in both government efficiency and infrastructure pillars will improve their economic dynamism score.</w:t>
      </w:r>
      <w:r w:rsidR="00357379" w:rsidRPr="00AE6D90">
        <w:rPr>
          <w:rFonts w:eastAsia="Century" w:cs="Calibri"/>
          <w:sz w:val="24"/>
          <w:szCs w:val="24"/>
        </w:rPr>
        <w:t xml:space="preserve"> Specifically, a 1 unit increase in the </w:t>
      </w:r>
      <w:r w:rsidR="00B77E47" w:rsidRPr="00AE6D90">
        <w:rPr>
          <w:rFonts w:eastAsia="Century" w:cs="Calibri"/>
          <w:sz w:val="24"/>
          <w:szCs w:val="24"/>
        </w:rPr>
        <w:t xml:space="preserve">score of </w:t>
      </w:r>
      <w:r w:rsidR="00B77E47" w:rsidRPr="00AE6D90">
        <w:rPr>
          <w:rFonts w:eastAsia="Century" w:cs="Calibri"/>
          <w:sz w:val="24"/>
          <w:szCs w:val="24"/>
        </w:rPr>
        <w:lastRenderedPageBreak/>
        <w:t xml:space="preserve">government </w:t>
      </w:r>
      <w:r w:rsidR="00D30BD1" w:rsidRPr="00AE6D90">
        <w:rPr>
          <w:rFonts w:eastAsia="Century" w:cs="Calibri"/>
          <w:sz w:val="24"/>
          <w:szCs w:val="24"/>
        </w:rPr>
        <w:t>efficiency and infrastructure will increase the economic dynamism score of the municipalities by 0.2222 and 0.3964 points</w:t>
      </w:r>
      <w:r w:rsidR="003B7F5E" w:rsidRPr="00AE6D90">
        <w:rPr>
          <w:rFonts w:eastAsia="Century" w:cs="Calibri"/>
          <w:sz w:val="24"/>
          <w:szCs w:val="24"/>
        </w:rPr>
        <w:t xml:space="preserve">, respectively. </w:t>
      </w:r>
      <w:r w:rsidR="00A60D4E" w:rsidRPr="00A60D4E">
        <w:rPr>
          <w:rFonts w:eastAsia="Century" w:cs="Calibri"/>
          <w:sz w:val="24"/>
          <w:szCs w:val="24"/>
        </w:rPr>
        <w:t xml:space="preserve">The relationship between government efficiency and economic dynamism aligns with the conclusions drawn by </w:t>
      </w:r>
      <w:proofErr w:type="spellStart"/>
      <w:r w:rsidR="00A60D4E" w:rsidRPr="00A60D4E">
        <w:rPr>
          <w:rFonts w:eastAsia="Century" w:cs="Calibri"/>
          <w:sz w:val="24"/>
          <w:szCs w:val="24"/>
        </w:rPr>
        <w:t>D’lonsod</w:t>
      </w:r>
      <w:proofErr w:type="spellEnd"/>
      <w:r w:rsidR="00A60D4E" w:rsidRPr="00A60D4E">
        <w:rPr>
          <w:rFonts w:eastAsia="Century" w:cs="Calibri"/>
          <w:sz w:val="24"/>
          <w:szCs w:val="24"/>
        </w:rPr>
        <w:t xml:space="preserve"> et. al (2019) and Rodriguez-Pose and Zhang (2019), indicating that an effective government delivers reliable and high-quality services, thereby stimulating economic activity, increasing productivity, and yielding superior output. </w:t>
      </w:r>
      <w:r w:rsidR="00B75F41" w:rsidRPr="00A60D4E">
        <w:rPr>
          <w:rFonts w:eastAsia="Century" w:cs="Calibri"/>
          <w:sz w:val="24"/>
          <w:szCs w:val="24"/>
        </w:rPr>
        <w:t>Similarly</w:t>
      </w:r>
      <w:r w:rsidR="00A60D4E" w:rsidRPr="00A60D4E">
        <w:rPr>
          <w:rFonts w:eastAsia="Century" w:cs="Calibri"/>
          <w:sz w:val="24"/>
          <w:szCs w:val="24"/>
        </w:rPr>
        <w:t xml:space="preserve">, the impact of infrastructure on economic dynamism is in line with the findings of Elahi and Khan (2018), as well as </w:t>
      </w:r>
      <w:proofErr w:type="spellStart"/>
      <w:r w:rsidR="00A60D4E" w:rsidRPr="00A60D4E">
        <w:rPr>
          <w:rFonts w:eastAsia="Century" w:cs="Calibri"/>
          <w:sz w:val="24"/>
          <w:szCs w:val="24"/>
        </w:rPr>
        <w:t>D’lonsod</w:t>
      </w:r>
      <w:proofErr w:type="spellEnd"/>
      <w:r w:rsidR="00A60D4E" w:rsidRPr="00A60D4E">
        <w:rPr>
          <w:rFonts w:eastAsia="Century" w:cs="Calibri"/>
          <w:sz w:val="24"/>
          <w:szCs w:val="24"/>
        </w:rPr>
        <w:t xml:space="preserve"> et. al (2019) and Rodriguez-Pose and Zhang (2019), asserting that robust infrastructure exerts a constructive influence on both the economy and the well-being of individuals by reducing business costs and complexities, ultimately enhancing productivity.</w:t>
      </w:r>
    </w:p>
    <w:p w14:paraId="460877EE" w14:textId="103148B7" w:rsidR="00D53FB4" w:rsidRPr="00AE6D90" w:rsidRDefault="00D53FB4" w:rsidP="00EB14ED">
      <w:pPr>
        <w:jc w:val="both"/>
        <w:rPr>
          <w:rFonts w:eastAsia="Century" w:cs="Calibri"/>
          <w:sz w:val="24"/>
          <w:szCs w:val="24"/>
        </w:rPr>
      </w:pPr>
      <w:r>
        <w:rPr>
          <w:rFonts w:eastAsia="Century" w:cs="Calibri"/>
          <w:sz w:val="24"/>
          <w:szCs w:val="24"/>
        </w:rPr>
        <w:t>However</w:t>
      </w:r>
      <w:r w:rsidRPr="00D53FB4">
        <w:rPr>
          <w:rFonts w:eastAsia="Century" w:cs="Calibri"/>
          <w:sz w:val="24"/>
          <w:szCs w:val="24"/>
        </w:rPr>
        <w:t xml:space="preserve">, the impact of resiliency on economic dynamism was </w:t>
      </w:r>
      <w:proofErr w:type="spellStart"/>
      <w:r w:rsidRPr="00AE6D90">
        <w:rPr>
          <w:rFonts w:eastAsia="Century" w:cs="Calibri"/>
          <w:sz w:val="24"/>
          <w:szCs w:val="24"/>
        </w:rPr>
        <w:t>was</w:t>
      </w:r>
      <w:proofErr w:type="spellEnd"/>
      <w:r w:rsidRPr="00AE6D90">
        <w:rPr>
          <w:rFonts w:eastAsia="Century" w:cs="Calibri"/>
          <w:sz w:val="24"/>
          <w:szCs w:val="24"/>
        </w:rPr>
        <w:t xml:space="preserve"> found to be insignificant </w:t>
      </w:r>
      <w:r w:rsidR="00CF2D13">
        <w:rPr>
          <w:rFonts w:eastAsia="Century" w:cs="Calibri"/>
          <w:sz w:val="24"/>
          <w:szCs w:val="24"/>
        </w:rPr>
        <w:t xml:space="preserve">which is </w:t>
      </w:r>
      <w:proofErr w:type="gramStart"/>
      <w:r w:rsidR="00CF2D13">
        <w:rPr>
          <w:rFonts w:eastAsia="Century" w:cs="Calibri"/>
          <w:sz w:val="24"/>
          <w:szCs w:val="24"/>
        </w:rPr>
        <w:t>similar to</w:t>
      </w:r>
      <w:proofErr w:type="gramEnd"/>
      <w:r w:rsidR="00CF2D13">
        <w:rPr>
          <w:rFonts w:eastAsia="Century" w:cs="Calibri"/>
          <w:sz w:val="24"/>
          <w:szCs w:val="24"/>
        </w:rPr>
        <w:t xml:space="preserve"> </w:t>
      </w:r>
      <w:r w:rsidRPr="00D53FB4">
        <w:rPr>
          <w:rFonts w:eastAsia="Century" w:cs="Calibri"/>
          <w:sz w:val="24"/>
          <w:szCs w:val="24"/>
        </w:rPr>
        <w:t xml:space="preserve">the conclusions of </w:t>
      </w:r>
      <w:proofErr w:type="spellStart"/>
      <w:r w:rsidRPr="00D53FB4">
        <w:rPr>
          <w:rFonts w:eastAsia="Century" w:cs="Calibri"/>
          <w:sz w:val="24"/>
          <w:szCs w:val="24"/>
        </w:rPr>
        <w:t>D’lonsod</w:t>
      </w:r>
      <w:proofErr w:type="spellEnd"/>
      <w:r w:rsidRPr="00D53FB4">
        <w:rPr>
          <w:rFonts w:eastAsia="Century" w:cs="Calibri"/>
          <w:sz w:val="24"/>
          <w:szCs w:val="24"/>
        </w:rPr>
        <w:t xml:space="preserve"> et. al (2019) in their </w:t>
      </w:r>
      <w:r w:rsidR="00CF2D13">
        <w:rPr>
          <w:rFonts w:eastAsia="Century" w:cs="Calibri"/>
          <w:sz w:val="24"/>
          <w:szCs w:val="24"/>
        </w:rPr>
        <w:t xml:space="preserve">on </w:t>
      </w:r>
      <w:r w:rsidR="00CF2D13" w:rsidRPr="00D53FB4">
        <w:rPr>
          <w:rFonts w:eastAsia="Century" w:cs="Calibri"/>
          <w:sz w:val="24"/>
          <w:szCs w:val="24"/>
        </w:rPr>
        <w:t>the</w:t>
      </w:r>
      <w:r w:rsidRPr="00D53FB4">
        <w:rPr>
          <w:rFonts w:eastAsia="Century" w:cs="Calibri"/>
          <w:sz w:val="24"/>
          <w:szCs w:val="24"/>
        </w:rPr>
        <w:t xml:space="preserve"> drivers of economic dynamism across cities in the Philippines. </w:t>
      </w:r>
      <w:r w:rsidR="00775609">
        <w:rPr>
          <w:rFonts w:eastAsia="Century" w:cs="Calibri"/>
          <w:sz w:val="24"/>
          <w:szCs w:val="24"/>
        </w:rPr>
        <w:t>But</w:t>
      </w:r>
      <w:r w:rsidRPr="00D53FB4">
        <w:rPr>
          <w:rFonts w:eastAsia="Century" w:cs="Calibri"/>
          <w:sz w:val="24"/>
          <w:szCs w:val="24"/>
        </w:rPr>
        <w:t xml:space="preserve"> it is important to note that the lack of statistically significant findings does not definitively negate the potential influence of the resiliency variable on economic dynamism.</w:t>
      </w:r>
    </w:p>
    <w:p w14:paraId="7FB9D100" w14:textId="0B2BAE2E" w:rsidR="0059403B" w:rsidRPr="00AE6D90" w:rsidRDefault="002B5507" w:rsidP="0059403B">
      <w:pPr>
        <w:spacing w:after="0" w:line="240" w:lineRule="auto"/>
        <w:rPr>
          <w:rFonts w:cs="Calibri"/>
          <w:sz w:val="24"/>
          <w:szCs w:val="24"/>
        </w:rPr>
      </w:pPr>
      <w:r>
        <w:rPr>
          <w:rFonts w:cs="Calibri"/>
          <w:sz w:val="24"/>
          <w:szCs w:val="24"/>
        </w:rPr>
        <w:t>In terms of</w:t>
      </w:r>
      <w:r w:rsidRPr="002B5507">
        <w:rPr>
          <w:rFonts w:cs="Calibri"/>
          <w:sz w:val="24"/>
          <w:szCs w:val="24"/>
        </w:rPr>
        <w:t xml:space="preserve"> the year dummy variables, which account for temporal effects with 2017 as the reference year, </w:t>
      </w:r>
      <w:r w:rsidR="00D05AA3">
        <w:rPr>
          <w:rFonts w:cs="Calibri"/>
          <w:sz w:val="24"/>
          <w:szCs w:val="24"/>
        </w:rPr>
        <w:t xml:space="preserve">the result </w:t>
      </w:r>
      <w:r w:rsidR="0033778B" w:rsidRPr="00AE6D90">
        <w:rPr>
          <w:rFonts w:cs="Calibri"/>
          <w:sz w:val="24"/>
          <w:szCs w:val="24"/>
        </w:rPr>
        <w:t xml:space="preserve">indicates that an increase in the economic dynamism score </w:t>
      </w:r>
      <w:r w:rsidR="00E46760" w:rsidRPr="00AE6D90">
        <w:rPr>
          <w:rFonts w:cs="Calibri"/>
          <w:sz w:val="24"/>
          <w:szCs w:val="24"/>
        </w:rPr>
        <w:t xml:space="preserve">for </w:t>
      </w:r>
      <w:r w:rsidR="0033778B" w:rsidRPr="00AE6D90">
        <w:rPr>
          <w:rFonts w:cs="Calibri"/>
          <w:sz w:val="24"/>
          <w:szCs w:val="24"/>
        </w:rPr>
        <w:t>the</w:t>
      </w:r>
      <w:r w:rsidR="00E46760" w:rsidRPr="00AE6D90">
        <w:rPr>
          <w:rFonts w:cs="Calibri"/>
          <w:sz w:val="24"/>
          <w:szCs w:val="24"/>
        </w:rPr>
        <w:t xml:space="preserve"> years </w:t>
      </w:r>
      <w:r w:rsidR="0033778B" w:rsidRPr="00AE6D90">
        <w:rPr>
          <w:rFonts w:cs="Calibri"/>
          <w:sz w:val="24"/>
          <w:szCs w:val="24"/>
        </w:rPr>
        <w:t xml:space="preserve">2020, 2021, </w:t>
      </w:r>
      <w:r w:rsidR="00953B96" w:rsidRPr="00AE6D90">
        <w:rPr>
          <w:rFonts w:cs="Calibri"/>
          <w:sz w:val="24"/>
          <w:szCs w:val="24"/>
        </w:rPr>
        <w:t xml:space="preserve">2022, </w:t>
      </w:r>
      <w:r w:rsidR="0033778B" w:rsidRPr="00AE6D90">
        <w:rPr>
          <w:rFonts w:cs="Calibri"/>
          <w:sz w:val="24"/>
          <w:szCs w:val="24"/>
        </w:rPr>
        <w:t>and 202</w:t>
      </w:r>
      <w:r w:rsidR="00953B96" w:rsidRPr="00AE6D90">
        <w:rPr>
          <w:rFonts w:cs="Calibri"/>
          <w:sz w:val="24"/>
          <w:szCs w:val="24"/>
        </w:rPr>
        <w:t>3</w:t>
      </w:r>
      <w:r w:rsidR="0033778B" w:rsidRPr="00AE6D90">
        <w:rPr>
          <w:rFonts w:cs="Calibri"/>
          <w:sz w:val="24"/>
          <w:szCs w:val="24"/>
        </w:rPr>
        <w:t xml:space="preserve"> are </w:t>
      </w:r>
      <w:r w:rsidR="00E46760" w:rsidRPr="00AE6D90">
        <w:rPr>
          <w:rFonts w:cs="Calibri"/>
          <w:sz w:val="24"/>
          <w:szCs w:val="24"/>
        </w:rPr>
        <w:t>significantly higher than 2017.</w:t>
      </w:r>
      <w:r w:rsidR="0033778B" w:rsidRPr="00AE6D90">
        <w:rPr>
          <w:rFonts w:cs="Calibri"/>
          <w:sz w:val="24"/>
          <w:szCs w:val="24"/>
        </w:rPr>
        <w:t xml:space="preserve"> </w:t>
      </w:r>
      <w:r w:rsidR="004118E6" w:rsidRPr="00AE6D90">
        <w:rPr>
          <w:rFonts w:cs="Calibri"/>
          <w:sz w:val="24"/>
          <w:szCs w:val="24"/>
        </w:rPr>
        <w:t>The display of</w:t>
      </w:r>
      <w:r w:rsidR="0059403B" w:rsidRPr="00AE6D90">
        <w:rPr>
          <w:rFonts w:cs="Calibri"/>
          <w:sz w:val="24"/>
          <w:szCs w:val="24"/>
        </w:rPr>
        <w:t xml:space="preserve"> these</w:t>
      </w:r>
      <w:r w:rsidR="004118E6" w:rsidRPr="00AE6D90">
        <w:rPr>
          <w:rFonts w:cs="Calibri"/>
          <w:sz w:val="24"/>
          <w:szCs w:val="24"/>
        </w:rPr>
        <w:t xml:space="preserve"> positive significant effect on economic </w:t>
      </w:r>
      <w:r w:rsidR="0059403B" w:rsidRPr="00AE6D90">
        <w:rPr>
          <w:rFonts w:cs="Calibri"/>
          <w:sz w:val="24"/>
          <w:szCs w:val="24"/>
        </w:rPr>
        <w:t xml:space="preserve">dynamism for the mentioned years </w:t>
      </w:r>
      <w:r w:rsidR="004118E6" w:rsidRPr="00AE6D90">
        <w:rPr>
          <w:rFonts w:cs="Calibri"/>
          <w:sz w:val="24"/>
          <w:szCs w:val="24"/>
        </w:rPr>
        <w:t>indicat</w:t>
      </w:r>
      <w:r w:rsidR="0059403B" w:rsidRPr="00AE6D90">
        <w:rPr>
          <w:rFonts w:cs="Calibri"/>
          <w:sz w:val="24"/>
          <w:szCs w:val="24"/>
        </w:rPr>
        <w:t xml:space="preserve">es the municipalities have improved its business climate over the years </w:t>
      </w:r>
      <w:r w:rsidRPr="002B5507">
        <w:rPr>
          <w:rFonts w:cs="Calibri"/>
          <w:sz w:val="24"/>
          <w:szCs w:val="24"/>
        </w:rPr>
        <w:t>even amidst the challenges posed by the pandemic.</w:t>
      </w:r>
    </w:p>
    <w:p w14:paraId="7A591D95" w14:textId="3B8C3D0A" w:rsidR="001A7BB1" w:rsidRPr="00AE6D90" w:rsidRDefault="001A7BB1" w:rsidP="004118E6">
      <w:pPr>
        <w:spacing w:after="0" w:line="240" w:lineRule="auto"/>
        <w:rPr>
          <w:rFonts w:cs="Calibri"/>
          <w:sz w:val="24"/>
          <w:szCs w:val="24"/>
        </w:rPr>
      </w:pPr>
    </w:p>
    <w:p w14:paraId="5568402B" w14:textId="77777777" w:rsidR="00E46760" w:rsidRPr="00AE6D90" w:rsidRDefault="00E46760" w:rsidP="00A81F98">
      <w:pPr>
        <w:spacing w:after="0" w:line="240" w:lineRule="auto"/>
        <w:rPr>
          <w:rFonts w:cs="Calibri"/>
          <w:b/>
          <w:bCs/>
          <w:sz w:val="24"/>
          <w:szCs w:val="24"/>
        </w:rPr>
      </w:pPr>
    </w:p>
    <w:p w14:paraId="57AEF433" w14:textId="70330469" w:rsidR="00F07014" w:rsidRPr="00AE6D90" w:rsidRDefault="00F07014" w:rsidP="00A81F98">
      <w:pPr>
        <w:spacing w:after="0" w:line="240" w:lineRule="auto"/>
        <w:rPr>
          <w:rFonts w:eastAsia="Times New Roman" w:cs="Calibri"/>
          <w:color w:val="000000"/>
          <w:sz w:val="24"/>
          <w:szCs w:val="24"/>
          <w:lang w:eastAsia="en-PH"/>
        </w:rPr>
      </w:pPr>
      <w:r w:rsidRPr="00AE6D90">
        <w:rPr>
          <w:rFonts w:cs="Calibri"/>
          <w:b/>
          <w:bCs/>
          <w:sz w:val="24"/>
          <w:szCs w:val="24"/>
        </w:rPr>
        <w:t>Conclusi</w:t>
      </w:r>
      <w:r w:rsidR="00532D9A" w:rsidRPr="00AE6D90">
        <w:rPr>
          <w:rFonts w:cs="Calibri"/>
          <w:b/>
          <w:bCs/>
          <w:sz w:val="24"/>
          <w:szCs w:val="24"/>
        </w:rPr>
        <w:t>o</w:t>
      </w:r>
      <w:r w:rsidRPr="00AE6D90">
        <w:rPr>
          <w:rFonts w:cs="Calibri"/>
          <w:b/>
          <w:bCs/>
          <w:sz w:val="24"/>
          <w:szCs w:val="24"/>
        </w:rPr>
        <w:t>n</w:t>
      </w:r>
      <w:r w:rsidR="001A7BB1" w:rsidRPr="00AE6D90">
        <w:rPr>
          <w:rFonts w:cs="Calibri"/>
          <w:b/>
          <w:bCs/>
          <w:sz w:val="24"/>
          <w:szCs w:val="24"/>
        </w:rPr>
        <w:t xml:space="preserve">s </w:t>
      </w:r>
    </w:p>
    <w:p w14:paraId="37ED3AEB" w14:textId="77777777" w:rsidR="002F30C0" w:rsidRPr="00AE6D90" w:rsidRDefault="002F30C0" w:rsidP="002F30C0">
      <w:pPr>
        <w:widowControl w:val="0"/>
        <w:spacing w:after="0" w:line="240" w:lineRule="auto"/>
        <w:ind w:right="100"/>
        <w:jc w:val="both"/>
        <w:rPr>
          <w:rFonts w:eastAsia="Century" w:cs="Calibri"/>
          <w:color w:val="000000"/>
          <w:sz w:val="24"/>
          <w:szCs w:val="24"/>
        </w:rPr>
      </w:pPr>
    </w:p>
    <w:p w14:paraId="1CD88F93" w14:textId="2325F78E" w:rsidR="002F30C0" w:rsidRPr="00AE6D90" w:rsidRDefault="0061508F" w:rsidP="00B5752E">
      <w:pPr>
        <w:autoSpaceDE w:val="0"/>
        <w:autoSpaceDN w:val="0"/>
        <w:adjustRightInd w:val="0"/>
        <w:spacing w:after="0" w:line="240" w:lineRule="auto"/>
        <w:jc w:val="both"/>
        <w:rPr>
          <w:rFonts w:eastAsiaTheme="minorHAnsi" w:cs="Calibri"/>
          <w:sz w:val="24"/>
          <w:szCs w:val="24"/>
        </w:rPr>
      </w:pPr>
      <w:r w:rsidRPr="00AE6D90">
        <w:rPr>
          <w:rFonts w:eastAsiaTheme="minorHAnsi" w:cs="Calibri"/>
          <w:sz w:val="24"/>
          <w:szCs w:val="24"/>
        </w:rPr>
        <w:t xml:space="preserve">The economic dynamism of the municipalities in Mindanao are determined by the pillars that are discussed in this paper. The study was conducted to evaluate factors influencing the economic dynamism of the municipalities in Mindanao, such as resilience, infrastructure, and government efficiency. The information we used for this study came from the Cities and Municipalities Competitive Index, or CMCI. </w:t>
      </w:r>
      <w:r w:rsidRPr="00AE6D90">
        <w:rPr>
          <w:rFonts w:eastAsia="Century" w:cs="Calibri"/>
          <w:color w:val="000000"/>
          <w:sz w:val="24"/>
          <w:szCs w:val="24"/>
        </w:rPr>
        <w:t xml:space="preserve">This study seeks to analyze the drivers of economic dynamism of the 22 municipalities using panel data analysis. </w:t>
      </w:r>
      <w:r w:rsidRPr="00AE6D90">
        <w:rPr>
          <w:rFonts w:eastAsiaTheme="minorHAnsi" w:cs="Calibri"/>
          <w:sz w:val="24"/>
          <w:szCs w:val="24"/>
        </w:rPr>
        <w:t xml:space="preserve">Economic dynamism is </w:t>
      </w:r>
      <w:r w:rsidR="00C84017" w:rsidRPr="00AE6D90">
        <w:rPr>
          <w:rFonts w:eastAsiaTheme="minorHAnsi" w:cs="Calibri"/>
          <w:sz w:val="24"/>
          <w:szCs w:val="24"/>
        </w:rPr>
        <w:t xml:space="preserve">the </w:t>
      </w:r>
      <w:r w:rsidRPr="00AE6D90">
        <w:rPr>
          <w:rFonts w:eastAsiaTheme="minorHAnsi" w:cs="Calibri"/>
          <w:sz w:val="24"/>
          <w:szCs w:val="24"/>
        </w:rPr>
        <w:t>dependent variable, whereas government efficiency</w:t>
      </w:r>
      <w:r w:rsidR="00C84017" w:rsidRPr="00AE6D90">
        <w:rPr>
          <w:rFonts w:eastAsiaTheme="minorHAnsi" w:cs="Calibri"/>
          <w:sz w:val="24"/>
          <w:szCs w:val="24"/>
        </w:rPr>
        <w:t xml:space="preserve">, infrastructure, and resiliency </w:t>
      </w:r>
      <w:r w:rsidRPr="00AE6D90">
        <w:rPr>
          <w:rFonts w:eastAsiaTheme="minorHAnsi" w:cs="Calibri"/>
          <w:sz w:val="24"/>
          <w:szCs w:val="24"/>
        </w:rPr>
        <w:t xml:space="preserve">are </w:t>
      </w:r>
      <w:r w:rsidR="00C84017" w:rsidRPr="00AE6D90">
        <w:rPr>
          <w:rFonts w:eastAsiaTheme="minorHAnsi" w:cs="Calibri"/>
          <w:sz w:val="24"/>
          <w:szCs w:val="24"/>
        </w:rPr>
        <w:t>the</w:t>
      </w:r>
      <w:r w:rsidRPr="00AE6D90">
        <w:rPr>
          <w:rFonts w:eastAsiaTheme="minorHAnsi" w:cs="Calibri"/>
          <w:sz w:val="24"/>
          <w:szCs w:val="24"/>
        </w:rPr>
        <w:t xml:space="preserve"> independent </w:t>
      </w:r>
      <w:r w:rsidR="00C84017" w:rsidRPr="00AE6D90">
        <w:rPr>
          <w:rFonts w:eastAsiaTheme="minorHAnsi" w:cs="Calibri"/>
          <w:sz w:val="24"/>
          <w:szCs w:val="24"/>
        </w:rPr>
        <w:t>variables</w:t>
      </w:r>
      <w:r w:rsidRPr="00AE6D90">
        <w:rPr>
          <w:rFonts w:eastAsiaTheme="minorHAnsi" w:cs="Calibri"/>
          <w:sz w:val="24"/>
          <w:szCs w:val="24"/>
        </w:rPr>
        <w:t xml:space="preserve">. </w:t>
      </w:r>
      <w:r w:rsidR="002F30C0" w:rsidRPr="00AE6D90">
        <w:rPr>
          <w:rFonts w:eastAsia="Century" w:cs="Calibri"/>
          <w:color w:val="000000"/>
          <w:sz w:val="24"/>
          <w:szCs w:val="24"/>
        </w:rPr>
        <w:t xml:space="preserve">Results pointed out that both government efficiency and infrastructure pillars are significant in influencing economic dynamism. Hence, the LGUs must seek to improve their performance on the indicators used for these pillars as </w:t>
      </w:r>
      <w:r w:rsidR="002F30C0" w:rsidRPr="00AE6D90">
        <w:rPr>
          <w:rFonts w:eastAsia="Century" w:cs="Calibri"/>
          <w:sz w:val="24"/>
          <w:szCs w:val="24"/>
        </w:rPr>
        <w:t>an increase in the score of each indicator will have a significant increase in the score of economic dynamism. This will make municipalities create a more-business friendly environment, hence attracting more investors.</w:t>
      </w:r>
      <w:r w:rsidR="00EA585A" w:rsidRPr="00AE6D90">
        <w:rPr>
          <w:rFonts w:eastAsia="Century" w:cs="Calibri"/>
          <w:sz w:val="24"/>
          <w:szCs w:val="24"/>
        </w:rPr>
        <w:t xml:space="preserve"> </w:t>
      </w:r>
      <w:r w:rsidR="00D84EFC" w:rsidRPr="00AE6D90">
        <w:rPr>
          <w:rFonts w:eastAsia="Century" w:cs="Calibri"/>
          <w:sz w:val="24"/>
          <w:szCs w:val="24"/>
        </w:rPr>
        <w:t xml:space="preserve">As to the time-effect component of the variable, it indicates that municipalities able to significantly improve its </w:t>
      </w:r>
      <w:r w:rsidR="00085776" w:rsidRPr="00AE6D90">
        <w:rPr>
          <w:rFonts w:eastAsia="Century" w:cs="Calibri"/>
          <w:sz w:val="24"/>
          <w:szCs w:val="24"/>
        </w:rPr>
        <w:t xml:space="preserve">performance on economic dynamism over the years. </w:t>
      </w:r>
      <w:r w:rsidR="002F30C0" w:rsidRPr="00AE6D90">
        <w:rPr>
          <w:rFonts w:eastAsia="Century" w:cs="Calibri"/>
          <w:sz w:val="24"/>
          <w:szCs w:val="24"/>
        </w:rPr>
        <w:t xml:space="preserve">Lastly, the resiliency pillar turned out not statistically significant in influencing economic dynamism, however, it does not conclude that the </w:t>
      </w:r>
      <w:r w:rsidR="002F30C0" w:rsidRPr="00AE6D90">
        <w:rPr>
          <w:rFonts w:eastAsia="Century" w:cs="Calibri"/>
          <w:sz w:val="24"/>
          <w:szCs w:val="24"/>
        </w:rPr>
        <w:lastRenderedPageBreak/>
        <w:t xml:space="preserve">absence of its effect is absolute. Based on this result, the researchers recommend to the CMCI Competitiveness Bureau to review and enhance the indicators used in measuring resilience pillar to effectively measure and capture resiliency. </w:t>
      </w:r>
    </w:p>
    <w:p w14:paraId="18553494" w14:textId="77777777" w:rsidR="007E1B5D" w:rsidRPr="00AE6D90" w:rsidRDefault="007E1B5D" w:rsidP="00A81F98">
      <w:pPr>
        <w:spacing w:after="0" w:line="240" w:lineRule="auto"/>
        <w:rPr>
          <w:rFonts w:eastAsia="Times New Roman" w:cs="Calibri"/>
          <w:b/>
          <w:bCs/>
          <w:color w:val="0E101A"/>
          <w:sz w:val="24"/>
          <w:szCs w:val="24"/>
          <w:lang w:eastAsia="en-PH"/>
        </w:rPr>
      </w:pPr>
    </w:p>
    <w:p w14:paraId="4CC9FEE0" w14:textId="77777777" w:rsidR="00C35C1A" w:rsidRPr="00AE6D90" w:rsidRDefault="00C35C1A" w:rsidP="00A81F98">
      <w:pPr>
        <w:spacing w:after="0" w:line="240" w:lineRule="auto"/>
        <w:rPr>
          <w:rFonts w:eastAsia="Times New Roman" w:cs="Calibri"/>
          <w:b/>
          <w:bCs/>
          <w:color w:val="0E101A"/>
          <w:sz w:val="24"/>
          <w:szCs w:val="24"/>
          <w:lang w:eastAsia="en-PH"/>
        </w:rPr>
      </w:pPr>
    </w:p>
    <w:p w14:paraId="4A011307" w14:textId="77777777" w:rsidR="00C35C1A" w:rsidRPr="00AE6D90" w:rsidRDefault="00C35C1A" w:rsidP="00A81F98">
      <w:pPr>
        <w:spacing w:after="0" w:line="240" w:lineRule="auto"/>
        <w:rPr>
          <w:rFonts w:eastAsia="Times New Roman" w:cs="Calibri"/>
          <w:b/>
          <w:bCs/>
          <w:color w:val="0E101A"/>
          <w:sz w:val="24"/>
          <w:szCs w:val="24"/>
          <w:lang w:eastAsia="en-PH"/>
        </w:rPr>
      </w:pPr>
    </w:p>
    <w:p w14:paraId="4458F5EA" w14:textId="7C43A440" w:rsidR="00F07014" w:rsidRPr="00550C10" w:rsidRDefault="000755F7" w:rsidP="00A81F98">
      <w:pPr>
        <w:spacing w:after="0" w:line="240" w:lineRule="auto"/>
        <w:rPr>
          <w:rFonts w:eastAsia="Times New Roman" w:cs="Calibri"/>
          <w:b/>
          <w:bCs/>
          <w:color w:val="0E101A"/>
          <w:lang w:eastAsia="en-PH"/>
        </w:rPr>
      </w:pPr>
      <w:r w:rsidRPr="00550C10">
        <w:rPr>
          <w:rFonts w:eastAsia="Times New Roman" w:cs="Calibri"/>
          <w:b/>
          <w:bCs/>
          <w:color w:val="0E101A"/>
          <w:lang w:eastAsia="en-PH"/>
        </w:rPr>
        <w:t>References</w:t>
      </w:r>
    </w:p>
    <w:p w14:paraId="5BBB2386" w14:textId="77777777" w:rsidR="00883CA4" w:rsidRPr="00550C10" w:rsidRDefault="00883CA4" w:rsidP="00A81F98">
      <w:pPr>
        <w:spacing w:after="0" w:line="240" w:lineRule="auto"/>
        <w:rPr>
          <w:rFonts w:eastAsia="Times New Roman" w:cs="Calibri"/>
          <w:b/>
          <w:bCs/>
          <w:color w:val="0E101A"/>
          <w:lang w:eastAsia="en-PH"/>
        </w:rPr>
      </w:pPr>
    </w:p>
    <w:p w14:paraId="135960BF" w14:textId="77777777" w:rsidR="0065573F" w:rsidRPr="00911A11" w:rsidRDefault="0065573F" w:rsidP="0065573F">
      <w:pPr>
        <w:spacing w:after="0"/>
        <w:ind w:left="360" w:hanging="360"/>
        <w:jc w:val="both"/>
        <w:rPr>
          <w:rFonts w:ascii="Garamond" w:eastAsia="Century" w:hAnsi="Garamond" w:cs="Calibri"/>
        </w:rPr>
      </w:pPr>
      <w:r w:rsidRPr="00911A11">
        <w:rPr>
          <w:rFonts w:ascii="Garamond" w:eastAsia="Century" w:hAnsi="Garamond" w:cs="Calibri"/>
        </w:rPr>
        <w:t xml:space="preserve">Arvanitidis, P. A., &amp; Petrakos, G. (2010). Defining Knowledge-Driven Economic Dynamism in the World Economy: A Methodological Perspective. </w:t>
      </w:r>
      <w:r w:rsidRPr="00911A11">
        <w:rPr>
          <w:rFonts w:ascii="Garamond" w:eastAsia="Century" w:hAnsi="Garamond" w:cs="Calibri"/>
          <w:i/>
          <w:iCs/>
        </w:rPr>
        <w:t>Advances in Spatial Science</w:t>
      </w:r>
      <w:r w:rsidRPr="00911A11">
        <w:rPr>
          <w:rFonts w:ascii="Garamond" w:eastAsia="Century" w:hAnsi="Garamond" w:cs="Calibri"/>
        </w:rPr>
        <w:t>, 15–39. https://doi.org/10.1007/978-3-642-14965-8_2</w:t>
      </w:r>
    </w:p>
    <w:p w14:paraId="300B0664" w14:textId="77777777" w:rsidR="0065573F" w:rsidRPr="00911A11" w:rsidRDefault="0065573F" w:rsidP="0065573F">
      <w:pPr>
        <w:spacing w:after="0"/>
        <w:ind w:left="360" w:hanging="360"/>
        <w:jc w:val="both"/>
        <w:rPr>
          <w:rFonts w:ascii="Garamond" w:eastAsia="Century" w:hAnsi="Garamond" w:cs="Calibri"/>
        </w:rPr>
      </w:pPr>
    </w:p>
    <w:p w14:paraId="66E14418" w14:textId="2D7D03E4" w:rsidR="0065573F" w:rsidRPr="00911A11" w:rsidRDefault="0065573F" w:rsidP="0065573F">
      <w:pPr>
        <w:spacing w:after="0"/>
        <w:ind w:left="360" w:hanging="360"/>
        <w:jc w:val="both"/>
        <w:rPr>
          <w:rFonts w:ascii="Garamond" w:eastAsia="Century" w:hAnsi="Garamond" w:cs="Calibri"/>
        </w:rPr>
      </w:pPr>
      <w:r w:rsidRPr="00911A11">
        <w:rPr>
          <w:rFonts w:ascii="Garamond" w:eastAsia="Century" w:hAnsi="Garamond" w:cs="Calibri"/>
        </w:rPr>
        <w:t xml:space="preserve">Berntzen, L., &amp; Johannessen, M. R. (2016). </w:t>
      </w:r>
      <w:r w:rsidRPr="00911A11">
        <w:rPr>
          <w:rFonts w:ascii="Garamond" w:eastAsia="Century" w:hAnsi="Garamond" w:cs="Calibri"/>
          <w:i/>
          <w:iCs/>
        </w:rPr>
        <w:t>The Role of Citizen Participation in Municipal Smart City Projects: Lessons Learned from Norway</w:t>
      </w:r>
      <w:r w:rsidRPr="00911A11">
        <w:rPr>
          <w:rFonts w:ascii="Garamond" w:eastAsia="Century" w:hAnsi="Garamond" w:cs="Calibri"/>
        </w:rPr>
        <w:t>. 299–314. https://doi.org/10.1007/978-3-319-17620-8_16</w:t>
      </w:r>
    </w:p>
    <w:p w14:paraId="67720C2F" w14:textId="77777777" w:rsidR="0065573F" w:rsidRPr="00911A11" w:rsidRDefault="0065573F" w:rsidP="0065573F">
      <w:pPr>
        <w:spacing w:after="0"/>
        <w:ind w:left="360" w:hanging="360"/>
        <w:jc w:val="both"/>
        <w:rPr>
          <w:rFonts w:ascii="Garamond" w:eastAsia="Century" w:hAnsi="Garamond" w:cs="Calibri"/>
        </w:rPr>
      </w:pPr>
    </w:p>
    <w:p w14:paraId="6AFE3C36" w14:textId="3200E586" w:rsidR="0065573F" w:rsidRPr="00911A11" w:rsidRDefault="0065573F" w:rsidP="0065573F">
      <w:pPr>
        <w:spacing w:after="0"/>
        <w:ind w:left="360" w:hanging="360"/>
        <w:jc w:val="both"/>
        <w:rPr>
          <w:rFonts w:ascii="Garamond" w:eastAsia="Century" w:hAnsi="Garamond" w:cs="Calibri"/>
        </w:rPr>
      </w:pPr>
      <w:proofErr w:type="spellStart"/>
      <w:r w:rsidRPr="00911A11">
        <w:rPr>
          <w:rFonts w:ascii="Garamond" w:eastAsia="Century" w:hAnsi="Garamond" w:cs="Calibri"/>
        </w:rPr>
        <w:t>Bruneckiene</w:t>
      </w:r>
      <w:proofErr w:type="spellEnd"/>
      <w:r w:rsidRPr="00911A11">
        <w:rPr>
          <w:rFonts w:ascii="Garamond" w:eastAsia="Century" w:hAnsi="Garamond" w:cs="Calibri"/>
        </w:rPr>
        <w:t xml:space="preserve">, J., </w:t>
      </w:r>
      <w:proofErr w:type="spellStart"/>
      <w:r w:rsidRPr="00911A11">
        <w:rPr>
          <w:rFonts w:ascii="Garamond" w:eastAsia="Century" w:hAnsi="Garamond" w:cs="Calibri"/>
        </w:rPr>
        <w:t>Palekienė</w:t>
      </w:r>
      <w:proofErr w:type="spellEnd"/>
      <w:r w:rsidRPr="00911A11">
        <w:rPr>
          <w:rFonts w:ascii="Garamond" w:eastAsia="Century" w:hAnsi="Garamond" w:cs="Calibri"/>
        </w:rPr>
        <w:t xml:space="preserve">, O., </w:t>
      </w:r>
      <w:proofErr w:type="spellStart"/>
      <w:r w:rsidRPr="00911A11">
        <w:rPr>
          <w:rFonts w:ascii="Garamond" w:eastAsia="Century" w:hAnsi="Garamond" w:cs="Calibri"/>
        </w:rPr>
        <w:t>Simanavičienė</w:t>
      </w:r>
      <w:proofErr w:type="spellEnd"/>
      <w:r w:rsidRPr="00911A11">
        <w:rPr>
          <w:rFonts w:ascii="Garamond" w:eastAsia="Century" w:hAnsi="Garamond" w:cs="Calibri"/>
        </w:rPr>
        <w:t xml:space="preserve">, Ž., &amp; </w:t>
      </w:r>
      <w:proofErr w:type="spellStart"/>
      <w:r w:rsidRPr="00911A11">
        <w:rPr>
          <w:rFonts w:ascii="Garamond" w:eastAsia="Century" w:hAnsi="Garamond" w:cs="Calibri"/>
        </w:rPr>
        <w:t>Rapsikevičius</w:t>
      </w:r>
      <w:proofErr w:type="spellEnd"/>
      <w:r w:rsidRPr="00911A11">
        <w:rPr>
          <w:rFonts w:ascii="Garamond" w:eastAsia="Century" w:hAnsi="Garamond" w:cs="Calibri"/>
        </w:rPr>
        <w:t xml:space="preserve">, J. (2018). Measuring Regional Resilience to Economic Shocks by Index. </w:t>
      </w:r>
      <w:r w:rsidRPr="00911A11">
        <w:rPr>
          <w:rFonts w:ascii="Garamond" w:eastAsia="Century" w:hAnsi="Garamond" w:cs="Calibri"/>
          <w:i/>
          <w:iCs/>
        </w:rPr>
        <w:t>Engineering Economics</w:t>
      </w:r>
      <w:r w:rsidRPr="00911A11">
        <w:rPr>
          <w:rFonts w:ascii="Garamond" w:eastAsia="Century" w:hAnsi="Garamond" w:cs="Calibri"/>
        </w:rPr>
        <w:t xml:space="preserve">, </w:t>
      </w:r>
      <w:r w:rsidRPr="00911A11">
        <w:rPr>
          <w:rFonts w:ascii="Garamond" w:eastAsia="Century" w:hAnsi="Garamond" w:cs="Calibri"/>
          <w:i/>
          <w:iCs/>
        </w:rPr>
        <w:t>29</w:t>
      </w:r>
      <w:r w:rsidRPr="00911A11">
        <w:rPr>
          <w:rFonts w:ascii="Garamond" w:eastAsia="Century" w:hAnsi="Garamond" w:cs="Calibri"/>
        </w:rPr>
        <w:t>(4). https://doi.org/10.5755/j01.ee.29.4.18731</w:t>
      </w:r>
    </w:p>
    <w:p w14:paraId="49F8C582" w14:textId="77777777" w:rsidR="0065573F" w:rsidRPr="00911A11" w:rsidRDefault="0065573F" w:rsidP="0065573F">
      <w:pPr>
        <w:spacing w:after="0"/>
        <w:ind w:left="360" w:hanging="360"/>
        <w:jc w:val="both"/>
        <w:rPr>
          <w:rFonts w:ascii="Garamond" w:eastAsia="Century" w:hAnsi="Garamond" w:cs="Calibri"/>
        </w:rPr>
      </w:pPr>
    </w:p>
    <w:p w14:paraId="3658C83F" w14:textId="1D4A645B" w:rsidR="0065573F" w:rsidRPr="00911A11" w:rsidRDefault="0065573F" w:rsidP="0065573F">
      <w:pPr>
        <w:spacing w:after="0"/>
        <w:ind w:left="360" w:hanging="360"/>
        <w:jc w:val="both"/>
        <w:rPr>
          <w:rFonts w:ascii="Garamond" w:eastAsia="Century" w:hAnsi="Garamond" w:cs="Calibri"/>
        </w:rPr>
      </w:pPr>
      <w:r w:rsidRPr="00911A11">
        <w:rPr>
          <w:rFonts w:ascii="Garamond" w:eastAsia="Century" w:hAnsi="Garamond" w:cs="Calibri"/>
        </w:rPr>
        <w:t xml:space="preserve">Coulombe, C., Maya-Drysdale, D., &amp; McCormick, K. (2022). Local municipalities and the influence of national networks on city climate governance: Small places with big possibilities. </w:t>
      </w:r>
      <w:r w:rsidRPr="00911A11">
        <w:rPr>
          <w:rFonts w:ascii="Garamond" w:eastAsia="Century" w:hAnsi="Garamond" w:cs="Calibri"/>
          <w:i/>
          <w:iCs/>
        </w:rPr>
        <w:t>Frontiers in Sustainable Cities</w:t>
      </w:r>
      <w:r w:rsidRPr="00911A11">
        <w:rPr>
          <w:rFonts w:ascii="Garamond" w:eastAsia="Century" w:hAnsi="Garamond" w:cs="Calibri"/>
        </w:rPr>
        <w:t xml:space="preserve">, </w:t>
      </w:r>
      <w:r w:rsidRPr="00911A11">
        <w:rPr>
          <w:rFonts w:ascii="Garamond" w:eastAsia="Century" w:hAnsi="Garamond" w:cs="Calibri"/>
          <w:i/>
          <w:iCs/>
        </w:rPr>
        <w:t>4</w:t>
      </w:r>
      <w:r w:rsidRPr="00911A11">
        <w:rPr>
          <w:rFonts w:ascii="Garamond" w:eastAsia="Century" w:hAnsi="Garamond" w:cs="Calibri"/>
        </w:rPr>
        <w:t>. https://doi.org/10.3389/frsc.2022.970968</w:t>
      </w:r>
    </w:p>
    <w:p w14:paraId="0706F0A2" w14:textId="77777777" w:rsidR="0065573F" w:rsidRPr="00911A11" w:rsidRDefault="0065573F" w:rsidP="0065573F">
      <w:pPr>
        <w:spacing w:after="0"/>
        <w:ind w:left="360" w:hanging="360"/>
        <w:jc w:val="both"/>
        <w:rPr>
          <w:rFonts w:ascii="Garamond" w:eastAsia="Century" w:hAnsi="Garamond" w:cs="Calibri"/>
        </w:rPr>
      </w:pPr>
    </w:p>
    <w:p w14:paraId="304A1EDD" w14:textId="30426470" w:rsidR="0065573F" w:rsidRPr="00911A11" w:rsidRDefault="0065573F" w:rsidP="0065573F">
      <w:pPr>
        <w:spacing w:after="0"/>
        <w:ind w:left="360" w:hanging="360"/>
        <w:jc w:val="both"/>
        <w:rPr>
          <w:rFonts w:ascii="Garamond" w:eastAsia="Century" w:hAnsi="Garamond" w:cs="Calibri"/>
        </w:rPr>
      </w:pPr>
      <w:r w:rsidRPr="00911A11">
        <w:rPr>
          <w:rFonts w:ascii="Garamond" w:eastAsia="Century" w:hAnsi="Garamond" w:cs="Calibri"/>
        </w:rPr>
        <w:t xml:space="preserve">Department of Trade and Industry Competitiveness Bureau (DTI-CB). (2023). </w:t>
      </w:r>
      <w:r w:rsidRPr="00911A11">
        <w:rPr>
          <w:rFonts w:ascii="Garamond" w:eastAsia="Century" w:hAnsi="Garamond" w:cs="Calibri"/>
          <w:i/>
        </w:rPr>
        <w:t>About the Index</w:t>
      </w:r>
      <w:r w:rsidRPr="00911A11">
        <w:rPr>
          <w:rFonts w:ascii="Garamond" w:eastAsia="Century" w:hAnsi="Garamond" w:cs="Calibri"/>
        </w:rPr>
        <w:t xml:space="preserve">. Retrieved </w:t>
      </w:r>
      <w:r w:rsidR="00B76D52" w:rsidRPr="00911A11">
        <w:rPr>
          <w:rFonts w:ascii="Garamond" w:eastAsia="Century" w:hAnsi="Garamond" w:cs="Calibri"/>
        </w:rPr>
        <w:t xml:space="preserve">September </w:t>
      </w:r>
      <w:r w:rsidRPr="00911A11">
        <w:rPr>
          <w:rFonts w:ascii="Garamond" w:eastAsia="Century" w:hAnsi="Garamond" w:cs="Calibri"/>
        </w:rPr>
        <w:t>13, 202</w:t>
      </w:r>
      <w:r w:rsidR="00B76D52" w:rsidRPr="00911A11">
        <w:rPr>
          <w:rFonts w:ascii="Garamond" w:eastAsia="Century" w:hAnsi="Garamond" w:cs="Calibri"/>
        </w:rPr>
        <w:t>3</w:t>
      </w:r>
      <w:r w:rsidRPr="00911A11">
        <w:rPr>
          <w:rFonts w:ascii="Garamond" w:eastAsia="Century" w:hAnsi="Garamond" w:cs="Calibri"/>
        </w:rPr>
        <w:t xml:space="preserve">, from </w:t>
      </w:r>
      <w:proofErr w:type="gramStart"/>
      <w:r w:rsidRPr="00911A11">
        <w:rPr>
          <w:rFonts w:ascii="Garamond" w:eastAsia="Century" w:hAnsi="Garamond" w:cs="Calibri"/>
        </w:rPr>
        <w:t>https://cmci.dti.gov.ph/about-index.php</w:t>
      </w:r>
      <w:proofErr w:type="gramEnd"/>
    </w:p>
    <w:p w14:paraId="268EDDFA" w14:textId="77777777" w:rsidR="0065573F" w:rsidRPr="00911A11" w:rsidRDefault="0065573F" w:rsidP="0065573F">
      <w:pPr>
        <w:spacing w:after="0"/>
        <w:ind w:left="360" w:hanging="360"/>
        <w:jc w:val="both"/>
        <w:rPr>
          <w:rFonts w:ascii="Garamond" w:eastAsia="Century" w:hAnsi="Garamond" w:cs="Calibri"/>
        </w:rPr>
      </w:pPr>
    </w:p>
    <w:p w14:paraId="51E6838E" w14:textId="4A9E5D06" w:rsidR="0065573F" w:rsidRPr="00911A11" w:rsidRDefault="0065573F" w:rsidP="0065573F">
      <w:pPr>
        <w:spacing w:after="0"/>
        <w:ind w:left="360" w:hanging="360"/>
        <w:jc w:val="both"/>
        <w:rPr>
          <w:rFonts w:ascii="Garamond" w:eastAsia="Century" w:hAnsi="Garamond" w:cs="Calibri"/>
        </w:rPr>
      </w:pPr>
      <w:r w:rsidRPr="00911A11">
        <w:rPr>
          <w:rFonts w:ascii="Garamond" w:eastAsia="Century" w:hAnsi="Garamond" w:cs="Calibri"/>
        </w:rPr>
        <w:t>Department of trade and Industry Competitiveness Bureau (DTI-CB). (202</w:t>
      </w:r>
      <w:r w:rsidR="00B76D52" w:rsidRPr="00911A11">
        <w:rPr>
          <w:rFonts w:ascii="Garamond" w:eastAsia="Century" w:hAnsi="Garamond" w:cs="Calibri"/>
        </w:rPr>
        <w:t>3</w:t>
      </w:r>
      <w:r w:rsidRPr="00911A11">
        <w:rPr>
          <w:rFonts w:ascii="Garamond" w:eastAsia="Century" w:hAnsi="Garamond" w:cs="Calibri"/>
        </w:rPr>
        <w:t xml:space="preserve">). </w:t>
      </w:r>
      <w:r w:rsidRPr="00911A11">
        <w:rPr>
          <w:rFonts w:ascii="Garamond" w:eastAsia="Century" w:hAnsi="Garamond" w:cs="Calibri"/>
          <w:i/>
        </w:rPr>
        <w:t>Indicators</w:t>
      </w:r>
      <w:r w:rsidRPr="00911A11">
        <w:rPr>
          <w:rFonts w:ascii="Garamond" w:eastAsia="Century" w:hAnsi="Garamond" w:cs="Calibri"/>
        </w:rPr>
        <w:t>. Retrieved September 1</w:t>
      </w:r>
      <w:r w:rsidR="00B76D52" w:rsidRPr="00911A11">
        <w:rPr>
          <w:rFonts w:ascii="Garamond" w:eastAsia="Century" w:hAnsi="Garamond" w:cs="Calibri"/>
        </w:rPr>
        <w:t>3</w:t>
      </w:r>
      <w:r w:rsidRPr="00911A11">
        <w:rPr>
          <w:rFonts w:ascii="Garamond" w:eastAsia="Century" w:hAnsi="Garamond" w:cs="Calibri"/>
        </w:rPr>
        <w:t xml:space="preserve">, </w:t>
      </w:r>
      <w:proofErr w:type="gramStart"/>
      <w:r w:rsidRPr="00911A11">
        <w:rPr>
          <w:rFonts w:ascii="Garamond" w:eastAsia="Century" w:hAnsi="Garamond" w:cs="Calibri"/>
        </w:rPr>
        <w:t>202</w:t>
      </w:r>
      <w:r w:rsidR="00B76D52" w:rsidRPr="00911A11">
        <w:rPr>
          <w:rFonts w:ascii="Garamond" w:eastAsia="Century" w:hAnsi="Garamond" w:cs="Calibri"/>
        </w:rPr>
        <w:t>3</w:t>
      </w:r>
      <w:proofErr w:type="gramEnd"/>
      <w:r w:rsidRPr="00911A11">
        <w:rPr>
          <w:rFonts w:ascii="Garamond" w:eastAsia="Century" w:hAnsi="Garamond" w:cs="Calibri"/>
        </w:rPr>
        <w:t xml:space="preserve"> from https://cmci.dti.gov.ph/about-indicators.php</w:t>
      </w:r>
    </w:p>
    <w:p w14:paraId="1351C038" w14:textId="77777777" w:rsidR="0065573F" w:rsidRPr="00911A11" w:rsidRDefault="0065573F" w:rsidP="0065573F">
      <w:pPr>
        <w:spacing w:after="0"/>
        <w:ind w:left="360" w:hanging="360"/>
        <w:jc w:val="both"/>
        <w:rPr>
          <w:rFonts w:ascii="Garamond" w:eastAsia="Century" w:hAnsi="Garamond" w:cs="Calibri"/>
        </w:rPr>
      </w:pPr>
    </w:p>
    <w:p w14:paraId="4247F1D2" w14:textId="5C27E686" w:rsidR="0065573F" w:rsidRPr="00911A11" w:rsidRDefault="0065573F" w:rsidP="0065573F">
      <w:pPr>
        <w:spacing w:after="0"/>
        <w:ind w:left="360" w:hanging="360"/>
        <w:jc w:val="both"/>
        <w:rPr>
          <w:rFonts w:ascii="Garamond" w:eastAsia="Century" w:hAnsi="Garamond" w:cs="Calibri"/>
        </w:rPr>
      </w:pPr>
      <w:proofErr w:type="spellStart"/>
      <w:r w:rsidRPr="00911A11">
        <w:rPr>
          <w:rFonts w:ascii="Garamond" w:eastAsia="Century" w:hAnsi="Garamond" w:cs="Calibri"/>
        </w:rPr>
        <w:t>D'lonsod</w:t>
      </w:r>
      <w:proofErr w:type="spellEnd"/>
      <w:r w:rsidRPr="00911A11">
        <w:rPr>
          <w:rFonts w:ascii="Garamond" w:eastAsia="Century" w:hAnsi="Garamond" w:cs="Calibri"/>
        </w:rPr>
        <w:t xml:space="preserve">, L.M., </w:t>
      </w:r>
      <w:proofErr w:type="spellStart"/>
      <w:r w:rsidRPr="00911A11">
        <w:rPr>
          <w:rFonts w:ascii="Garamond" w:eastAsia="Century" w:hAnsi="Garamond" w:cs="Calibri"/>
        </w:rPr>
        <w:t>Dumapias</w:t>
      </w:r>
      <w:proofErr w:type="spellEnd"/>
      <w:r w:rsidRPr="00911A11">
        <w:rPr>
          <w:rFonts w:ascii="Garamond" w:eastAsia="Century" w:hAnsi="Garamond" w:cs="Calibri"/>
        </w:rPr>
        <w:t>, D., Fajardo, S., &amp; Teves, M.R (2019). Drivers of Economic Dynamism Among Philippine Cities. Accessed from</w:t>
      </w:r>
      <w:r w:rsidR="00B76D52" w:rsidRPr="00911A11">
        <w:rPr>
          <w:rFonts w:ascii="Garamond" w:eastAsia="Century" w:hAnsi="Garamond" w:cs="Calibri"/>
        </w:rPr>
        <w:t xml:space="preserve"> </w:t>
      </w:r>
      <w:r w:rsidRPr="00911A11">
        <w:rPr>
          <w:rFonts w:ascii="Garamond" w:eastAsia="Century" w:hAnsi="Garamond" w:cs="Calibri"/>
        </w:rPr>
        <w:t xml:space="preserve">https://cmci.dti.gov.ph/downloads/forms/2019_Top%202_Drivers%20of%20Economic%20Dynamism%20among%20Philippine%20%20Cities.pdf. </w:t>
      </w:r>
    </w:p>
    <w:p w14:paraId="5D14D815" w14:textId="77777777" w:rsidR="0065573F" w:rsidRPr="00911A11" w:rsidRDefault="0065573F" w:rsidP="0065573F">
      <w:pPr>
        <w:spacing w:after="0"/>
        <w:ind w:left="360" w:hanging="360"/>
        <w:jc w:val="both"/>
        <w:rPr>
          <w:rFonts w:ascii="Garamond" w:eastAsia="Century" w:hAnsi="Garamond" w:cs="Calibri"/>
        </w:rPr>
      </w:pPr>
    </w:p>
    <w:p w14:paraId="03B292D2" w14:textId="77777777" w:rsidR="0065573F" w:rsidRPr="00911A11" w:rsidRDefault="0065573F" w:rsidP="0065573F">
      <w:pPr>
        <w:spacing w:after="0"/>
        <w:ind w:left="360" w:hanging="360"/>
        <w:jc w:val="both"/>
        <w:rPr>
          <w:rFonts w:ascii="Garamond" w:eastAsia="Century" w:hAnsi="Garamond" w:cs="Calibri"/>
        </w:rPr>
      </w:pPr>
      <w:r w:rsidRPr="00911A11">
        <w:rPr>
          <w:rFonts w:ascii="Garamond" w:eastAsia="Century" w:hAnsi="Garamond" w:cs="Calibri"/>
        </w:rPr>
        <w:t xml:space="preserve">Du, J., &amp; Douch, M. (2018). </w:t>
      </w:r>
      <w:r w:rsidRPr="00911A11">
        <w:rPr>
          <w:rFonts w:ascii="Garamond" w:eastAsia="Century" w:hAnsi="Garamond" w:cs="Calibri"/>
          <w:i/>
          <w:iCs/>
        </w:rPr>
        <w:t>Infrastructure and Productivity: A Review</w:t>
      </w:r>
      <w:r w:rsidRPr="00911A11">
        <w:rPr>
          <w:rFonts w:ascii="Garamond" w:eastAsia="Century" w:hAnsi="Garamond" w:cs="Calibri"/>
        </w:rPr>
        <w:t>. https://www.wmca.org.uk/media/2230/infrastructure.pdf</w:t>
      </w:r>
    </w:p>
    <w:p w14:paraId="4552F78E" w14:textId="77777777" w:rsidR="00B76D52" w:rsidRPr="00911A11" w:rsidRDefault="00B76D52" w:rsidP="0065573F">
      <w:pPr>
        <w:spacing w:after="0"/>
        <w:ind w:left="360" w:hanging="360"/>
        <w:jc w:val="both"/>
        <w:rPr>
          <w:rFonts w:ascii="Garamond" w:eastAsia="Century" w:hAnsi="Garamond" w:cs="Calibri"/>
        </w:rPr>
      </w:pPr>
    </w:p>
    <w:p w14:paraId="74B7390F" w14:textId="01C3885D" w:rsidR="0065573F" w:rsidRPr="00911A11" w:rsidRDefault="0065573F" w:rsidP="0065573F">
      <w:pPr>
        <w:spacing w:after="0"/>
        <w:ind w:left="360" w:hanging="360"/>
        <w:jc w:val="both"/>
        <w:rPr>
          <w:rFonts w:ascii="Garamond" w:eastAsia="Century" w:hAnsi="Garamond" w:cs="Calibri"/>
        </w:rPr>
      </w:pPr>
      <w:r w:rsidRPr="00911A11">
        <w:rPr>
          <w:rFonts w:ascii="Garamond" w:eastAsia="Century" w:hAnsi="Garamond" w:cs="Calibri"/>
        </w:rPr>
        <w:t xml:space="preserve">E. B., U., &amp; Bassey, E. (2017). Infrastructure, Human </w:t>
      </w:r>
      <w:proofErr w:type="gramStart"/>
      <w:r w:rsidRPr="00911A11">
        <w:rPr>
          <w:rFonts w:ascii="Garamond" w:eastAsia="Century" w:hAnsi="Garamond" w:cs="Calibri"/>
        </w:rPr>
        <w:t>Capital</w:t>
      </w:r>
      <w:proofErr w:type="gramEnd"/>
      <w:r w:rsidRPr="00911A11">
        <w:rPr>
          <w:rFonts w:ascii="Garamond" w:eastAsia="Century" w:hAnsi="Garamond" w:cs="Calibri"/>
        </w:rPr>
        <w:t xml:space="preserve"> and Industrialization in Nigeria. </w:t>
      </w:r>
      <w:r w:rsidRPr="00911A11">
        <w:rPr>
          <w:rFonts w:ascii="Garamond" w:eastAsia="Century" w:hAnsi="Garamond" w:cs="Calibri"/>
          <w:i/>
          <w:iCs/>
        </w:rPr>
        <w:t>Nile Journal of Business and Economics</w:t>
      </w:r>
      <w:r w:rsidRPr="00911A11">
        <w:rPr>
          <w:rFonts w:ascii="Garamond" w:eastAsia="Century" w:hAnsi="Garamond" w:cs="Calibri"/>
        </w:rPr>
        <w:t xml:space="preserve">, </w:t>
      </w:r>
      <w:r w:rsidRPr="00911A11">
        <w:rPr>
          <w:rFonts w:ascii="Garamond" w:eastAsia="Century" w:hAnsi="Garamond" w:cs="Calibri"/>
          <w:i/>
          <w:iCs/>
        </w:rPr>
        <w:t>3</w:t>
      </w:r>
      <w:r w:rsidRPr="00911A11">
        <w:rPr>
          <w:rFonts w:ascii="Garamond" w:eastAsia="Century" w:hAnsi="Garamond" w:cs="Calibri"/>
        </w:rPr>
        <w:t>(6), 58. https://doi.org/10.20321/nilejbe.v3i6.102</w:t>
      </w:r>
    </w:p>
    <w:p w14:paraId="7EFF293C" w14:textId="77777777" w:rsidR="00B76D52" w:rsidRPr="00911A11" w:rsidRDefault="00B76D52" w:rsidP="0065573F">
      <w:pPr>
        <w:spacing w:after="0"/>
        <w:ind w:left="360" w:hanging="360"/>
        <w:jc w:val="both"/>
        <w:rPr>
          <w:rFonts w:ascii="Garamond" w:eastAsia="Century" w:hAnsi="Garamond" w:cs="Calibri"/>
        </w:rPr>
      </w:pPr>
    </w:p>
    <w:p w14:paraId="3414EC30" w14:textId="1AEFDD08" w:rsidR="0065573F" w:rsidRPr="00911A11" w:rsidRDefault="0065573F" w:rsidP="0065573F">
      <w:pPr>
        <w:spacing w:after="0"/>
        <w:ind w:left="360" w:hanging="360"/>
        <w:jc w:val="both"/>
        <w:rPr>
          <w:rFonts w:ascii="Garamond" w:eastAsia="Century" w:hAnsi="Garamond" w:cs="Calibri"/>
        </w:rPr>
      </w:pPr>
      <w:proofErr w:type="spellStart"/>
      <w:r w:rsidRPr="00911A11">
        <w:rPr>
          <w:rFonts w:ascii="Garamond" w:eastAsia="Century" w:hAnsi="Garamond" w:cs="Calibri"/>
        </w:rPr>
        <w:t>Elsnari</w:t>
      </w:r>
      <w:proofErr w:type="spellEnd"/>
      <w:r w:rsidRPr="00911A11">
        <w:rPr>
          <w:rFonts w:ascii="Garamond" w:eastAsia="Century" w:hAnsi="Garamond" w:cs="Calibri"/>
        </w:rPr>
        <w:t xml:space="preserve">, A. (2018). </w:t>
      </w:r>
      <w:r w:rsidRPr="00911A11">
        <w:rPr>
          <w:rFonts w:ascii="Garamond" w:eastAsia="Century" w:hAnsi="Garamond" w:cs="Calibri"/>
          <w:i/>
          <w:iCs/>
        </w:rPr>
        <w:t xml:space="preserve">The Impact of Public Infrastructure on Productivity: New Evidence for </w:t>
      </w:r>
      <w:proofErr w:type="spellStart"/>
      <w:r w:rsidRPr="00911A11">
        <w:rPr>
          <w:rFonts w:ascii="Garamond" w:eastAsia="Century" w:hAnsi="Garamond" w:cs="Calibri"/>
          <w:i/>
          <w:iCs/>
        </w:rPr>
        <w:t>Australia.DOI</w:t>
      </w:r>
      <w:proofErr w:type="spellEnd"/>
      <w:r w:rsidRPr="00911A11">
        <w:rPr>
          <w:rFonts w:ascii="Garamond" w:eastAsia="Century" w:hAnsi="Garamond" w:cs="Calibri"/>
          <w:i/>
          <w:iCs/>
        </w:rPr>
        <w:t xml:space="preserve"> Name 10.2139 Values</w:t>
      </w:r>
      <w:r w:rsidRPr="00911A11">
        <w:rPr>
          <w:rFonts w:ascii="Garamond" w:eastAsia="Century" w:hAnsi="Garamond" w:cs="Calibri"/>
        </w:rPr>
        <w:t>. Doi.org. http://dx.doi.org/10.2139</w:t>
      </w:r>
    </w:p>
    <w:p w14:paraId="63BC2FC8" w14:textId="77777777" w:rsidR="00B76D52" w:rsidRPr="00911A11" w:rsidRDefault="00B76D52" w:rsidP="0065573F">
      <w:pPr>
        <w:spacing w:after="0"/>
        <w:ind w:left="360" w:hanging="360"/>
        <w:jc w:val="both"/>
        <w:rPr>
          <w:rFonts w:ascii="Garamond" w:eastAsia="Century" w:hAnsi="Garamond" w:cs="Calibri"/>
        </w:rPr>
      </w:pPr>
    </w:p>
    <w:p w14:paraId="21B5AB1B" w14:textId="1DDDDEE1" w:rsidR="0065573F" w:rsidRPr="00911A11" w:rsidRDefault="0065573F" w:rsidP="0065573F">
      <w:pPr>
        <w:spacing w:after="0"/>
        <w:ind w:left="360" w:hanging="360"/>
        <w:jc w:val="both"/>
        <w:rPr>
          <w:rFonts w:ascii="Garamond" w:eastAsia="Century" w:hAnsi="Garamond" w:cs="Calibri"/>
        </w:rPr>
      </w:pPr>
      <w:r w:rsidRPr="00911A11">
        <w:rPr>
          <w:rFonts w:ascii="Garamond" w:eastAsia="Century" w:hAnsi="Garamond" w:cs="Calibri"/>
        </w:rPr>
        <w:t xml:space="preserve">Farinha, L., Lopes, J., Bagchi-Sen, S., Sebastião, J. R., &amp; Oliveira, J. (2020). Entrepreneurial dynamics and government policies to boost entrepreneurship performance. </w:t>
      </w:r>
      <w:r w:rsidRPr="00911A11">
        <w:rPr>
          <w:rFonts w:ascii="Garamond" w:eastAsia="Century" w:hAnsi="Garamond" w:cs="Calibri"/>
          <w:i/>
          <w:iCs/>
        </w:rPr>
        <w:t>Socio-Economic Planning Sciences</w:t>
      </w:r>
      <w:r w:rsidRPr="00911A11">
        <w:rPr>
          <w:rFonts w:ascii="Garamond" w:eastAsia="Century" w:hAnsi="Garamond" w:cs="Calibri"/>
        </w:rPr>
        <w:t>, 100950. https://doi.org/10.1016/j.seps.2020.100950</w:t>
      </w:r>
    </w:p>
    <w:p w14:paraId="28756F73" w14:textId="77777777" w:rsidR="00B76D52" w:rsidRPr="00911A11" w:rsidRDefault="00B76D52" w:rsidP="0065573F">
      <w:pPr>
        <w:spacing w:after="0"/>
        <w:ind w:left="360" w:hanging="360"/>
        <w:jc w:val="both"/>
        <w:rPr>
          <w:rFonts w:ascii="Garamond" w:eastAsia="Century" w:hAnsi="Garamond" w:cs="Calibri"/>
        </w:rPr>
      </w:pPr>
    </w:p>
    <w:p w14:paraId="5171F117" w14:textId="458207E3" w:rsidR="0065573F" w:rsidRPr="00911A11" w:rsidRDefault="0065573F" w:rsidP="0065573F">
      <w:pPr>
        <w:spacing w:after="0"/>
        <w:ind w:left="360" w:hanging="360"/>
        <w:jc w:val="both"/>
        <w:rPr>
          <w:rFonts w:ascii="Garamond" w:eastAsia="Century" w:hAnsi="Garamond" w:cs="Calibri"/>
        </w:rPr>
      </w:pPr>
      <w:r w:rsidRPr="00911A11">
        <w:rPr>
          <w:rFonts w:ascii="Garamond" w:eastAsia="Century" w:hAnsi="Garamond" w:cs="Calibri"/>
          <w:lang w:val="it-IT"/>
        </w:rPr>
        <w:t xml:space="preserve">Fratesi, U., &amp; Rodríguez-Pose, A. (2016). </w:t>
      </w:r>
      <w:r w:rsidRPr="00911A11">
        <w:rPr>
          <w:rFonts w:ascii="Garamond" w:eastAsia="Century" w:hAnsi="Garamond" w:cs="Calibri"/>
        </w:rPr>
        <w:t xml:space="preserve">The crisis and regional employment in Europe: what role for sheltered economies? </w:t>
      </w:r>
      <w:r w:rsidRPr="00911A11">
        <w:rPr>
          <w:rFonts w:ascii="Garamond" w:eastAsia="Century" w:hAnsi="Garamond" w:cs="Calibri"/>
          <w:i/>
          <w:iCs/>
        </w:rPr>
        <w:t xml:space="preserve">Cambridge Journal of Regions, </w:t>
      </w:r>
      <w:proofErr w:type="gramStart"/>
      <w:r w:rsidRPr="00911A11">
        <w:rPr>
          <w:rFonts w:ascii="Garamond" w:eastAsia="Century" w:hAnsi="Garamond" w:cs="Calibri"/>
          <w:i/>
          <w:iCs/>
        </w:rPr>
        <w:t>Economy</w:t>
      </w:r>
      <w:proofErr w:type="gramEnd"/>
      <w:r w:rsidRPr="00911A11">
        <w:rPr>
          <w:rFonts w:ascii="Garamond" w:eastAsia="Century" w:hAnsi="Garamond" w:cs="Calibri"/>
          <w:i/>
          <w:iCs/>
        </w:rPr>
        <w:t xml:space="preserve"> and Society</w:t>
      </w:r>
      <w:r w:rsidRPr="00911A11">
        <w:rPr>
          <w:rFonts w:ascii="Garamond" w:eastAsia="Century" w:hAnsi="Garamond" w:cs="Calibri"/>
        </w:rPr>
        <w:t xml:space="preserve">, </w:t>
      </w:r>
      <w:r w:rsidRPr="00911A11">
        <w:rPr>
          <w:rFonts w:ascii="Garamond" w:eastAsia="Century" w:hAnsi="Garamond" w:cs="Calibri"/>
          <w:i/>
          <w:iCs/>
        </w:rPr>
        <w:t>9</w:t>
      </w:r>
      <w:r w:rsidRPr="00911A11">
        <w:rPr>
          <w:rFonts w:ascii="Garamond" w:eastAsia="Century" w:hAnsi="Garamond" w:cs="Calibri"/>
        </w:rPr>
        <w:t>(1), 33–57. https://doi.org/10.1093/cjres/rsv032</w:t>
      </w:r>
    </w:p>
    <w:p w14:paraId="3282BC27" w14:textId="77777777" w:rsidR="00B76D52" w:rsidRPr="00911A11" w:rsidRDefault="00B76D52" w:rsidP="0065573F">
      <w:pPr>
        <w:spacing w:after="0"/>
        <w:ind w:left="360" w:hanging="360"/>
        <w:jc w:val="both"/>
        <w:rPr>
          <w:rFonts w:ascii="Garamond" w:eastAsia="Century" w:hAnsi="Garamond" w:cs="Calibri"/>
        </w:rPr>
      </w:pPr>
    </w:p>
    <w:p w14:paraId="1B3AE7BC" w14:textId="3C415C67" w:rsidR="0065573F" w:rsidRPr="00911A11" w:rsidRDefault="0065573F" w:rsidP="0065573F">
      <w:pPr>
        <w:spacing w:after="0"/>
        <w:ind w:left="360" w:hanging="360"/>
        <w:jc w:val="both"/>
        <w:rPr>
          <w:rFonts w:ascii="Garamond" w:eastAsia="Century" w:hAnsi="Garamond" w:cs="Calibri"/>
        </w:rPr>
      </w:pPr>
      <w:r w:rsidRPr="00911A11">
        <w:rPr>
          <w:rFonts w:ascii="Garamond" w:eastAsia="Century" w:hAnsi="Garamond" w:cs="Calibri"/>
        </w:rPr>
        <w:t>González-García, S., Rama, M., Cortés, A., García-</w:t>
      </w:r>
      <w:proofErr w:type="spellStart"/>
      <w:r w:rsidRPr="00911A11">
        <w:rPr>
          <w:rFonts w:ascii="Garamond" w:eastAsia="Century" w:hAnsi="Garamond" w:cs="Calibri"/>
        </w:rPr>
        <w:t>Guaita</w:t>
      </w:r>
      <w:proofErr w:type="spellEnd"/>
      <w:r w:rsidRPr="00911A11">
        <w:rPr>
          <w:rFonts w:ascii="Garamond" w:eastAsia="Century" w:hAnsi="Garamond" w:cs="Calibri"/>
        </w:rPr>
        <w:t xml:space="preserve">, F., Núñez, A., Louro, L. G., Moreira, M. T., &amp; Feijoo, G. (2019). Embedding environmental, </w:t>
      </w:r>
      <w:proofErr w:type="gramStart"/>
      <w:r w:rsidRPr="00911A11">
        <w:rPr>
          <w:rFonts w:ascii="Garamond" w:eastAsia="Century" w:hAnsi="Garamond" w:cs="Calibri"/>
        </w:rPr>
        <w:t>economic</w:t>
      </w:r>
      <w:proofErr w:type="gramEnd"/>
      <w:r w:rsidRPr="00911A11">
        <w:rPr>
          <w:rFonts w:ascii="Garamond" w:eastAsia="Century" w:hAnsi="Garamond" w:cs="Calibri"/>
        </w:rPr>
        <w:t xml:space="preserve"> and social indicators in the evaluation of the sustainability of the municipalities of Galicia (northwest of Spain). </w:t>
      </w:r>
      <w:r w:rsidRPr="00911A11">
        <w:rPr>
          <w:rFonts w:ascii="Garamond" w:eastAsia="Century" w:hAnsi="Garamond" w:cs="Calibri"/>
          <w:i/>
          <w:iCs/>
        </w:rPr>
        <w:t>Journal of Cleaner Production</w:t>
      </w:r>
      <w:r w:rsidRPr="00911A11">
        <w:rPr>
          <w:rFonts w:ascii="Garamond" w:eastAsia="Century" w:hAnsi="Garamond" w:cs="Calibri"/>
        </w:rPr>
        <w:t xml:space="preserve">, </w:t>
      </w:r>
      <w:r w:rsidRPr="00911A11">
        <w:rPr>
          <w:rFonts w:ascii="Garamond" w:eastAsia="Century" w:hAnsi="Garamond" w:cs="Calibri"/>
          <w:i/>
          <w:iCs/>
        </w:rPr>
        <w:t>234</w:t>
      </w:r>
      <w:r w:rsidRPr="00911A11">
        <w:rPr>
          <w:rFonts w:ascii="Garamond" w:eastAsia="Century" w:hAnsi="Garamond" w:cs="Calibri"/>
        </w:rPr>
        <w:t>, 27–42. https://doi.org/10.1016/j.jclepro.2019.06.158</w:t>
      </w:r>
    </w:p>
    <w:p w14:paraId="25D2A5A3" w14:textId="77777777" w:rsidR="00B76D52" w:rsidRPr="00911A11" w:rsidRDefault="00B76D52" w:rsidP="0065573F">
      <w:pPr>
        <w:spacing w:after="0"/>
        <w:ind w:left="360" w:hanging="360"/>
        <w:jc w:val="both"/>
        <w:rPr>
          <w:rFonts w:ascii="Garamond" w:eastAsia="Century" w:hAnsi="Garamond" w:cs="Calibri"/>
        </w:rPr>
      </w:pPr>
    </w:p>
    <w:p w14:paraId="3DD8CBBF" w14:textId="5C78EAC0" w:rsidR="0065573F" w:rsidRPr="00911A11" w:rsidRDefault="0065573F" w:rsidP="0065573F">
      <w:pPr>
        <w:spacing w:after="0"/>
        <w:ind w:left="360" w:hanging="360"/>
        <w:jc w:val="both"/>
        <w:rPr>
          <w:rFonts w:ascii="Garamond" w:eastAsia="Century" w:hAnsi="Garamond" w:cs="Calibri"/>
        </w:rPr>
      </w:pPr>
      <w:r w:rsidRPr="00911A11">
        <w:rPr>
          <w:rFonts w:ascii="Garamond" w:eastAsia="Century" w:hAnsi="Garamond" w:cs="Calibri"/>
        </w:rPr>
        <w:t xml:space="preserve">Khalid, A. M., Sharma, S., &amp; Dubey, A. K. (2019). Data Gap Analysis, Indicator </w:t>
      </w:r>
      <w:proofErr w:type="gramStart"/>
      <w:r w:rsidRPr="00911A11">
        <w:rPr>
          <w:rFonts w:ascii="Garamond" w:eastAsia="Century" w:hAnsi="Garamond" w:cs="Calibri"/>
        </w:rPr>
        <w:t>Selection</w:t>
      </w:r>
      <w:proofErr w:type="gramEnd"/>
      <w:r w:rsidRPr="00911A11">
        <w:rPr>
          <w:rFonts w:ascii="Garamond" w:eastAsia="Century" w:hAnsi="Garamond" w:cs="Calibri"/>
        </w:rPr>
        <w:t xml:space="preserve"> and Index Development: A Case for Developing Economies. </w:t>
      </w:r>
      <w:r w:rsidRPr="00911A11">
        <w:rPr>
          <w:rFonts w:ascii="Garamond" w:eastAsia="Century" w:hAnsi="Garamond" w:cs="Calibri"/>
          <w:i/>
          <w:iCs/>
        </w:rPr>
        <w:t>Social Indicators Research</w:t>
      </w:r>
      <w:r w:rsidRPr="00911A11">
        <w:rPr>
          <w:rFonts w:ascii="Garamond" w:eastAsia="Century" w:hAnsi="Garamond" w:cs="Calibri"/>
        </w:rPr>
        <w:t xml:space="preserve">, </w:t>
      </w:r>
      <w:r w:rsidRPr="00911A11">
        <w:rPr>
          <w:rFonts w:ascii="Garamond" w:eastAsia="Century" w:hAnsi="Garamond" w:cs="Calibri"/>
          <w:i/>
          <w:iCs/>
        </w:rPr>
        <w:t>148</w:t>
      </w:r>
      <w:r w:rsidRPr="00911A11">
        <w:rPr>
          <w:rFonts w:ascii="Garamond" w:eastAsia="Century" w:hAnsi="Garamond" w:cs="Calibri"/>
        </w:rPr>
        <w:t>(3), 893–960. https://doi.org/10.1007/s11205-019-02225-6</w:t>
      </w:r>
    </w:p>
    <w:p w14:paraId="4F053D87" w14:textId="77777777" w:rsidR="00B76D52" w:rsidRPr="00911A11" w:rsidRDefault="00B76D52" w:rsidP="0065573F">
      <w:pPr>
        <w:spacing w:after="0"/>
        <w:ind w:left="360" w:hanging="360"/>
        <w:jc w:val="both"/>
        <w:rPr>
          <w:rFonts w:ascii="Garamond" w:eastAsia="Century" w:hAnsi="Garamond" w:cs="Calibri"/>
        </w:rPr>
      </w:pPr>
    </w:p>
    <w:p w14:paraId="410D3DEC" w14:textId="1D29288C" w:rsidR="0065573F" w:rsidRPr="00911A11" w:rsidRDefault="0065573F" w:rsidP="0065573F">
      <w:pPr>
        <w:spacing w:after="0"/>
        <w:ind w:left="360" w:hanging="360"/>
        <w:jc w:val="both"/>
        <w:rPr>
          <w:rFonts w:ascii="Garamond" w:eastAsia="Century" w:hAnsi="Garamond" w:cs="Calibri"/>
        </w:rPr>
      </w:pPr>
      <w:r w:rsidRPr="00911A11">
        <w:rPr>
          <w:rFonts w:ascii="Garamond" w:eastAsia="Century" w:hAnsi="Garamond" w:cs="Calibri"/>
        </w:rPr>
        <w:t xml:space="preserve">Kronsell, A., &amp; Mukhtar-Landgren, D. (2018). Experimental governance: the role of municipalities in urban living labs. </w:t>
      </w:r>
      <w:r w:rsidRPr="00911A11">
        <w:rPr>
          <w:rFonts w:ascii="Garamond" w:eastAsia="Century" w:hAnsi="Garamond" w:cs="Calibri"/>
          <w:i/>
          <w:iCs/>
        </w:rPr>
        <w:t>European Planning Studies</w:t>
      </w:r>
      <w:r w:rsidRPr="00911A11">
        <w:rPr>
          <w:rFonts w:ascii="Garamond" w:eastAsia="Century" w:hAnsi="Garamond" w:cs="Calibri"/>
        </w:rPr>
        <w:t xml:space="preserve">, </w:t>
      </w:r>
      <w:r w:rsidRPr="00911A11">
        <w:rPr>
          <w:rFonts w:ascii="Garamond" w:eastAsia="Century" w:hAnsi="Garamond" w:cs="Calibri"/>
          <w:i/>
          <w:iCs/>
        </w:rPr>
        <w:t>26</w:t>
      </w:r>
      <w:r w:rsidRPr="00911A11">
        <w:rPr>
          <w:rFonts w:ascii="Garamond" w:eastAsia="Century" w:hAnsi="Garamond" w:cs="Calibri"/>
        </w:rPr>
        <w:t>(5), 988–1007. https://doi.org/10.1080/09654313.2018.1435631</w:t>
      </w:r>
    </w:p>
    <w:p w14:paraId="4C9B69E7" w14:textId="77777777" w:rsidR="00B76D52" w:rsidRPr="00911A11" w:rsidRDefault="00B76D52" w:rsidP="0065573F">
      <w:pPr>
        <w:spacing w:after="0"/>
        <w:ind w:left="360" w:hanging="360"/>
        <w:jc w:val="both"/>
        <w:rPr>
          <w:rFonts w:ascii="Garamond" w:eastAsia="Century" w:hAnsi="Garamond" w:cs="Calibri"/>
        </w:rPr>
      </w:pPr>
    </w:p>
    <w:p w14:paraId="340D50EA" w14:textId="17164680" w:rsidR="0065573F" w:rsidRPr="00911A11" w:rsidRDefault="0065573F" w:rsidP="0065573F">
      <w:pPr>
        <w:spacing w:after="0"/>
        <w:ind w:left="360" w:hanging="360"/>
        <w:jc w:val="both"/>
        <w:rPr>
          <w:rFonts w:ascii="Garamond" w:eastAsia="Century" w:hAnsi="Garamond" w:cs="Calibri"/>
        </w:rPr>
      </w:pPr>
      <w:proofErr w:type="spellStart"/>
      <w:r w:rsidRPr="00911A11">
        <w:rPr>
          <w:rFonts w:ascii="Garamond" w:eastAsia="Century" w:hAnsi="Garamond" w:cs="Calibri"/>
        </w:rPr>
        <w:t>Kutlar</w:t>
      </w:r>
      <w:proofErr w:type="spellEnd"/>
      <w:r w:rsidRPr="00911A11">
        <w:rPr>
          <w:rFonts w:ascii="Garamond" w:eastAsia="Century" w:hAnsi="Garamond" w:cs="Calibri"/>
        </w:rPr>
        <w:t xml:space="preserve">, A., Bakirci, F., &amp; Yüksel, F. (2012). An analysis on the economic effectiveness of municipalities in Turkey. </w:t>
      </w:r>
      <w:r w:rsidRPr="00911A11">
        <w:rPr>
          <w:rFonts w:ascii="Garamond" w:eastAsia="Century" w:hAnsi="Garamond" w:cs="Calibri"/>
          <w:i/>
          <w:iCs/>
        </w:rPr>
        <w:t>African Journal of Marketing Management</w:t>
      </w:r>
      <w:r w:rsidRPr="00911A11">
        <w:rPr>
          <w:rFonts w:ascii="Garamond" w:eastAsia="Century" w:hAnsi="Garamond" w:cs="Calibri"/>
        </w:rPr>
        <w:t xml:space="preserve">, </w:t>
      </w:r>
      <w:r w:rsidRPr="00911A11">
        <w:rPr>
          <w:rFonts w:ascii="Garamond" w:eastAsia="Century" w:hAnsi="Garamond" w:cs="Calibri"/>
          <w:i/>
          <w:iCs/>
        </w:rPr>
        <w:t>4</w:t>
      </w:r>
      <w:r w:rsidRPr="00911A11">
        <w:rPr>
          <w:rFonts w:ascii="Garamond" w:eastAsia="Century" w:hAnsi="Garamond" w:cs="Calibri"/>
        </w:rPr>
        <w:t>(3), 80–98. https://doi.org/10.5897/AJMM11.054</w:t>
      </w:r>
    </w:p>
    <w:p w14:paraId="3E830855" w14:textId="77777777" w:rsidR="00B76D52" w:rsidRPr="00911A11" w:rsidRDefault="00B76D52" w:rsidP="0065573F">
      <w:pPr>
        <w:spacing w:after="0"/>
        <w:ind w:left="360" w:hanging="360"/>
        <w:jc w:val="both"/>
        <w:rPr>
          <w:rFonts w:ascii="Garamond" w:eastAsia="Century" w:hAnsi="Garamond" w:cs="Calibri"/>
        </w:rPr>
      </w:pPr>
    </w:p>
    <w:p w14:paraId="7DE5F41A" w14:textId="013A8EC0" w:rsidR="0065573F" w:rsidRPr="00911A11" w:rsidRDefault="0065573F" w:rsidP="0065573F">
      <w:pPr>
        <w:spacing w:after="0"/>
        <w:ind w:left="360" w:hanging="360"/>
        <w:jc w:val="both"/>
        <w:rPr>
          <w:rFonts w:ascii="Garamond" w:eastAsia="Century" w:hAnsi="Garamond" w:cs="Calibri"/>
        </w:rPr>
      </w:pPr>
      <w:r w:rsidRPr="00911A11">
        <w:rPr>
          <w:rFonts w:ascii="Garamond" w:eastAsia="Century" w:hAnsi="Garamond" w:cs="Calibri"/>
        </w:rPr>
        <w:t xml:space="preserve">Mubangizi, B. (2021). Rural-Urban Migration and Smart Cities: Implications for Service Delivery in South Africa. </w:t>
      </w:r>
      <w:r w:rsidRPr="00911A11">
        <w:rPr>
          <w:rFonts w:ascii="Garamond" w:eastAsia="Century" w:hAnsi="Garamond" w:cs="Calibri"/>
          <w:i/>
          <w:iCs/>
        </w:rPr>
        <w:t>African Renaissance</w:t>
      </w:r>
      <w:r w:rsidRPr="00911A11">
        <w:rPr>
          <w:rFonts w:ascii="Garamond" w:eastAsia="Century" w:hAnsi="Garamond" w:cs="Calibri"/>
        </w:rPr>
        <w:t xml:space="preserve">, </w:t>
      </w:r>
      <w:r w:rsidRPr="00911A11">
        <w:rPr>
          <w:rFonts w:ascii="Garamond" w:eastAsia="Century" w:hAnsi="Garamond" w:cs="Calibri"/>
          <w:i/>
          <w:iCs/>
        </w:rPr>
        <w:t>18</w:t>
      </w:r>
      <w:r w:rsidRPr="00911A11">
        <w:rPr>
          <w:rFonts w:ascii="Garamond" w:eastAsia="Century" w:hAnsi="Garamond" w:cs="Calibri"/>
        </w:rPr>
        <w:t>(1), 181–201. https://doi.org/10.31920/2516-5305/2021/18n1a9</w:t>
      </w:r>
    </w:p>
    <w:p w14:paraId="09F150F1" w14:textId="77777777" w:rsidR="00B76D52" w:rsidRPr="00911A11" w:rsidRDefault="00B76D52" w:rsidP="0065573F">
      <w:pPr>
        <w:spacing w:after="0"/>
        <w:ind w:left="360" w:hanging="360"/>
        <w:jc w:val="both"/>
        <w:rPr>
          <w:rFonts w:ascii="Garamond" w:eastAsia="Century" w:hAnsi="Garamond" w:cs="Calibri"/>
        </w:rPr>
      </w:pPr>
    </w:p>
    <w:p w14:paraId="79D27424" w14:textId="43E381A4" w:rsidR="0065573F" w:rsidRPr="00911A11" w:rsidRDefault="0065573F" w:rsidP="0065573F">
      <w:pPr>
        <w:spacing w:after="0"/>
        <w:ind w:left="360" w:hanging="360"/>
        <w:jc w:val="both"/>
        <w:rPr>
          <w:rFonts w:ascii="Garamond" w:eastAsia="Century" w:hAnsi="Garamond" w:cs="Calibri"/>
        </w:rPr>
      </w:pPr>
      <w:r w:rsidRPr="00911A11">
        <w:rPr>
          <w:rFonts w:ascii="Garamond" w:eastAsia="Century" w:hAnsi="Garamond" w:cs="Calibri"/>
        </w:rPr>
        <w:t xml:space="preserve">Ning, X., Ramirez, R., &amp; </w:t>
      </w:r>
      <w:proofErr w:type="spellStart"/>
      <w:r w:rsidRPr="00911A11">
        <w:rPr>
          <w:rFonts w:ascii="Garamond" w:eastAsia="Century" w:hAnsi="Garamond" w:cs="Calibri"/>
        </w:rPr>
        <w:t>Khuntia</w:t>
      </w:r>
      <w:proofErr w:type="spellEnd"/>
      <w:r w:rsidRPr="00911A11">
        <w:rPr>
          <w:rFonts w:ascii="Garamond" w:eastAsia="Century" w:hAnsi="Garamond" w:cs="Calibri"/>
        </w:rPr>
        <w:t xml:space="preserve">, J. (2021). Blockchain-enabled government efficiency and impartiality: using blockchain for targeted poverty alleviation in a city in China. </w:t>
      </w:r>
      <w:r w:rsidRPr="00911A11">
        <w:rPr>
          <w:rFonts w:ascii="Garamond" w:eastAsia="Century" w:hAnsi="Garamond" w:cs="Calibri"/>
          <w:i/>
          <w:iCs/>
        </w:rPr>
        <w:t>Information Technology for Development</w:t>
      </w:r>
      <w:r w:rsidRPr="00911A11">
        <w:rPr>
          <w:rFonts w:ascii="Garamond" w:eastAsia="Century" w:hAnsi="Garamond" w:cs="Calibri"/>
        </w:rPr>
        <w:t>, 1–18. https://doi.org/10.1080/02681102.2021.1925619</w:t>
      </w:r>
    </w:p>
    <w:p w14:paraId="5EFBF65F" w14:textId="77777777" w:rsidR="00B76D52" w:rsidRPr="00911A11" w:rsidRDefault="00B76D52" w:rsidP="0065573F">
      <w:pPr>
        <w:spacing w:after="0"/>
        <w:ind w:left="360" w:hanging="360"/>
        <w:jc w:val="both"/>
        <w:rPr>
          <w:rFonts w:ascii="Garamond" w:eastAsia="Century" w:hAnsi="Garamond" w:cs="Calibri"/>
        </w:rPr>
      </w:pPr>
    </w:p>
    <w:p w14:paraId="19BE7C19" w14:textId="09BAD14C" w:rsidR="0065573F" w:rsidRPr="00911A11" w:rsidRDefault="0065573F" w:rsidP="0065573F">
      <w:pPr>
        <w:spacing w:after="0"/>
        <w:ind w:left="360" w:hanging="360"/>
        <w:jc w:val="both"/>
        <w:rPr>
          <w:rFonts w:ascii="Garamond" w:eastAsia="Century" w:hAnsi="Garamond" w:cs="Calibri"/>
        </w:rPr>
      </w:pPr>
      <w:r w:rsidRPr="00911A11">
        <w:rPr>
          <w:rFonts w:ascii="Garamond" w:eastAsia="Century" w:hAnsi="Garamond" w:cs="Calibri"/>
        </w:rPr>
        <w:t xml:space="preserve">Ott, K., </w:t>
      </w:r>
      <w:proofErr w:type="spellStart"/>
      <w:r w:rsidRPr="00911A11">
        <w:rPr>
          <w:rFonts w:ascii="Garamond" w:eastAsia="Century" w:hAnsi="Garamond" w:cs="Calibri"/>
        </w:rPr>
        <w:t>Bronić</w:t>
      </w:r>
      <w:proofErr w:type="spellEnd"/>
      <w:r w:rsidRPr="00911A11">
        <w:rPr>
          <w:rFonts w:ascii="Garamond" w:eastAsia="Century" w:hAnsi="Garamond" w:cs="Calibri"/>
        </w:rPr>
        <w:t xml:space="preserve">, M., Petrušić, M., Stanić, B., &amp; </w:t>
      </w:r>
      <w:proofErr w:type="spellStart"/>
      <w:r w:rsidRPr="00911A11">
        <w:rPr>
          <w:rFonts w:ascii="Garamond" w:eastAsia="Century" w:hAnsi="Garamond" w:cs="Calibri"/>
        </w:rPr>
        <w:t>Prijaković</w:t>
      </w:r>
      <w:proofErr w:type="spellEnd"/>
      <w:r w:rsidRPr="00911A11">
        <w:rPr>
          <w:rFonts w:ascii="Garamond" w:eastAsia="Century" w:hAnsi="Garamond" w:cs="Calibri"/>
        </w:rPr>
        <w:t xml:space="preserve">, S. (2020). Budget transparency in Croatian counties, </w:t>
      </w:r>
      <w:proofErr w:type="gramStart"/>
      <w:r w:rsidRPr="00911A11">
        <w:rPr>
          <w:rFonts w:ascii="Garamond" w:eastAsia="Century" w:hAnsi="Garamond" w:cs="Calibri"/>
        </w:rPr>
        <w:t>cities</w:t>
      </w:r>
      <w:proofErr w:type="gramEnd"/>
      <w:r w:rsidRPr="00911A11">
        <w:rPr>
          <w:rFonts w:ascii="Garamond" w:eastAsia="Century" w:hAnsi="Garamond" w:cs="Calibri"/>
        </w:rPr>
        <w:t xml:space="preserve"> and municipalities: 2019 – April 2020. </w:t>
      </w:r>
      <w:r w:rsidRPr="00911A11">
        <w:rPr>
          <w:rFonts w:ascii="Garamond" w:eastAsia="Century" w:hAnsi="Garamond" w:cs="Calibri"/>
          <w:i/>
          <w:iCs/>
        </w:rPr>
        <w:t>Newsletter - an Occasional Publication of the Institute of Public Finance</w:t>
      </w:r>
      <w:r w:rsidRPr="00911A11">
        <w:rPr>
          <w:rFonts w:ascii="Garamond" w:eastAsia="Century" w:hAnsi="Garamond" w:cs="Calibri"/>
        </w:rPr>
        <w:t xml:space="preserve">, </w:t>
      </w:r>
      <w:r w:rsidRPr="00911A11">
        <w:rPr>
          <w:rFonts w:ascii="Garamond" w:eastAsia="Century" w:hAnsi="Garamond" w:cs="Calibri"/>
          <w:i/>
          <w:iCs/>
        </w:rPr>
        <w:t>119</w:t>
      </w:r>
      <w:r w:rsidRPr="00911A11">
        <w:rPr>
          <w:rFonts w:ascii="Garamond" w:eastAsia="Century" w:hAnsi="Garamond" w:cs="Calibri"/>
        </w:rPr>
        <w:t>, 1–14. https://doi.org/10.3326/nle.2020.119</w:t>
      </w:r>
    </w:p>
    <w:p w14:paraId="1ECC4E29" w14:textId="77777777" w:rsidR="00B76D52" w:rsidRPr="00911A11" w:rsidRDefault="00B76D52" w:rsidP="0065573F">
      <w:pPr>
        <w:spacing w:after="0"/>
        <w:ind w:left="360" w:hanging="360"/>
        <w:jc w:val="both"/>
        <w:rPr>
          <w:rFonts w:ascii="Garamond" w:eastAsia="Century" w:hAnsi="Garamond" w:cs="Calibri"/>
        </w:rPr>
      </w:pPr>
    </w:p>
    <w:p w14:paraId="3BAB77AA" w14:textId="03278956" w:rsidR="0065573F" w:rsidRPr="00911A11" w:rsidRDefault="0065573F" w:rsidP="0065573F">
      <w:pPr>
        <w:spacing w:after="0"/>
        <w:ind w:left="360" w:hanging="360"/>
        <w:jc w:val="both"/>
        <w:rPr>
          <w:rFonts w:ascii="Garamond" w:eastAsia="Century" w:hAnsi="Garamond" w:cs="Calibri"/>
        </w:rPr>
      </w:pPr>
      <w:r w:rsidRPr="00911A11">
        <w:rPr>
          <w:rFonts w:ascii="Garamond" w:eastAsia="Century" w:hAnsi="Garamond" w:cs="Calibri"/>
        </w:rPr>
        <w:t xml:space="preserve">Palei, T. (2015). Assessing the Impact of Infrastructure on Economic Growth and Global Competitiveness. </w:t>
      </w:r>
      <w:r w:rsidRPr="00911A11">
        <w:rPr>
          <w:rFonts w:ascii="Garamond" w:eastAsia="Century" w:hAnsi="Garamond" w:cs="Calibri"/>
          <w:i/>
          <w:iCs/>
        </w:rPr>
        <w:t>Procedia Economics and Finance</w:t>
      </w:r>
      <w:r w:rsidRPr="00911A11">
        <w:rPr>
          <w:rFonts w:ascii="Garamond" w:eastAsia="Century" w:hAnsi="Garamond" w:cs="Calibri"/>
        </w:rPr>
        <w:t xml:space="preserve">, </w:t>
      </w:r>
      <w:r w:rsidRPr="00911A11">
        <w:rPr>
          <w:rFonts w:ascii="Garamond" w:eastAsia="Century" w:hAnsi="Garamond" w:cs="Calibri"/>
          <w:i/>
          <w:iCs/>
        </w:rPr>
        <w:t>23</w:t>
      </w:r>
      <w:r w:rsidRPr="00911A11">
        <w:rPr>
          <w:rFonts w:ascii="Garamond" w:eastAsia="Century" w:hAnsi="Garamond" w:cs="Calibri"/>
        </w:rPr>
        <w:t>, 168–175. https://doi.org/10.1016/s2212-5671(15)00322-6</w:t>
      </w:r>
    </w:p>
    <w:p w14:paraId="727EA122" w14:textId="77777777" w:rsidR="00B76D52" w:rsidRPr="00911A11" w:rsidRDefault="00B76D52" w:rsidP="0065573F">
      <w:pPr>
        <w:spacing w:after="0"/>
        <w:ind w:left="360" w:hanging="360"/>
        <w:jc w:val="both"/>
        <w:rPr>
          <w:rFonts w:ascii="Garamond" w:eastAsia="Century" w:hAnsi="Garamond" w:cs="Calibri"/>
        </w:rPr>
      </w:pPr>
    </w:p>
    <w:p w14:paraId="3C1A9185" w14:textId="1EDF2AEE" w:rsidR="0065573F" w:rsidRPr="00911A11" w:rsidRDefault="0065573F" w:rsidP="0065573F">
      <w:pPr>
        <w:spacing w:after="0"/>
        <w:ind w:left="360" w:hanging="360"/>
        <w:jc w:val="both"/>
        <w:rPr>
          <w:rFonts w:ascii="Garamond" w:eastAsia="Century" w:hAnsi="Garamond" w:cs="Calibri"/>
        </w:rPr>
      </w:pPr>
      <w:r w:rsidRPr="00911A11">
        <w:rPr>
          <w:rFonts w:ascii="Garamond" w:eastAsia="Century" w:hAnsi="Garamond" w:cs="Calibri"/>
        </w:rPr>
        <w:t xml:space="preserve">Pant, R., Barker, K., &amp; Zobel, C. W. (2014). Static and dynamic metrics of economic resilience for interdependent infrastructure and industry sectors. </w:t>
      </w:r>
      <w:r w:rsidRPr="00911A11">
        <w:rPr>
          <w:rFonts w:ascii="Garamond" w:eastAsia="Century" w:hAnsi="Garamond" w:cs="Calibri"/>
          <w:i/>
          <w:iCs/>
        </w:rPr>
        <w:t>Reliability Engineering &amp; System Safety</w:t>
      </w:r>
      <w:r w:rsidRPr="00911A11">
        <w:rPr>
          <w:rFonts w:ascii="Garamond" w:eastAsia="Century" w:hAnsi="Garamond" w:cs="Calibri"/>
        </w:rPr>
        <w:t xml:space="preserve">, </w:t>
      </w:r>
      <w:r w:rsidRPr="00911A11">
        <w:rPr>
          <w:rFonts w:ascii="Garamond" w:eastAsia="Century" w:hAnsi="Garamond" w:cs="Calibri"/>
          <w:i/>
          <w:iCs/>
        </w:rPr>
        <w:t>125</w:t>
      </w:r>
      <w:r w:rsidRPr="00911A11">
        <w:rPr>
          <w:rFonts w:ascii="Garamond" w:eastAsia="Century" w:hAnsi="Garamond" w:cs="Calibri"/>
        </w:rPr>
        <w:t>, 92–102. https://doi.org/10.1016/j.ress.2013.09.007</w:t>
      </w:r>
    </w:p>
    <w:p w14:paraId="1FCAEEB7" w14:textId="77777777" w:rsidR="00B76D52" w:rsidRPr="00911A11" w:rsidRDefault="00B76D52" w:rsidP="0065573F">
      <w:pPr>
        <w:spacing w:after="0"/>
        <w:ind w:left="360" w:hanging="360"/>
        <w:jc w:val="both"/>
        <w:rPr>
          <w:rFonts w:ascii="Garamond" w:eastAsia="Century" w:hAnsi="Garamond" w:cs="Calibri"/>
        </w:rPr>
      </w:pPr>
    </w:p>
    <w:p w14:paraId="624D7035" w14:textId="7EF889C9" w:rsidR="0065573F" w:rsidRPr="00911A11" w:rsidRDefault="0065573F" w:rsidP="0065573F">
      <w:pPr>
        <w:spacing w:after="0"/>
        <w:ind w:left="360" w:hanging="360"/>
        <w:jc w:val="both"/>
        <w:rPr>
          <w:rFonts w:ascii="Garamond" w:eastAsia="Century" w:hAnsi="Garamond" w:cs="Calibri"/>
        </w:rPr>
      </w:pPr>
      <w:r w:rsidRPr="00911A11">
        <w:rPr>
          <w:rFonts w:ascii="Garamond" w:eastAsia="Century" w:hAnsi="Garamond" w:cs="Calibri"/>
        </w:rPr>
        <w:t xml:space="preserve">Philippine News Agency (PNA). (2019, August). </w:t>
      </w:r>
      <w:r w:rsidRPr="00911A11">
        <w:rPr>
          <w:rFonts w:ascii="Garamond" w:eastAsia="Century" w:hAnsi="Garamond" w:cs="Calibri"/>
          <w:i/>
          <w:iCs/>
        </w:rPr>
        <w:t>DENR reminds LGUs to use geohazard maps</w:t>
      </w:r>
      <w:r w:rsidRPr="00911A11">
        <w:rPr>
          <w:rFonts w:ascii="Garamond" w:eastAsia="Century" w:hAnsi="Garamond" w:cs="Calibri"/>
        </w:rPr>
        <w:t>. https://www.pna.gov.ph/articles/1058834</w:t>
      </w:r>
    </w:p>
    <w:p w14:paraId="48AB9B31" w14:textId="77777777" w:rsidR="00B76D52" w:rsidRPr="00911A11" w:rsidRDefault="00B76D52" w:rsidP="0065573F">
      <w:pPr>
        <w:spacing w:after="0"/>
        <w:ind w:left="360" w:hanging="360"/>
        <w:jc w:val="both"/>
        <w:rPr>
          <w:rFonts w:ascii="Garamond" w:eastAsia="Century" w:hAnsi="Garamond" w:cs="Calibri"/>
        </w:rPr>
      </w:pPr>
    </w:p>
    <w:p w14:paraId="4FD699BD" w14:textId="47349E59" w:rsidR="0065573F" w:rsidRPr="00911A11" w:rsidRDefault="0065573F" w:rsidP="0065573F">
      <w:pPr>
        <w:spacing w:after="0"/>
        <w:ind w:left="360" w:hanging="360"/>
        <w:jc w:val="both"/>
        <w:rPr>
          <w:rFonts w:ascii="Garamond" w:eastAsia="Century" w:hAnsi="Garamond" w:cs="Calibri"/>
        </w:rPr>
      </w:pPr>
      <w:r w:rsidRPr="00911A11">
        <w:rPr>
          <w:rFonts w:ascii="Garamond" w:eastAsia="Century" w:hAnsi="Garamond" w:cs="Calibri"/>
        </w:rPr>
        <w:t>Rodríguez</w:t>
      </w:r>
      <w:r w:rsidRPr="00911A11">
        <w:rPr>
          <w:rFonts w:ascii="Times New Roman" w:eastAsia="Century" w:hAnsi="Times New Roman"/>
        </w:rPr>
        <w:t>‐</w:t>
      </w:r>
      <w:r w:rsidRPr="00911A11">
        <w:rPr>
          <w:rFonts w:ascii="Garamond" w:eastAsia="Century" w:hAnsi="Garamond" w:cs="Calibri"/>
        </w:rPr>
        <w:t xml:space="preserve">Pose, A., &amp; Zhang, M. (2019). Government institutions and the dynamics of urban growth in China. </w:t>
      </w:r>
      <w:r w:rsidRPr="00911A11">
        <w:rPr>
          <w:rFonts w:ascii="Garamond" w:eastAsia="Century" w:hAnsi="Garamond" w:cs="Calibri"/>
          <w:i/>
          <w:iCs/>
        </w:rPr>
        <w:t>Journal of Regional Science</w:t>
      </w:r>
      <w:r w:rsidRPr="00911A11">
        <w:rPr>
          <w:rFonts w:ascii="Garamond" w:eastAsia="Century" w:hAnsi="Garamond" w:cs="Calibri"/>
        </w:rPr>
        <w:t xml:space="preserve">, </w:t>
      </w:r>
      <w:r w:rsidRPr="00911A11">
        <w:rPr>
          <w:rFonts w:ascii="Garamond" w:eastAsia="Century" w:hAnsi="Garamond" w:cs="Calibri"/>
          <w:i/>
          <w:iCs/>
        </w:rPr>
        <w:t>59</w:t>
      </w:r>
      <w:r w:rsidRPr="00911A11">
        <w:rPr>
          <w:rFonts w:ascii="Garamond" w:eastAsia="Century" w:hAnsi="Garamond" w:cs="Calibri"/>
        </w:rPr>
        <w:t>(4), 633–668. https://doi.org/10.1111/jors.12435</w:t>
      </w:r>
    </w:p>
    <w:p w14:paraId="55ADA818" w14:textId="77777777" w:rsidR="00B76D52" w:rsidRPr="00911A11" w:rsidRDefault="00B76D52" w:rsidP="0065573F">
      <w:pPr>
        <w:spacing w:after="0"/>
        <w:ind w:left="360" w:hanging="360"/>
        <w:jc w:val="both"/>
        <w:rPr>
          <w:rFonts w:ascii="Garamond" w:eastAsia="Century" w:hAnsi="Garamond" w:cs="Calibri"/>
        </w:rPr>
      </w:pPr>
    </w:p>
    <w:p w14:paraId="76D4C47E" w14:textId="7A6D7EFD" w:rsidR="0065573F" w:rsidRPr="00911A11" w:rsidRDefault="0065573F" w:rsidP="0065573F">
      <w:pPr>
        <w:spacing w:after="0"/>
        <w:ind w:left="360" w:hanging="360"/>
        <w:jc w:val="both"/>
        <w:rPr>
          <w:rFonts w:ascii="Garamond" w:eastAsia="Century" w:hAnsi="Garamond" w:cs="Calibri"/>
        </w:rPr>
      </w:pPr>
      <w:r w:rsidRPr="00911A11">
        <w:rPr>
          <w:rFonts w:ascii="Garamond" w:eastAsia="Century" w:hAnsi="Garamond" w:cs="Calibri"/>
        </w:rPr>
        <w:lastRenderedPageBreak/>
        <w:t xml:space="preserve">Slack, E., &amp; Bird, R. (2013). </w:t>
      </w:r>
      <w:r w:rsidRPr="00911A11">
        <w:rPr>
          <w:rFonts w:ascii="Garamond" w:eastAsia="Century" w:hAnsi="Garamond" w:cs="Calibri"/>
          <w:i/>
          <w:iCs/>
        </w:rPr>
        <w:t>Merging Municipalities: Is Bigger Better? IMFG P M F G</w:t>
      </w:r>
      <w:r w:rsidRPr="00911A11">
        <w:rPr>
          <w:rFonts w:ascii="Garamond" w:eastAsia="Century" w:hAnsi="Garamond" w:cs="Calibri"/>
        </w:rPr>
        <w:t>. https://tspace.library.utoronto.ca/bitstream/1807/81253/1/imfg_paper_14_slack_bird_Feb_27_2013.pdf</w:t>
      </w:r>
    </w:p>
    <w:p w14:paraId="356DFA58" w14:textId="77777777" w:rsidR="00B76D52" w:rsidRPr="00911A11" w:rsidRDefault="00B76D52" w:rsidP="0065573F">
      <w:pPr>
        <w:spacing w:after="0"/>
        <w:ind w:left="360" w:hanging="360"/>
        <w:jc w:val="both"/>
        <w:rPr>
          <w:rFonts w:ascii="Garamond" w:eastAsia="Century" w:hAnsi="Garamond" w:cs="Calibri"/>
        </w:rPr>
      </w:pPr>
    </w:p>
    <w:p w14:paraId="5B8317FF" w14:textId="0216880D" w:rsidR="0065573F" w:rsidRPr="00911A11" w:rsidRDefault="0065573F" w:rsidP="0065573F">
      <w:pPr>
        <w:spacing w:after="0"/>
        <w:ind w:left="360" w:hanging="360"/>
        <w:jc w:val="both"/>
        <w:rPr>
          <w:rFonts w:ascii="Garamond" w:eastAsia="Century" w:hAnsi="Garamond" w:cs="Calibri"/>
        </w:rPr>
      </w:pPr>
      <w:r w:rsidRPr="00911A11">
        <w:rPr>
          <w:rFonts w:ascii="Garamond" w:eastAsia="Century" w:hAnsi="Garamond" w:cs="Calibri"/>
          <w:lang w:val="it-IT"/>
        </w:rPr>
        <w:t xml:space="preserve">Tonkova, E., Hristova, S., &amp; Petrov, D. (2017, November 21). </w:t>
      </w:r>
      <w:r w:rsidRPr="00911A11">
        <w:rPr>
          <w:rFonts w:ascii="Garamond" w:eastAsia="Century" w:hAnsi="Garamond" w:cs="Calibri"/>
          <w:i/>
          <w:iCs/>
        </w:rPr>
        <w:t>Marketing Approaches to Attract Investments in Municipalities – Journal of Emerging Trends in Marketing and Management</w:t>
      </w:r>
      <w:r w:rsidRPr="00911A11">
        <w:rPr>
          <w:rFonts w:ascii="Garamond" w:eastAsia="Century" w:hAnsi="Garamond" w:cs="Calibri"/>
        </w:rPr>
        <w:t>. https://www.etimm.ase.ro/?p=183</w:t>
      </w:r>
    </w:p>
    <w:p w14:paraId="79E2D3E4" w14:textId="77777777" w:rsidR="00B76D52" w:rsidRPr="00911A11" w:rsidRDefault="00B76D52" w:rsidP="0065573F">
      <w:pPr>
        <w:spacing w:after="0"/>
        <w:ind w:left="360" w:hanging="360"/>
        <w:jc w:val="both"/>
        <w:rPr>
          <w:rFonts w:ascii="Garamond" w:eastAsia="Century" w:hAnsi="Garamond" w:cs="Calibri"/>
        </w:rPr>
      </w:pPr>
    </w:p>
    <w:p w14:paraId="4F3C8626" w14:textId="5729CE79" w:rsidR="0065573F" w:rsidRPr="00911A11" w:rsidRDefault="0065573F" w:rsidP="0065573F">
      <w:pPr>
        <w:spacing w:after="0"/>
        <w:ind w:left="360" w:hanging="360"/>
        <w:jc w:val="both"/>
        <w:rPr>
          <w:rFonts w:ascii="Garamond" w:eastAsia="Century" w:hAnsi="Garamond" w:cs="Calibri"/>
        </w:rPr>
      </w:pPr>
      <w:r w:rsidRPr="00911A11">
        <w:rPr>
          <w:rFonts w:ascii="Garamond" w:eastAsia="Century" w:hAnsi="Garamond" w:cs="Calibri"/>
        </w:rPr>
        <w:t xml:space="preserve">Wen, J., Deng, P., Zhang, Q., &amp; Chang, C.-P. (2021). IS HIGHER GOVERNMENT EFFICIENCY BRINGING ABOUT HIGHER INNOVATION? </w:t>
      </w:r>
      <w:r w:rsidRPr="00911A11">
        <w:rPr>
          <w:rFonts w:ascii="Garamond" w:eastAsia="Century" w:hAnsi="Garamond" w:cs="Calibri"/>
          <w:i/>
          <w:iCs/>
        </w:rPr>
        <w:t>Technological and Economic Development of Economy</w:t>
      </w:r>
      <w:r w:rsidRPr="00911A11">
        <w:rPr>
          <w:rFonts w:ascii="Garamond" w:eastAsia="Century" w:hAnsi="Garamond" w:cs="Calibri"/>
        </w:rPr>
        <w:t xml:space="preserve">, </w:t>
      </w:r>
      <w:r w:rsidRPr="00911A11">
        <w:rPr>
          <w:rFonts w:ascii="Garamond" w:eastAsia="Century" w:hAnsi="Garamond" w:cs="Calibri"/>
          <w:i/>
          <w:iCs/>
        </w:rPr>
        <w:t>27</w:t>
      </w:r>
      <w:r w:rsidRPr="00911A11">
        <w:rPr>
          <w:rFonts w:ascii="Garamond" w:eastAsia="Century" w:hAnsi="Garamond" w:cs="Calibri"/>
        </w:rPr>
        <w:t>(3), 626–655. https://doi.org/10.3846/tede.2021.14269</w:t>
      </w:r>
    </w:p>
    <w:p w14:paraId="10B67723" w14:textId="77777777" w:rsidR="00B76D52" w:rsidRPr="00911A11" w:rsidRDefault="00B76D52" w:rsidP="0065573F">
      <w:pPr>
        <w:spacing w:after="0"/>
        <w:ind w:left="360" w:hanging="360"/>
        <w:jc w:val="both"/>
        <w:rPr>
          <w:rFonts w:ascii="Garamond" w:eastAsia="Century" w:hAnsi="Garamond" w:cs="Calibri"/>
        </w:rPr>
      </w:pPr>
    </w:p>
    <w:p w14:paraId="5FF34AF3" w14:textId="0DE7CD2A" w:rsidR="0065573F" w:rsidRPr="00911A11" w:rsidRDefault="0065573F" w:rsidP="0065573F">
      <w:pPr>
        <w:spacing w:after="0"/>
        <w:ind w:left="360" w:hanging="360"/>
        <w:jc w:val="both"/>
        <w:rPr>
          <w:rFonts w:ascii="Garamond" w:eastAsia="Century" w:hAnsi="Garamond" w:cs="Calibri"/>
        </w:rPr>
      </w:pPr>
      <w:r w:rsidRPr="00911A11">
        <w:rPr>
          <w:rFonts w:ascii="Garamond" w:eastAsia="Century" w:hAnsi="Garamond" w:cs="Calibri"/>
        </w:rPr>
        <w:t xml:space="preserve">Williams, N., </w:t>
      </w:r>
      <w:proofErr w:type="spellStart"/>
      <w:r w:rsidRPr="00911A11">
        <w:rPr>
          <w:rFonts w:ascii="Garamond" w:eastAsia="Century" w:hAnsi="Garamond" w:cs="Calibri"/>
        </w:rPr>
        <w:t>Vorley</w:t>
      </w:r>
      <w:proofErr w:type="spellEnd"/>
      <w:r w:rsidRPr="00911A11">
        <w:rPr>
          <w:rFonts w:ascii="Garamond" w:eastAsia="Century" w:hAnsi="Garamond" w:cs="Calibri"/>
        </w:rPr>
        <w:t xml:space="preserve">, T., &amp; </w:t>
      </w:r>
      <w:proofErr w:type="spellStart"/>
      <w:r w:rsidRPr="00911A11">
        <w:rPr>
          <w:rFonts w:ascii="Garamond" w:eastAsia="Century" w:hAnsi="Garamond" w:cs="Calibri"/>
        </w:rPr>
        <w:t>Ketikidis</w:t>
      </w:r>
      <w:proofErr w:type="spellEnd"/>
      <w:r w:rsidRPr="00911A11">
        <w:rPr>
          <w:rFonts w:ascii="Garamond" w:eastAsia="Century" w:hAnsi="Garamond" w:cs="Calibri"/>
        </w:rPr>
        <w:t xml:space="preserve">, P. H. (2013). Economic resilience and entrepreneurship: A case study of the Thessaloniki City Region. </w:t>
      </w:r>
      <w:r w:rsidRPr="00911A11">
        <w:rPr>
          <w:rFonts w:ascii="Garamond" w:eastAsia="Century" w:hAnsi="Garamond" w:cs="Calibri"/>
          <w:i/>
          <w:iCs/>
        </w:rPr>
        <w:t>Local Economy: The Journal of the Local Economy Policy Unit</w:t>
      </w:r>
      <w:r w:rsidRPr="00911A11">
        <w:rPr>
          <w:rFonts w:ascii="Garamond" w:eastAsia="Century" w:hAnsi="Garamond" w:cs="Calibri"/>
        </w:rPr>
        <w:t xml:space="preserve">, </w:t>
      </w:r>
      <w:r w:rsidRPr="00911A11">
        <w:rPr>
          <w:rFonts w:ascii="Garamond" w:eastAsia="Century" w:hAnsi="Garamond" w:cs="Calibri"/>
          <w:i/>
          <w:iCs/>
        </w:rPr>
        <w:t>28</w:t>
      </w:r>
      <w:r w:rsidRPr="00911A11">
        <w:rPr>
          <w:rFonts w:ascii="Garamond" w:eastAsia="Century" w:hAnsi="Garamond" w:cs="Calibri"/>
        </w:rPr>
        <w:t>(4), 399–415. https://doi.org/10.1177/0269094213475993</w:t>
      </w:r>
    </w:p>
    <w:p w14:paraId="3A8F0C5C" w14:textId="77777777" w:rsidR="00B76D52" w:rsidRPr="00911A11" w:rsidRDefault="00B76D52" w:rsidP="0065573F">
      <w:pPr>
        <w:spacing w:after="0"/>
        <w:ind w:left="360" w:hanging="360"/>
        <w:jc w:val="both"/>
        <w:rPr>
          <w:rFonts w:ascii="Garamond" w:eastAsia="Century" w:hAnsi="Garamond" w:cs="Calibri"/>
        </w:rPr>
      </w:pPr>
    </w:p>
    <w:p w14:paraId="138F42BE" w14:textId="43053A01" w:rsidR="0065573F" w:rsidRPr="00911A11" w:rsidRDefault="0065573F" w:rsidP="0065573F">
      <w:pPr>
        <w:spacing w:after="0"/>
        <w:ind w:left="360" w:hanging="360"/>
        <w:jc w:val="both"/>
        <w:rPr>
          <w:rFonts w:ascii="Garamond" w:eastAsia="Century" w:hAnsi="Garamond" w:cs="Calibri"/>
        </w:rPr>
      </w:pPr>
      <w:r w:rsidRPr="00911A11">
        <w:rPr>
          <w:rFonts w:ascii="Garamond" w:eastAsia="Century" w:hAnsi="Garamond" w:cs="Calibri"/>
        </w:rPr>
        <w:t xml:space="preserve">Yang, W. (2023). Pro-growth urban policy implementation vs urban shrinkage: How do actors shift policy implementation in shrinking cities in China? </w:t>
      </w:r>
      <w:r w:rsidRPr="00911A11">
        <w:rPr>
          <w:rFonts w:ascii="Garamond" w:eastAsia="Century" w:hAnsi="Garamond" w:cs="Calibri"/>
          <w:i/>
          <w:iCs/>
        </w:rPr>
        <w:t>Cities</w:t>
      </w:r>
      <w:r w:rsidRPr="00911A11">
        <w:rPr>
          <w:rFonts w:ascii="Garamond" w:eastAsia="Century" w:hAnsi="Garamond" w:cs="Calibri"/>
        </w:rPr>
        <w:t xml:space="preserve">, </w:t>
      </w:r>
      <w:r w:rsidRPr="00911A11">
        <w:rPr>
          <w:rFonts w:ascii="Garamond" w:eastAsia="Century" w:hAnsi="Garamond" w:cs="Calibri"/>
          <w:i/>
          <w:iCs/>
        </w:rPr>
        <w:t>134</w:t>
      </w:r>
      <w:r w:rsidRPr="00911A11">
        <w:rPr>
          <w:rFonts w:ascii="Garamond" w:eastAsia="Century" w:hAnsi="Garamond" w:cs="Calibri"/>
        </w:rPr>
        <w:t>, 104157. https://doi.org/10.1016/j.cities.2022.104157</w:t>
      </w:r>
    </w:p>
    <w:p w14:paraId="6FF1F83A" w14:textId="77777777" w:rsidR="00B76D52" w:rsidRPr="00911A11" w:rsidRDefault="00B76D52" w:rsidP="0065573F">
      <w:pPr>
        <w:spacing w:after="0"/>
        <w:ind w:left="360" w:hanging="360"/>
        <w:jc w:val="both"/>
        <w:rPr>
          <w:rFonts w:ascii="Garamond" w:eastAsia="Century" w:hAnsi="Garamond" w:cs="Calibri"/>
        </w:rPr>
      </w:pPr>
    </w:p>
    <w:p w14:paraId="0AD71D47" w14:textId="22CEF57F" w:rsidR="008838B0" w:rsidRPr="00911A11" w:rsidRDefault="0065573F" w:rsidP="00911A11">
      <w:pPr>
        <w:spacing w:after="0"/>
        <w:ind w:left="360" w:hanging="360"/>
        <w:jc w:val="both"/>
        <w:rPr>
          <w:rFonts w:ascii="Garamond" w:eastAsia="Century" w:hAnsi="Garamond" w:cs="Calibri"/>
        </w:rPr>
      </w:pPr>
      <w:r w:rsidRPr="00911A11">
        <w:rPr>
          <w:rFonts w:ascii="Garamond" w:eastAsia="Century" w:hAnsi="Garamond" w:cs="Calibri"/>
        </w:rPr>
        <w:t xml:space="preserve">Yang, Y., Huang, S., Li, W., Zhong, F., &amp; Lan, T. (2021). Does government efficiency mitigate the effect of natural disasters on tourist arrivals? </w:t>
      </w:r>
      <w:r w:rsidRPr="00911A11">
        <w:rPr>
          <w:rFonts w:ascii="Garamond" w:eastAsia="Century" w:hAnsi="Garamond" w:cs="Calibri"/>
          <w:i/>
          <w:iCs/>
        </w:rPr>
        <w:t>Current Issues in Tourism</w:t>
      </w:r>
      <w:r w:rsidRPr="00911A11">
        <w:rPr>
          <w:rFonts w:ascii="Garamond" w:eastAsia="Century" w:hAnsi="Garamond" w:cs="Calibri"/>
        </w:rPr>
        <w:t xml:space="preserve">, </w:t>
      </w:r>
      <w:r w:rsidRPr="00911A11">
        <w:rPr>
          <w:rFonts w:ascii="Garamond" w:eastAsia="Century" w:hAnsi="Garamond" w:cs="Calibri"/>
          <w:i/>
          <w:iCs/>
        </w:rPr>
        <w:t>25</w:t>
      </w:r>
      <w:r w:rsidRPr="00911A11">
        <w:rPr>
          <w:rFonts w:ascii="Garamond" w:eastAsia="Century" w:hAnsi="Garamond" w:cs="Calibri"/>
        </w:rPr>
        <w:t xml:space="preserve">(13), 2177–2191. https://doi.org/10.1080/13683500.2021.1951181 </w:t>
      </w:r>
    </w:p>
    <w:sectPr w:rsidR="008838B0" w:rsidRPr="00911A11" w:rsidSect="005E65BB">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09152" w14:textId="77777777" w:rsidR="00D85DA9" w:rsidRDefault="00D85DA9" w:rsidP="00072852">
      <w:pPr>
        <w:spacing w:after="0" w:line="240" w:lineRule="auto"/>
      </w:pPr>
      <w:r>
        <w:separator/>
      </w:r>
    </w:p>
  </w:endnote>
  <w:endnote w:type="continuationSeparator" w:id="0">
    <w:p w14:paraId="3BCFE79C" w14:textId="77777777" w:rsidR="00D85DA9" w:rsidRDefault="00D85DA9" w:rsidP="00072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7C79D" w14:textId="77777777" w:rsidR="00D85DA9" w:rsidRDefault="00D85DA9" w:rsidP="00072852">
      <w:pPr>
        <w:spacing w:after="0" w:line="240" w:lineRule="auto"/>
      </w:pPr>
      <w:r>
        <w:separator/>
      </w:r>
    </w:p>
  </w:footnote>
  <w:footnote w:type="continuationSeparator" w:id="0">
    <w:p w14:paraId="32CE1B74" w14:textId="77777777" w:rsidR="00D85DA9" w:rsidRDefault="00D85DA9" w:rsidP="000728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50950"/>
    <w:multiLevelType w:val="hybridMultilevel"/>
    <w:tmpl w:val="6E1CB5D0"/>
    <w:lvl w:ilvl="0" w:tplc="9E6AEDFC">
      <w:start w:val="1"/>
      <w:numFmt w:val="decimal"/>
      <w:lvlText w:val="%1."/>
      <w:lvlJc w:val="left"/>
      <w:pPr>
        <w:ind w:left="720" w:hanging="360"/>
      </w:pPr>
      <w:rPr>
        <w:rFonts w:eastAsia="Calibri" w:hint="default"/>
        <w:color w:val="auto"/>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43C762AB"/>
    <w:multiLevelType w:val="multilevel"/>
    <w:tmpl w:val="22824F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95719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7069897">
    <w:abstractNumId w:val="1"/>
  </w:num>
  <w:num w:numId="3" w16cid:durableId="1778332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852"/>
    <w:rsid w:val="00003B52"/>
    <w:rsid w:val="000043A6"/>
    <w:rsid w:val="00010B74"/>
    <w:rsid w:val="000114BD"/>
    <w:rsid w:val="00012A1A"/>
    <w:rsid w:val="0001448A"/>
    <w:rsid w:val="00017062"/>
    <w:rsid w:val="000171EC"/>
    <w:rsid w:val="000356CE"/>
    <w:rsid w:val="000510C5"/>
    <w:rsid w:val="000578D1"/>
    <w:rsid w:val="00060EDA"/>
    <w:rsid w:val="000625A2"/>
    <w:rsid w:val="00072852"/>
    <w:rsid w:val="000755F7"/>
    <w:rsid w:val="00075FD9"/>
    <w:rsid w:val="00077820"/>
    <w:rsid w:val="00081CFD"/>
    <w:rsid w:val="00084A0D"/>
    <w:rsid w:val="00084BD9"/>
    <w:rsid w:val="00085776"/>
    <w:rsid w:val="0008594E"/>
    <w:rsid w:val="00087F6F"/>
    <w:rsid w:val="00090B13"/>
    <w:rsid w:val="00091FB9"/>
    <w:rsid w:val="000C0FA1"/>
    <w:rsid w:val="000C653D"/>
    <w:rsid w:val="000D77A9"/>
    <w:rsid w:val="000E5DD4"/>
    <w:rsid w:val="000F1D84"/>
    <w:rsid w:val="000F5B2D"/>
    <w:rsid w:val="000F5EB2"/>
    <w:rsid w:val="0010028D"/>
    <w:rsid w:val="001106CA"/>
    <w:rsid w:val="00110928"/>
    <w:rsid w:val="001121C6"/>
    <w:rsid w:val="00114CA6"/>
    <w:rsid w:val="001176AE"/>
    <w:rsid w:val="00123964"/>
    <w:rsid w:val="00127E58"/>
    <w:rsid w:val="001328B6"/>
    <w:rsid w:val="001546BE"/>
    <w:rsid w:val="00160D37"/>
    <w:rsid w:val="00174F80"/>
    <w:rsid w:val="0018199C"/>
    <w:rsid w:val="00196B62"/>
    <w:rsid w:val="00197CC4"/>
    <w:rsid w:val="001A1681"/>
    <w:rsid w:val="001A5DC6"/>
    <w:rsid w:val="001A77EF"/>
    <w:rsid w:val="001A7BB1"/>
    <w:rsid w:val="001B665F"/>
    <w:rsid w:val="001C392E"/>
    <w:rsid w:val="001C48C8"/>
    <w:rsid w:val="001D3D54"/>
    <w:rsid w:val="001E35E6"/>
    <w:rsid w:val="001E603C"/>
    <w:rsid w:val="0020044F"/>
    <w:rsid w:val="00201EE5"/>
    <w:rsid w:val="00205E78"/>
    <w:rsid w:val="00207D2B"/>
    <w:rsid w:val="002145D7"/>
    <w:rsid w:val="00215CEB"/>
    <w:rsid w:val="00216634"/>
    <w:rsid w:val="002173A2"/>
    <w:rsid w:val="00221DC8"/>
    <w:rsid w:val="00225948"/>
    <w:rsid w:val="0022647A"/>
    <w:rsid w:val="00226947"/>
    <w:rsid w:val="00230FA4"/>
    <w:rsid w:val="00231FA2"/>
    <w:rsid w:val="0023418C"/>
    <w:rsid w:val="00235CF7"/>
    <w:rsid w:val="002366D8"/>
    <w:rsid w:val="00240103"/>
    <w:rsid w:val="00242ECD"/>
    <w:rsid w:val="00246C2F"/>
    <w:rsid w:val="00251177"/>
    <w:rsid w:val="002700DF"/>
    <w:rsid w:val="00276393"/>
    <w:rsid w:val="0028280B"/>
    <w:rsid w:val="00287813"/>
    <w:rsid w:val="002935F4"/>
    <w:rsid w:val="002954A5"/>
    <w:rsid w:val="002A5C55"/>
    <w:rsid w:val="002B0577"/>
    <w:rsid w:val="002B5507"/>
    <w:rsid w:val="002C6A0F"/>
    <w:rsid w:val="002D1DE0"/>
    <w:rsid w:val="002D2220"/>
    <w:rsid w:val="002D2418"/>
    <w:rsid w:val="002D368E"/>
    <w:rsid w:val="002D3754"/>
    <w:rsid w:val="002E4923"/>
    <w:rsid w:val="002F00A6"/>
    <w:rsid w:val="002F30C0"/>
    <w:rsid w:val="002F31FC"/>
    <w:rsid w:val="002F3E84"/>
    <w:rsid w:val="00302A7D"/>
    <w:rsid w:val="0030357C"/>
    <w:rsid w:val="0031150F"/>
    <w:rsid w:val="00312E87"/>
    <w:rsid w:val="00321F48"/>
    <w:rsid w:val="00323207"/>
    <w:rsid w:val="00331559"/>
    <w:rsid w:val="00334223"/>
    <w:rsid w:val="0033656F"/>
    <w:rsid w:val="0033778B"/>
    <w:rsid w:val="00342F53"/>
    <w:rsid w:val="00344BC5"/>
    <w:rsid w:val="00355377"/>
    <w:rsid w:val="00357379"/>
    <w:rsid w:val="003579D9"/>
    <w:rsid w:val="00363F64"/>
    <w:rsid w:val="00364722"/>
    <w:rsid w:val="003658EF"/>
    <w:rsid w:val="00371873"/>
    <w:rsid w:val="00374EF1"/>
    <w:rsid w:val="00376AF5"/>
    <w:rsid w:val="00386FDC"/>
    <w:rsid w:val="003946B9"/>
    <w:rsid w:val="00397489"/>
    <w:rsid w:val="00397B1E"/>
    <w:rsid w:val="003A107A"/>
    <w:rsid w:val="003A41B5"/>
    <w:rsid w:val="003A7C32"/>
    <w:rsid w:val="003A7D0E"/>
    <w:rsid w:val="003B7F5E"/>
    <w:rsid w:val="003D0904"/>
    <w:rsid w:val="003D41A6"/>
    <w:rsid w:val="003E4236"/>
    <w:rsid w:val="003E7976"/>
    <w:rsid w:val="003F0D89"/>
    <w:rsid w:val="003F5C3D"/>
    <w:rsid w:val="003F764D"/>
    <w:rsid w:val="004039F5"/>
    <w:rsid w:val="004061F6"/>
    <w:rsid w:val="004101D7"/>
    <w:rsid w:val="004118E6"/>
    <w:rsid w:val="00414155"/>
    <w:rsid w:val="004166E8"/>
    <w:rsid w:val="004234E5"/>
    <w:rsid w:val="004244CB"/>
    <w:rsid w:val="004336AA"/>
    <w:rsid w:val="0043430C"/>
    <w:rsid w:val="004456E5"/>
    <w:rsid w:val="004500D5"/>
    <w:rsid w:val="00452960"/>
    <w:rsid w:val="004533DD"/>
    <w:rsid w:val="00462236"/>
    <w:rsid w:val="004622AE"/>
    <w:rsid w:val="00485DB8"/>
    <w:rsid w:val="00494381"/>
    <w:rsid w:val="00494813"/>
    <w:rsid w:val="004B09B6"/>
    <w:rsid w:val="004B0F7A"/>
    <w:rsid w:val="004B6BE5"/>
    <w:rsid w:val="004C21E0"/>
    <w:rsid w:val="004C5637"/>
    <w:rsid w:val="004C6055"/>
    <w:rsid w:val="004D1D5D"/>
    <w:rsid w:val="004D44FA"/>
    <w:rsid w:val="004E2767"/>
    <w:rsid w:val="004E645A"/>
    <w:rsid w:val="004F07DE"/>
    <w:rsid w:val="004F5A18"/>
    <w:rsid w:val="00501A67"/>
    <w:rsid w:val="00507992"/>
    <w:rsid w:val="005131BC"/>
    <w:rsid w:val="00517CAA"/>
    <w:rsid w:val="00521AC8"/>
    <w:rsid w:val="00532D9A"/>
    <w:rsid w:val="00536CCB"/>
    <w:rsid w:val="00544C6C"/>
    <w:rsid w:val="00547D71"/>
    <w:rsid w:val="00550C10"/>
    <w:rsid w:val="0056532B"/>
    <w:rsid w:val="005710EA"/>
    <w:rsid w:val="00571ABB"/>
    <w:rsid w:val="00582236"/>
    <w:rsid w:val="005838EA"/>
    <w:rsid w:val="00585A61"/>
    <w:rsid w:val="0059403B"/>
    <w:rsid w:val="005A72BA"/>
    <w:rsid w:val="005A73AA"/>
    <w:rsid w:val="005B5D00"/>
    <w:rsid w:val="005B6AA0"/>
    <w:rsid w:val="005C4B60"/>
    <w:rsid w:val="005C53B1"/>
    <w:rsid w:val="005C6006"/>
    <w:rsid w:val="005C7281"/>
    <w:rsid w:val="005C77EE"/>
    <w:rsid w:val="005D39BB"/>
    <w:rsid w:val="005E65BB"/>
    <w:rsid w:val="005E6A9E"/>
    <w:rsid w:val="005F49C2"/>
    <w:rsid w:val="005F7D6A"/>
    <w:rsid w:val="00600264"/>
    <w:rsid w:val="00601960"/>
    <w:rsid w:val="006067A7"/>
    <w:rsid w:val="0061508F"/>
    <w:rsid w:val="006201B6"/>
    <w:rsid w:val="0062081B"/>
    <w:rsid w:val="006246B9"/>
    <w:rsid w:val="00630046"/>
    <w:rsid w:val="0063013A"/>
    <w:rsid w:val="00630416"/>
    <w:rsid w:val="006426A2"/>
    <w:rsid w:val="006464EC"/>
    <w:rsid w:val="0065573F"/>
    <w:rsid w:val="00656526"/>
    <w:rsid w:val="00657422"/>
    <w:rsid w:val="006577BB"/>
    <w:rsid w:val="00665588"/>
    <w:rsid w:val="006676D4"/>
    <w:rsid w:val="006766B9"/>
    <w:rsid w:val="006943A6"/>
    <w:rsid w:val="006A0775"/>
    <w:rsid w:val="006A306C"/>
    <w:rsid w:val="006A4D06"/>
    <w:rsid w:val="006A6250"/>
    <w:rsid w:val="006B3F75"/>
    <w:rsid w:val="006B4907"/>
    <w:rsid w:val="006B6445"/>
    <w:rsid w:val="006C1C50"/>
    <w:rsid w:val="006C3C67"/>
    <w:rsid w:val="006C460D"/>
    <w:rsid w:val="006C53D2"/>
    <w:rsid w:val="006C718C"/>
    <w:rsid w:val="006D6161"/>
    <w:rsid w:val="006E6A75"/>
    <w:rsid w:val="006F1EBC"/>
    <w:rsid w:val="006F2913"/>
    <w:rsid w:val="006F74AC"/>
    <w:rsid w:val="006F755F"/>
    <w:rsid w:val="00701B16"/>
    <w:rsid w:val="0070554C"/>
    <w:rsid w:val="0070554F"/>
    <w:rsid w:val="007102B7"/>
    <w:rsid w:val="00710BEB"/>
    <w:rsid w:val="00714B01"/>
    <w:rsid w:val="00730622"/>
    <w:rsid w:val="007432A0"/>
    <w:rsid w:val="0074687B"/>
    <w:rsid w:val="007527A9"/>
    <w:rsid w:val="0076267C"/>
    <w:rsid w:val="00763FD6"/>
    <w:rsid w:val="00766F70"/>
    <w:rsid w:val="007715E5"/>
    <w:rsid w:val="00773BAB"/>
    <w:rsid w:val="00775609"/>
    <w:rsid w:val="00780A1C"/>
    <w:rsid w:val="007849A4"/>
    <w:rsid w:val="0078712F"/>
    <w:rsid w:val="0079038B"/>
    <w:rsid w:val="007951BC"/>
    <w:rsid w:val="0079661C"/>
    <w:rsid w:val="007B5B77"/>
    <w:rsid w:val="007B6384"/>
    <w:rsid w:val="007C0A98"/>
    <w:rsid w:val="007C0D64"/>
    <w:rsid w:val="007C0F4D"/>
    <w:rsid w:val="007D3702"/>
    <w:rsid w:val="007D4E0B"/>
    <w:rsid w:val="007E1B5D"/>
    <w:rsid w:val="007E4928"/>
    <w:rsid w:val="007E7AF2"/>
    <w:rsid w:val="00807007"/>
    <w:rsid w:val="008100DC"/>
    <w:rsid w:val="00810DA4"/>
    <w:rsid w:val="00811670"/>
    <w:rsid w:val="00811CB0"/>
    <w:rsid w:val="0081510C"/>
    <w:rsid w:val="008347E8"/>
    <w:rsid w:val="008373C9"/>
    <w:rsid w:val="00840A96"/>
    <w:rsid w:val="0084330E"/>
    <w:rsid w:val="00844D40"/>
    <w:rsid w:val="0085664F"/>
    <w:rsid w:val="008618BD"/>
    <w:rsid w:val="00865AD0"/>
    <w:rsid w:val="0086607A"/>
    <w:rsid w:val="00866ACE"/>
    <w:rsid w:val="008838B0"/>
    <w:rsid w:val="00883CA4"/>
    <w:rsid w:val="008A07CF"/>
    <w:rsid w:val="008A19EC"/>
    <w:rsid w:val="008A2089"/>
    <w:rsid w:val="008B0804"/>
    <w:rsid w:val="008B1D59"/>
    <w:rsid w:val="008B26B9"/>
    <w:rsid w:val="008B4EDE"/>
    <w:rsid w:val="008D013D"/>
    <w:rsid w:val="008E675A"/>
    <w:rsid w:val="008F39FB"/>
    <w:rsid w:val="009013EC"/>
    <w:rsid w:val="009027FB"/>
    <w:rsid w:val="00907BA0"/>
    <w:rsid w:val="00911A11"/>
    <w:rsid w:val="00912D1F"/>
    <w:rsid w:val="00920574"/>
    <w:rsid w:val="00920B80"/>
    <w:rsid w:val="00924E60"/>
    <w:rsid w:val="00927E6E"/>
    <w:rsid w:val="009337D3"/>
    <w:rsid w:val="00933A69"/>
    <w:rsid w:val="00933C87"/>
    <w:rsid w:val="009352C8"/>
    <w:rsid w:val="00951E4F"/>
    <w:rsid w:val="009520AA"/>
    <w:rsid w:val="00953B96"/>
    <w:rsid w:val="009573CB"/>
    <w:rsid w:val="00962E00"/>
    <w:rsid w:val="00963AD4"/>
    <w:rsid w:val="009667DE"/>
    <w:rsid w:val="009677BD"/>
    <w:rsid w:val="00972886"/>
    <w:rsid w:val="0097355B"/>
    <w:rsid w:val="00984507"/>
    <w:rsid w:val="00985806"/>
    <w:rsid w:val="00986CF4"/>
    <w:rsid w:val="00991CCF"/>
    <w:rsid w:val="00996283"/>
    <w:rsid w:val="009A3344"/>
    <w:rsid w:val="009A527A"/>
    <w:rsid w:val="009B1B9F"/>
    <w:rsid w:val="009B6ED1"/>
    <w:rsid w:val="009C1636"/>
    <w:rsid w:val="009D1522"/>
    <w:rsid w:val="009E2018"/>
    <w:rsid w:val="009E5F65"/>
    <w:rsid w:val="009E77D7"/>
    <w:rsid w:val="009E7AD7"/>
    <w:rsid w:val="009F3A96"/>
    <w:rsid w:val="00A06236"/>
    <w:rsid w:val="00A06FE2"/>
    <w:rsid w:val="00A25DAF"/>
    <w:rsid w:val="00A274DD"/>
    <w:rsid w:val="00A30C25"/>
    <w:rsid w:val="00A40B4C"/>
    <w:rsid w:val="00A40BF8"/>
    <w:rsid w:val="00A50F57"/>
    <w:rsid w:val="00A550A5"/>
    <w:rsid w:val="00A60D4E"/>
    <w:rsid w:val="00A60D7F"/>
    <w:rsid w:val="00A63423"/>
    <w:rsid w:val="00A67CEC"/>
    <w:rsid w:val="00A73176"/>
    <w:rsid w:val="00A74788"/>
    <w:rsid w:val="00A758B7"/>
    <w:rsid w:val="00A81F98"/>
    <w:rsid w:val="00A84962"/>
    <w:rsid w:val="00A85792"/>
    <w:rsid w:val="00A911A9"/>
    <w:rsid w:val="00A93989"/>
    <w:rsid w:val="00A975D2"/>
    <w:rsid w:val="00AA2D4D"/>
    <w:rsid w:val="00AA3E5A"/>
    <w:rsid w:val="00AA7290"/>
    <w:rsid w:val="00AB2C23"/>
    <w:rsid w:val="00AB5975"/>
    <w:rsid w:val="00AB64F4"/>
    <w:rsid w:val="00AB6EC6"/>
    <w:rsid w:val="00AB74B4"/>
    <w:rsid w:val="00AC6CC8"/>
    <w:rsid w:val="00AD0E97"/>
    <w:rsid w:val="00AD6820"/>
    <w:rsid w:val="00AD69AE"/>
    <w:rsid w:val="00AD752D"/>
    <w:rsid w:val="00AD7761"/>
    <w:rsid w:val="00AE11EC"/>
    <w:rsid w:val="00AE227F"/>
    <w:rsid w:val="00AE45B5"/>
    <w:rsid w:val="00AE49BF"/>
    <w:rsid w:val="00AE6D90"/>
    <w:rsid w:val="00AE7938"/>
    <w:rsid w:val="00AF6934"/>
    <w:rsid w:val="00AF71D0"/>
    <w:rsid w:val="00AF7E3D"/>
    <w:rsid w:val="00B10A3F"/>
    <w:rsid w:val="00B24AEA"/>
    <w:rsid w:val="00B2640B"/>
    <w:rsid w:val="00B342B7"/>
    <w:rsid w:val="00B344C3"/>
    <w:rsid w:val="00B362DE"/>
    <w:rsid w:val="00B42494"/>
    <w:rsid w:val="00B54658"/>
    <w:rsid w:val="00B56A99"/>
    <w:rsid w:val="00B5752E"/>
    <w:rsid w:val="00B6085F"/>
    <w:rsid w:val="00B60F71"/>
    <w:rsid w:val="00B63259"/>
    <w:rsid w:val="00B74122"/>
    <w:rsid w:val="00B75F41"/>
    <w:rsid w:val="00B76D52"/>
    <w:rsid w:val="00B77E47"/>
    <w:rsid w:val="00B9415D"/>
    <w:rsid w:val="00B94188"/>
    <w:rsid w:val="00BA56D2"/>
    <w:rsid w:val="00BB4672"/>
    <w:rsid w:val="00BB6D7B"/>
    <w:rsid w:val="00BC471A"/>
    <w:rsid w:val="00BC665F"/>
    <w:rsid w:val="00BF4D1F"/>
    <w:rsid w:val="00BF7647"/>
    <w:rsid w:val="00C130C0"/>
    <w:rsid w:val="00C26F0B"/>
    <w:rsid w:val="00C33A37"/>
    <w:rsid w:val="00C35C1A"/>
    <w:rsid w:val="00C3721F"/>
    <w:rsid w:val="00C52067"/>
    <w:rsid w:val="00C5216C"/>
    <w:rsid w:val="00C577BC"/>
    <w:rsid w:val="00C6451B"/>
    <w:rsid w:val="00C64AA5"/>
    <w:rsid w:val="00C6679D"/>
    <w:rsid w:val="00C76EE2"/>
    <w:rsid w:val="00C77CB7"/>
    <w:rsid w:val="00C83B1B"/>
    <w:rsid w:val="00C84017"/>
    <w:rsid w:val="00C852E7"/>
    <w:rsid w:val="00C901B6"/>
    <w:rsid w:val="00C95DCB"/>
    <w:rsid w:val="00CB1F17"/>
    <w:rsid w:val="00CB6270"/>
    <w:rsid w:val="00CC48B7"/>
    <w:rsid w:val="00CC52BF"/>
    <w:rsid w:val="00CD0DBB"/>
    <w:rsid w:val="00CD78AF"/>
    <w:rsid w:val="00CE1C43"/>
    <w:rsid w:val="00CE1F8B"/>
    <w:rsid w:val="00CE217C"/>
    <w:rsid w:val="00CE223C"/>
    <w:rsid w:val="00CE5798"/>
    <w:rsid w:val="00CE6099"/>
    <w:rsid w:val="00CF2D13"/>
    <w:rsid w:val="00CF35DC"/>
    <w:rsid w:val="00CF3D85"/>
    <w:rsid w:val="00CF6F74"/>
    <w:rsid w:val="00D05AA3"/>
    <w:rsid w:val="00D176E8"/>
    <w:rsid w:val="00D21942"/>
    <w:rsid w:val="00D23062"/>
    <w:rsid w:val="00D26D47"/>
    <w:rsid w:val="00D30BD1"/>
    <w:rsid w:val="00D4370D"/>
    <w:rsid w:val="00D43C52"/>
    <w:rsid w:val="00D51169"/>
    <w:rsid w:val="00D535B4"/>
    <w:rsid w:val="00D53FB4"/>
    <w:rsid w:val="00D540F8"/>
    <w:rsid w:val="00D57B16"/>
    <w:rsid w:val="00D60243"/>
    <w:rsid w:val="00D6051E"/>
    <w:rsid w:val="00D66CB3"/>
    <w:rsid w:val="00D73818"/>
    <w:rsid w:val="00D74750"/>
    <w:rsid w:val="00D7783F"/>
    <w:rsid w:val="00D84EFC"/>
    <w:rsid w:val="00D85DA9"/>
    <w:rsid w:val="00D86D79"/>
    <w:rsid w:val="00DA1158"/>
    <w:rsid w:val="00DA2EEF"/>
    <w:rsid w:val="00DA3D06"/>
    <w:rsid w:val="00DA5BA8"/>
    <w:rsid w:val="00DB22D0"/>
    <w:rsid w:val="00DB4699"/>
    <w:rsid w:val="00DB6950"/>
    <w:rsid w:val="00DC6D39"/>
    <w:rsid w:val="00DC6D6D"/>
    <w:rsid w:val="00DE0E45"/>
    <w:rsid w:val="00DE6F85"/>
    <w:rsid w:val="00E0003E"/>
    <w:rsid w:val="00E05BA6"/>
    <w:rsid w:val="00E23EA1"/>
    <w:rsid w:val="00E24462"/>
    <w:rsid w:val="00E3106B"/>
    <w:rsid w:val="00E31FE4"/>
    <w:rsid w:val="00E34416"/>
    <w:rsid w:val="00E46760"/>
    <w:rsid w:val="00E5257E"/>
    <w:rsid w:val="00E5324A"/>
    <w:rsid w:val="00E56715"/>
    <w:rsid w:val="00E5754E"/>
    <w:rsid w:val="00E61410"/>
    <w:rsid w:val="00E61B64"/>
    <w:rsid w:val="00E72C41"/>
    <w:rsid w:val="00E808B0"/>
    <w:rsid w:val="00E80ADE"/>
    <w:rsid w:val="00E848E2"/>
    <w:rsid w:val="00E947BF"/>
    <w:rsid w:val="00EA10D3"/>
    <w:rsid w:val="00EA585A"/>
    <w:rsid w:val="00EB0145"/>
    <w:rsid w:val="00EB14ED"/>
    <w:rsid w:val="00EB2885"/>
    <w:rsid w:val="00EB7F3E"/>
    <w:rsid w:val="00EC0AC3"/>
    <w:rsid w:val="00EC22CA"/>
    <w:rsid w:val="00EC491E"/>
    <w:rsid w:val="00ED376E"/>
    <w:rsid w:val="00ED6992"/>
    <w:rsid w:val="00F0230C"/>
    <w:rsid w:val="00F026A8"/>
    <w:rsid w:val="00F04600"/>
    <w:rsid w:val="00F051CB"/>
    <w:rsid w:val="00F07014"/>
    <w:rsid w:val="00F07FD9"/>
    <w:rsid w:val="00F11855"/>
    <w:rsid w:val="00F2715F"/>
    <w:rsid w:val="00F302E4"/>
    <w:rsid w:val="00F428FA"/>
    <w:rsid w:val="00F460F6"/>
    <w:rsid w:val="00F51C98"/>
    <w:rsid w:val="00F55FA0"/>
    <w:rsid w:val="00F56843"/>
    <w:rsid w:val="00F64B09"/>
    <w:rsid w:val="00F657C5"/>
    <w:rsid w:val="00F6612B"/>
    <w:rsid w:val="00F67F94"/>
    <w:rsid w:val="00F7702A"/>
    <w:rsid w:val="00F8249A"/>
    <w:rsid w:val="00F83E0F"/>
    <w:rsid w:val="00F84016"/>
    <w:rsid w:val="00F85048"/>
    <w:rsid w:val="00F850ED"/>
    <w:rsid w:val="00F9044D"/>
    <w:rsid w:val="00F925B0"/>
    <w:rsid w:val="00F92FDE"/>
    <w:rsid w:val="00F94852"/>
    <w:rsid w:val="00F94AFE"/>
    <w:rsid w:val="00F978D4"/>
    <w:rsid w:val="00FA36F1"/>
    <w:rsid w:val="00FA66A0"/>
    <w:rsid w:val="00FB20DB"/>
    <w:rsid w:val="00FB224B"/>
    <w:rsid w:val="00FB51B3"/>
    <w:rsid w:val="00FB5410"/>
    <w:rsid w:val="00FB7272"/>
    <w:rsid w:val="00FC070B"/>
    <w:rsid w:val="00FC39BE"/>
    <w:rsid w:val="00FC5DDC"/>
    <w:rsid w:val="00FC6A6F"/>
    <w:rsid w:val="00FE2DE9"/>
    <w:rsid w:val="00FF2D6C"/>
    <w:rsid w:val="00FF78E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2B4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85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728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2852"/>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072852"/>
    <w:rPr>
      <w:vertAlign w:val="superscript"/>
    </w:rPr>
  </w:style>
  <w:style w:type="table" w:styleId="TableGrid">
    <w:name w:val="Table Grid"/>
    <w:basedOn w:val="TableNormal"/>
    <w:uiPriority w:val="39"/>
    <w:rsid w:val="001C3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166E8"/>
    <w:rPr>
      <w:i/>
      <w:iCs/>
    </w:rPr>
  </w:style>
  <w:style w:type="paragraph" w:styleId="NormalWeb">
    <w:name w:val="Normal (Web)"/>
    <w:basedOn w:val="Normal"/>
    <w:uiPriority w:val="99"/>
    <w:semiHidden/>
    <w:unhideWhenUsed/>
    <w:rsid w:val="005C7281"/>
    <w:pPr>
      <w:spacing w:before="100" w:beforeAutospacing="1" w:after="100" w:afterAutospacing="1" w:line="240" w:lineRule="auto"/>
    </w:pPr>
    <w:rPr>
      <w:rFonts w:ascii="Times New Roman" w:eastAsia="Times New Roman" w:hAnsi="Times New Roman"/>
      <w:sz w:val="24"/>
      <w:szCs w:val="24"/>
      <w:lang w:eastAsia="en-PH"/>
    </w:rPr>
  </w:style>
  <w:style w:type="character" w:styleId="Hyperlink">
    <w:name w:val="Hyperlink"/>
    <w:basedOn w:val="DefaultParagraphFont"/>
    <w:uiPriority w:val="99"/>
    <w:unhideWhenUsed/>
    <w:rsid w:val="00AB74B4"/>
    <w:rPr>
      <w:color w:val="0000FF"/>
      <w:u w:val="single"/>
    </w:rPr>
  </w:style>
  <w:style w:type="character" w:styleId="UnresolvedMention">
    <w:name w:val="Unresolved Mention"/>
    <w:basedOn w:val="DefaultParagraphFont"/>
    <w:uiPriority w:val="99"/>
    <w:semiHidden/>
    <w:unhideWhenUsed/>
    <w:rsid w:val="003658EF"/>
    <w:rPr>
      <w:color w:val="605E5C"/>
      <w:shd w:val="clear" w:color="auto" w:fill="E1DFDD"/>
    </w:rPr>
  </w:style>
  <w:style w:type="paragraph" w:styleId="Header">
    <w:name w:val="header"/>
    <w:basedOn w:val="Normal"/>
    <w:link w:val="HeaderChar"/>
    <w:uiPriority w:val="99"/>
    <w:unhideWhenUsed/>
    <w:rsid w:val="009352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52C8"/>
    <w:rPr>
      <w:rFonts w:ascii="Calibri" w:eastAsia="Calibri" w:hAnsi="Calibri" w:cs="Times New Roman"/>
    </w:rPr>
  </w:style>
  <w:style w:type="paragraph" w:styleId="Footer">
    <w:name w:val="footer"/>
    <w:basedOn w:val="Normal"/>
    <w:link w:val="FooterChar"/>
    <w:uiPriority w:val="99"/>
    <w:unhideWhenUsed/>
    <w:rsid w:val="009352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52C8"/>
    <w:rPr>
      <w:rFonts w:ascii="Calibri" w:eastAsia="Calibri" w:hAnsi="Calibri" w:cs="Times New Roman"/>
    </w:rPr>
  </w:style>
  <w:style w:type="paragraph" w:styleId="ListParagraph">
    <w:name w:val="List Paragraph"/>
    <w:basedOn w:val="Normal"/>
    <w:uiPriority w:val="34"/>
    <w:qFormat/>
    <w:rsid w:val="00012A1A"/>
    <w:pPr>
      <w:ind w:left="720"/>
      <w:contextualSpacing/>
    </w:pPr>
  </w:style>
  <w:style w:type="character" w:styleId="PlaceholderText">
    <w:name w:val="Placeholder Text"/>
    <w:basedOn w:val="DefaultParagraphFont"/>
    <w:uiPriority w:val="99"/>
    <w:semiHidden/>
    <w:rsid w:val="00582236"/>
    <w:rPr>
      <w:color w:val="808080"/>
    </w:rPr>
  </w:style>
  <w:style w:type="character" w:styleId="CommentReference">
    <w:name w:val="annotation reference"/>
    <w:basedOn w:val="DefaultParagraphFont"/>
    <w:uiPriority w:val="99"/>
    <w:semiHidden/>
    <w:unhideWhenUsed/>
    <w:rsid w:val="00A81F98"/>
    <w:rPr>
      <w:sz w:val="16"/>
      <w:szCs w:val="16"/>
    </w:rPr>
  </w:style>
  <w:style w:type="paragraph" w:styleId="CommentText">
    <w:name w:val="annotation text"/>
    <w:basedOn w:val="Normal"/>
    <w:link w:val="CommentTextChar"/>
    <w:uiPriority w:val="99"/>
    <w:unhideWhenUsed/>
    <w:rsid w:val="00A81F98"/>
    <w:pPr>
      <w:spacing w:line="240" w:lineRule="auto"/>
    </w:pPr>
    <w:rPr>
      <w:sz w:val="20"/>
      <w:szCs w:val="20"/>
    </w:rPr>
  </w:style>
  <w:style w:type="character" w:customStyle="1" w:styleId="CommentTextChar">
    <w:name w:val="Comment Text Char"/>
    <w:basedOn w:val="DefaultParagraphFont"/>
    <w:link w:val="CommentText"/>
    <w:uiPriority w:val="99"/>
    <w:rsid w:val="00A81F9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81F98"/>
    <w:rPr>
      <w:b/>
      <w:bCs/>
    </w:rPr>
  </w:style>
  <w:style w:type="character" w:customStyle="1" w:styleId="CommentSubjectChar">
    <w:name w:val="Comment Subject Char"/>
    <w:basedOn w:val="CommentTextChar"/>
    <w:link w:val="CommentSubject"/>
    <w:uiPriority w:val="99"/>
    <w:semiHidden/>
    <w:rsid w:val="00A81F98"/>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6162">
      <w:bodyDiv w:val="1"/>
      <w:marLeft w:val="0"/>
      <w:marRight w:val="0"/>
      <w:marTop w:val="0"/>
      <w:marBottom w:val="0"/>
      <w:divBdr>
        <w:top w:val="none" w:sz="0" w:space="0" w:color="auto"/>
        <w:left w:val="none" w:sz="0" w:space="0" w:color="auto"/>
        <w:bottom w:val="none" w:sz="0" w:space="0" w:color="auto"/>
        <w:right w:val="none" w:sz="0" w:space="0" w:color="auto"/>
      </w:divBdr>
    </w:div>
    <w:div w:id="21590874">
      <w:bodyDiv w:val="1"/>
      <w:marLeft w:val="0"/>
      <w:marRight w:val="0"/>
      <w:marTop w:val="0"/>
      <w:marBottom w:val="0"/>
      <w:divBdr>
        <w:top w:val="none" w:sz="0" w:space="0" w:color="auto"/>
        <w:left w:val="none" w:sz="0" w:space="0" w:color="auto"/>
        <w:bottom w:val="none" w:sz="0" w:space="0" w:color="auto"/>
        <w:right w:val="none" w:sz="0" w:space="0" w:color="auto"/>
      </w:divBdr>
    </w:div>
    <w:div w:id="58599099">
      <w:bodyDiv w:val="1"/>
      <w:marLeft w:val="0"/>
      <w:marRight w:val="0"/>
      <w:marTop w:val="0"/>
      <w:marBottom w:val="0"/>
      <w:divBdr>
        <w:top w:val="none" w:sz="0" w:space="0" w:color="auto"/>
        <w:left w:val="none" w:sz="0" w:space="0" w:color="auto"/>
        <w:bottom w:val="none" w:sz="0" w:space="0" w:color="auto"/>
        <w:right w:val="none" w:sz="0" w:space="0" w:color="auto"/>
      </w:divBdr>
    </w:div>
    <w:div w:id="96222450">
      <w:bodyDiv w:val="1"/>
      <w:marLeft w:val="0"/>
      <w:marRight w:val="0"/>
      <w:marTop w:val="0"/>
      <w:marBottom w:val="0"/>
      <w:divBdr>
        <w:top w:val="none" w:sz="0" w:space="0" w:color="auto"/>
        <w:left w:val="none" w:sz="0" w:space="0" w:color="auto"/>
        <w:bottom w:val="none" w:sz="0" w:space="0" w:color="auto"/>
        <w:right w:val="none" w:sz="0" w:space="0" w:color="auto"/>
      </w:divBdr>
    </w:div>
    <w:div w:id="103312530">
      <w:bodyDiv w:val="1"/>
      <w:marLeft w:val="0"/>
      <w:marRight w:val="0"/>
      <w:marTop w:val="0"/>
      <w:marBottom w:val="0"/>
      <w:divBdr>
        <w:top w:val="none" w:sz="0" w:space="0" w:color="auto"/>
        <w:left w:val="none" w:sz="0" w:space="0" w:color="auto"/>
        <w:bottom w:val="none" w:sz="0" w:space="0" w:color="auto"/>
        <w:right w:val="none" w:sz="0" w:space="0" w:color="auto"/>
      </w:divBdr>
    </w:div>
    <w:div w:id="165557251">
      <w:bodyDiv w:val="1"/>
      <w:marLeft w:val="0"/>
      <w:marRight w:val="0"/>
      <w:marTop w:val="0"/>
      <w:marBottom w:val="0"/>
      <w:divBdr>
        <w:top w:val="none" w:sz="0" w:space="0" w:color="auto"/>
        <w:left w:val="none" w:sz="0" w:space="0" w:color="auto"/>
        <w:bottom w:val="none" w:sz="0" w:space="0" w:color="auto"/>
        <w:right w:val="none" w:sz="0" w:space="0" w:color="auto"/>
      </w:divBdr>
      <w:divsChild>
        <w:div w:id="34816855">
          <w:marLeft w:val="-720"/>
          <w:marRight w:val="0"/>
          <w:marTop w:val="0"/>
          <w:marBottom w:val="0"/>
          <w:divBdr>
            <w:top w:val="none" w:sz="0" w:space="0" w:color="auto"/>
            <w:left w:val="none" w:sz="0" w:space="0" w:color="auto"/>
            <w:bottom w:val="none" w:sz="0" w:space="0" w:color="auto"/>
            <w:right w:val="none" w:sz="0" w:space="0" w:color="auto"/>
          </w:divBdr>
        </w:div>
      </w:divsChild>
    </w:div>
    <w:div w:id="229383844">
      <w:bodyDiv w:val="1"/>
      <w:marLeft w:val="0"/>
      <w:marRight w:val="0"/>
      <w:marTop w:val="0"/>
      <w:marBottom w:val="0"/>
      <w:divBdr>
        <w:top w:val="none" w:sz="0" w:space="0" w:color="auto"/>
        <w:left w:val="none" w:sz="0" w:space="0" w:color="auto"/>
        <w:bottom w:val="none" w:sz="0" w:space="0" w:color="auto"/>
        <w:right w:val="none" w:sz="0" w:space="0" w:color="auto"/>
      </w:divBdr>
    </w:div>
    <w:div w:id="282152012">
      <w:bodyDiv w:val="1"/>
      <w:marLeft w:val="0"/>
      <w:marRight w:val="0"/>
      <w:marTop w:val="0"/>
      <w:marBottom w:val="0"/>
      <w:divBdr>
        <w:top w:val="none" w:sz="0" w:space="0" w:color="auto"/>
        <w:left w:val="none" w:sz="0" w:space="0" w:color="auto"/>
        <w:bottom w:val="none" w:sz="0" w:space="0" w:color="auto"/>
        <w:right w:val="none" w:sz="0" w:space="0" w:color="auto"/>
      </w:divBdr>
    </w:div>
    <w:div w:id="291635488">
      <w:bodyDiv w:val="1"/>
      <w:marLeft w:val="0"/>
      <w:marRight w:val="0"/>
      <w:marTop w:val="0"/>
      <w:marBottom w:val="0"/>
      <w:divBdr>
        <w:top w:val="none" w:sz="0" w:space="0" w:color="auto"/>
        <w:left w:val="none" w:sz="0" w:space="0" w:color="auto"/>
        <w:bottom w:val="none" w:sz="0" w:space="0" w:color="auto"/>
        <w:right w:val="none" w:sz="0" w:space="0" w:color="auto"/>
      </w:divBdr>
    </w:div>
    <w:div w:id="299310549">
      <w:bodyDiv w:val="1"/>
      <w:marLeft w:val="0"/>
      <w:marRight w:val="0"/>
      <w:marTop w:val="0"/>
      <w:marBottom w:val="0"/>
      <w:divBdr>
        <w:top w:val="none" w:sz="0" w:space="0" w:color="auto"/>
        <w:left w:val="none" w:sz="0" w:space="0" w:color="auto"/>
        <w:bottom w:val="none" w:sz="0" w:space="0" w:color="auto"/>
        <w:right w:val="none" w:sz="0" w:space="0" w:color="auto"/>
      </w:divBdr>
    </w:div>
    <w:div w:id="318703266">
      <w:bodyDiv w:val="1"/>
      <w:marLeft w:val="0"/>
      <w:marRight w:val="0"/>
      <w:marTop w:val="0"/>
      <w:marBottom w:val="0"/>
      <w:divBdr>
        <w:top w:val="none" w:sz="0" w:space="0" w:color="auto"/>
        <w:left w:val="none" w:sz="0" w:space="0" w:color="auto"/>
        <w:bottom w:val="none" w:sz="0" w:space="0" w:color="auto"/>
        <w:right w:val="none" w:sz="0" w:space="0" w:color="auto"/>
      </w:divBdr>
    </w:div>
    <w:div w:id="474294443">
      <w:bodyDiv w:val="1"/>
      <w:marLeft w:val="0"/>
      <w:marRight w:val="0"/>
      <w:marTop w:val="0"/>
      <w:marBottom w:val="0"/>
      <w:divBdr>
        <w:top w:val="none" w:sz="0" w:space="0" w:color="auto"/>
        <w:left w:val="none" w:sz="0" w:space="0" w:color="auto"/>
        <w:bottom w:val="none" w:sz="0" w:space="0" w:color="auto"/>
        <w:right w:val="none" w:sz="0" w:space="0" w:color="auto"/>
      </w:divBdr>
    </w:div>
    <w:div w:id="474764324">
      <w:bodyDiv w:val="1"/>
      <w:marLeft w:val="0"/>
      <w:marRight w:val="0"/>
      <w:marTop w:val="0"/>
      <w:marBottom w:val="0"/>
      <w:divBdr>
        <w:top w:val="none" w:sz="0" w:space="0" w:color="auto"/>
        <w:left w:val="none" w:sz="0" w:space="0" w:color="auto"/>
        <w:bottom w:val="none" w:sz="0" w:space="0" w:color="auto"/>
        <w:right w:val="none" w:sz="0" w:space="0" w:color="auto"/>
      </w:divBdr>
    </w:div>
    <w:div w:id="500509730">
      <w:bodyDiv w:val="1"/>
      <w:marLeft w:val="0"/>
      <w:marRight w:val="0"/>
      <w:marTop w:val="0"/>
      <w:marBottom w:val="0"/>
      <w:divBdr>
        <w:top w:val="none" w:sz="0" w:space="0" w:color="auto"/>
        <w:left w:val="none" w:sz="0" w:space="0" w:color="auto"/>
        <w:bottom w:val="none" w:sz="0" w:space="0" w:color="auto"/>
        <w:right w:val="none" w:sz="0" w:space="0" w:color="auto"/>
      </w:divBdr>
    </w:div>
    <w:div w:id="526985832">
      <w:bodyDiv w:val="1"/>
      <w:marLeft w:val="0"/>
      <w:marRight w:val="0"/>
      <w:marTop w:val="0"/>
      <w:marBottom w:val="0"/>
      <w:divBdr>
        <w:top w:val="none" w:sz="0" w:space="0" w:color="auto"/>
        <w:left w:val="none" w:sz="0" w:space="0" w:color="auto"/>
        <w:bottom w:val="none" w:sz="0" w:space="0" w:color="auto"/>
        <w:right w:val="none" w:sz="0" w:space="0" w:color="auto"/>
      </w:divBdr>
    </w:div>
    <w:div w:id="543060534">
      <w:bodyDiv w:val="1"/>
      <w:marLeft w:val="0"/>
      <w:marRight w:val="0"/>
      <w:marTop w:val="0"/>
      <w:marBottom w:val="0"/>
      <w:divBdr>
        <w:top w:val="none" w:sz="0" w:space="0" w:color="auto"/>
        <w:left w:val="none" w:sz="0" w:space="0" w:color="auto"/>
        <w:bottom w:val="none" w:sz="0" w:space="0" w:color="auto"/>
        <w:right w:val="none" w:sz="0" w:space="0" w:color="auto"/>
      </w:divBdr>
    </w:div>
    <w:div w:id="599413766">
      <w:bodyDiv w:val="1"/>
      <w:marLeft w:val="0"/>
      <w:marRight w:val="0"/>
      <w:marTop w:val="0"/>
      <w:marBottom w:val="0"/>
      <w:divBdr>
        <w:top w:val="none" w:sz="0" w:space="0" w:color="auto"/>
        <w:left w:val="none" w:sz="0" w:space="0" w:color="auto"/>
        <w:bottom w:val="none" w:sz="0" w:space="0" w:color="auto"/>
        <w:right w:val="none" w:sz="0" w:space="0" w:color="auto"/>
      </w:divBdr>
    </w:div>
    <w:div w:id="697899198">
      <w:bodyDiv w:val="1"/>
      <w:marLeft w:val="0"/>
      <w:marRight w:val="0"/>
      <w:marTop w:val="0"/>
      <w:marBottom w:val="0"/>
      <w:divBdr>
        <w:top w:val="none" w:sz="0" w:space="0" w:color="auto"/>
        <w:left w:val="none" w:sz="0" w:space="0" w:color="auto"/>
        <w:bottom w:val="none" w:sz="0" w:space="0" w:color="auto"/>
        <w:right w:val="none" w:sz="0" w:space="0" w:color="auto"/>
      </w:divBdr>
    </w:div>
    <w:div w:id="728695372">
      <w:bodyDiv w:val="1"/>
      <w:marLeft w:val="0"/>
      <w:marRight w:val="0"/>
      <w:marTop w:val="0"/>
      <w:marBottom w:val="0"/>
      <w:divBdr>
        <w:top w:val="none" w:sz="0" w:space="0" w:color="auto"/>
        <w:left w:val="none" w:sz="0" w:space="0" w:color="auto"/>
        <w:bottom w:val="none" w:sz="0" w:space="0" w:color="auto"/>
        <w:right w:val="none" w:sz="0" w:space="0" w:color="auto"/>
      </w:divBdr>
      <w:divsChild>
        <w:div w:id="858663103">
          <w:marLeft w:val="-720"/>
          <w:marRight w:val="0"/>
          <w:marTop w:val="0"/>
          <w:marBottom w:val="0"/>
          <w:divBdr>
            <w:top w:val="none" w:sz="0" w:space="0" w:color="auto"/>
            <w:left w:val="none" w:sz="0" w:space="0" w:color="auto"/>
            <w:bottom w:val="none" w:sz="0" w:space="0" w:color="auto"/>
            <w:right w:val="none" w:sz="0" w:space="0" w:color="auto"/>
          </w:divBdr>
        </w:div>
      </w:divsChild>
    </w:div>
    <w:div w:id="756362727">
      <w:bodyDiv w:val="1"/>
      <w:marLeft w:val="0"/>
      <w:marRight w:val="0"/>
      <w:marTop w:val="0"/>
      <w:marBottom w:val="0"/>
      <w:divBdr>
        <w:top w:val="none" w:sz="0" w:space="0" w:color="auto"/>
        <w:left w:val="none" w:sz="0" w:space="0" w:color="auto"/>
        <w:bottom w:val="none" w:sz="0" w:space="0" w:color="auto"/>
        <w:right w:val="none" w:sz="0" w:space="0" w:color="auto"/>
      </w:divBdr>
    </w:div>
    <w:div w:id="784273097">
      <w:bodyDiv w:val="1"/>
      <w:marLeft w:val="0"/>
      <w:marRight w:val="0"/>
      <w:marTop w:val="0"/>
      <w:marBottom w:val="0"/>
      <w:divBdr>
        <w:top w:val="none" w:sz="0" w:space="0" w:color="auto"/>
        <w:left w:val="none" w:sz="0" w:space="0" w:color="auto"/>
        <w:bottom w:val="none" w:sz="0" w:space="0" w:color="auto"/>
        <w:right w:val="none" w:sz="0" w:space="0" w:color="auto"/>
      </w:divBdr>
    </w:div>
    <w:div w:id="792753482">
      <w:bodyDiv w:val="1"/>
      <w:marLeft w:val="0"/>
      <w:marRight w:val="0"/>
      <w:marTop w:val="0"/>
      <w:marBottom w:val="0"/>
      <w:divBdr>
        <w:top w:val="none" w:sz="0" w:space="0" w:color="auto"/>
        <w:left w:val="none" w:sz="0" w:space="0" w:color="auto"/>
        <w:bottom w:val="none" w:sz="0" w:space="0" w:color="auto"/>
        <w:right w:val="none" w:sz="0" w:space="0" w:color="auto"/>
      </w:divBdr>
    </w:div>
    <w:div w:id="795950213">
      <w:bodyDiv w:val="1"/>
      <w:marLeft w:val="0"/>
      <w:marRight w:val="0"/>
      <w:marTop w:val="0"/>
      <w:marBottom w:val="0"/>
      <w:divBdr>
        <w:top w:val="none" w:sz="0" w:space="0" w:color="auto"/>
        <w:left w:val="none" w:sz="0" w:space="0" w:color="auto"/>
        <w:bottom w:val="none" w:sz="0" w:space="0" w:color="auto"/>
        <w:right w:val="none" w:sz="0" w:space="0" w:color="auto"/>
      </w:divBdr>
    </w:div>
    <w:div w:id="809594752">
      <w:bodyDiv w:val="1"/>
      <w:marLeft w:val="0"/>
      <w:marRight w:val="0"/>
      <w:marTop w:val="0"/>
      <w:marBottom w:val="0"/>
      <w:divBdr>
        <w:top w:val="none" w:sz="0" w:space="0" w:color="auto"/>
        <w:left w:val="none" w:sz="0" w:space="0" w:color="auto"/>
        <w:bottom w:val="none" w:sz="0" w:space="0" w:color="auto"/>
        <w:right w:val="none" w:sz="0" w:space="0" w:color="auto"/>
      </w:divBdr>
    </w:div>
    <w:div w:id="924067997">
      <w:bodyDiv w:val="1"/>
      <w:marLeft w:val="0"/>
      <w:marRight w:val="0"/>
      <w:marTop w:val="0"/>
      <w:marBottom w:val="0"/>
      <w:divBdr>
        <w:top w:val="none" w:sz="0" w:space="0" w:color="auto"/>
        <w:left w:val="none" w:sz="0" w:space="0" w:color="auto"/>
        <w:bottom w:val="none" w:sz="0" w:space="0" w:color="auto"/>
        <w:right w:val="none" w:sz="0" w:space="0" w:color="auto"/>
      </w:divBdr>
    </w:div>
    <w:div w:id="986668476">
      <w:bodyDiv w:val="1"/>
      <w:marLeft w:val="0"/>
      <w:marRight w:val="0"/>
      <w:marTop w:val="0"/>
      <w:marBottom w:val="0"/>
      <w:divBdr>
        <w:top w:val="none" w:sz="0" w:space="0" w:color="auto"/>
        <w:left w:val="none" w:sz="0" w:space="0" w:color="auto"/>
        <w:bottom w:val="none" w:sz="0" w:space="0" w:color="auto"/>
        <w:right w:val="none" w:sz="0" w:space="0" w:color="auto"/>
      </w:divBdr>
    </w:div>
    <w:div w:id="1008216845">
      <w:bodyDiv w:val="1"/>
      <w:marLeft w:val="0"/>
      <w:marRight w:val="0"/>
      <w:marTop w:val="0"/>
      <w:marBottom w:val="0"/>
      <w:divBdr>
        <w:top w:val="none" w:sz="0" w:space="0" w:color="auto"/>
        <w:left w:val="none" w:sz="0" w:space="0" w:color="auto"/>
        <w:bottom w:val="none" w:sz="0" w:space="0" w:color="auto"/>
        <w:right w:val="none" w:sz="0" w:space="0" w:color="auto"/>
      </w:divBdr>
    </w:div>
    <w:div w:id="1029183357">
      <w:bodyDiv w:val="1"/>
      <w:marLeft w:val="0"/>
      <w:marRight w:val="0"/>
      <w:marTop w:val="0"/>
      <w:marBottom w:val="0"/>
      <w:divBdr>
        <w:top w:val="none" w:sz="0" w:space="0" w:color="auto"/>
        <w:left w:val="none" w:sz="0" w:space="0" w:color="auto"/>
        <w:bottom w:val="none" w:sz="0" w:space="0" w:color="auto"/>
        <w:right w:val="none" w:sz="0" w:space="0" w:color="auto"/>
      </w:divBdr>
    </w:div>
    <w:div w:id="1037045146">
      <w:bodyDiv w:val="1"/>
      <w:marLeft w:val="0"/>
      <w:marRight w:val="0"/>
      <w:marTop w:val="0"/>
      <w:marBottom w:val="0"/>
      <w:divBdr>
        <w:top w:val="none" w:sz="0" w:space="0" w:color="auto"/>
        <w:left w:val="none" w:sz="0" w:space="0" w:color="auto"/>
        <w:bottom w:val="none" w:sz="0" w:space="0" w:color="auto"/>
        <w:right w:val="none" w:sz="0" w:space="0" w:color="auto"/>
      </w:divBdr>
    </w:div>
    <w:div w:id="1182669123">
      <w:bodyDiv w:val="1"/>
      <w:marLeft w:val="0"/>
      <w:marRight w:val="0"/>
      <w:marTop w:val="0"/>
      <w:marBottom w:val="0"/>
      <w:divBdr>
        <w:top w:val="none" w:sz="0" w:space="0" w:color="auto"/>
        <w:left w:val="none" w:sz="0" w:space="0" w:color="auto"/>
        <w:bottom w:val="none" w:sz="0" w:space="0" w:color="auto"/>
        <w:right w:val="none" w:sz="0" w:space="0" w:color="auto"/>
      </w:divBdr>
    </w:div>
    <w:div w:id="1202522395">
      <w:bodyDiv w:val="1"/>
      <w:marLeft w:val="0"/>
      <w:marRight w:val="0"/>
      <w:marTop w:val="0"/>
      <w:marBottom w:val="0"/>
      <w:divBdr>
        <w:top w:val="none" w:sz="0" w:space="0" w:color="auto"/>
        <w:left w:val="none" w:sz="0" w:space="0" w:color="auto"/>
        <w:bottom w:val="none" w:sz="0" w:space="0" w:color="auto"/>
        <w:right w:val="none" w:sz="0" w:space="0" w:color="auto"/>
      </w:divBdr>
    </w:div>
    <w:div w:id="1247765994">
      <w:bodyDiv w:val="1"/>
      <w:marLeft w:val="0"/>
      <w:marRight w:val="0"/>
      <w:marTop w:val="0"/>
      <w:marBottom w:val="0"/>
      <w:divBdr>
        <w:top w:val="none" w:sz="0" w:space="0" w:color="auto"/>
        <w:left w:val="none" w:sz="0" w:space="0" w:color="auto"/>
        <w:bottom w:val="none" w:sz="0" w:space="0" w:color="auto"/>
        <w:right w:val="none" w:sz="0" w:space="0" w:color="auto"/>
      </w:divBdr>
    </w:div>
    <w:div w:id="1248226881">
      <w:bodyDiv w:val="1"/>
      <w:marLeft w:val="0"/>
      <w:marRight w:val="0"/>
      <w:marTop w:val="0"/>
      <w:marBottom w:val="0"/>
      <w:divBdr>
        <w:top w:val="none" w:sz="0" w:space="0" w:color="auto"/>
        <w:left w:val="none" w:sz="0" w:space="0" w:color="auto"/>
        <w:bottom w:val="none" w:sz="0" w:space="0" w:color="auto"/>
        <w:right w:val="none" w:sz="0" w:space="0" w:color="auto"/>
      </w:divBdr>
    </w:div>
    <w:div w:id="1267277250">
      <w:bodyDiv w:val="1"/>
      <w:marLeft w:val="0"/>
      <w:marRight w:val="0"/>
      <w:marTop w:val="0"/>
      <w:marBottom w:val="0"/>
      <w:divBdr>
        <w:top w:val="none" w:sz="0" w:space="0" w:color="auto"/>
        <w:left w:val="none" w:sz="0" w:space="0" w:color="auto"/>
        <w:bottom w:val="none" w:sz="0" w:space="0" w:color="auto"/>
        <w:right w:val="none" w:sz="0" w:space="0" w:color="auto"/>
      </w:divBdr>
    </w:div>
    <w:div w:id="1457479193">
      <w:bodyDiv w:val="1"/>
      <w:marLeft w:val="0"/>
      <w:marRight w:val="0"/>
      <w:marTop w:val="0"/>
      <w:marBottom w:val="0"/>
      <w:divBdr>
        <w:top w:val="none" w:sz="0" w:space="0" w:color="auto"/>
        <w:left w:val="none" w:sz="0" w:space="0" w:color="auto"/>
        <w:bottom w:val="none" w:sz="0" w:space="0" w:color="auto"/>
        <w:right w:val="none" w:sz="0" w:space="0" w:color="auto"/>
      </w:divBdr>
    </w:div>
    <w:div w:id="1527711979">
      <w:bodyDiv w:val="1"/>
      <w:marLeft w:val="0"/>
      <w:marRight w:val="0"/>
      <w:marTop w:val="0"/>
      <w:marBottom w:val="0"/>
      <w:divBdr>
        <w:top w:val="none" w:sz="0" w:space="0" w:color="auto"/>
        <w:left w:val="none" w:sz="0" w:space="0" w:color="auto"/>
        <w:bottom w:val="none" w:sz="0" w:space="0" w:color="auto"/>
        <w:right w:val="none" w:sz="0" w:space="0" w:color="auto"/>
      </w:divBdr>
    </w:div>
    <w:div w:id="1560356648">
      <w:bodyDiv w:val="1"/>
      <w:marLeft w:val="0"/>
      <w:marRight w:val="0"/>
      <w:marTop w:val="0"/>
      <w:marBottom w:val="0"/>
      <w:divBdr>
        <w:top w:val="none" w:sz="0" w:space="0" w:color="auto"/>
        <w:left w:val="none" w:sz="0" w:space="0" w:color="auto"/>
        <w:bottom w:val="none" w:sz="0" w:space="0" w:color="auto"/>
        <w:right w:val="none" w:sz="0" w:space="0" w:color="auto"/>
      </w:divBdr>
      <w:divsChild>
        <w:div w:id="73624346">
          <w:marLeft w:val="-720"/>
          <w:marRight w:val="0"/>
          <w:marTop w:val="0"/>
          <w:marBottom w:val="0"/>
          <w:divBdr>
            <w:top w:val="none" w:sz="0" w:space="0" w:color="auto"/>
            <w:left w:val="none" w:sz="0" w:space="0" w:color="auto"/>
            <w:bottom w:val="none" w:sz="0" w:space="0" w:color="auto"/>
            <w:right w:val="none" w:sz="0" w:space="0" w:color="auto"/>
          </w:divBdr>
        </w:div>
      </w:divsChild>
    </w:div>
    <w:div w:id="1659650498">
      <w:bodyDiv w:val="1"/>
      <w:marLeft w:val="0"/>
      <w:marRight w:val="0"/>
      <w:marTop w:val="0"/>
      <w:marBottom w:val="0"/>
      <w:divBdr>
        <w:top w:val="none" w:sz="0" w:space="0" w:color="auto"/>
        <w:left w:val="none" w:sz="0" w:space="0" w:color="auto"/>
        <w:bottom w:val="none" w:sz="0" w:space="0" w:color="auto"/>
        <w:right w:val="none" w:sz="0" w:space="0" w:color="auto"/>
      </w:divBdr>
    </w:div>
    <w:div w:id="1728139381">
      <w:bodyDiv w:val="1"/>
      <w:marLeft w:val="0"/>
      <w:marRight w:val="0"/>
      <w:marTop w:val="0"/>
      <w:marBottom w:val="0"/>
      <w:divBdr>
        <w:top w:val="none" w:sz="0" w:space="0" w:color="auto"/>
        <w:left w:val="none" w:sz="0" w:space="0" w:color="auto"/>
        <w:bottom w:val="none" w:sz="0" w:space="0" w:color="auto"/>
        <w:right w:val="none" w:sz="0" w:space="0" w:color="auto"/>
      </w:divBdr>
    </w:div>
    <w:div w:id="1796874992">
      <w:bodyDiv w:val="1"/>
      <w:marLeft w:val="0"/>
      <w:marRight w:val="0"/>
      <w:marTop w:val="0"/>
      <w:marBottom w:val="0"/>
      <w:divBdr>
        <w:top w:val="none" w:sz="0" w:space="0" w:color="auto"/>
        <w:left w:val="none" w:sz="0" w:space="0" w:color="auto"/>
        <w:bottom w:val="none" w:sz="0" w:space="0" w:color="auto"/>
        <w:right w:val="none" w:sz="0" w:space="0" w:color="auto"/>
      </w:divBdr>
    </w:div>
    <w:div w:id="1803812986">
      <w:bodyDiv w:val="1"/>
      <w:marLeft w:val="0"/>
      <w:marRight w:val="0"/>
      <w:marTop w:val="0"/>
      <w:marBottom w:val="0"/>
      <w:divBdr>
        <w:top w:val="none" w:sz="0" w:space="0" w:color="auto"/>
        <w:left w:val="none" w:sz="0" w:space="0" w:color="auto"/>
        <w:bottom w:val="none" w:sz="0" w:space="0" w:color="auto"/>
        <w:right w:val="none" w:sz="0" w:space="0" w:color="auto"/>
      </w:divBdr>
    </w:div>
    <w:div w:id="1844511078">
      <w:bodyDiv w:val="1"/>
      <w:marLeft w:val="0"/>
      <w:marRight w:val="0"/>
      <w:marTop w:val="0"/>
      <w:marBottom w:val="0"/>
      <w:divBdr>
        <w:top w:val="none" w:sz="0" w:space="0" w:color="auto"/>
        <w:left w:val="none" w:sz="0" w:space="0" w:color="auto"/>
        <w:bottom w:val="none" w:sz="0" w:space="0" w:color="auto"/>
        <w:right w:val="none" w:sz="0" w:space="0" w:color="auto"/>
      </w:divBdr>
      <w:divsChild>
        <w:div w:id="25911295">
          <w:marLeft w:val="-720"/>
          <w:marRight w:val="0"/>
          <w:marTop w:val="0"/>
          <w:marBottom w:val="0"/>
          <w:divBdr>
            <w:top w:val="none" w:sz="0" w:space="0" w:color="auto"/>
            <w:left w:val="none" w:sz="0" w:space="0" w:color="auto"/>
            <w:bottom w:val="none" w:sz="0" w:space="0" w:color="auto"/>
            <w:right w:val="none" w:sz="0" w:space="0" w:color="auto"/>
          </w:divBdr>
        </w:div>
      </w:divsChild>
    </w:div>
    <w:div w:id="1848444124">
      <w:bodyDiv w:val="1"/>
      <w:marLeft w:val="0"/>
      <w:marRight w:val="0"/>
      <w:marTop w:val="0"/>
      <w:marBottom w:val="0"/>
      <w:divBdr>
        <w:top w:val="none" w:sz="0" w:space="0" w:color="auto"/>
        <w:left w:val="none" w:sz="0" w:space="0" w:color="auto"/>
        <w:bottom w:val="none" w:sz="0" w:space="0" w:color="auto"/>
        <w:right w:val="none" w:sz="0" w:space="0" w:color="auto"/>
      </w:divBdr>
    </w:div>
    <w:div w:id="1858232621">
      <w:bodyDiv w:val="1"/>
      <w:marLeft w:val="0"/>
      <w:marRight w:val="0"/>
      <w:marTop w:val="0"/>
      <w:marBottom w:val="0"/>
      <w:divBdr>
        <w:top w:val="none" w:sz="0" w:space="0" w:color="auto"/>
        <w:left w:val="none" w:sz="0" w:space="0" w:color="auto"/>
        <w:bottom w:val="none" w:sz="0" w:space="0" w:color="auto"/>
        <w:right w:val="none" w:sz="0" w:space="0" w:color="auto"/>
      </w:divBdr>
    </w:div>
    <w:div w:id="1878621534">
      <w:bodyDiv w:val="1"/>
      <w:marLeft w:val="0"/>
      <w:marRight w:val="0"/>
      <w:marTop w:val="0"/>
      <w:marBottom w:val="0"/>
      <w:divBdr>
        <w:top w:val="none" w:sz="0" w:space="0" w:color="auto"/>
        <w:left w:val="none" w:sz="0" w:space="0" w:color="auto"/>
        <w:bottom w:val="none" w:sz="0" w:space="0" w:color="auto"/>
        <w:right w:val="none" w:sz="0" w:space="0" w:color="auto"/>
      </w:divBdr>
    </w:div>
    <w:div w:id="1883129900">
      <w:bodyDiv w:val="1"/>
      <w:marLeft w:val="0"/>
      <w:marRight w:val="0"/>
      <w:marTop w:val="0"/>
      <w:marBottom w:val="0"/>
      <w:divBdr>
        <w:top w:val="none" w:sz="0" w:space="0" w:color="auto"/>
        <w:left w:val="none" w:sz="0" w:space="0" w:color="auto"/>
        <w:bottom w:val="none" w:sz="0" w:space="0" w:color="auto"/>
        <w:right w:val="none" w:sz="0" w:space="0" w:color="auto"/>
      </w:divBdr>
    </w:div>
    <w:div w:id="1890875161">
      <w:bodyDiv w:val="1"/>
      <w:marLeft w:val="0"/>
      <w:marRight w:val="0"/>
      <w:marTop w:val="0"/>
      <w:marBottom w:val="0"/>
      <w:divBdr>
        <w:top w:val="none" w:sz="0" w:space="0" w:color="auto"/>
        <w:left w:val="none" w:sz="0" w:space="0" w:color="auto"/>
        <w:bottom w:val="none" w:sz="0" w:space="0" w:color="auto"/>
        <w:right w:val="none" w:sz="0" w:space="0" w:color="auto"/>
      </w:divBdr>
    </w:div>
    <w:div w:id="1898976104">
      <w:bodyDiv w:val="1"/>
      <w:marLeft w:val="0"/>
      <w:marRight w:val="0"/>
      <w:marTop w:val="0"/>
      <w:marBottom w:val="0"/>
      <w:divBdr>
        <w:top w:val="none" w:sz="0" w:space="0" w:color="auto"/>
        <w:left w:val="none" w:sz="0" w:space="0" w:color="auto"/>
        <w:bottom w:val="none" w:sz="0" w:space="0" w:color="auto"/>
        <w:right w:val="none" w:sz="0" w:space="0" w:color="auto"/>
      </w:divBdr>
    </w:div>
    <w:div w:id="1905988623">
      <w:bodyDiv w:val="1"/>
      <w:marLeft w:val="0"/>
      <w:marRight w:val="0"/>
      <w:marTop w:val="0"/>
      <w:marBottom w:val="0"/>
      <w:divBdr>
        <w:top w:val="none" w:sz="0" w:space="0" w:color="auto"/>
        <w:left w:val="none" w:sz="0" w:space="0" w:color="auto"/>
        <w:bottom w:val="none" w:sz="0" w:space="0" w:color="auto"/>
        <w:right w:val="none" w:sz="0" w:space="0" w:color="auto"/>
      </w:divBdr>
      <w:divsChild>
        <w:div w:id="1563179765">
          <w:marLeft w:val="-720"/>
          <w:marRight w:val="0"/>
          <w:marTop w:val="0"/>
          <w:marBottom w:val="0"/>
          <w:divBdr>
            <w:top w:val="none" w:sz="0" w:space="0" w:color="auto"/>
            <w:left w:val="none" w:sz="0" w:space="0" w:color="auto"/>
            <w:bottom w:val="none" w:sz="0" w:space="0" w:color="auto"/>
            <w:right w:val="none" w:sz="0" w:space="0" w:color="auto"/>
          </w:divBdr>
        </w:div>
      </w:divsChild>
    </w:div>
    <w:div w:id="1919746577">
      <w:bodyDiv w:val="1"/>
      <w:marLeft w:val="0"/>
      <w:marRight w:val="0"/>
      <w:marTop w:val="0"/>
      <w:marBottom w:val="0"/>
      <w:divBdr>
        <w:top w:val="none" w:sz="0" w:space="0" w:color="auto"/>
        <w:left w:val="none" w:sz="0" w:space="0" w:color="auto"/>
        <w:bottom w:val="none" w:sz="0" w:space="0" w:color="auto"/>
        <w:right w:val="none" w:sz="0" w:space="0" w:color="auto"/>
      </w:divBdr>
    </w:div>
    <w:div w:id="1952200856">
      <w:bodyDiv w:val="1"/>
      <w:marLeft w:val="0"/>
      <w:marRight w:val="0"/>
      <w:marTop w:val="0"/>
      <w:marBottom w:val="0"/>
      <w:divBdr>
        <w:top w:val="none" w:sz="0" w:space="0" w:color="auto"/>
        <w:left w:val="none" w:sz="0" w:space="0" w:color="auto"/>
        <w:bottom w:val="none" w:sz="0" w:space="0" w:color="auto"/>
        <w:right w:val="none" w:sz="0" w:space="0" w:color="auto"/>
      </w:divBdr>
    </w:div>
    <w:div w:id="2042127238">
      <w:bodyDiv w:val="1"/>
      <w:marLeft w:val="0"/>
      <w:marRight w:val="0"/>
      <w:marTop w:val="0"/>
      <w:marBottom w:val="0"/>
      <w:divBdr>
        <w:top w:val="none" w:sz="0" w:space="0" w:color="auto"/>
        <w:left w:val="none" w:sz="0" w:space="0" w:color="auto"/>
        <w:bottom w:val="none" w:sz="0" w:space="0" w:color="auto"/>
        <w:right w:val="none" w:sz="0" w:space="0" w:color="auto"/>
      </w:divBdr>
    </w:div>
    <w:div w:id="2043243445">
      <w:bodyDiv w:val="1"/>
      <w:marLeft w:val="0"/>
      <w:marRight w:val="0"/>
      <w:marTop w:val="0"/>
      <w:marBottom w:val="0"/>
      <w:divBdr>
        <w:top w:val="none" w:sz="0" w:space="0" w:color="auto"/>
        <w:left w:val="none" w:sz="0" w:space="0" w:color="auto"/>
        <w:bottom w:val="none" w:sz="0" w:space="0" w:color="auto"/>
        <w:right w:val="none" w:sz="0" w:space="0" w:color="auto"/>
      </w:divBdr>
    </w:div>
    <w:div w:id="212056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14518-15F0-404A-9F84-BC654B8F8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5144</Words>
  <Characters>29322</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2024-01-06T08:38:00Z</dcterms:created>
  <dcterms:modified xsi:type="dcterms:W3CDTF">2024-01-06T08:39:00Z</dcterms:modified>
</cp:coreProperties>
</file>