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2E96" w:rsidRDefault="0061508C">
      <w:pPr>
        <w:rPr>
          <w:rFonts w:ascii="Palatino Linotype" w:eastAsia="Palatino Linotype" w:hAnsi="Palatino Linotype" w:cs="Palatino Linotype"/>
        </w:rPr>
      </w:pPr>
      <w:proofErr w:type="spellStart"/>
      <w:r w:rsidRPr="0061508C">
        <w:rPr>
          <w:rFonts w:ascii="Palatino Linotype" w:eastAsia="Palatino Linotype" w:hAnsi="Palatino Linotype" w:cs="Palatino Linotype"/>
          <w:b/>
          <w:bCs/>
          <w:sz w:val="28"/>
          <w:szCs w:val="24"/>
          <w:lang w:val="id-ID"/>
        </w:rPr>
        <w:t>Grain</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Size</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Variations</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of</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Reclaimed</w:t>
      </w:r>
      <w:proofErr w:type="spellEnd"/>
      <w:r w:rsidRPr="0061508C">
        <w:rPr>
          <w:rFonts w:ascii="Palatino Linotype" w:eastAsia="Palatino Linotype" w:hAnsi="Palatino Linotype" w:cs="Palatino Linotype"/>
          <w:b/>
          <w:bCs/>
          <w:sz w:val="28"/>
          <w:szCs w:val="24"/>
          <w:lang w:val="id-ID"/>
        </w:rPr>
        <w:t xml:space="preserve"> CO</w:t>
      </w:r>
      <w:r w:rsidRPr="0061508C">
        <w:rPr>
          <w:rFonts w:ascii="Palatino Linotype" w:eastAsia="Palatino Linotype" w:hAnsi="Palatino Linotype" w:cs="Palatino Linotype"/>
          <w:b/>
          <w:bCs/>
          <w:sz w:val="28"/>
          <w:szCs w:val="24"/>
          <w:vertAlign w:val="subscript"/>
          <w:lang w:val="id-ID"/>
        </w:rPr>
        <w:t>2</w:t>
      </w:r>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Sand</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Mold</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on</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Hardness</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and</w:t>
      </w:r>
      <w:proofErr w:type="spellEnd"/>
      <w:r w:rsidRPr="0061508C">
        <w:rPr>
          <w:rFonts w:ascii="Palatino Linotype" w:eastAsia="Palatino Linotype" w:hAnsi="Palatino Linotype" w:cs="Palatino Linotype"/>
          <w:b/>
          <w:bCs/>
          <w:sz w:val="28"/>
          <w:szCs w:val="24"/>
          <w:lang w:val="id-ID"/>
        </w:rPr>
        <w:t xml:space="preserve"> Metal </w:t>
      </w:r>
      <w:proofErr w:type="spellStart"/>
      <w:r w:rsidRPr="0061508C">
        <w:rPr>
          <w:rFonts w:ascii="Palatino Linotype" w:eastAsia="Palatino Linotype" w:hAnsi="Palatino Linotype" w:cs="Palatino Linotype"/>
          <w:b/>
          <w:bCs/>
          <w:sz w:val="28"/>
          <w:szCs w:val="24"/>
          <w:lang w:val="id-ID"/>
        </w:rPr>
        <w:t>Surface</w:t>
      </w:r>
      <w:proofErr w:type="spellEnd"/>
      <w:r w:rsidRPr="0061508C">
        <w:rPr>
          <w:rFonts w:ascii="Palatino Linotype" w:eastAsia="Palatino Linotype" w:hAnsi="Palatino Linotype" w:cs="Palatino Linotype"/>
          <w:b/>
          <w:bCs/>
          <w:sz w:val="28"/>
          <w:szCs w:val="24"/>
          <w:lang w:val="id-ID"/>
        </w:rPr>
        <w:t xml:space="preserve"> </w:t>
      </w:r>
      <w:proofErr w:type="spellStart"/>
      <w:r w:rsidRPr="0061508C">
        <w:rPr>
          <w:rFonts w:ascii="Palatino Linotype" w:eastAsia="Palatino Linotype" w:hAnsi="Palatino Linotype" w:cs="Palatino Linotype"/>
          <w:b/>
          <w:bCs/>
          <w:sz w:val="28"/>
          <w:szCs w:val="24"/>
          <w:lang w:val="id-ID"/>
        </w:rPr>
        <w:t>Roughness</w:t>
      </w:r>
      <w:proofErr w:type="spellEnd"/>
      <w:r w:rsidRPr="0061508C">
        <w:rPr>
          <w:rFonts w:ascii="Palatino Linotype" w:eastAsia="Palatino Linotype" w:hAnsi="Palatino Linotype" w:cs="Palatino Linotype"/>
          <w:b/>
          <w:bCs/>
          <w:sz w:val="28"/>
          <w:szCs w:val="24"/>
          <w:lang w:val="id-ID"/>
        </w:rPr>
        <w:t xml:space="preserve"> </w:t>
      </w:r>
    </w:p>
    <w:p w:rsidR="001D2E96" w:rsidRDefault="001D2E96">
      <w:pPr>
        <w:jc w:val="center"/>
        <w:rPr>
          <w:rFonts w:ascii="Palatino Linotype" w:eastAsia="Palatino Linotype" w:hAnsi="Palatino Linotype" w:cs="Palatino Linotype"/>
          <w:b/>
        </w:rPr>
      </w:pPr>
    </w:p>
    <w:p w:rsidR="001D2E96" w:rsidRDefault="00234CCF">
      <w:pPr>
        <w:spacing w:line="216" w:lineRule="auto"/>
        <w:rPr>
          <w:rFonts w:ascii="Palatino Linotype" w:eastAsia="Palatino Linotype" w:hAnsi="Palatino Linotype" w:cs="Palatino Linotype"/>
          <w:b/>
          <w:sz w:val="16"/>
          <w:szCs w:val="16"/>
          <w:vertAlign w:val="superscript"/>
        </w:rPr>
      </w:pPr>
      <w:r>
        <w:rPr>
          <w:rFonts w:ascii="Palatino Linotype" w:eastAsia="Palatino Linotype" w:hAnsi="Palatino Linotype" w:cs="Palatino Linotype"/>
          <w:b/>
          <w:sz w:val="16"/>
          <w:szCs w:val="16"/>
        </w:rPr>
        <w:t>Sabtun Ismi Khasanah</w:t>
      </w:r>
      <w:r w:rsidR="00000000">
        <w:rPr>
          <w:rFonts w:ascii="Palatino Linotype" w:eastAsia="Palatino Linotype" w:hAnsi="Palatino Linotype" w:cs="Palatino Linotype"/>
          <w:b/>
          <w:sz w:val="16"/>
          <w:szCs w:val="16"/>
          <w:vertAlign w:val="superscript"/>
        </w:rPr>
        <w:t>a</w:t>
      </w:r>
      <w:r>
        <w:rPr>
          <w:rFonts w:ascii="Palatino Linotype" w:eastAsia="Palatino Linotype" w:hAnsi="Palatino Linotype" w:cs="Palatino Linotype"/>
          <w:b/>
          <w:sz w:val="16"/>
          <w:szCs w:val="16"/>
          <w:vertAlign w:val="superscript"/>
        </w:rPr>
        <w:t>.1</w:t>
      </w:r>
      <w:r w:rsidR="00000000">
        <w:rPr>
          <w:rFonts w:ascii="Palatino Linotype" w:eastAsia="Palatino Linotype" w:hAnsi="Palatino Linotype" w:cs="Palatino Linotype"/>
          <w:b/>
          <w:sz w:val="16"/>
          <w:szCs w:val="16"/>
        </w:rPr>
        <w:t xml:space="preserve">, </w:t>
      </w:r>
      <w:proofErr w:type="spellStart"/>
      <w:r w:rsidRPr="00234CCF">
        <w:rPr>
          <w:rFonts w:ascii="Palatino Linotype" w:eastAsia="Palatino Linotype" w:hAnsi="Palatino Linotype" w:cs="Palatino Linotype"/>
          <w:b/>
          <w:sz w:val="16"/>
          <w:szCs w:val="16"/>
        </w:rPr>
        <w:t>Akhmad</w:t>
      </w:r>
      <w:proofErr w:type="spellEnd"/>
      <w:r w:rsidRPr="00234CCF">
        <w:rPr>
          <w:rFonts w:ascii="Palatino Linotype" w:eastAsia="Palatino Linotype" w:hAnsi="Palatino Linotype" w:cs="Palatino Linotype"/>
          <w:b/>
          <w:sz w:val="16"/>
          <w:szCs w:val="16"/>
        </w:rPr>
        <w:t xml:space="preserve"> Nurdin</w:t>
      </w:r>
      <w:r>
        <w:rPr>
          <w:rFonts w:ascii="Palatino Linotype" w:eastAsia="Palatino Linotype" w:hAnsi="Palatino Linotype" w:cs="Palatino Linotype"/>
          <w:b/>
          <w:sz w:val="16"/>
          <w:szCs w:val="16"/>
          <w:vertAlign w:val="superscript"/>
        </w:rPr>
        <w:t>2</w:t>
      </w:r>
      <w:r w:rsidR="00000000">
        <w:rPr>
          <w:rFonts w:ascii="Palatino Linotype" w:eastAsia="Palatino Linotype" w:hAnsi="Palatino Linotype" w:cs="Palatino Linotype"/>
          <w:b/>
          <w:sz w:val="16"/>
          <w:szCs w:val="16"/>
        </w:rPr>
        <w:t xml:space="preserve">, </w:t>
      </w:r>
      <w:r>
        <w:rPr>
          <w:rFonts w:ascii="Palatino Linotype" w:eastAsia="Palatino Linotype" w:hAnsi="Palatino Linotype" w:cs="Palatino Linotype"/>
          <w:b/>
          <w:sz w:val="16"/>
          <w:szCs w:val="16"/>
        </w:rPr>
        <w:t>Tri Daryanto</w:t>
      </w:r>
      <w:r>
        <w:rPr>
          <w:rFonts w:ascii="Palatino Linotype" w:eastAsia="Palatino Linotype" w:hAnsi="Palatino Linotype" w:cs="Palatino Linotype"/>
          <w:b/>
          <w:sz w:val="16"/>
          <w:szCs w:val="16"/>
          <w:vertAlign w:val="superscript"/>
        </w:rPr>
        <w:t>a.2</w:t>
      </w:r>
    </w:p>
    <w:p w:rsidR="00234CCF" w:rsidRDefault="00234CCF" w:rsidP="00234CCF">
      <w:pPr>
        <w:spacing w:line="216" w:lineRule="auto"/>
        <w:rPr>
          <w:rFonts w:ascii="Palatino Linotype" w:eastAsia="Palatino Linotype" w:hAnsi="Palatino Linotype" w:cs="Palatino Linotype"/>
          <w:sz w:val="16"/>
          <w:szCs w:val="16"/>
          <w:vertAlign w:val="superscript"/>
        </w:rPr>
      </w:pPr>
    </w:p>
    <w:p w:rsidR="00234CCF" w:rsidRDefault="00000000" w:rsidP="00234CCF">
      <w:pPr>
        <w:spacing w:line="216" w:lineRule="auto"/>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vertAlign w:val="superscript"/>
        </w:rPr>
        <w:t>a</w:t>
      </w:r>
      <w:r w:rsidR="00234CCF">
        <w:rPr>
          <w:rFonts w:ascii="Palatino Linotype" w:eastAsia="Palatino Linotype" w:hAnsi="Palatino Linotype" w:cs="Palatino Linotype"/>
          <w:sz w:val="16"/>
          <w:szCs w:val="16"/>
          <w:vertAlign w:val="superscript"/>
        </w:rPr>
        <w:t>.1</w:t>
      </w:r>
      <w:r>
        <w:rPr>
          <w:rFonts w:ascii="Palatino Linotype" w:eastAsia="Palatino Linotype" w:hAnsi="Palatino Linotype" w:cs="Palatino Linotype"/>
          <w:sz w:val="16"/>
          <w:szCs w:val="16"/>
          <w:vertAlign w:val="superscript"/>
        </w:rPr>
        <w:t xml:space="preserve"> </w:t>
      </w:r>
      <w:r w:rsidR="00234CCF" w:rsidRPr="00234CCF">
        <w:rPr>
          <w:rFonts w:ascii="Palatino Linotype" w:eastAsia="Palatino Linotype" w:hAnsi="Palatino Linotype" w:cs="Palatino Linotype"/>
          <w:sz w:val="16"/>
          <w:szCs w:val="16"/>
        </w:rPr>
        <w:t xml:space="preserve">Department of Foundry, </w:t>
      </w:r>
      <w:proofErr w:type="spellStart"/>
      <w:r w:rsidR="00234CCF" w:rsidRPr="00234CCF">
        <w:rPr>
          <w:rFonts w:ascii="Palatino Linotype" w:eastAsia="Palatino Linotype" w:hAnsi="Palatino Linotype" w:cs="Palatino Linotype"/>
          <w:sz w:val="16"/>
          <w:szCs w:val="16"/>
        </w:rPr>
        <w:t>Politeknik</w:t>
      </w:r>
      <w:proofErr w:type="spellEnd"/>
      <w:r w:rsidR="00234CCF" w:rsidRPr="00234CCF">
        <w:rPr>
          <w:rFonts w:ascii="Palatino Linotype" w:eastAsia="Palatino Linotype" w:hAnsi="Palatino Linotype" w:cs="Palatino Linotype"/>
          <w:sz w:val="16"/>
          <w:szCs w:val="16"/>
        </w:rPr>
        <w:t xml:space="preserve"> </w:t>
      </w:r>
      <w:proofErr w:type="spellStart"/>
      <w:r w:rsidR="00234CCF" w:rsidRPr="00234CCF">
        <w:rPr>
          <w:rFonts w:ascii="Palatino Linotype" w:eastAsia="Palatino Linotype" w:hAnsi="Palatino Linotype" w:cs="Palatino Linotype"/>
          <w:sz w:val="16"/>
          <w:szCs w:val="16"/>
        </w:rPr>
        <w:t>Manufaktur</w:t>
      </w:r>
      <w:proofErr w:type="spellEnd"/>
      <w:r w:rsidR="00234CCF" w:rsidRPr="00234CCF">
        <w:rPr>
          <w:rFonts w:ascii="Palatino Linotype" w:eastAsia="Palatino Linotype" w:hAnsi="Palatino Linotype" w:cs="Palatino Linotype"/>
          <w:sz w:val="16"/>
          <w:szCs w:val="16"/>
        </w:rPr>
        <w:t xml:space="preserve"> </w:t>
      </w:r>
      <w:proofErr w:type="spellStart"/>
      <w:r w:rsidR="00234CCF" w:rsidRPr="00234CCF">
        <w:rPr>
          <w:rFonts w:ascii="Palatino Linotype" w:eastAsia="Palatino Linotype" w:hAnsi="Palatino Linotype" w:cs="Palatino Linotype"/>
          <w:sz w:val="16"/>
          <w:szCs w:val="16"/>
        </w:rPr>
        <w:t>Ceper</w:t>
      </w:r>
      <w:proofErr w:type="spellEnd"/>
    </w:p>
    <w:p w:rsidR="001D2E96" w:rsidRDefault="00234CCF" w:rsidP="00234CCF">
      <w:pPr>
        <w:spacing w:line="216" w:lineRule="auto"/>
        <w:rPr>
          <w:rFonts w:ascii="Palatino Linotype" w:eastAsia="Palatino Linotype" w:hAnsi="Palatino Linotype" w:cs="Palatino Linotype"/>
          <w:sz w:val="16"/>
          <w:szCs w:val="16"/>
        </w:rPr>
      </w:pPr>
      <w:r w:rsidRPr="00234CCF">
        <w:rPr>
          <w:rFonts w:ascii="Palatino Linotype" w:eastAsia="Palatino Linotype" w:hAnsi="Palatino Linotype" w:cs="Palatino Linotype"/>
          <w:sz w:val="16"/>
          <w:szCs w:val="16"/>
        </w:rPr>
        <w:t xml:space="preserve">Batur </w:t>
      </w:r>
      <w:proofErr w:type="spellStart"/>
      <w:r w:rsidRPr="00234CCF">
        <w:rPr>
          <w:rFonts w:ascii="Palatino Linotype" w:eastAsia="Palatino Linotype" w:hAnsi="Palatino Linotype" w:cs="Palatino Linotype"/>
          <w:sz w:val="16"/>
          <w:szCs w:val="16"/>
        </w:rPr>
        <w:t>Tegalrejo</w:t>
      </w:r>
      <w:proofErr w:type="spellEnd"/>
      <w:r>
        <w:rPr>
          <w:rFonts w:ascii="Palatino Linotype" w:eastAsia="Palatino Linotype" w:hAnsi="Palatino Linotype" w:cs="Palatino Linotype"/>
          <w:sz w:val="16"/>
          <w:szCs w:val="16"/>
        </w:rPr>
        <w:t>,</w:t>
      </w:r>
      <w:r w:rsidRPr="00234CCF">
        <w:rPr>
          <w:rFonts w:ascii="Palatino Linotype" w:eastAsia="Palatino Linotype" w:hAnsi="Palatino Linotype" w:cs="Palatino Linotype"/>
          <w:sz w:val="16"/>
          <w:szCs w:val="16"/>
        </w:rPr>
        <w:t xml:space="preserve"> </w:t>
      </w:r>
      <w:proofErr w:type="spellStart"/>
      <w:r w:rsidRPr="00234CCF">
        <w:rPr>
          <w:rFonts w:ascii="Palatino Linotype" w:eastAsia="Palatino Linotype" w:hAnsi="Palatino Linotype" w:cs="Palatino Linotype"/>
          <w:sz w:val="16"/>
          <w:szCs w:val="16"/>
        </w:rPr>
        <w:t>Klaten</w:t>
      </w:r>
      <w:proofErr w:type="spellEnd"/>
      <w:r w:rsidRPr="00234CCF">
        <w:rPr>
          <w:rFonts w:ascii="Palatino Linotype" w:eastAsia="Palatino Linotype" w:hAnsi="Palatino Linotype" w:cs="Palatino Linotype"/>
          <w:sz w:val="16"/>
          <w:szCs w:val="16"/>
        </w:rPr>
        <w:t xml:space="preserve"> Regency, Central Java, Indonesia 57465</w:t>
      </w:r>
      <w:r>
        <w:rPr>
          <w:rFonts w:ascii="Palatino Linotype" w:eastAsia="Palatino Linotype" w:hAnsi="Palatino Linotype" w:cs="Palatino Linotype"/>
          <w:sz w:val="16"/>
          <w:szCs w:val="16"/>
        </w:rPr>
        <w:t xml:space="preserve">, </w:t>
      </w:r>
      <w:r w:rsidRPr="00234CCF">
        <w:rPr>
          <w:rFonts w:ascii="Palatino Linotype" w:eastAsia="Palatino Linotype" w:hAnsi="Palatino Linotype" w:cs="Palatino Linotype"/>
          <w:sz w:val="16"/>
          <w:szCs w:val="16"/>
        </w:rPr>
        <w:t>(0272) 552968</w:t>
      </w:r>
    </w:p>
    <w:p w:rsidR="001D2E96" w:rsidRDefault="00000000">
      <w:pPr>
        <w:spacing w:line="216" w:lineRule="auto"/>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e-mail: </w:t>
      </w:r>
      <w:r w:rsidR="00234CCF">
        <w:rPr>
          <w:rFonts w:ascii="Palatino Linotype" w:eastAsia="Palatino Linotype" w:hAnsi="Palatino Linotype" w:cs="Palatino Linotype"/>
          <w:sz w:val="16"/>
          <w:szCs w:val="16"/>
        </w:rPr>
        <w:t>sabtunismikhasanah@gmail.com</w:t>
      </w:r>
      <w:r>
        <w:rPr>
          <w:rFonts w:ascii="Palatino Linotype" w:eastAsia="Palatino Linotype" w:hAnsi="Palatino Linotype" w:cs="Palatino Linotype"/>
          <w:sz w:val="16"/>
          <w:szCs w:val="16"/>
        </w:rPr>
        <w:t xml:space="preserve"> </w:t>
      </w:r>
    </w:p>
    <w:p w:rsidR="001D2E96" w:rsidRDefault="00000000">
      <w:pPr>
        <w:spacing w:line="216" w:lineRule="auto"/>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vertAlign w:val="superscript"/>
        </w:rPr>
        <w:t>b</w:t>
      </w:r>
      <w:r w:rsidR="00234CCF">
        <w:rPr>
          <w:rFonts w:ascii="Palatino Linotype" w:eastAsia="Palatino Linotype" w:hAnsi="Palatino Linotype" w:cs="Palatino Linotype"/>
          <w:sz w:val="16"/>
          <w:szCs w:val="16"/>
          <w:vertAlign w:val="superscript"/>
        </w:rPr>
        <w:t xml:space="preserve"> </w:t>
      </w:r>
      <w:r w:rsidR="00234CCF" w:rsidRPr="00234CCF">
        <w:rPr>
          <w:rFonts w:ascii="Palatino Linotype" w:eastAsia="Palatino Linotype" w:hAnsi="Palatino Linotype" w:cs="Palatino Linotype"/>
          <w:sz w:val="16"/>
          <w:szCs w:val="16"/>
        </w:rPr>
        <w:t xml:space="preserve">Department of Engineering Design Manufacturing, </w:t>
      </w:r>
      <w:proofErr w:type="spellStart"/>
      <w:r w:rsidR="00234CCF" w:rsidRPr="00234CCF">
        <w:rPr>
          <w:rFonts w:ascii="Palatino Linotype" w:eastAsia="Palatino Linotype" w:hAnsi="Palatino Linotype" w:cs="Palatino Linotype"/>
          <w:sz w:val="16"/>
          <w:szCs w:val="16"/>
        </w:rPr>
        <w:t>Politeknik</w:t>
      </w:r>
      <w:proofErr w:type="spellEnd"/>
      <w:r w:rsidR="00234CCF" w:rsidRPr="00234CCF">
        <w:rPr>
          <w:rFonts w:ascii="Palatino Linotype" w:eastAsia="Palatino Linotype" w:hAnsi="Palatino Linotype" w:cs="Palatino Linotype"/>
          <w:sz w:val="16"/>
          <w:szCs w:val="16"/>
        </w:rPr>
        <w:t xml:space="preserve"> </w:t>
      </w:r>
      <w:proofErr w:type="spellStart"/>
      <w:r w:rsidR="00234CCF" w:rsidRPr="00234CCF">
        <w:rPr>
          <w:rFonts w:ascii="Palatino Linotype" w:eastAsia="Palatino Linotype" w:hAnsi="Palatino Linotype" w:cs="Palatino Linotype"/>
          <w:sz w:val="16"/>
          <w:szCs w:val="16"/>
        </w:rPr>
        <w:t>Manufaktur</w:t>
      </w:r>
      <w:proofErr w:type="spellEnd"/>
      <w:r w:rsidR="00234CCF" w:rsidRPr="00234CCF">
        <w:rPr>
          <w:rFonts w:ascii="Palatino Linotype" w:eastAsia="Palatino Linotype" w:hAnsi="Palatino Linotype" w:cs="Palatino Linotype"/>
          <w:sz w:val="16"/>
          <w:szCs w:val="16"/>
        </w:rPr>
        <w:t xml:space="preserve"> </w:t>
      </w:r>
      <w:proofErr w:type="spellStart"/>
      <w:r w:rsidR="00234CCF" w:rsidRPr="00234CCF">
        <w:rPr>
          <w:rFonts w:ascii="Palatino Linotype" w:eastAsia="Palatino Linotype" w:hAnsi="Palatino Linotype" w:cs="Palatino Linotype"/>
          <w:sz w:val="16"/>
          <w:szCs w:val="16"/>
        </w:rPr>
        <w:t>Ceper</w:t>
      </w:r>
      <w:proofErr w:type="spellEnd"/>
    </w:p>
    <w:p w:rsidR="00234CCF" w:rsidRDefault="00234CCF" w:rsidP="00234CCF">
      <w:pPr>
        <w:spacing w:line="216" w:lineRule="auto"/>
        <w:rPr>
          <w:rFonts w:ascii="Palatino Linotype" w:eastAsia="Palatino Linotype" w:hAnsi="Palatino Linotype" w:cs="Palatino Linotype"/>
          <w:sz w:val="16"/>
          <w:szCs w:val="16"/>
        </w:rPr>
      </w:pPr>
      <w:r w:rsidRPr="00234CCF">
        <w:rPr>
          <w:rFonts w:ascii="Palatino Linotype" w:eastAsia="Palatino Linotype" w:hAnsi="Palatino Linotype" w:cs="Palatino Linotype"/>
          <w:sz w:val="16"/>
          <w:szCs w:val="16"/>
        </w:rPr>
        <w:t xml:space="preserve">Batur </w:t>
      </w:r>
      <w:proofErr w:type="spellStart"/>
      <w:r w:rsidRPr="00234CCF">
        <w:rPr>
          <w:rFonts w:ascii="Palatino Linotype" w:eastAsia="Palatino Linotype" w:hAnsi="Palatino Linotype" w:cs="Palatino Linotype"/>
          <w:sz w:val="16"/>
          <w:szCs w:val="16"/>
        </w:rPr>
        <w:t>Tegalrejo</w:t>
      </w:r>
      <w:proofErr w:type="spellEnd"/>
      <w:r>
        <w:rPr>
          <w:rFonts w:ascii="Palatino Linotype" w:eastAsia="Palatino Linotype" w:hAnsi="Palatino Linotype" w:cs="Palatino Linotype"/>
          <w:sz w:val="16"/>
          <w:szCs w:val="16"/>
        </w:rPr>
        <w:t>,</w:t>
      </w:r>
      <w:r w:rsidRPr="00234CCF">
        <w:rPr>
          <w:rFonts w:ascii="Palatino Linotype" w:eastAsia="Palatino Linotype" w:hAnsi="Palatino Linotype" w:cs="Palatino Linotype"/>
          <w:sz w:val="16"/>
          <w:szCs w:val="16"/>
        </w:rPr>
        <w:t xml:space="preserve"> </w:t>
      </w:r>
      <w:proofErr w:type="spellStart"/>
      <w:r w:rsidRPr="00234CCF">
        <w:rPr>
          <w:rFonts w:ascii="Palatino Linotype" w:eastAsia="Palatino Linotype" w:hAnsi="Palatino Linotype" w:cs="Palatino Linotype"/>
          <w:sz w:val="16"/>
          <w:szCs w:val="16"/>
        </w:rPr>
        <w:t>Klaten</w:t>
      </w:r>
      <w:proofErr w:type="spellEnd"/>
      <w:r w:rsidRPr="00234CCF">
        <w:rPr>
          <w:rFonts w:ascii="Palatino Linotype" w:eastAsia="Palatino Linotype" w:hAnsi="Palatino Linotype" w:cs="Palatino Linotype"/>
          <w:sz w:val="16"/>
          <w:szCs w:val="16"/>
        </w:rPr>
        <w:t xml:space="preserve"> Regency, Central Java, Indonesia 57465</w:t>
      </w:r>
      <w:r>
        <w:rPr>
          <w:rFonts w:ascii="Palatino Linotype" w:eastAsia="Palatino Linotype" w:hAnsi="Palatino Linotype" w:cs="Palatino Linotype"/>
          <w:sz w:val="16"/>
          <w:szCs w:val="16"/>
        </w:rPr>
        <w:t xml:space="preserve">, </w:t>
      </w:r>
      <w:r w:rsidRPr="00234CCF">
        <w:rPr>
          <w:rFonts w:ascii="Palatino Linotype" w:eastAsia="Palatino Linotype" w:hAnsi="Palatino Linotype" w:cs="Palatino Linotype"/>
          <w:sz w:val="16"/>
          <w:szCs w:val="16"/>
        </w:rPr>
        <w:t>(0272) 552968</w:t>
      </w:r>
    </w:p>
    <w:p w:rsidR="00234CCF" w:rsidRDefault="00000000" w:rsidP="00234CCF">
      <w:pPr>
        <w:spacing w:line="216" w:lineRule="auto"/>
        <w:rPr>
          <w:rFonts w:ascii="Palatino Linotype" w:eastAsia="Palatino Linotype" w:hAnsi="Palatino Linotype" w:cs="Palatino Linotype"/>
        </w:rPr>
      </w:pPr>
      <w:r>
        <w:rPr>
          <w:rFonts w:ascii="Palatino Linotype" w:eastAsia="Palatino Linotype" w:hAnsi="Palatino Linotype" w:cs="Palatino Linotype"/>
          <w:sz w:val="16"/>
          <w:szCs w:val="16"/>
        </w:rPr>
        <w:t>e-mail:</w:t>
      </w:r>
      <w:r>
        <w:rPr>
          <w:rFonts w:ascii="Palatino Linotype" w:eastAsia="Palatino Linotype" w:hAnsi="Palatino Linotype" w:cs="Palatino Linotype"/>
          <w:color w:val="000000"/>
          <w:sz w:val="16"/>
          <w:szCs w:val="16"/>
        </w:rPr>
        <w:t xml:space="preserve"> </w:t>
      </w:r>
      <w:r w:rsidR="00234CCF" w:rsidRPr="00234CCF">
        <w:rPr>
          <w:rFonts w:ascii="Palatino Linotype" w:eastAsia="Palatino Linotype" w:hAnsi="Palatino Linotype" w:cs="Palatino Linotype"/>
          <w:sz w:val="16"/>
          <w:szCs w:val="16"/>
        </w:rPr>
        <w:t>nurdin@polmanceper.ac.id</w:t>
      </w:r>
    </w:p>
    <w:p w:rsidR="00234CCF" w:rsidRDefault="00234CCF" w:rsidP="00234CCF">
      <w:pPr>
        <w:spacing w:line="216" w:lineRule="auto"/>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vertAlign w:val="superscript"/>
        </w:rPr>
        <w:t>a.</w:t>
      </w:r>
      <w:r>
        <w:rPr>
          <w:rFonts w:ascii="Palatino Linotype" w:eastAsia="Palatino Linotype" w:hAnsi="Palatino Linotype" w:cs="Palatino Linotype"/>
          <w:sz w:val="16"/>
          <w:szCs w:val="16"/>
          <w:vertAlign w:val="superscript"/>
        </w:rPr>
        <w:t>2</w:t>
      </w:r>
      <w:r>
        <w:rPr>
          <w:rFonts w:ascii="Palatino Linotype" w:eastAsia="Palatino Linotype" w:hAnsi="Palatino Linotype" w:cs="Palatino Linotype"/>
          <w:sz w:val="16"/>
          <w:szCs w:val="16"/>
          <w:vertAlign w:val="superscript"/>
        </w:rPr>
        <w:t xml:space="preserve"> </w:t>
      </w:r>
      <w:r w:rsidRPr="00234CCF">
        <w:rPr>
          <w:rFonts w:ascii="Palatino Linotype" w:eastAsia="Palatino Linotype" w:hAnsi="Palatino Linotype" w:cs="Palatino Linotype"/>
          <w:sz w:val="16"/>
          <w:szCs w:val="16"/>
        </w:rPr>
        <w:t xml:space="preserve">Department of Foundry, </w:t>
      </w:r>
      <w:proofErr w:type="spellStart"/>
      <w:r w:rsidRPr="00234CCF">
        <w:rPr>
          <w:rFonts w:ascii="Palatino Linotype" w:eastAsia="Palatino Linotype" w:hAnsi="Palatino Linotype" w:cs="Palatino Linotype"/>
          <w:sz w:val="16"/>
          <w:szCs w:val="16"/>
        </w:rPr>
        <w:t>Politeknik</w:t>
      </w:r>
      <w:proofErr w:type="spellEnd"/>
      <w:r w:rsidRPr="00234CCF">
        <w:rPr>
          <w:rFonts w:ascii="Palatino Linotype" w:eastAsia="Palatino Linotype" w:hAnsi="Palatino Linotype" w:cs="Palatino Linotype"/>
          <w:sz w:val="16"/>
          <w:szCs w:val="16"/>
        </w:rPr>
        <w:t xml:space="preserve"> </w:t>
      </w:r>
      <w:proofErr w:type="spellStart"/>
      <w:r w:rsidRPr="00234CCF">
        <w:rPr>
          <w:rFonts w:ascii="Palatino Linotype" w:eastAsia="Palatino Linotype" w:hAnsi="Palatino Linotype" w:cs="Palatino Linotype"/>
          <w:sz w:val="16"/>
          <w:szCs w:val="16"/>
        </w:rPr>
        <w:t>Manufaktur</w:t>
      </w:r>
      <w:proofErr w:type="spellEnd"/>
      <w:r w:rsidRPr="00234CCF">
        <w:rPr>
          <w:rFonts w:ascii="Palatino Linotype" w:eastAsia="Palatino Linotype" w:hAnsi="Palatino Linotype" w:cs="Palatino Linotype"/>
          <w:sz w:val="16"/>
          <w:szCs w:val="16"/>
        </w:rPr>
        <w:t xml:space="preserve"> </w:t>
      </w:r>
      <w:proofErr w:type="spellStart"/>
      <w:r w:rsidRPr="00234CCF">
        <w:rPr>
          <w:rFonts w:ascii="Palatino Linotype" w:eastAsia="Palatino Linotype" w:hAnsi="Palatino Linotype" w:cs="Palatino Linotype"/>
          <w:sz w:val="16"/>
          <w:szCs w:val="16"/>
        </w:rPr>
        <w:t>Ceper</w:t>
      </w:r>
      <w:proofErr w:type="spellEnd"/>
    </w:p>
    <w:p w:rsidR="00234CCF" w:rsidRDefault="00234CCF" w:rsidP="00234CCF">
      <w:pPr>
        <w:spacing w:line="216" w:lineRule="auto"/>
        <w:rPr>
          <w:rFonts w:ascii="Palatino Linotype" w:eastAsia="Palatino Linotype" w:hAnsi="Palatino Linotype" w:cs="Palatino Linotype"/>
          <w:sz w:val="16"/>
          <w:szCs w:val="16"/>
        </w:rPr>
      </w:pPr>
      <w:r w:rsidRPr="00234CCF">
        <w:rPr>
          <w:rFonts w:ascii="Palatino Linotype" w:eastAsia="Palatino Linotype" w:hAnsi="Palatino Linotype" w:cs="Palatino Linotype"/>
          <w:sz w:val="16"/>
          <w:szCs w:val="16"/>
        </w:rPr>
        <w:t xml:space="preserve">Batur </w:t>
      </w:r>
      <w:proofErr w:type="spellStart"/>
      <w:r w:rsidRPr="00234CCF">
        <w:rPr>
          <w:rFonts w:ascii="Palatino Linotype" w:eastAsia="Palatino Linotype" w:hAnsi="Palatino Linotype" w:cs="Palatino Linotype"/>
          <w:sz w:val="16"/>
          <w:szCs w:val="16"/>
        </w:rPr>
        <w:t>Tegalrejo</w:t>
      </w:r>
      <w:proofErr w:type="spellEnd"/>
      <w:r>
        <w:rPr>
          <w:rFonts w:ascii="Palatino Linotype" w:eastAsia="Palatino Linotype" w:hAnsi="Palatino Linotype" w:cs="Palatino Linotype"/>
          <w:sz w:val="16"/>
          <w:szCs w:val="16"/>
        </w:rPr>
        <w:t>,</w:t>
      </w:r>
      <w:r w:rsidRPr="00234CCF">
        <w:rPr>
          <w:rFonts w:ascii="Palatino Linotype" w:eastAsia="Palatino Linotype" w:hAnsi="Palatino Linotype" w:cs="Palatino Linotype"/>
          <w:sz w:val="16"/>
          <w:szCs w:val="16"/>
        </w:rPr>
        <w:t xml:space="preserve"> </w:t>
      </w:r>
      <w:proofErr w:type="spellStart"/>
      <w:r w:rsidRPr="00234CCF">
        <w:rPr>
          <w:rFonts w:ascii="Palatino Linotype" w:eastAsia="Palatino Linotype" w:hAnsi="Palatino Linotype" w:cs="Palatino Linotype"/>
          <w:sz w:val="16"/>
          <w:szCs w:val="16"/>
        </w:rPr>
        <w:t>Klaten</w:t>
      </w:r>
      <w:proofErr w:type="spellEnd"/>
      <w:r w:rsidRPr="00234CCF">
        <w:rPr>
          <w:rFonts w:ascii="Palatino Linotype" w:eastAsia="Palatino Linotype" w:hAnsi="Palatino Linotype" w:cs="Palatino Linotype"/>
          <w:sz w:val="16"/>
          <w:szCs w:val="16"/>
        </w:rPr>
        <w:t xml:space="preserve"> Regency, Central Java, Indonesia 57465</w:t>
      </w:r>
      <w:r>
        <w:rPr>
          <w:rFonts w:ascii="Palatino Linotype" w:eastAsia="Palatino Linotype" w:hAnsi="Palatino Linotype" w:cs="Palatino Linotype"/>
          <w:sz w:val="16"/>
          <w:szCs w:val="16"/>
        </w:rPr>
        <w:t xml:space="preserve">, </w:t>
      </w:r>
      <w:r w:rsidRPr="00234CCF">
        <w:rPr>
          <w:rFonts w:ascii="Palatino Linotype" w:eastAsia="Palatino Linotype" w:hAnsi="Palatino Linotype" w:cs="Palatino Linotype"/>
          <w:sz w:val="16"/>
          <w:szCs w:val="16"/>
        </w:rPr>
        <w:t>(0272) 552968</w:t>
      </w:r>
    </w:p>
    <w:p w:rsidR="00234CCF" w:rsidRDefault="00234CCF" w:rsidP="00234CCF">
      <w:pPr>
        <w:spacing w:line="216" w:lineRule="auto"/>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e-mail: </w:t>
      </w:r>
      <w:r w:rsidR="00C61567">
        <w:rPr>
          <w:rFonts w:ascii="Palatino Linotype" w:eastAsia="Palatino Linotype" w:hAnsi="Palatino Linotype" w:cs="Palatino Linotype"/>
          <w:sz w:val="16"/>
          <w:szCs w:val="16"/>
        </w:rPr>
        <w:t>anto.tridaryanto</w:t>
      </w:r>
      <w:r>
        <w:rPr>
          <w:rFonts w:ascii="Palatino Linotype" w:eastAsia="Palatino Linotype" w:hAnsi="Palatino Linotype" w:cs="Palatino Linotype"/>
          <w:sz w:val="16"/>
          <w:szCs w:val="16"/>
        </w:rPr>
        <w:t xml:space="preserve">@gmail.com </w:t>
      </w:r>
    </w:p>
    <w:p w:rsidR="00234CCF" w:rsidRDefault="00234CCF">
      <w:pPr>
        <w:spacing w:line="216" w:lineRule="auto"/>
        <w:rPr>
          <w:rFonts w:ascii="Palatino Linotype" w:eastAsia="Palatino Linotype" w:hAnsi="Palatino Linotype" w:cs="Palatino Linotype"/>
        </w:rPr>
        <w:sectPr w:rsidR="00234CCF">
          <w:headerReference w:type="even" r:id="rId9"/>
          <w:headerReference w:type="default" r:id="rId10"/>
          <w:footerReference w:type="even" r:id="rId11"/>
          <w:footerReference w:type="default" r:id="rId12"/>
          <w:headerReference w:type="first" r:id="rId13"/>
          <w:footerReference w:type="first" r:id="rId14"/>
          <w:pgSz w:w="11907" w:h="16839"/>
          <w:pgMar w:top="1134" w:right="1134" w:bottom="1701" w:left="1418" w:header="567" w:footer="283" w:gutter="0"/>
          <w:pgNumType w:start="1"/>
          <w:cols w:space="720"/>
          <w:titlePg/>
        </w:sectPr>
      </w:pPr>
    </w:p>
    <w:p w:rsidR="001D2E96" w:rsidRDefault="001D2E96">
      <w:pPr>
        <w:widowControl w:val="0"/>
        <w:pBdr>
          <w:top w:val="nil"/>
          <w:left w:val="nil"/>
          <w:bottom w:val="nil"/>
          <w:right w:val="nil"/>
          <w:between w:val="nil"/>
        </w:pBdr>
        <w:spacing w:line="276" w:lineRule="auto"/>
        <w:rPr>
          <w:rFonts w:ascii="Palatino Linotype" w:eastAsia="Palatino Linotype" w:hAnsi="Palatino Linotype" w:cs="Palatino Linotype"/>
          <w:b/>
          <w:i/>
          <w:color w:val="000000"/>
        </w:rPr>
      </w:pPr>
    </w:p>
    <w:tbl>
      <w:tblPr>
        <w:tblStyle w:val="a8"/>
        <w:tblW w:w="9571" w:type="dxa"/>
        <w:tblInd w:w="-11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024"/>
        <w:gridCol w:w="250"/>
        <w:gridCol w:w="7297"/>
      </w:tblGrid>
      <w:tr w:rsidR="001D2E96">
        <w:trPr>
          <w:trHeight w:val="567"/>
        </w:trPr>
        <w:tc>
          <w:tcPr>
            <w:tcW w:w="2026" w:type="dxa"/>
            <w:tcBorders>
              <w:top w:val="single" w:sz="4" w:space="0" w:color="000000"/>
              <w:bottom w:val="single" w:sz="4" w:space="0" w:color="000000"/>
            </w:tcBorders>
            <w:vAlign w:val="center"/>
          </w:tcPr>
          <w:p w:rsidR="001D2E96" w:rsidRDefault="00000000">
            <w:pPr>
              <w:spacing w:before="240" w:after="240"/>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ARTICLE INFO</w:t>
            </w:r>
          </w:p>
        </w:tc>
        <w:tc>
          <w:tcPr>
            <w:tcW w:w="238" w:type="dxa"/>
            <w:vMerge w:val="restart"/>
            <w:tcBorders>
              <w:top w:val="single" w:sz="4" w:space="0" w:color="000000"/>
            </w:tcBorders>
            <w:vAlign w:val="center"/>
          </w:tcPr>
          <w:p w:rsidR="001D2E96" w:rsidRDefault="001D2E96">
            <w:pPr>
              <w:spacing w:before="240" w:after="240"/>
              <w:ind w:right="33"/>
              <w:rPr>
                <w:rFonts w:ascii="Palatino Linotype" w:eastAsia="Palatino Linotype" w:hAnsi="Palatino Linotype" w:cs="Palatino Linotype"/>
                <w:b/>
                <w:color w:val="000000"/>
                <w:sz w:val="18"/>
                <w:szCs w:val="18"/>
              </w:rPr>
            </w:pPr>
          </w:p>
        </w:tc>
        <w:tc>
          <w:tcPr>
            <w:tcW w:w="7307" w:type="dxa"/>
            <w:tcBorders>
              <w:top w:val="single" w:sz="4" w:space="0" w:color="000000"/>
              <w:bottom w:val="single" w:sz="4" w:space="0" w:color="000000"/>
            </w:tcBorders>
            <w:vAlign w:val="center"/>
          </w:tcPr>
          <w:p w:rsidR="001D2E96" w:rsidRPr="00544E9C" w:rsidRDefault="00544E9C" w:rsidP="00544E9C">
            <w:pPr>
              <w:rPr>
                <w:rFonts w:ascii="Palatino Linotype" w:eastAsia="Palatino Linotype" w:hAnsi="Palatino Linotype" w:cs="Palatino Linotype"/>
                <w:b/>
                <w:i/>
                <w:color w:val="000000"/>
                <w:sz w:val="18"/>
                <w:szCs w:val="18"/>
              </w:rPr>
            </w:pPr>
            <w:r>
              <w:rPr>
                <w:rFonts w:ascii="Palatino Linotype" w:eastAsia="Palatino Linotype" w:hAnsi="Palatino Linotype" w:cs="Palatino Linotype"/>
                <w:b/>
                <w:i/>
                <w:color w:val="000000"/>
                <w:sz w:val="18"/>
                <w:szCs w:val="18"/>
              </w:rPr>
              <w:t>ABSTRACT</w:t>
            </w:r>
          </w:p>
        </w:tc>
      </w:tr>
      <w:tr w:rsidR="001D2E96">
        <w:trPr>
          <w:trHeight w:val="1564"/>
        </w:trPr>
        <w:tc>
          <w:tcPr>
            <w:tcW w:w="2026" w:type="dxa"/>
            <w:tcBorders>
              <w:top w:val="single" w:sz="4" w:space="0" w:color="000000"/>
              <w:bottom w:val="single" w:sz="4" w:space="0" w:color="000000"/>
            </w:tcBorders>
          </w:tcPr>
          <w:p w:rsidR="001D2E96" w:rsidRDefault="00000000">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Article History</w:t>
            </w:r>
          </w:p>
          <w:p w:rsidR="001D2E96" w:rsidRDefault="00000000">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Received</w:t>
            </w:r>
          </w:p>
          <w:p w:rsidR="001D2E96" w:rsidRDefault="00000000">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Revised</w:t>
            </w:r>
          </w:p>
          <w:p w:rsidR="001D2E96" w:rsidRDefault="00000000">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Accepted</w:t>
            </w:r>
          </w:p>
          <w:p w:rsidR="001D2E96" w:rsidRDefault="00000000">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 xml:space="preserve">Available online </w:t>
            </w:r>
          </w:p>
        </w:tc>
        <w:tc>
          <w:tcPr>
            <w:tcW w:w="238" w:type="dxa"/>
            <w:vMerge/>
            <w:tcBorders>
              <w:top w:val="single" w:sz="4" w:space="0" w:color="000000"/>
            </w:tcBorders>
            <w:vAlign w:val="center"/>
          </w:tcPr>
          <w:p w:rsidR="001D2E96" w:rsidRDefault="001D2E9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7307" w:type="dxa"/>
            <w:vMerge w:val="restart"/>
            <w:tcBorders>
              <w:top w:val="single" w:sz="4" w:space="0" w:color="000000"/>
            </w:tcBorders>
          </w:tcPr>
          <w:p w:rsidR="001D2E96" w:rsidRDefault="00544E9C">
            <w:pPr>
              <w:jc w:val="both"/>
              <w:rPr>
                <w:rFonts w:ascii="Palatino Linotype" w:eastAsia="Palatino Linotype" w:hAnsi="Palatino Linotype" w:cs="Palatino Linotype"/>
                <w:b/>
                <w:color w:val="000000"/>
                <w:sz w:val="18"/>
                <w:szCs w:val="18"/>
              </w:rPr>
            </w:pPr>
            <w:r w:rsidRPr="00544E9C">
              <w:rPr>
                <w:rFonts w:ascii="Palatino Linotype" w:eastAsia="Palatino Linotype" w:hAnsi="Palatino Linotype" w:cs="Palatino Linotype"/>
                <w:i/>
                <w:color w:val="000000"/>
                <w:sz w:val="18"/>
                <w:szCs w:val="18"/>
              </w:rPr>
              <w:t>Studies on reclaiming CO</w:t>
            </w:r>
            <w:r w:rsidRPr="00544E9C">
              <w:rPr>
                <w:rFonts w:ascii="Palatino Linotype" w:eastAsia="Palatino Linotype" w:hAnsi="Palatino Linotype" w:cs="Palatino Linotype"/>
                <w:i/>
                <w:color w:val="000000"/>
                <w:sz w:val="18"/>
                <w:szCs w:val="18"/>
                <w:vertAlign w:val="subscript"/>
              </w:rPr>
              <w:t>2</w:t>
            </w:r>
            <w:r w:rsidRPr="00544E9C">
              <w:rPr>
                <w:rFonts w:ascii="Palatino Linotype" w:eastAsia="Palatino Linotype" w:hAnsi="Palatino Linotype" w:cs="Palatino Linotype"/>
                <w:i/>
                <w:color w:val="000000"/>
                <w:sz w:val="18"/>
                <w:szCs w:val="18"/>
              </w:rPr>
              <w:t xml:space="preserve"> sand </w:t>
            </w:r>
            <w:proofErr w:type="spellStart"/>
            <w:r w:rsidRPr="00544E9C">
              <w:rPr>
                <w:rFonts w:ascii="Palatino Linotype" w:eastAsia="Palatino Linotype" w:hAnsi="Palatino Linotype" w:cs="Palatino Linotype"/>
                <w:i/>
                <w:color w:val="000000"/>
                <w:sz w:val="18"/>
                <w:szCs w:val="18"/>
              </w:rPr>
              <w:t>mould</w:t>
            </w:r>
            <w:proofErr w:type="spellEnd"/>
            <w:r w:rsidRPr="00544E9C">
              <w:rPr>
                <w:rFonts w:ascii="Palatino Linotype" w:eastAsia="Palatino Linotype" w:hAnsi="Palatino Linotype" w:cs="Palatino Linotype"/>
                <w:i/>
                <w:color w:val="000000"/>
                <w:sz w:val="18"/>
                <w:szCs w:val="18"/>
              </w:rPr>
              <w:t xml:space="preserve"> waste have the opportunity to increase productivity. This research was conducted to learn further about the potential of reclaimed CO</w:t>
            </w:r>
            <w:r w:rsidRPr="00544E9C">
              <w:rPr>
                <w:rFonts w:ascii="Palatino Linotype" w:eastAsia="Palatino Linotype" w:hAnsi="Palatino Linotype" w:cs="Palatino Linotype"/>
                <w:i/>
                <w:color w:val="000000"/>
                <w:sz w:val="18"/>
                <w:szCs w:val="18"/>
                <w:vertAlign w:val="subscript"/>
              </w:rPr>
              <w:t>2</w:t>
            </w:r>
            <w:r w:rsidRPr="00544E9C">
              <w:rPr>
                <w:rFonts w:ascii="Palatino Linotype" w:eastAsia="Palatino Linotype" w:hAnsi="Palatino Linotype" w:cs="Palatino Linotype"/>
                <w:i/>
                <w:color w:val="000000"/>
                <w:sz w:val="18"/>
                <w:szCs w:val="18"/>
              </w:rPr>
              <w:t xml:space="preserve"> sand </w:t>
            </w:r>
            <w:proofErr w:type="spellStart"/>
            <w:r w:rsidRPr="00544E9C">
              <w:rPr>
                <w:rFonts w:ascii="Palatino Linotype" w:eastAsia="Palatino Linotype" w:hAnsi="Palatino Linotype" w:cs="Palatino Linotype"/>
                <w:i/>
                <w:color w:val="000000"/>
                <w:sz w:val="18"/>
                <w:szCs w:val="18"/>
              </w:rPr>
              <w:t>moulds</w:t>
            </w:r>
            <w:proofErr w:type="spellEnd"/>
            <w:r w:rsidRPr="00544E9C">
              <w:rPr>
                <w:rFonts w:ascii="Palatino Linotype" w:eastAsia="Palatino Linotype" w:hAnsi="Palatino Linotype" w:cs="Palatino Linotype"/>
                <w:i/>
                <w:color w:val="000000"/>
                <w:sz w:val="18"/>
                <w:szCs w:val="18"/>
              </w:rPr>
              <w:t>. The effect of the grain size of the reclaimed CO</w:t>
            </w:r>
            <w:r w:rsidRPr="00544E9C">
              <w:rPr>
                <w:rFonts w:ascii="Palatino Linotype" w:eastAsia="Palatino Linotype" w:hAnsi="Palatino Linotype" w:cs="Palatino Linotype"/>
                <w:i/>
                <w:color w:val="000000"/>
                <w:sz w:val="18"/>
                <w:szCs w:val="18"/>
                <w:vertAlign w:val="subscript"/>
              </w:rPr>
              <w:t>2</w:t>
            </w:r>
            <w:r w:rsidRPr="00544E9C">
              <w:rPr>
                <w:rFonts w:ascii="Palatino Linotype" w:eastAsia="Palatino Linotype" w:hAnsi="Palatino Linotype" w:cs="Palatino Linotype"/>
                <w:i/>
                <w:color w:val="000000"/>
                <w:sz w:val="18"/>
                <w:szCs w:val="18"/>
              </w:rPr>
              <w:t xml:space="preserve"> sand </w:t>
            </w:r>
            <w:proofErr w:type="spellStart"/>
            <w:r w:rsidRPr="00544E9C">
              <w:rPr>
                <w:rFonts w:ascii="Palatino Linotype" w:eastAsia="Palatino Linotype" w:hAnsi="Palatino Linotype" w:cs="Palatino Linotype"/>
                <w:i/>
                <w:color w:val="000000"/>
                <w:sz w:val="18"/>
                <w:szCs w:val="18"/>
              </w:rPr>
              <w:t>mould</w:t>
            </w:r>
            <w:proofErr w:type="spellEnd"/>
            <w:r w:rsidRPr="00544E9C">
              <w:rPr>
                <w:rFonts w:ascii="Palatino Linotype" w:eastAsia="Palatino Linotype" w:hAnsi="Palatino Linotype" w:cs="Palatino Linotype"/>
                <w:i/>
                <w:color w:val="000000"/>
                <w:sz w:val="18"/>
                <w:szCs w:val="18"/>
              </w:rPr>
              <w:t xml:space="preserve"> on the hardness and metal surface roughness was analyzed. In addition, a comparison of casting quality analysis was carried out between products using new sand and reclaimed CO</w:t>
            </w:r>
            <w:r w:rsidRPr="00544E9C">
              <w:rPr>
                <w:rFonts w:ascii="Palatino Linotype" w:eastAsia="Palatino Linotype" w:hAnsi="Palatino Linotype" w:cs="Palatino Linotype"/>
                <w:i/>
                <w:color w:val="000000"/>
                <w:sz w:val="18"/>
                <w:szCs w:val="18"/>
                <w:vertAlign w:val="subscript"/>
              </w:rPr>
              <w:t xml:space="preserve">2 </w:t>
            </w:r>
            <w:r w:rsidRPr="00544E9C">
              <w:rPr>
                <w:rFonts w:ascii="Palatino Linotype" w:eastAsia="Palatino Linotype" w:hAnsi="Palatino Linotype" w:cs="Palatino Linotype"/>
                <w:i/>
                <w:color w:val="000000"/>
                <w:sz w:val="18"/>
                <w:szCs w:val="18"/>
              </w:rPr>
              <w:t xml:space="preserve">sand </w:t>
            </w:r>
            <w:proofErr w:type="spellStart"/>
            <w:r w:rsidRPr="00544E9C">
              <w:rPr>
                <w:rFonts w:ascii="Palatino Linotype" w:eastAsia="Palatino Linotype" w:hAnsi="Palatino Linotype" w:cs="Palatino Linotype"/>
                <w:i/>
                <w:color w:val="000000"/>
                <w:sz w:val="18"/>
                <w:szCs w:val="18"/>
              </w:rPr>
              <w:t>moulds</w:t>
            </w:r>
            <w:proofErr w:type="spellEnd"/>
            <w:r w:rsidRPr="00544E9C">
              <w:rPr>
                <w:rFonts w:ascii="Palatino Linotype" w:eastAsia="Palatino Linotype" w:hAnsi="Palatino Linotype" w:cs="Palatino Linotype"/>
                <w:i/>
                <w:color w:val="000000"/>
                <w:sz w:val="18"/>
                <w:szCs w:val="18"/>
              </w:rPr>
              <w:t>. The CO</w:t>
            </w:r>
            <w:r w:rsidRPr="00544E9C">
              <w:rPr>
                <w:rFonts w:ascii="Palatino Linotype" w:eastAsia="Palatino Linotype" w:hAnsi="Palatino Linotype" w:cs="Palatino Linotype"/>
                <w:i/>
                <w:color w:val="000000"/>
                <w:sz w:val="18"/>
                <w:szCs w:val="18"/>
                <w:vertAlign w:val="subscript"/>
              </w:rPr>
              <w:t>2</w:t>
            </w:r>
            <w:r w:rsidRPr="00544E9C">
              <w:rPr>
                <w:rFonts w:ascii="Palatino Linotype" w:eastAsia="Palatino Linotype" w:hAnsi="Palatino Linotype" w:cs="Palatino Linotype"/>
                <w:i/>
                <w:color w:val="000000"/>
                <w:sz w:val="18"/>
                <w:szCs w:val="18"/>
              </w:rPr>
              <w:t xml:space="preserve"> sand </w:t>
            </w:r>
            <w:proofErr w:type="spellStart"/>
            <w:r w:rsidRPr="00544E9C">
              <w:rPr>
                <w:rFonts w:ascii="Palatino Linotype" w:eastAsia="Palatino Linotype" w:hAnsi="Palatino Linotype" w:cs="Palatino Linotype"/>
                <w:i/>
                <w:color w:val="000000"/>
                <w:sz w:val="18"/>
                <w:szCs w:val="18"/>
              </w:rPr>
              <w:t>moulds</w:t>
            </w:r>
            <w:proofErr w:type="spellEnd"/>
            <w:r w:rsidRPr="00544E9C">
              <w:rPr>
                <w:rFonts w:ascii="Palatino Linotype" w:eastAsia="Palatino Linotype" w:hAnsi="Palatino Linotype" w:cs="Palatino Linotype"/>
                <w:i/>
                <w:color w:val="000000"/>
                <w:sz w:val="18"/>
                <w:szCs w:val="18"/>
              </w:rPr>
              <w:t xml:space="preserve"> were crushed and then sieved using 12, 25 and 40 mesh sieves. The sand waste grains were reclaimed through a detergent washing process. SEM-EDS characterization was carried out to determine the elements contained. The hardness of the casting product was tested using the Rockwell method with a load of 981 N. Meanwhile, the metal surface roughness was characterized through the Roughness Test and visual identification using the JIS 82 standard. Based on the results of the SEM-EDS characterization, the three variations of the reclaimed CO</w:t>
            </w:r>
            <w:r w:rsidRPr="00E15A6C">
              <w:rPr>
                <w:rFonts w:ascii="Palatino Linotype" w:eastAsia="Palatino Linotype" w:hAnsi="Palatino Linotype" w:cs="Palatino Linotype"/>
                <w:i/>
                <w:color w:val="000000"/>
                <w:sz w:val="18"/>
                <w:szCs w:val="18"/>
                <w:vertAlign w:val="subscript"/>
              </w:rPr>
              <w:t>2</w:t>
            </w:r>
            <w:r w:rsidRPr="00544E9C">
              <w:rPr>
                <w:rFonts w:ascii="Palatino Linotype" w:eastAsia="Palatino Linotype" w:hAnsi="Palatino Linotype" w:cs="Palatino Linotype"/>
                <w:i/>
                <w:color w:val="000000"/>
                <w:sz w:val="18"/>
                <w:szCs w:val="18"/>
              </w:rPr>
              <w:t xml:space="preserve"> sand have the potential to be reused. The quality of the hardness and metal surface roughness of the reclaimed CO</w:t>
            </w:r>
            <w:r w:rsidRPr="00E15A6C">
              <w:rPr>
                <w:rFonts w:ascii="Palatino Linotype" w:eastAsia="Palatino Linotype" w:hAnsi="Palatino Linotype" w:cs="Palatino Linotype"/>
                <w:i/>
                <w:color w:val="000000"/>
                <w:sz w:val="18"/>
                <w:szCs w:val="18"/>
                <w:vertAlign w:val="subscript"/>
              </w:rPr>
              <w:t>2</w:t>
            </w:r>
            <w:r w:rsidRPr="00544E9C">
              <w:rPr>
                <w:rFonts w:ascii="Palatino Linotype" w:eastAsia="Palatino Linotype" w:hAnsi="Palatino Linotype" w:cs="Palatino Linotype"/>
                <w:i/>
                <w:color w:val="000000"/>
                <w:sz w:val="18"/>
                <w:szCs w:val="18"/>
              </w:rPr>
              <w:t xml:space="preserve"> sand with 25 mesh size variation is close to the quality of the casting product using a new sand </w:t>
            </w:r>
            <w:proofErr w:type="spellStart"/>
            <w:r w:rsidRPr="00544E9C">
              <w:rPr>
                <w:rFonts w:ascii="Palatino Linotype" w:eastAsia="Palatino Linotype" w:hAnsi="Palatino Linotype" w:cs="Palatino Linotype"/>
                <w:i/>
                <w:color w:val="000000"/>
                <w:sz w:val="18"/>
                <w:szCs w:val="18"/>
              </w:rPr>
              <w:t>mould</w:t>
            </w:r>
            <w:proofErr w:type="spellEnd"/>
            <w:r w:rsidRPr="00544E9C">
              <w:rPr>
                <w:rFonts w:ascii="Palatino Linotype" w:eastAsia="Palatino Linotype" w:hAnsi="Palatino Linotype" w:cs="Palatino Linotype"/>
                <w:i/>
                <w:color w:val="000000"/>
                <w:sz w:val="18"/>
                <w:szCs w:val="18"/>
              </w:rPr>
              <w:t>.</w:t>
            </w:r>
          </w:p>
        </w:tc>
      </w:tr>
      <w:tr w:rsidR="001D2E96">
        <w:tc>
          <w:tcPr>
            <w:tcW w:w="2026" w:type="dxa"/>
            <w:tcBorders>
              <w:top w:val="single" w:sz="4" w:space="0" w:color="000000"/>
            </w:tcBorders>
          </w:tcPr>
          <w:p w:rsidR="001D2E96" w:rsidRDefault="00000000">
            <w:pPr>
              <w:rPr>
                <w:rFonts w:ascii="Palatino Linotype" w:eastAsia="Palatino Linotype" w:hAnsi="Palatino Linotype" w:cs="Palatino Linotype"/>
                <w:b/>
                <w:color w:val="000000"/>
                <w:sz w:val="18"/>
                <w:szCs w:val="18"/>
              </w:rPr>
            </w:pPr>
            <w:r>
              <w:rPr>
                <w:rFonts w:ascii="Palatino Linotype" w:eastAsia="Palatino Linotype" w:hAnsi="Palatino Linotype" w:cs="Palatino Linotype"/>
                <w:b/>
                <w:color w:val="000000"/>
                <w:sz w:val="18"/>
                <w:szCs w:val="18"/>
              </w:rPr>
              <w:t>Keyword:</w:t>
            </w:r>
          </w:p>
          <w:p w:rsidR="00544E9C" w:rsidRPr="00544E9C" w:rsidRDefault="00544E9C" w:rsidP="00544E9C">
            <w:pPr>
              <w:rPr>
                <w:rFonts w:ascii="Palatino Linotype" w:eastAsia="Palatino Linotype" w:hAnsi="Palatino Linotype" w:cs="Palatino Linotype"/>
                <w:color w:val="000000"/>
                <w:sz w:val="18"/>
                <w:szCs w:val="18"/>
              </w:rPr>
            </w:pPr>
            <w:r w:rsidRPr="00544E9C">
              <w:rPr>
                <w:rFonts w:ascii="Palatino Linotype" w:eastAsia="Palatino Linotype" w:hAnsi="Palatino Linotype" w:cs="Palatino Linotype"/>
                <w:color w:val="000000"/>
                <w:sz w:val="18"/>
                <w:szCs w:val="18"/>
              </w:rPr>
              <w:t>CO</w:t>
            </w:r>
            <w:r w:rsidRPr="00E15A6C">
              <w:rPr>
                <w:rFonts w:ascii="Palatino Linotype" w:eastAsia="Palatino Linotype" w:hAnsi="Palatino Linotype" w:cs="Palatino Linotype"/>
                <w:color w:val="000000"/>
                <w:sz w:val="18"/>
                <w:szCs w:val="18"/>
                <w:vertAlign w:val="subscript"/>
              </w:rPr>
              <w:t>2</w:t>
            </w:r>
            <w:r w:rsidRPr="00544E9C">
              <w:rPr>
                <w:rFonts w:ascii="Palatino Linotype" w:eastAsia="Palatino Linotype" w:hAnsi="Palatino Linotype" w:cs="Palatino Linotype"/>
                <w:color w:val="000000"/>
                <w:sz w:val="18"/>
                <w:szCs w:val="18"/>
              </w:rPr>
              <w:t xml:space="preserve"> waste </w:t>
            </w:r>
            <w:proofErr w:type="spellStart"/>
            <w:r w:rsidRPr="00544E9C">
              <w:rPr>
                <w:rFonts w:ascii="Palatino Linotype" w:eastAsia="Palatino Linotype" w:hAnsi="Palatino Linotype" w:cs="Palatino Linotype"/>
                <w:color w:val="000000"/>
                <w:sz w:val="18"/>
                <w:szCs w:val="18"/>
              </w:rPr>
              <w:t>mo</w:t>
            </w:r>
            <w:r>
              <w:rPr>
                <w:rFonts w:ascii="Palatino Linotype" w:eastAsia="Palatino Linotype" w:hAnsi="Palatino Linotype" w:cs="Palatino Linotype"/>
                <w:color w:val="000000"/>
                <w:sz w:val="18"/>
                <w:szCs w:val="18"/>
              </w:rPr>
              <w:t>u</w:t>
            </w:r>
            <w:r w:rsidRPr="00544E9C">
              <w:rPr>
                <w:rFonts w:ascii="Palatino Linotype" w:eastAsia="Palatino Linotype" w:hAnsi="Palatino Linotype" w:cs="Palatino Linotype"/>
                <w:color w:val="000000"/>
                <w:sz w:val="18"/>
                <w:szCs w:val="18"/>
              </w:rPr>
              <w:t>lding</w:t>
            </w:r>
            <w:proofErr w:type="spellEnd"/>
            <w:r w:rsidR="00C61567">
              <w:rPr>
                <w:rFonts w:ascii="Palatino Linotype" w:eastAsia="Palatino Linotype" w:hAnsi="Palatino Linotype" w:cs="Palatino Linotype"/>
                <w:color w:val="000000"/>
                <w:sz w:val="18"/>
                <w:szCs w:val="18"/>
              </w:rPr>
              <w:t>,</w:t>
            </w:r>
          </w:p>
          <w:p w:rsidR="00544E9C" w:rsidRPr="00544E9C" w:rsidRDefault="00544E9C" w:rsidP="00544E9C">
            <w:pPr>
              <w:rPr>
                <w:rFonts w:ascii="Palatino Linotype" w:eastAsia="Palatino Linotype" w:hAnsi="Palatino Linotype" w:cs="Palatino Linotype"/>
                <w:color w:val="000000"/>
                <w:sz w:val="18"/>
                <w:szCs w:val="18"/>
              </w:rPr>
            </w:pPr>
            <w:r w:rsidRPr="00544E9C">
              <w:rPr>
                <w:rFonts w:ascii="Palatino Linotype" w:eastAsia="Palatino Linotype" w:hAnsi="Palatino Linotype" w:cs="Palatino Linotype"/>
                <w:color w:val="000000"/>
                <w:sz w:val="18"/>
                <w:szCs w:val="18"/>
              </w:rPr>
              <w:t>Reclaimed</w:t>
            </w:r>
            <w:r w:rsidR="00C61567">
              <w:rPr>
                <w:rFonts w:ascii="Palatino Linotype" w:eastAsia="Palatino Linotype" w:hAnsi="Palatino Linotype" w:cs="Palatino Linotype"/>
                <w:color w:val="000000"/>
                <w:sz w:val="18"/>
                <w:szCs w:val="18"/>
              </w:rPr>
              <w:t>,</w:t>
            </w:r>
          </w:p>
          <w:p w:rsidR="00544E9C" w:rsidRPr="00544E9C" w:rsidRDefault="00544E9C" w:rsidP="00544E9C">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G</w:t>
            </w:r>
            <w:r w:rsidRPr="00544E9C">
              <w:rPr>
                <w:rFonts w:ascii="Palatino Linotype" w:eastAsia="Palatino Linotype" w:hAnsi="Palatino Linotype" w:cs="Palatino Linotype"/>
                <w:color w:val="000000"/>
                <w:sz w:val="18"/>
                <w:szCs w:val="18"/>
              </w:rPr>
              <w:t>rain size</w:t>
            </w:r>
            <w:r w:rsidR="00C61567">
              <w:rPr>
                <w:rFonts w:ascii="Palatino Linotype" w:eastAsia="Palatino Linotype" w:hAnsi="Palatino Linotype" w:cs="Palatino Linotype"/>
                <w:color w:val="000000"/>
                <w:sz w:val="18"/>
                <w:szCs w:val="18"/>
              </w:rPr>
              <w:t>,</w:t>
            </w:r>
          </w:p>
          <w:p w:rsidR="001D2E96" w:rsidRDefault="00544E9C" w:rsidP="00544E9C">
            <w:pP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S</w:t>
            </w:r>
            <w:r w:rsidRPr="00544E9C">
              <w:rPr>
                <w:rFonts w:ascii="Palatino Linotype" w:eastAsia="Palatino Linotype" w:hAnsi="Palatino Linotype" w:cs="Palatino Linotype"/>
                <w:color w:val="000000"/>
                <w:sz w:val="18"/>
                <w:szCs w:val="18"/>
              </w:rPr>
              <w:t>urface roughness</w:t>
            </w:r>
            <w:r w:rsidR="00C61567">
              <w:rPr>
                <w:rFonts w:ascii="Palatino Linotype" w:eastAsia="Palatino Linotype" w:hAnsi="Palatino Linotype" w:cs="Palatino Linotype"/>
                <w:color w:val="000000"/>
                <w:sz w:val="18"/>
                <w:szCs w:val="18"/>
              </w:rPr>
              <w:t>.</w:t>
            </w:r>
          </w:p>
        </w:tc>
        <w:tc>
          <w:tcPr>
            <w:tcW w:w="238" w:type="dxa"/>
            <w:vMerge/>
            <w:tcBorders>
              <w:top w:val="single" w:sz="4" w:space="0" w:color="000000"/>
            </w:tcBorders>
            <w:vAlign w:val="center"/>
          </w:tcPr>
          <w:p w:rsidR="001D2E96" w:rsidRDefault="001D2E9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c>
          <w:tcPr>
            <w:tcW w:w="7307" w:type="dxa"/>
            <w:vMerge/>
            <w:tcBorders>
              <w:top w:val="single" w:sz="4" w:space="0" w:color="000000"/>
            </w:tcBorders>
          </w:tcPr>
          <w:p w:rsidR="001D2E96" w:rsidRDefault="001D2E96">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8"/>
                <w:szCs w:val="18"/>
              </w:rPr>
            </w:pPr>
          </w:p>
        </w:tc>
      </w:tr>
    </w:tbl>
    <w:p w:rsidR="001D2E96" w:rsidRDefault="001D2E96">
      <w:pPr>
        <w:tabs>
          <w:tab w:val="left" w:pos="5361"/>
        </w:tabs>
        <w:rPr>
          <w:rFonts w:ascii="Palatino Linotype" w:eastAsia="Palatino Linotype" w:hAnsi="Palatino Linotype" w:cs="Palatino Linotype"/>
          <w:color w:val="000000"/>
        </w:rPr>
      </w:pPr>
    </w:p>
    <w:p w:rsidR="001D2E96" w:rsidRDefault="00000000" w:rsidP="00544E9C">
      <w:pPr>
        <w:tabs>
          <w:tab w:val="left" w:pos="425"/>
          <w:tab w:val="left" w:pos="851"/>
          <w:tab w:val="left" w:pos="1134"/>
          <w:tab w:val="left" w:pos="1418"/>
        </w:tabs>
        <w:rPr>
          <w:rFonts w:ascii="Palatino Linotype" w:eastAsia="Palatino Linotype" w:hAnsi="Palatino Linotype" w:cs="Palatino Linotype"/>
          <w:sz w:val="18"/>
          <w:szCs w:val="18"/>
        </w:rPr>
      </w:pPr>
      <w:r>
        <w:rPr>
          <w:rFonts w:ascii="Palatino Linotype" w:eastAsia="Palatino Linotype" w:hAnsi="Palatino Linotype" w:cs="Palatino Linotype"/>
          <w:b/>
          <w:sz w:val="24"/>
          <w:szCs w:val="24"/>
        </w:rPr>
        <w:t>1.</w:t>
      </w:r>
      <w:r>
        <w:rPr>
          <w:rFonts w:ascii="Palatino Linotype" w:eastAsia="Palatino Linotype" w:hAnsi="Palatino Linotype" w:cs="Palatino Linotype"/>
          <w:b/>
          <w:sz w:val="24"/>
          <w:szCs w:val="24"/>
        </w:rPr>
        <w:tab/>
      </w:r>
      <w:r>
        <w:rPr>
          <w:rFonts w:ascii="Palatino Linotype" w:eastAsia="Palatino Linotype" w:hAnsi="Palatino Linotype" w:cs="Palatino Linotype"/>
          <w:b/>
          <w:smallCaps/>
          <w:sz w:val="24"/>
          <w:szCs w:val="24"/>
        </w:rPr>
        <w:t xml:space="preserve">INTRODUCTION </w:t>
      </w:r>
    </w:p>
    <w:p w:rsidR="0080093D" w:rsidRPr="0080093D" w:rsidRDefault="00000000" w:rsidP="0080093D">
      <w:pPr>
        <w:tabs>
          <w:tab w:val="left" w:pos="425"/>
          <w:tab w:val="left" w:pos="851"/>
          <w:tab w:val="left" w:pos="1134"/>
          <w:tab w:val="left" w:pos="1418"/>
        </w:tabs>
        <w:jc w:val="both"/>
        <w:rPr>
          <w:rFonts w:ascii="Palatino Linotype" w:eastAsia="Palatino Linotype" w:hAnsi="Palatino Linotype" w:cs="Palatino Linotype"/>
        </w:rPr>
      </w:pPr>
      <w:r>
        <w:rPr>
          <w:rFonts w:ascii="Palatino Linotype" w:eastAsia="Palatino Linotype" w:hAnsi="Palatino Linotype" w:cs="Palatino Linotype"/>
        </w:rPr>
        <w:tab/>
      </w:r>
      <w:r w:rsidR="0080093D" w:rsidRPr="0080093D">
        <w:rPr>
          <w:rFonts w:ascii="Palatino Linotype" w:eastAsia="Palatino Linotype" w:hAnsi="Palatino Linotype" w:cs="Palatino Linotype"/>
        </w:rPr>
        <w:t xml:space="preserve">Metal casting is a part of the manufacturing process that produces products. Generally, the products have complex shapes or materials that cannot be processed by ordinary machining. To create a quality casting product are necessary to give attention to the following factors: the casting, the composition of the raw material, the quality of the </w:t>
      </w:r>
      <w:proofErr w:type="spellStart"/>
      <w:r w:rsidR="0080093D" w:rsidRPr="0080093D">
        <w:rPr>
          <w:rFonts w:ascii="Palatino Linotype" w:eastAsia="Palatino Linotype" w:hAnsi="Palatino Linotype" w:cs="Palatino Linotype"/>
        </w:rPr>
        <w:t>moulding</w:t>
      </w:r>
      <w:proofErr w:type="spellEnd"/>
      <w:r w:rsidR="0080093D" w:rsidRPr="0080093D">
        <w:rPr>
          <w:rFonts w:ascii="Palatino Linotype" w:eastAsia="Palatino Linotype" w:hAnsi="Palatino Linotype" w:cs="Palatino Linotype"/>
        </w:rPr>
        <w:t xml:space="preserve"> sand, the melting and pouring system, and the fettling system.</w:t>
      </w:r>
    </w:p>
    <w:p w:rsidR="0080093D" w:rsidRPr="0080093D" w:rsidRDefault="00C61567" w:rsidP="0080093D">
      <w:pPr>
        <w:tabs>
          <w:tab w:val="left" w:pos="425"/>
          <w:tab w:val="left" w:pos="851"/>
          <w:tab w:val="left" w:pos="1134"/>
          <w:tab w:val="left" w:pos="1418"/>
        </w:tabs>
        <w:jc w:val="both"/>
        <w:rPr>
          <w:rFonts w:ascii="Palatino Linotype" w:eastAsia="Palatino Linotype" w:hAnsi="Palatino Linotype" w:cs="Palatino Linotype"/>
        </w:rPr>
      </w:pPr>
      <w:r>
        <w:rPr>
          <w:rFonts w:ascii="Palatino Linotype" w:eastAsia="Palatino Linotype" w:hAnsi="Palatino Linotype" w:cs="Palatino Linotype"/>
        </w:rPr>
        <w:tab/>
      </w:r>
      <w:r w:rsidR="0080093D" w:rsidRPr="0080093D">
        <w:rPr>
          <w:rFonts w:ascii="Palatino Linotype" w:eastAsia="Palatino Linotype" w:hAnsi="Palatino Linotype" w:cs="Palatino Linotype"/>
        </w:rPr>
        <w:t xml:space="preserve">Sand is a component that is often used in the metal casting industry. This sand is used as a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for molten metal. The use of this sand is due to its properties that it can be </w:t>
      </w:r>
      <w:proofErr w:type="spellStart"/>
      <w:r w:rsidR="0080093D" w:rsidRPr="0080093D">
        <w:rPr>
          <w:rFonts w:ascii="Palatino Linotype" w:eastAsia="Palatino Linotype" w:hAnsi="Palatino Linotype" w:cs="Palatino Linotype"/>
        </w:rPr>
        <w:t>moulded</w:t>
      </w:r>
      <w:proofErr w:type="spellEnd"/>
      <w:r w:rsidR="0080093D" w:rsidRPr="0080093D">
        <w:rPr>
          <w:rFonts w:ascii="Palatino Linotype" w:eastAsia="Palatino Linotype" w:hAnsi="Palatino Linotype" w:cs="Palatino Linotype"/>
        </w:rPr>
        <w:t xml:space="preserve"> easily, has resistance to high temperatures and has a relatively small reaction to metal materials. This sand can be </w:t>
      </w:r>
      <w:proofErr w:type="spellStart"/>
      <w:r w:rsidR="0080093D" w:rsidRPr="0080093D">
        <w:rPr>
          <w:rFonts w:ascii="Palatino Linotype" w:eastAsia="Palatino Linotype" w:hAnsi="Palatino Linotype" w:cs="Palatino Linotype"/>
        </w:rPr>
        <w:t>moulded</w:t>
      </w:r>
      <w:proofErr w:type="spellEnd"/>
      <w:r w:rsidR="0080093D" w:rsidRPr="0080093D">
        <w:rPr>
          <w:rFonts w:ascii="Palatino Linotype" w:eastAsia="Palatino Linotype" w:hAnsi="Palatino Linotype" w:cs="Palatino Linotype"/>
        </w:rPr>
        <w:t xml:space="preserve"> to have the sufficient mechanical strength to withstand the </w:t>
      </w:r>
      <w:proofErr w:type="spellStart"/>
      <w:r w:rsidR="0080093D" w:rsidRPr="0080093D">
        <w:rPr>
          <w:rFonts w:ascii="Palatino Linotype" w:eastAsia="Palatino Linotype" w:hAnsi="Palatino Linotype" w:cs="Palatino Linotype"/>
        </w:rPr>
        <w:t>metallostatic</w:t>
      </w:r>
      <w:proofErr w:type="spellEnd"/>
      <w:r w:rsidR="0080093D" w:rsidRPr="0080093D">
        <w:rPr>
          <w:rFonts w:ascii="Palatino Linotype" w:eastAsia="Palatino Linotype" w:hAnsi="Palatino Linotype" w:cs="Palatino Linotype"/>
        </w:rPr>
        <w:t xml:space="preserve"> stresses of the metal. The use of sand </w:t>
      </w:r>
      <w:proofErr w:type="spellStart"/>
      <w:r w:rsidR="0080093D" w:rsidRPr="0080093D">
        <w:rPr>
          <w:rFonts w:ascii="Palatino Linotype" w:eastAsia="Palatino Linotype" w:hAnsi="Palatino Linotype" w:cs="Palatino Linotype"/>
        </w:rPr>
        <w:t>moulds</w:t>
      </w:r>
      <w:proofErr w:type="spellEnd"/>
      <w:r w:rsidR="0080093D" w:rsidRPr="0080093D">
        <w:rPr>
          <w:rFonts w:ascii="Palatino Linotype" w:eastAsia="Palatino Linotype" w:hAnsi="Palatino Linotype" w:cs="Palatino Linotype"/>
        </w:rPr>
        <w:t xml:space="preserve"> affects metal properties in terms of hardness and metal shape</w:t>
      </w:r>
      <w:r>
        <w:rPr>
          <w:rFonts w:ascii="Palatino Linotype" w:eastAsia="Palatino Linotype" w:hAnsi="Palatino Linotype" w:cs="Palatino Linotype"/>
        </w:rPr>
        <w:t xml:space="preserve">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{"citationItems":[{"id":"ITEM-1","itemData":{"author":[{"dropping-particle":"","family":"Haryono","given":"Dwi","non-dropping-particle":"","parse-names":false,"suffix":""}],"id":"ITEM-1","issued":{"date-parts":[["2019"]]},"number-of-pages":"1-20","publisher":"UNIVERSITAS MUHAMMADIYAH SURAKARTA","title":"Pengaruh Jenis Pasir Cetakan Terhadap Produk Pengecoran Aluminium Dengan Metode Lost Foam Casting","type":"thesis"},"uris":["http://www.mendeley.com/documents/?uuid=bcaa7c81-b0e9-44d6-a2e1-06c82d2434a8"]}],"mendeley":{"formattedCitation":"[1]","plainTextFormattedCitation":"[1]","previouslyFormattedCitation":"[1]"},"properties":{"noteIndex":0},"schema":"https://github.com/citation-style-language/schema/raw/master/csl-citation.json"}</w:instrText>
      </w:r>
      <w:r>
        <w:rPr>
          <w:rFonts w:ascii="Palatino Linotype" w:eastAsia="Palatino Linotype" w:hAnsi="Palatino Linotype" w:cs="Palatino Linotype"/>
        </w:rPr>
        <w:fldChar w:fldCharType="separate"/>
      </w:r>
      <w:r w:rsidRPr="00C61567">
        <w:rPr>
          <w:rFonts w:ascii="Palatino Linotype" w:eastAsia="Palatino Linotype" w:hAnsi="Palatino Linotype" w:cs="Palatino Linotype"/>
          <w:noProof/>
        </w:rPr>
        <w:t>[1]</w:t>
      </w:r>
      <w:r>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The raw materials for making sand </w:t>
      </w:r>
      <w:proofErr w:type="spellStart"/>
      <w:r w:rsidR="0080093D" w:rsidRPr="0080093D">
        <w:rPr>
          <w:rFonts w:ascii="Palatino Linotype" w:eastAsia="Palatino Linotype" w:hAnsi="Palatino Linotype" w:cs="Palatino Linotype"/>
        </w:rPr>
        <w:t>moulds</w:t>
      </w:r>
      <w:proofErr w:type="spellEnd"/>
      <w:r w:rsidR="0080093D" w:rsidRPr="0080093D">
        <w:rPr>
          <w:rFonts w:ascii="Palatino Linotype" w:eastAsia="Palatino Linotype" w:hAnsi="Palatino Linotype" w:cs="Palatino Linotype"/>
        </w:rPr>
        <w:t xml:space="preserve"> can be divided into two groups, there are, the main ingredients consisting of sand, binding agent and water. And the others are additives, such as graphite, charcoal powder, flour or vegetable oil. These materials are intended to improve the mechanical and physical properties of the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w:t>
      </w:r>
    </w:p>
    <w:p w:rsidR="0080093D" w:rsidRPr="0080093D" w:rsidRDefault="00C61567" w:rsidP="0080093D">
      <w:pPr>
        <w:tabs>
          <w:tab w:val="left" w:pos="425"/>
          <w:tab w:val="left" w:pos="851"/>
          <w:tab w:val="left" w:pos="1134"/>
          <w:tab w:val="left" w:pos="1418"/>
        </w:tabs>
        <w:jc w:val="both"/>
        <w:rPr>
          <w:rFonts w:ascii="Palatino Linotype" w:eastAsia="Palatino Linotype" w:hAnsi="Palatino Linotype" w:cs="Palatino Linotype"/>
        </w:rPr>
      </w:pPr>
      <w:r>
        <w:rPr>
          <w:rFonts w:ascii="Palatino Linotype" w:eastAsia="Palatino Linotype" w:hAnsi="Palatino Linotype" w:cs="Palatino Linotype"/>
        </w:rPr>
        <w:tab/>
      </w:r>
      <w:r w:rsidR="0080093D" w:rsidRPr="0080093D">
        <w:rPr>
          <w:rFonts w:ascii="Palatino Linotype" w:eastAsia="Palatino Linotype" w:hAnsi="Palatino Linotype" w:cs="Palatino Linotype"/>
        </w:rPr>
        <w:t>CO</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 xml:space="preserve"> sand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is one of the sand </w:t>
      </w:r>
      <w:proofErr w:type="spellStart"/>
      <w:r w:rsidR="0080093D" w:rsidRPr="0080093D">
        <w:rPr>
          <w:rFonts w:ascii="Palatino Linotype" w:eastAsia="Palatino Linotype" w:hAnsi="Palatino Linotype" w:cs="Palatino Linotype"/>
        </w:rPr>
        <w:t>moulds</w:t>
      </w:r>
      <w:proofErr w:type="spellEnd"/>
      <w:r w:rsidR="0080093D" w:rsidRPr="0080093D">
        <w:rPr>
          <w:rFonts w:ascii="Palatino Linotype" w:eastAsia="Palatino Linotype" w:hAnsi="Palatino Linotype" w:cs="Palatino Linotype"/>
        </w:rPr>
        <w:t xml:space="preserve"> that is often used in the metal casting industry. This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uses a water glass chemical binder which contains Sodium silicate hydrate (Na</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Si</w:t>
      </w:r>
      <w:r w:rsidR="0080093D" w:rsidRPr="00C61567">
        <w:rPr>
          <w:rFonts w:ascii="Palatino Linotype" w:eastAsia="Palatino Linotype" w:hAnsi="Palatino Linotype" w:cs="Palatino Linotype"/>
          <w:vertAlign w:val="subscript"/>
        </w:rPr>
        <w:t>4</w:t>
      </w:r>
      <w:r w:rsidR="0080093D" w:rsidRPr="0080093D">
        <w:rPr>
          <w:rFonts w:ascii="Palatino Linotype" w:eastAsia="Palatino Linotype" w:hAnsi="Palatino Linotype" w:cs="Palatino Linotype"/>
        </w:rPr>
        <w:t>O</w:t>
      </w:r>
      <w:r w:rsidR="0080093D" w:rsidRPr="00C61567">
        <w:rPr>
          <w:rFonts w:ascii="Palatino Linotype" w:eastAsia="Palatino Linotype" w:hAnsi="Palatino Linotype" w:cs="Palatino Linotype"/>
          <w:vertAlign w:val="subscript"/>
        </w:rPr>
        <w:t>9</w:t>
      </w:r>
      <w:r w:rsidR="0080093D" w:rsidRPr="0080093D">
        <w:rPr>
          <w:rFonts w:ascii="Palatino Linotype" w:eastAsia="Palatino Linotype" w:hAnsi="Palatino Linotype" w:cs="Palatino Linotype"/>
        </w:rPr>
        <w:t>5H</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O). The sand mixture is put into the core box and then reacted with CO</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 xml:space="preserve"> gas so that it becomes solid and hard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DOI":"10.1016/j.jclepro.2017.02.023","author":[{"dropping-particle":"","family":"Mitterpach","given":"Jozef","non-dropping-particle":"","parse-names":false,"suffix":""},{"dropping-particle":"","family":"Hroncov","given":"Emília","non-dropping-particle":"","parse-names":false,"suffix":""},{"dropping-particle":"","family":"Ladomerský","given":"Juraj","non-dropping-particle":"","parse-names":false,"suffix":""},{"dropping-particle":"","family":"Balco","given":"Karol","non-dropping-particle":"","parse-names":false,"suffix":""}],"container-title":"Journal of Cleaner Production journal","id":"ITEM-1","issued":{"date-parts":[["2017"]]},"page":"324-335","title":"Environmental evaluation of grey cast iron via life cycle assessment","type":"article-journal","volume":"148"},"uris":["http://www.mendeley.com/documents/?uuid=27eb7cd8-f7be-40c5-a135-e73543cffd56"]}],"mendeley":{"formattedCitation":"[2]","plainTextFormattedCitation":"[2]","previouslyFormattedCitation":"[2]"},"properties":{"noteIndex":0},"schema":"https://github.com/citation-style-language/schema/raw/master/csl-citation.json"}</w:instrText>
      </w:r>
      <w:r>
        <w:rPr>
          <w:rFonts w:ascii="Palatino Linotype" w:eastAsia="Palatino Linotype" w:hAnsi="Palatino Linotype" w:cs="Palatino Linotype"/>
        </w:rPr>
        <w:fldChar w:fldCharType="separate"/>
      </w:r>
      <w:r w:rsidRPr="00C61567">
        <w:rPr>
          <w:rFonts w:ascii="Palatino Linotype" w:eastAsia="Palatino Linotype" w:hAnsi="Palatino Linotype" w:cs="Palatino Linotype"/>
          <w:noProof/>
        </w:rPr>
        <w:t>[2]</w:t>
      </w:r>
      <w:r>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The hardness of the </w:t>
      </w:r>
      <w:proofErr w:type="spellStart"/>
      <w:r w:rsidR="0080093D" w:rsidRPr="0080093D">
        <w:rPr>
          <w:rFonts w:ascii="Palatino Linotype" w:eastAsia="Palatino Linotype" w:hAnsi="Palatino Linotype" w:cs="Palatino Linotype"/>
        </w:rPr>
        <w:t>moulds</w:t>
      </w:r>
      <w:proofErr w:type="spellEnd"/>
      <w:r w:rsidR="0080093D" w:rsidRPr="0080093D">
        <w:rPr>
          <w:rFonts w:ascii="Palatino Linotype" w:eastAsia="Palatino Linotype" w:hAnsi="Palatino Linotype" w:cs="Palatino Linotype"/>
        </w:rPr>
        <w:t xml:space="preserve"> produced by using Waterglass is high and difficult to deform. This is the weakness of the CO</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 xml:space="preserve"> sand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namely the crushability and poor recyclability, which results in this waste being </w:t>
      </w:r>
      <w:r w:rsidR="0080093D" w:rsidRPr="0080093D">
        <w:rPr>
          <w:rFonts w:ascii="Palatino Linotype" w:eastAsia="Palatino Linotype" w:hAnsi="Palatino Linotype" w:cs="Palatino Linotype"/>
        </w:rPr>
        <w:lastRenderedPageBreak/>
        <w:t>thrown away and not being utilized. The continuous use of CO</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 xml:space="preserve"> </w:t>
      </w:r>
      <w:proofErr w:type="spellStart"/>
      <w:r w:rsidR="0080093D" w:rsidRPr="0080093D">
        <w:rPr>
          <w:rFonts w:ascii="Palatino Linotype" w:eastAsia="Palatino Linotype" w:hAnsi="Palatino Linotype" w:cs="Palatino Linotype"/>
        </w:rPr>
        <w:t>moulding</w:t>
      </w:r>
      <w:proofErr w:type="spellEnd"/>
      <w:r w:rsidR="0080093D" w:rsidRPr="0080093D">
        <w:rPr>
          <w:rFonts w:ascii="Palatino Linotype" w:eastAsia="Palatino Linotype" w:hAnsi="Palatino Linotype" w:cs="Palatino Linotype"/>
        </w:rPr>
        <w:t xml:space="preserve"> sand can result in an increasingly abundant amount of </w:t>
      </w:r>
      <w:proofErr w:type="spellStart"/>
      <w:r w:rsidR="0080093D" w:rsidRPr="0080093D">
        <w:rPr>
          <w:rFonts w:ascii="Palatino Linotype" w:eastAsia="Palatino Linotype" w:hAnsi="Palatino Linotype" w:cs="Palatino Linotype"/>
        </w:rPr>
        <w:t>moulding</w:t>
      </w:r>
      <w:proofErr w:type="spellEnd"/>
      <w:r w:rsidR="0080093D" w:rsidRPr="0080093D">
        <w:rPr>
          <w:rFonts w:ascii="Palatino Linotype" w:eastAsia="Palatino Linotype" w:hAnsi="Palatino Linotype" w:cs="Palatino Linotype"/>
        </w:rPr>
        <w:t xml:space="preserve"> sand waste. Waste that is not utilized will have a negative impact on the environment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{"citationItems":[{"id":"ITEM-1","itemData":{"DOI":"10.1016/j.jmatprotec.2018.01.005","ISSN":"0924-0136","author":[{"dropping-particle":"","family":"Khan","given":"Mohd Moiz","non-dropping-particle":"","parse-names":false,"suffix":""},{"dropping-particle":"","family":"Singh","given":"Manvendra","non-dropping-particle":"","parse-names":false,"suffix":""},{"dropping-particle":"","family":"Mahajani","given":"Sanjay M","non-dropping-particle":"","parse-names":false,"suffix":""},{"dropping-particle":"","family":"Jadhav","given":"G N","non-dropping-particle":"","parse-names":false,"suffix":""},{"dropping-particle":"","family":"Mandre","given":"Shashank","non-dropping-particle":"","parse-names":false,"suffix":""}],"container-title":"Journal of Materials Processing Tech.","id":"ITEM-1","issued":{"date-parts":[["2018"]]},"page":"1-35","publisher":"Elsevier B.V.","title":"Reclamation of used Green Sand in small scale foundries Authors:","type":"article-journal"},"uris":["http://www.mendeley.com/documents/?uuid=ef9d138d-dea8-4bdf-956d-426f36889635"]}],"mendeley":{"formattedCitation":"[3]","plainTextFormattedCitation":"[3]","previouslyFormattedCitation":"[3]"},"properties":{"noteIndex":0},"schema":"https://github.com/citation-style-language/schema/raw/master/csl-citation.json"}</w:instrText>
      </w:r>
      <w:r>
        <w:rPr>
          <w:rFonts w:ascii="Palatino Linotype" w:eastAsia="Palatino Linotype" w:hAnsi="Palatino Linotype" w:cs="Palatino Linotype"/>
        </w:rPr>
        <w:fldChar w:fldCharType="separate"/>
      </w:r>
      <w:r w:rsidRPr="00C61567">
        <w:rPr>
          <w:rFonts w:ascii="Palatino Linotype" w:eastAsia="Palatino Linotype" w:hAnsi="Palatino Linotype" w:cs="Palatino Linotype"/>
          <w:noProof/>
        </w:rPr>
        <w:t>[3]</w:t>
      </w:r>
      <w:r>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w:t>
      </w:r>
    </w:p>
    <w:p w:rsidR="0080093D" w:rsidRPr="0080093D" w:rsidRDefault="00A16559" w:rsidP="0080093D">
      <w:pPr>
        <w:tabs>
          <w:tab w:val="left" w:pos="425"/>
          <w:tab w:val="left" w:pos="851"/>
          <w:tab w:val="left" w:pos="1134"/>
          <w:tab w:val="left" w:pos="1418"/>
        </w:tabs>
        <w:jc w:val="both"/>
        <w:rPr>
          <w:rFonts w:ascii="Palatino Linotype" w:eastAsia="Palatino Linotype" w:hAnsi="Palatino Linotype" w:cs="Palatino Linotype"/>
        </w:rPr>
      </w:pPr>
      <w:r>
        <w:rPr>
          <w:rFonts w:ascii="Palatino Linotype" w:eastAsia="Palatino Linotype" w:hAnsi="Palatino Linotype" w:cs="Palatino Linotype"/>
        </w:rPr>
        <w:tab/>
      </w:r>
      <w:r w:rsidR="0080093D" w:rsidRPr="0080093D">
        <w:rPr>
          <w:rFonts w:ascii="Palatino Linotype" w:eastAsia="Palatino Linotype" w:hAnsi="Palatino Linotype" w:cs="Palatino Linotype"/>
        </w:rPr>
        <w:t xml:space="preserve">Efforts to reduce the environmental impact of </w:t>
      </w:r>
      <w:proofErr w:type="spellStart"/>
      <w:r w:rsidR="0080093D" w:rsidRPr="0080093D">
        <w:rPr>
          <w:rFonts w:ascii="Palatino Linotype" w:eastAsia="Palatino Linotype" w:hAnsi="Palatino Linotype" w:cs="Palatino Linotype"/>
        </w:rPr>
        <w:t>moulding</w:t>
      </w:r>
      <w:proofErr w:type="spellEnd"/>
      <w:r w:rsidR="0080093D" w:rsidRPr="0080093D">
        <w:rPr>
          <w:rFonts w:ascii="Palatino Linotype" w:eastAsia="Palatino Linotype" w:hAnsi="Palatino Linotype" w:cs="Palatino Linotype"/>
        </w:rPr>
        <w:t xml:space="preserve"> sand waste include its use in the manufacture of concrete </w:t>
      </w:r>
      <w:r w:rsidR="00C61567">
        <w:rPr>
          <w:rFonts w:ascii="Palatino Linotype" w:eastAsia="Palatino Linotype" w:hAnsi="Palatino Linotype" w:cs="Palatino Linotype"/>
        </w:rPr>
        <w:fldChar w:fldCharType="begin" w:fldLock="1"/>
      </w:r>
      <w:r w:rsidR="00C61567">
        <w:rPr>
          <w:rFonts w:ascii="Palatino Linotype" w:eastAsia="Palatino Linotype" w:hAnsi="Palatino Linotype" w:cs="Palatino Linotype"/>
        </w:rPr>
        <w:instrText>ADDIN CSL_CITATION {"citationItems":[{"id":"ITEM-1","itemData":{"DOI":"10.1016/j.resconrec.2011.05.001","ISSN":"0921-3449","author":[{"dropping-particle":"","family":"Siddique","given":"Rafat","non-dropping-particle":"","parse-names":false,"suffix":""},{"dropping-particle":"","family":"Singh","given":"Gurpreet","non-dropping-particle":"","parse-names":false,"suffix":""}],"container-title":"\"Resources, Conservation &amp; Recycling\"","id":"ITEM-1","issue":"11","issued":{"date-parts":[["2011"]]},"page":"885-892","publisher":"Elsevier B.V.","title":"Resources , Conservation and Recycling Utilization of waste foundry sand ( WFS ) in concrete manufacturing","type":"article-journal","volume":"55"},"uris":["http://www.mendeley.com/documents/?uuid=8a6f735d-80e4-4ee5-89b2-e9c389512bb8"]}],"mendeley":{"formattedCitation":"[4]","plainTextFormattedCitation":"[4]","previouslyFormattedCitation":"[4]"},"properties":{"noteIndex":0},"schema":"https://github.com/citation-style-language/schema/raw/master/csl-citation.json"}</w:instrText>
      </w:r>
      <w:r w:rsidR="00C61567">
        <w:rPr>
          <w:rFonts w:ascii="Palatino Linotype" w:eastAsia="Palatino Linotype" w:hAnsi="Palatino Linotype" w:cs="Palatino Linotype"/>
        </w:rPr>
        <w:fldChar w:fldCharType="separate"/>
      </w:r>
      <w:r w:rsidR="00C61567" w:rsidRPr="00C61567">
        <w:rPr>
          <w:rFonts w:ascii="Palatino Linotype" w:eastAsia="Palatino Linotype" w:hAnsi="Palatino Linotype" w:cs="Palatino Linotype"/>
          <w:noProof/>
        </w:rPr>
        <w:t>[4]</w:t>
      </w:r>
      <w:r w:rsidR="00C61567">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the manufacture of ceramics </w:t>
      </w:r>
      <w:r w:rsidR="00C61567">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{"citationItems":[{"id":"ITEM-1","itemData":{"DOI":"10.1016/j.conbuildmat.2011.08.022","ISSN":"0950-0618","author":[{"dropping-particle":"","family":"Coz","given":"A","non-dropping-particle":"","parse-names":false,"suffix":""},{"dropping-particle":"","family":"Viguri","given":"J R","non-dropping-particle":"","parse-names":false,"suffix":""},{"dropping-particle":"","family":"Andrés","given":"A","non-dropping-particle":"","parse-names":false,"suffix":""}],"container-title":"Construction and Building Materials","id":"ITEM-1","issue":"1","issued":{"date-parts":[["2012"]]},"page":"97-106","publisher":"Elsevier Ltd","title":"Recycling of foundry by-products in the ceramic industry : Green and core sand in clay bricks","type":"article-journal","volume":"27"},"uris":["http://www.mendeley.com/documents/?uuid=ff402055-835d-4677-bbbc-6c4a7fcdff3c"]}],"mendeley":{"formattedCitation":"[5]","plainTextFormattedCitation":"[5]","previouslyFormattedCitation":"[5]"},"properties":{"noteIndex":0},"schema":"https://github.com/citation-style-language/schema/raw/master/csl-citation.json"}</w:instrText>
      </w:r>
      <w:r w:rsidR="00C61567">
        <w:rPr>
          <w:rFonts w:ascii="Palatino Linotype" w:eastAsia="Palatino Linotype" w:hAnsi="Palatino Linotype" w:cs="Palatino Linotype"/>
        </w:rPr>
        <w:fldChar w:fldCharType="separate"/>
      </w:r>
      <w:r w:rsidR="00C61567" w:rsidRPr="00C61567">
        <w:rPr>
          <w:rFonts w:ascii="Palatino Linotype" w:eastAsia="Palatino Linotype" w:hAnsi="Palatino Linotype" w:cs="Palatino Linotype"/>
          <w:noProof/>
        </w:rPr>
        <w:t>[5]</w:t>
      </w:r>
      <w:r w:rsidR="00C61567">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and reuse as a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in the metal industry. The recycling of foundry waste can increase the efficiency of the production process. Recycling, according to the AFS 4S definition (Sand Reclamation and Re-use Committee), is the physical, chemical, or thermal treatment of waste sand so that it can be reused without significantly reducing its original properties.</w:t>
      </w:r>
    </w:p>
    <w:p w:rsidR="0080093D" w:rsidRPr="0080093D" w:rsidRDefault="00A16559" w:rsidP="0080093D">
      <w:pPr>
        <w:tabs>
          <w:tab w:val="left" w:pos="425"/>
          <w:tab w:val="left" w:pos="851"/>
          <w:tab w:val="left" w:pos="1134"/>
          <w:tab w:val="left" w:pos="1418"/>
        </w:tabs>
        <w:jc w:val="both"/>
        <w:rPr>
          <w:rFonts w:ascii="Palatino Linotype" w:eastAsia="Palatino Linotype" w:hAnsi="Palatino Linotype" w:cs="Palatino Linotype"/>
        </w:rPr>
      </w:pPr>
      <w:r>
        <w:rPr>
          <w:rFonts w:ascii="Palatino Linotype" w:eastAsia="Palatino Linotype" w:hAnsi="Palatino Linotype" w:cs="Palatino Linotype"/>
        </w:rPr>
        <w:tab/>
      </w:r>
      <w:r w:rsidR="0080093D" w:rsidRPr="0080093D">
        <w:rPr>
          <w:rFonts w:ascii="Palatino Linotype" w:eastAsia="Palatino Linotype" w:hAnsi="Palatino Linotype" w:cs="Palatino Linotype"/>
        </w:rPr>
        <w:t xml:space="preserve">Sand recycling requirements, according to </w:t>
      </w:r>
      <w:proofErr w:type="spellStart"/>
      <w:r w:rsidR="0080093D" w:rsidRPr="0080093D">
        <w:rPr>
          <w:rFonts w:ascii="Palatino Linotype" w:eastAsia="Palatino Linotype" w:hAnsi="Palatino Linotype" w:cs="Palatino Linotype"/>
        </w:rPr>
        <w:t>Patange</w:t>
      </w:r>
      <w:proofErr w:type="spellEnd"/>
      <w:r w:rsidR="0080093D" w:rsidRPr="0080093D">
        <w:rPr>
          <w:rFonts w:ascii="Palatino Linotype" w:eastAsia="Palatino Linotype" w:hAnsi="Palatino Linotype" w:cs="Palatino Linotype"/>
        </w:rPr>
        <w:t xml:space="preserve"> et al. (2013)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{"citationItems":[{"id":"ITEM-1","itemData":{"author":[{"dropping-particle":"","family":"Patange","given":"G S","non-dropping-particle":"","parse-names":false,"suffix":""},{"dropping-particle":"","family":"Khond","given":"M P","non-dropping-particle":"","parse-names":false,"suffix":""},{"dropping-particle":"","family":"Rathod","given":"H J","non-dropping-particle":"","parse-names":false,"suffix":""},{"dropping-particle":"","family":"Chhadva","given":"K B","non-dropping-particle":"","parse-names":false,"suffix":""}],"container-title":"International Journal of Industrial Engineering &amp; Technology","id":"ITEM-1","issue":"1","issued":{"date-parts":[["2013"]]},"page":"1-6","title":"Investigation of foundry waste sand reclamation process for small and medium scale indian foundry","type":"article-journal","volume":"3"},"uris":["http://www.mendeley.com/documents/?uuid=6f11a198-58fb-46a4-9d56-edf32735313d"]}],"mendeley":{"formattedCitation":"[6]","plainTextFormattedCitation":"[6]","previouslyFormattedCitation":"[6]"},"properties":{"noteIndex":0},"schema":"https://github.com/citation-style-language/schema/raw/master/csl-citation.json"}</w:instrText>
      </w:r>
      <w:r>
        <w:rPr>
          <w:rFonts w:ascii="Palatino Linotype" w:eastAsia="Palatino Linotype" w:hAnsi="Palatino Linotype" w:cs="Palatino Linotype"/>
        </w:rPr>
        <w:fldChar w:fldCharType="separate"/>
      </w:r>
      <w:r w:rsidRPr="00A16559">
        <w:rPr>
          <w:rFonts w:ascii="Palatino Linotype" w:eastAsia="Palatino Linotype" w:hAnsi="Palatino Linotype" w:cs="Palatino Linotype"/>
          <w:noProof/>
        </w:rPr>
        <w:t>[6]</w:t>
      </w:r>
      <w:r>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w:t>
      </w:r>
      <w:r w:rsidR="0080093D" w:rsidRPr="0080093D">
        <w:rPr>
          <w:rFonts w:ascii="Palatino Linotype" w:eastAsia="Palatino Linotype" w:hAnsi="Palatino Linotype" w:cs="Palatino Linotype"/>
        </w:rPr>
        <w:t xml:space="preserve">there, are: (1) Can remove all lumps of sand, and the coarse recycled sand results in a rough casting surface, (2) Can restore the clay content to an acceptable level, (3) The quality of recycled sand is close to that of new sand, and (4) the quality, appearance and finishing of products made from recycled sand should be almost the same as new sand. </w:t>
      </w:r>
      <w:proofErr w:type="spellStart"/>
      <w:r w:rsidR="0080093D" w:rsidRPr="0080093D">
        <w:rPr>
          <w:rFonts w:ascii="Palatino Linotype" w:eastAsia="Palatino Linotype" w:hAnsi="Palatino Linotype" w:cs="Palatino Linotype"/>
        </w:rPr>
        <w:t>Patange</w:t>
      </w:r>
      <w:proofErr w:type="spellEnd"/>
      <w:r w:rsidR="0080093D" w:rsidRPr="0080093D">
        <w:rPr>
          <w:rFonts w:ascii="Palatino Linotype" w:eastAsia="Palatino Linotype" w:hAnsi="Palatino Linotype" w:cs="Palatino Linotype"/>
        </w:rPr>
        <w:t xml:space="preserve"> et al. (2013) explained the reasons for sand recycling, including (1) Economic factors; the foundry industry wants to reduce the total cost of production, which includes production costs, transportation costs, and disposal costs. Sometimes companies have to pay a waste disposal fee. (2) Environmental factors, it is becoming more and more difficult to dispose of significant quantities of material into the ground. (3) Technical factors, reclamation is of interest in that, in some cases, binders and catalysts may be reduced in reclaimed sand. There are some indications that better castings can be made when rather large variations in impurity levels and screen analysis are minimized in an enclosed reclaimed sand loop </w:t>
      </w:r>
    </w:p>
    <w:p w:rsidR="0080093D" w:rsidRPr="0080093D" w:rsidRDefault="00A16559" w:rsidP="0080093D">
      <w:pPr>
        <w:tabs>
          <w:tab w:val="left" w:pos="425"/>
          <w:tab w:val="left" w:pos="851"/>
          <w:tab w:val="left" w:pos="1134"/>
          <w:tab w:val="left" w:pos="1418"/>
        </w:tabs>
        <w:jc w:val="both"/>
        <w:rPr>
          <w:rFonts w:ascii="Palatino Linotype" w:eastAsia="Palatino Linotype" w:hAnsi="Palatino Linotype" w:cs="Palatino Linotype"/>
        </w:rPr>
      </w:pPr>
      <w:r>
        <w:rPr>
          <w:rFonts w:ascii="Palatino Linotype" w:eastAsia="Palatino Linotype" w:hAnsi="Palatino Linotype" w:cs="Palatino Linotype"/>
        </w:rPr>
        <w:tab/>
      </w:r>
      <w:r w:rsidR="0080093D" w:rsidRPr="0080093D">
        <w:rPr>
          <w:rFonts w:ascii="Palatino Linotype" w:eastAsia="Palatino Linotype" w:hAnsi="Palatino Linotype" w:cs="Palatino Linotype"/>
        </w:rPr>
        <w:t>The reclaiming sand system is generally divided into three: thermal reclamation, dry reclamation, and wet reclamation. The thermal reclamation system is especially suitable for organic bonded sand. The weakness of this thermal system is that the process requires a lot of energy. Dry reclamation systems use mechanical principles to remove clay and organic layers. This system needs to achieve the level of cleanliness achieved with other systems. A wet reclamation system on scrubbing action can clean the sand.</w:t>
      </w:r>
    </w:p>
    <w:p w:rsidR="0080093D" w:rsidRPr="0080093D" w:rsidRDefault="0080093D" w:rsidP="0080093D">
      <w:pPr>
        <w:tabs>
          <w:tab w:val="left" w:pos="425"/>
          <w:tab w:val="left" w:pos="851"/>
          <w:tab w:val="left" w:pos="1134"/>
          <w:tab w:val="left" w:pos="1418"/>
        </w:tabs>
        <w:jc w:val="both"/>
        <w:rPr>
          <w:rFonts w:ascii="Palatino Linotype" w:eastAsia="Palatino Linotype" w:hAnsi="Palatino Linotype" w:cs="Palatino Linotype"/>
        </w:rPr>
      </w:pPr>
      <w:r w:rsidRPr="0080093D">
        <w:rPr>
          <w:rFonts w:ascii="Palatino Linotype" w:eastAsia="Palatino Linotype" w:hAnsi="Palatino Linotype" w:cs="Palatino Linotype"/>
        </w:rPr>
        <w:t xml:space="preserve">The researchers developed these three recycling systems to solve the problem of sand </w:t>
      </w:r>
      <w:proofErr w:type="spellStart"/>
      <w:r w:rsidRPr="0080093D">
        <w:rPr>
          <w:rFonts w:ascii="Palatino Linotype" w:eastAsia="Palatino Linotype" w:hAnsi="Palatino Linotype" w:cs="Palatino Linotype"/>
        </w:rPr>
        <w:t>mould</w:t>
      </w:r>
      <w:proofErr w:type="spellEnd"/>
      <w:r w:rsidRPr="0080093D">
        <w:rPr>
          <w:rFonts w:ascii="Palatino Linotype" w:eastAsia="Palatino Linotype" w:hAnsi="Palatino Linotype" w:cs="Palatino Linotype"/>
        </w:rPr>
        <w:t xml:space="preserve"> waste. Ghosh, A </w:t>
      </w:r>
      <w:r w:rsidR="00A16559">
        <w:rPr>
          <w:rFonts w:ascii="Palatino Linotype" w:eastAsia="Palatino Linotype" w:hAnsi="Palatino Linotype" w:cs="Palatino Linotype"/>
        </w:rPr>
        <w:fldChar w:fldCharType="begin" w:fldLock="1"/>
      </w:r>
      <w:r w:rsidR="00A16559">
        <w:rPr>
          <w:rFonts w:ascii="Palatino Linotype" w:eastAsia="Palatino Linotype" w:hAnsi="Palatino Linotype" w:cs="Palatino Linotype"/>
        </w:rPr>
        <w:instrText>ADDIN CSL_CITATION {"citationItems":[{"id":"ITEM-1","itemData":{"author":[{"dropping-particle":"","family":"Ghosh","given":"Aniruddha","non-dropping-particle":"","parse-names":false,"suffix":""}],"container-title":"Transactions of 61st Indian Foundry Congress","id":"ITEM-1","issued":{"date-parts":[["2013"]]},"page":"1-5","title":"Modern Sand Reclamation Technologies for Economy , Environment Friendliness and Energy Efficiency","type":"paper-conference"},"uris":["http://www.mendeley.com/documents/?uuid=9abb7a0d-d64b-46fb-8fa1-1fad164baff8"]}],"mendeley":{"formattedCitation":"[7]","plainTextFormattedCitation":"[7]","previouslyFormattedCitation":"[7]"},"properties":{"noteIndex":0},"schema":"https://github.com/citation-style-language/schema/raw/master/csl-citation.json"}</w:instrText>
      </w:r>
      <w:r w:rsidR="00A16559">
        <w:rPr>
          <w:rFonts w:ascii="Palatino Linotype" w:eastAsia="Palatino Linotype" w:hAnsi="Palatino Linotype" w:cs="Palatino Linotype"/>
        </w:rPr>
        <w:fldChar w:fldCharType="separate"/>
      </w:r>
      <w:r w:rsidR="00A16559" w:rsidRPr="00A16559">
        <w:rPr>
          <w:rFonts w:ascii="Palatino Linotype" w:eastAsia="Palatino Linotype" w:hAnsi="Palatino Linotype" w:cs="Palatino Linotype"/>
          <w:noProof/>
        </w:rPr>
        <w:t>[7]</w:t>
      </w:r>
      <w:r w:rsidR="00A16559">
        <w:rPr>
          <w:rFonts w:ascii="Palatino Linotype" w:eastAsia="Palatino Linotype" w:hAnsi="Palatino Linotype" w:cs="Palatino Linotype"/>
        </w:rPr>
        <w:fldChar w:fldCharType="end"/>
      </w:r>
      <w:r w:rsidR="00A16559">
        <w:rPr>
          <w:rFonts w:ascii="Palatino Linotype" w:eastAsia="Palatino Linotype" w:hAnsi="Palatino Linotype" w:cs="Palatino Linotype"/>
        </w:rPr>
        <w:t xml:space="preserve"> </w:t>
      </w:r>
      <w:r w:rsidRPr="0080093D">
        <w:rPr>
          <w:rFonts w:ascii="Palatino Linotype" w:eastAsia="Palatino Linotype" w:hAnsi="Palatino Linotype" w:cs="Palatino Linotype"/>
        </w:rPr>
        <w:t>recycles using a crusher to break up lumps of sand and a dust collector to pull out the fine binder. The results of this study indicate that this process cannot remove all binders, so to keep the LOI within limits, it is necessary to add new sand of about 10 to 20%. Ghosh</w:t>
      </w:r>
      <w:r w:rsidR="00A16559">
        <w:rPr>
          <w:rFonts w:ascii="Palatino Linotype" w:eastAsia="Palatino Linotype" w:hAnsi="Palatino Linotype" w:cs="Palatino Linotype"/>
        </w:rPr>
        <w:t xml:space="preserve"> </w:t>
      </w:r>
      <w:r w:rsidRPr="0080093D">
        <w:rPr>
          <w:rFonts w:ascii="Palatino Linotype" w:eastAsia="Palatino Linotype" w:hAnsi="Palatino Linotype" w:cs="Palatino Linotype"/>
        </w:rPr>
        <w:t>also recycles sand thermally using a rotary furnace at a temperature of 400 to 800 °C. The breaking of bonds in the sand grains occurs when the sand expands at that temperature.</w:t>
      </w:r>
    </w:p>
    <w:p w:rsidR="0080093D" w:rsidRPr="0080093D" w:rsidRDefault="00A16559" w:rsidP="0080093D">
      <w:pPr>
        <w:tabs>
          <w:tab w:val="left" w:pos="425"/>
          <w:tab w:val="left" w:pos="851"/>
          <w:tab w:val="left" w:pos="1134"/>
          <w:tab w:val="left" w:pos="1418"/>
        </w:tabs>
        <w:jc w:val="both"/>
        <w:rPr>
          <w:rFonts w:ascii="Palatino Linotype" w:eastAsia="Palatino Linotype" w:hAnsi="Palatino Linotype" w:cs="Palatino Linotype"/>
        </w:rPr>
      </w:pPr>
      <w:r>
        <w:rPr>
          <w:rFonts w:ascii="Palatino Linotype" w:eastAsia="Palatino Linotype" w:hAnsi="Palatino Linotype" w:cs="Palatino Linotype"/>
        </w:rPr>
        <w:tab/>
      </w:r>
      <w:proofErr w:type="spellStart"/>
      <w:r w:rsidR="0080093D" w:rsidRPr="0080093D">
        <w:rPr>
          <w:rFonts w:ascii="Palatino Linotype" w:eastAsia="Palatino Linotype" w:hAnsi="Palatino Linotype" w:cs="Palatino Linotype"/>
        </w:rPr>
        <w:t>Stachowicz</w:t>
      </w:r>
      <w:proofErr w:type="spellEnd"/>
      <w:r w:rsidR="0080093D" w:rsidRPr="0080093D">
        <w:rPr>
          <w:rFonts w:ascii="Palatino Linotype" w:eastAsia="Palatino Linotype" w:hAnsi="Palatino Linotype" w:cs="Palatino Linotype"/>
        </w:rPr>
        <w:t xml:space="preserve"> and </w:t>
      </w:r>
      <w:proofErr w:type="spellStart"/>
      <w:r w:rsidR="0080093D" w:rsidRPr="0080093D">
        <w:rPr>
          <w:rFonts w:ascii="Palatino Linotype" w:eastAsia="Palatino Linotype" w:hAnsi="Palatino Linotype" w:cs="Palatino Linotype"/>
        </w:rPr>
        <w:t>Granat</w:t>
      </w:r>
      <w:proofErr w:type="spellEnd"/>
      <w:r>
        <w:rPr>
          <w:rFonts w:ascii="Palatino Linotype" w:eastAsia="Palatino Linotype" w:hAnsi="Palatino Linotype" w:cs="Palatino Linotype"/>
        </w:rPr>
        <w:t xml:space="preserve">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{"citationItems":[{"id":"ITEM-1","itemData":{"DOI":"10.2478/amm-2014-0127","ISSN":"17333490","abstract":"The paper presents results of a research on identifying opportunities for effective reclamation of waste molding sand with water-glass, hardened by microwave heating. The molding sand applied in the tests was prepared with use of selected type 145 of sodium water-glass. The sand was sequentially processed by microwave hardening, cooling, thermal loading to 800°C, cooling to ambient temperature, crushing and mechanical reclamation. These stages create a closed processing loop. After each cycle, changes of tensile strength and bending strength were determined. Results of the study show that it is possible to activate surface of high-silica grains of waste foundry sand hardened with microwaves, provided that applied are appropriate processing parameters in successive operation cycles.","author":[{"dropping-particle":"","family":"Stachowicz","given":"M.","non-dropping-particle":"","parse-names":false,"suffix":""},{"dropping-particle":"","family":"Granat","given":"K.","non-dropping-particle":"","parse-names":false,"suffix":""}],"container-title":"Archives of Metallurgy and Materials","id":"ITEM-1","issue":"2","issued":{"date-parts":[["2014"]]},"page":"757-760","title":"Possibilities of reclamation microwave-hardened molding sands with water glass","type":"article-journal","volume":"59"},"uris":["http://www.mendeley.com/documents/?uuid=b268ff88-de70-44d8-9ed9-da53f8a3fa8d"]}],"mendeley":{"formattedCitation":"[8]","plainTextFormattedCitation":"[8]","previouslyFormattedCitation":"[8]"},"properties":{"noteIndex":0},"schema":"https://github.com/citation-style-language/schema/raw/master/csl-citation.json"}</w:instrText>
      </w:r>
      <w:r>
        <w:rPr>
          <w:rFonts w:ascii="Palatino Linotype" w:eastAsia="Palatino Linotype" w:hAnsi="Palatino Linotype" w:cs="Palatino Linotype"/>
        </w:rPr>
        <w:fldChar w:fldCharType="separate"/>
      </w:r>
      <w:r w:rsidRPr="00A16559">
        <w:rPr>
          <w:rFonts w:ascii="Palatino Linotype" w:eastAsia="Palatino Linotype" w:hAnsi="Palatino Linotype" w:cs="Palatino Linotype"/>
          <w:noProof/>
        </w:rPr>
        <w:t>[8]</w:t>
      </w:r>
      <w:r>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recycle sand that is bound to sodium silicate using a microwave. This method makes it possible to activate the surface of silica grains from foundry sand waste. </w:t>
      </w:r>
      <w:proofErr w:type="spellStart"/>
      <w:r w:rsidR="0080093D" w:rsidRPr="0080093D">
        <w:rPr>
          <w:rFonts w:ascii="Palatino Linotype" w:eastAsia="Palatino Linotype" w:hAnsi="Palatino Linotype" w:cs="Palatino Linotype"/>
        </w:rPr>
        <w:t>Undayat</w:t>
      </w:r>
      <w:proofErr w:type="spellEnd"/>
      <w:r w:rsidR="0080093D" w:rsidRPr="0080093D">
        <w:rPr>
          <w:rFonts w:ascii="Palatino Linotype" w:eastAsia="Palatino Linotype" w:hAnsi="Palatino Linotype" w:cs="Palatino Linotype"/>
        </w:rPr>
        <w:t xml:space="preserve">, </w:t>
      </w:r>
      <w:proofErr w:type="spellStart"/>
      <w:r w:rsidR="0080093D" w:rsidRPr="0080093D">
        <w:rPr>
          <w:rFonts w:ascii="Palatino Linotype" w:eastAsia="Palatino Linotype" w:hAnsi="Palatino Linotype" w:cs="Palatino Linotype"/>
        </w:rPr>
        <w:t>Ruskandi</w:t>
      </w:r>
      <w:proofErr w:type="spellEnd"/>
      <w:r w:rsidR="0080093D" w:rsidRPr="0080093D">
        <w:rPr>
          <w:rFonts w:ascii="Palatino Linotype" w:eastAsia="Palatino Linotype" w:hAnsi="Palatino Linotype" w:cs="Palatino Linotype"/>
        </w:rPr>
        <w:t xml:space="preserve"> and </w:t>
      </w:r>
      <w:proofErr w:type="spellStart"/>
      <w:r w:rsidR="0080093D" w:rsidRPr="0080093D">
        <w:rPr>
          <w:rFonts w:ascii="Palatino Linotype" w:eastAsia="Palatino Linotype" w:hAnsi="Palatino Linotype" w:cs="Palatino Linotype"/>
        </w:rPr>
        <w:t>Hidajatullah</w:t>
      </w:r>
      <w:proofErr w:type="spellEnd"/>
      <w:r w:rsidR="0080093D" w:rsidRPr="0080093D">
        <w:rPr>
          <w:rFonts w:ascii="Palatino Linotype" w:eastAsia="Palatino Linotype" w:hAnsi="Palatino Linotype" w:cs="Palatino Linotype"/>
        </w:rPr>
        <w:t xml:space="preserve">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{"citationItems":[{"id":"ITEM-1","itemData":{"author":[{"dropping-particle":"","family":"Undayat","given":"Darma Firmansyah","non-dropping-particle":"","parse-names":false,"suffix":""},{"dropping-particle":"","family":"Ruskandi","given":"Cecep","non-dropping-particle":"","parse-names":false,"suffix":""},{"dropping-particle":"","family":"Hidajatullah","given":"M Nur","non-dropping-particle":"","parse-names":false,"suffix":""}],"container-title":"Jurnal Teknologi Terapan |","id":"ITEM-1","issue":"1","issued":{"date-parts":[["2018"]]},"page":"55-62","title":"Perancangan Sistem Daur Ulang Pasir Pada Industri Pengecoran Logam Skala Kecil Untuk Peningkatan Efisiensi Biaya Dan Pengurangan Limbah","type":"article-journal","volume":"4"},"uris":["http://www.mendeley.com/documents/?uuid=e284b6ca-fe13-4737-810a-e7c04a1a95db"]}],"mendeley":{"formattedCitation":"[9]","plainTextFormattedCitation":"[9]","previouslyFormattedCitation":"[9]"},"properties":{"noteIndex":0},"schema":"https://github.com/citation-style-language/schema/raw/master/csl-citation.json"}</w:instrText>
      </w:r>
      <w:r>
        <w:rPr>
          <w:rFonts w:ascii="Palatino Linotype" w:eastAsia="Palatino Linotype" w:hAnsi="Palatino Linotype" w:cs="Palatino Linotype"/>
        </w:rPr>
        <w:fldChar w:fldCharType="separate"/>
      </w:r>
      <w:r w:rsidRPr="00A16559">
        <w:rPr>
          <w:rFonts w:ascii="Palatino Linotype" w:eastAsia="Palatino Linotype" w:hAnsi="Palatino Linotype" w:cs="Palatino Linotype"/>
          <w:noProof/>
        </w:rPr>
        <w:t>[9]</w:t>
      </w:r>
      <w:r>
        <w:rPr>
          <w:rFonts w:ascii="Palatino Linotype" w:eastAsia="Palatino Linotype" w:hAnsi="Palatino Linotype" w:cs="Palatino Linotype"/>
        </w:rPr>
        <w:fldChar w:fldCharType="end"/>
      </w:r>
      <w:r>
        <w:rPr>
          <w:rFonts w:ascii="Palatino Linotype" w:eastAsia="Palatino Linotype" w:hAnsi="Palatino Linotype" w:cs="Palatino Linotype"/>
        </w:rPr>
        <w:t xml:space="preserve"> </w:t>
      </w:r>
      <w:r w:rsidR="0080093D" w:rsidRPr="0080093D">
        <w:rPr>
          <w:rFonts w:ascii="Palatino Linotype" w:eastAsia="Palatino Linotype" w:hAnsi="Palatino Linotype" w:cs="Palatino Linotype"/>
        </w:rPr>
        <w:t>designed a sand recycling system in the small-scale metal foundry industry to increase cost efficiency and reduce waste. Another method of CO</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 xml:space="preserve"> process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waste recycling system is carried out by Patel, </w:t>
      </w:r>
      <w:proofErr w:type="spellStart"/>
      <w:r w:rsidR="0080093D" w:rsidRPr="0080093D">
        <w:rPr>
          <w:rFonts w:ascii="Palatino Linotype" w:eastAsia="Palatino Linotype" w:hAnsi="Palatino Linotype" w:cs="Palatino Linotype"/>
        </w:rPr>
        <w:t>Oza</w:t>
      </w:r>
      <w:proofErr w:type="spellEnd"/>
      <w:r w:rsidR="0080093D" w:rsidRPr="0080093D">
        <w:rPr>
          <w:rFonts w:ascii="Palatino Linotype" w:eastAsia="Palatino Linotype" w:hAnsi="Palatino Linotype" w:cs="Palatino Linotype"/>
        </w:rPr>
        <w:t xml:space="preserve"> and Pandya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{"citationItems":[{"id":"ITEM-1","itemData":{"author":[{"dropping-particle":"","family":"Patel","given":"Dhiren R.","non-dropping-particle":"","parse-names":false,"suffix":""},{"dropping-particle":"V.","family":"Oza","given":"Madhav","non-dropping-particle":"","parse-names":false,"suffix":""},{"dropping-particle":"V.","family":"Pandya","given":"Mrunal","non-dropping-particle":"","parse-names":false,"suffix":""}],"container-title":"International Journal of Engineering Technology, Management and Applied Sciences","id":"ITEM-1","issue":"Special Issue","issued":{"date-parts":[["2015"]]},"page":"156-161","title":"Reclamation of Sodium Silicate Bonded CO 2 Sand by Detergent Wash Method","type":"article-journal","volume":"3"},"uris":["http://www.mendeley.com/documents/?uuid=9c8bc2ab-bdfd-4093-b462-3003c184fcdf"]}],"mendeley":{"formattedCitation":"[10]","plainTextFormattedCitation":"[10]","previouslyFormattedCitation":"[10]"},"properties":{"noteIndex":0},"schema":"https://github.com/citation-style-language/schema/raw/master/csl-citation.json"}</w:instrText>
      </w:r>
      <w:r>
        <w:rPr>
          <w:rFonts w:ascii="Palatino Linotype" w:eastAsia="Palatino Linotype" w:hAnsi="Palatino Linotype" w:cs="Palatino Linotype"/>
        </w:rPr>
        <w:fldChar w:fldCharType="separate"/>
      </w:r>
      <w:r w:rsidRPr="00A16559">
        <w:rPr>
          <w:rFonts w:ascii="Palatino Linotype" w:eastAsia="Palatino Linotype" w:hAnsi="Palatino Linotype" w:cs="Palatino Linotype"/>
          <w:noProof/>
        </w:rPr>
        <w:t>[10]</w:t>
      </w:r>
      <w:r>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Patel et al. recycle waste </w:t>
      </w:r>
      <w:proofErr w:type="spellStart"/>
      <w:r w:rsidR="0080093D" w:rsidRPr="0080093D">
        <w:rPr>
          <w:rFonts w:ascii="Palatino Linotype" w:eastAsia="Palatino Linotype" w:hAnsi="Palatino Linotype" w:cs="Palatino Linotype"/>
        </w:rPr>
        <w:t>moulding</w:t>
      </w:r>
      <w:proofErr w:type="spellEnd"/>
      <w:r w:rsidR="0080093D" w:rsidRPr="0080093D">
        <w:rPr>
          <w:rFonts w:ascii="Palatino Linotype" w:eastAsia="Palatino Linotype" w:hAnsi="Palatino Linotype" w:cs="Palatino Linotype"/>
        </w:rPr>
        <w:t xml:space="preserve"> sand CO</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 xml:space="preserve"> process with detergent washing method. This method is able to improve the characteristics of sand approaching new sand. </w:t>
      </w:r>
    </w:p>
    <w:p w:rsidR="0080093D" w:rsidRDefault="00A16559" w:rsidP="0080093D">
      <w:pPr>
        <w:tabs>
          <w:tab w:val="left" w:pos="425"/>
          <w:tab w:val="left" w:pos="851"/>
          <w:tab w:val="left" w:pos="1134"/>
          <w:tab w:val="left" w:pos="1418"/>
        </w:tabs>
        <w:jc w:val="both"/>
        <w:rPr>
          <w:rFonts w:ascii="Palatino Linotype" w:eastAsia="Palatino Linotype" w:hAnsi="Palatino Linotype" w:cs="Palatino Linotype"/>
        </w:rPr>
      </w:pPr>
      <w:r>
        <w:rPr>
          <w:rFonts w:ascii="Palatino Linotype" w:eastAsia="Palatino Linotype" w:hAnsi="Palatino Linotype" w:cs="Palatino Linotype"/>
        </w:rPr>
        <w:tab/>
      </w:r>
      <w:proofErr w:type="spellStart"/>
      <w:r w:rsidR="0080093D" w:rsidRPr="0080093D">
        <w:rPr>
          <w:rFonts w:ascii="Palatino Linotype" w:eastAsia="Palatino Linotype" w:hAnsi="Palatino Linotype" w:cs="Palatino Linotype"/>
        </w:rPr>
        <w:t>Saputra</w:t>
      </w:r>
      <w:proofErr w:type="spellEnd"/>
      <w:r w:rsidR="0080093D" w:rsidRPr="0080093D">
        <w:rPr>
          <w:rFonts w:ascii="Palatino Linotype" w:eastAsia="Palatino Linotype" w:hAnsi="Palatino Linotype" w:cs="Palatino Linotype"/>
        </w:rPr>
        <w:t xml:space="preserve"> </w:t>
      </w:r>
      <w:r>
        <w:rPr>
          <w:rFonts w:ascii="Palatino Linotype" w:eastAsia="Palatino Linotype" w:hAnsi="Palatino Linotype" w:cs="Palatino Linotype"/>
        </w:rPr>
        <w:t xml:space="preserve">et al.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{"citationItems":[{"id":"ITEM-1","itemData":{"author":[{"dropping-particle":"","family":"Saputra","given":"Wawan Adi","non-dropping-particle":"","parse-names":false,"suffix":""},{"dropping-particle":"","family":"Balfas","given":"Muhammad","non-dropping-particle":"","parse-names":false,"suffix":""},{"dropping-particle":"","family":"Asiri","given":"Muhammad Halim","non-dropping-particle":"","parse-names":false,"suffix":""}],"container-title":"Teknologi","id":"ITEM-1","issue":"1","issued":{"date-parts":[["2018"]]},"page":"1-5","title":"Analisis Kekerasan Coran Aluminium dengan Variasi Besar Butir Pasir Cetak","type":"article-journal","volume":"18"},"uris":["http://www.mendeley.com/documents/?uuid=2f7c9313-7838-4e44-9e04-895342daeb0b"]}],"mendeley":{"formattedCitation":"[11]","plainTextFormattedCitation":"[11]","previouslyFormattedCitation":"[11]"},"properties":{"noteIndex":0},"schema":"https://github.com/citation-style-language/schema/raw/master/csl-citation.json"}</w:instrText>
      </w:r>
      <w:r>
        <w:rPr>
          <w:rFonts w:ascii="Palatino Linotype" w:eastAsia="Palatino Linotype" w:hAnsi="Palatino Linotype" w:cs="Palatino Linotype"/>
        </w:rPr>
        <w:fldChar w:fldCharType="separate"/>
      </w:r>
      <w:r w:rsidRPr="00A16559">
        <w:rPr>
          <w:rFonts w:ascii="Palatino Linotype" w:eastAsia="Palatino Linotype" w:hAnsi="Palatino Linotype" w:cs="Palatino Linotype"/>
          <w:noProof/>
        </w:rPr>
        <w:t>[11]</w:t>
      </w:r>
      <w:r>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analyzed the hardness of </w:t>
      </w:r>
      <w:proofErr w:type="spellStart"/>
      <w:r w:rsidR="0080093D" w:rsidRPr="0080093D">
        <w:rPr>
          <w:rFonts w:ascii="Palatino Linotype" w:eastAsia="Palatino Linotype" w:hAnsi="Palatino Linotype" w:cs="Palatino Linotype"/>
        </w:rPr>
        <w:t>aluminium</w:t>
      </w:r>
      <w:proofErr w:type="spellEnd"/>
      <w:r w:rsidR="0080093D" w:rsidRPr="0080093D">
        <w:rPr>
          <w:rFonts w:ascii="Palatino Linotype" w:eastAsia="Palatino Linotype" w:hAnsi="Palatino Linotype" w:cs="Palatino Linotype"/>
        </w:rPr>
        <w:t xml:space="preserve"> castings with variations in the grain size of the </w:t>
      </w:r>
      <w:proofErr w:type="spellStart"/>
      <w:r w:rsidR="0080093D" w:rsidRPr="0080093D">
        <w:rPr>
          <w:rFonts w:ascii="Palatino Linotype" w:eastAsia="Palatino Linotype" w:hAnsi="Palatino Linotype" w:cs="Palatino Linotype"/>
        </w:rPr>
        <w:t>moulding</w:t>
      </w:r>
      <w:proofErr w:type="spellEnd"/>
      <w:r w:rsidR="0080093D" w:rsidRPr="0080093D">
        <w:rPr>
          <w:rFonts w:ascii="Palatino Linotype" w:eastAsia="Palatino Linotype" w:hAnsi="Palatino Linotype" w:cs="Palatino Linotype"/>
        </w:rPr>
        <w:t xml:space="preserve"> sand with lost-foam casting. Based on the results of the research conducted shows that the larger the sand mesh size, the higher the hardness value. Ahmadi, N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{"citationItems":[{"id":"ITEM-1","itemData":{"ISBN":"9786025274206","author":[{"dropping-particle":"","family":"Ahmadi","given":"Nurfi","non-dropping-particle":"","parse-names":false,"suffix":""}],"container-title":"Prosiding Seminar Nasional Teknologi Informasi dan Kedirgantaraan : Transformasi Teknologi untuk Mendukung Ketahanan Nasional","id":"ITEM-1","issued":{"date-parts":[["2018"]]},"page":"1-6","title":"EFFECTS OF GRAINS SIZE AND SANDBLASTING DURATION TO THE SURFACE HARDNESS OF THE CASTING PRODUCT","type":"paper-conference","volume":"IV"},"uris":["http://www.mendeley.com/documents/?uuid=d279147e-8c9c-4847-bc76-c4644e04e6b3"]}],"mendeley":{"formattedCitation":"[12]","plainTextFormattedCitation":"[12]","previouslyFormattedCitation":"[12]"},"properties":{"noteIndex":0},"schema":"https://github.com/citation-style-language/schema/raw/master/csl-citation.json"}</w:instrText>
      </w:r>
      <w:r>
        <w:rPr>
          <w:rFonts w:ascii="Palatino Linotype" w:eastAsia="Palatino Linotype" w:hAnsi="Palatino Linotype" w:cs="Palatino Linotype"/>
        </w:rPr>
        <w:fldChar w:fldCharType="separate"/>
      </w:r>
      <w:r w:rsidRPr="00A16559">
        <w:rPr>
          <w:rFonts w:ascii="Palatino Linotype" w:eastAsia="Palatino Linotype" w:hAnsi="Palatino Linotype" w:cs="Palatino Linotype"/>
          <w:noProof/>
        </w:rPr>
        <w:t>[12]</w:t>
      </w:r>
      <w:r>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xml:space="preserve"> varied the time of the sandblasting process and the size of the sand grains used for surface hardness. From the results of macro photos, the largest surface abrasion of the material occurs at a grain size of 40 mesh. The effect of water glass-bonded recycled sand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on the metal surface of the foundry is investigated by </w:t>
      </w:r>
      <w:proofErr w:type="spellStart"/>
      <w:r w:rsidR="0080093D" w:rsidRPr="0080093D">
        <w:rPr>
          <w:rFonts w:ascii="Palatino Linotype" w:eastAsia="Palatino Linotype" w:hAnsi="Palatino Linotype" w:cs="Palatino Linotype"/>
        </w:rPr>
        <w:t>Muttahar</w:t>
      </w:r>
      <w:proofErr w:type="spellEnd"/>
      <w:r w:rsidR="0080093D" w:rsidRPr="0080093D">
        <w:rPr>
          <w:rFonts w:ascii="Palatino Linotype" w:eastAsia="Palatino Linotype" w:hAnsi="Palatino Linotype" w:cs="Palatino Linotype"/>
        </w:rPr>
        <w:t xml:space="preserve"> et al.</w:t>
      </w:r>
      <w:r>
        <w:rPr>
          <w:rFonts w:ascii="Palatino Linotype" w:eastAsia="Palatino Linotype" w:hAnsi="Palatino Linotype" w:cs="Palatino Linotype"/>
        </w:rPr>
        <w:t xml:space="preserve">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{"citationItems":[{"id":"ITEM-1","itemData":{"abstract":"Penggunaan cetakan pasir dalam proses produksi industri pengecoran logam menghasilkan limbah pasir yang kian melimpah dan berdampak negatif bagi lingkungan. Salah satu upaya untuk mengatasi persoalan tersebut adalah mendaur ulang limbah pasir untuk dimanfaatkan kembali sebagai cetakan. Salah satunya adalah jenis limbah pasir dengan pengikat waterglass yang memiliki sifat keras dan tak mudah hancur dari Balai Besar Logam dan Mesin BPPI KEMENPRIN, Bandung. Untuk itu dalam penelitian ini diselidiki pengaruh penggunaan pasir cetak daur ulang berpengikat waterglass terhadap produk logam hasil pengecoran. Ditemukan bahwa pasir hasil daur ulang mengikat air lebih banyak dibandingkan pasir baru. Untuk itu variasi waterglass sebanyak 7% dan 10% (Vol. %) ditambahkan sebagai pengikat dalam membuat cetakan menggunakan pasir daur ulang tersebut. Dari kedua variasi tersebut nampak bahwa penambahan waterglass menurunkan nilai permeabilitas pasir cetak hasil daur ulang dan menaikkan nilai kuat tekannya. Nilai kekasaran permukaan logam hasil cetakan pun menjadi lebih tinggi dengan penambahan tersebut. Kandungan air dalam pasir daur ulang telah menyebabkan cacat permukaan pada logam hasil cetakan. Untuk itu kandungan air tersebut perlu hilangkan sebelum pasir daur ulang digunakan sebagai cetakan.","author":[{"dropping-particle":"","family":"Muttahar","given":"Moch Iqbal Zaelana","non-dropping-particle":"","parse-names":false,"suffix":""},{"dropping-particle":"","family":"Notonegoro","given":"Hamdan Akbar","non-dropping-particle":"","parse-names":false,"suffix":""},{"dropping-particle":"","family":"Frista","given":"Greida","non-dropping-particle":"","parse-names":false,"suffix":""},{"dropping-particle":"","family":"Soegijono","given":"Bambang","non-dropping-particle":"","parse-names":false,"suffix":""},{"dropping-particle":"","family":"Fachrudin","given":"Hasanudin Gufron","non-dropping-particle":"","parse-names":false,"suffix":""},{"dropping-particle":"","family":"Ferry Budhi Susetyo","given":"","non-dropping-particle":"","parse-names":false,"suffix":""},{"dropping-particle":"","family":"Nazarudin","given":"","non-dropping-particle":"","parse-names":false,"suffix":""}],"container-title":"Flywheel: Jurnal Teknik Mesin Untirta","id":"ITEM-1","issue":"1","issued":{"date-parts":[["2018"]]},"page":"39 - 44","title":"Pengaruh Cetakan Pasir Daur Ulang Berpengikat Waterglass Terhadap Permukaan Logam Hasil Pengecoran","type":"article-journal","volume":"IV"},"uris":["http://www.mendeley.com/documents/?uuid=fb4ee69d-138b-44b6-a62f-47483c371292"]}],"mendeley":{"formattedCitation":"[13]","plainTextFormattedCitation":"[13]","previouslyFormattedCitation":"[13]"},"properties":{"noteIndex":0},"schema":"https://github.com/citation-style-language/schema/raw/master/csl-citation.json"}</w:instrText>
      </w:r>
      <w:r>
        <w:rPr>
          <w:rFonts w:ascii="Palatino Linotype" w:eastAsia="Palatino Linotype" w:hAnsi="Palatino Linotype" w:cs="Palatino Linotype"/>
        </w:rPr>
        <w:fldChar w:fldCharType="separate"/>
      </w:r>
      <w:r w:rsidRPr="00A16559">
        <w:rPr>
          <w:rFonts w:ascii="Palatino Linotype" w:eastAsia="Palatino Linotype" w:hAnsi="Palatino Linotype" w:cs="Palatino Linotype"/>
          <w:noProof/>
        </w:rPr>
        <w:t>[13]</w:t>
      </w:r>
      <w:r>
        <w:rPr>
          <w:rFonts w:ascii="Palatino Linotype" w:eastAsia="Palatino Linotype" w:hAnsi="Palatino Linotype" w:cs="Palatino Linotype"/>
        </w:rPr>
        <w:fldChar w:fldCharType="end"/>
      </w:r>
      <w:r w:rsidR="0080093D" w:rsidRPr="0080093D">
        <w:rPr>
          <w:rFonts w:ascii="Palatino Linotype" w:eastAsia="Palatino Linotype" w:hAnsi="Palatino Linotype" w:cs="Palatino Linotype"/>
        </w:rPr>
        <w:t>. Products are characterized through visual identification and roughness test using standard JIS B 0659 (Tsai &amp; Tseng, 1999), which is done after going through the sandblasting process. This research was conducted to find out more about the potential for the reuse of recycled CO</w:t>
      </w:r>
      <w:r w:rsidR="0080093D" w:rsidRPr="00C61567">
        <w:rPr>
          <w:rFonts w:ascii="Palatino Linotype" w:eastAsia="Palatino Linotype" w:hAnsi="Palatino Linotype" w:cs="Palatino Linotype"/>
          <w:vertAlign w:val="subscript"/>
        </w:rPr>
        <w:t xml:space="preserve">2 </w:t>
      </w:r>
      <w:r w:rsidR="0080093D" w:rsidRPr="0080093D">
        <w:rPr>
          <w:rFonts w:ascii="Palatino Linotype" w:eastAsia="Palatino Linotype" w:hAnsi="Palatino Linotype" w:cs="Palatino Linotype"/>
        </w:rPr>
        <w:t xml:space="preserve">sand </w:t>
      </w:r>
      <w:proofErr w:type="spellStart"/>
      <w:r w:rsidR="0080093D" w:rsidRPr="0080093D">
        <w:rPr>
          <w:rFonts w:ascii="Palatino Linotype" w:eastAsia="Palatino Linotype" w:hAnsi="Palatino Linotype" w:cs="Palatino Linotype"/>
        </w:rPr>
        <w:t>mould</w:t>
      </w:r>
      <w:proofErr w:type="spellEnd"/>
      <w:r w:rsidR="0080093D" w:rsidRPr="0080093D">
        <w:rPr>
          <w:rFonts w:ascii="Palatino Linotype" w:eastAsia="Palatino Linotype" w:hAnsi="Palatino Linotype" w:cs="Palatino Linotype"/>
        </w:rPr>
        <w:t xml:space="preserve"> waste. The effect of the grain size of the recycled waste sand on the hardness and metal surface was analyzed in this study. In addition, a comparison of casting quality analysis will be carried out between products using new sand </w:t>
      </w:r>
      <w:proofErr w:type="spellStart"/>
      <w:r w:rsidR="0080093D" w:rsidRPr="0080093D">
        <w:rPr>
          <w:rFonts w:ascii="Palatino Linotype" w:eastAsia="Palatino Linotype" w:hAnsi="Palatino Linotype" w:cs="Palatino Linotype"/>
        </w:rPr>
        <w:t>moulds</w:t>
      </w:r>
      <w:proofErr w:type="spellEnd"/>
      <w:r w:rsidR="0080093D" w:rsidRPr="0080093D">
        <w:rPr>
          <w:rFonts w:ascii="Palatino Linotype" w:eastAsia="Palatino Linotype" w:hAnsi="Palatino Linotype" w:cs="Palatino Linotype"/>
        </w:rPr>
        <w:t xml:space="preserve"> and recycled CO</w:t>
      </w:r>
      <w:r w:rsidR="0080093D" w:rsidRPr="00C61567">
        <w:rPr>
          <w:rFonts w:ascii="Palatino Linotype" w:eastAsia="Palatino Linotype" w:hAnsi="Palatino Linotype" w:cs="Palatino Linotype"/>
          <w:vertAlign w:val="subscript"/>
        </w:rPr>
        <w:t>2</w:t>
      </w:r>
      <w:r w:rsidR="0080093D" w:rsidRPr="0080093D">
        <w:rPr>
          <w:rFonts w:ascii="Palatino Linotype" w:eastAsia="Palatino Linotype" w:hAnsi="Palatino Linotype" w:cs="Palatino Linotype"/>
        </w:rPr>
        <w:t xml:space="preserve"> sand </w:t>
      </w:r>
      <w:proofErr w:type="spellStart"/>
      <w:r w:rsidR="0080093D" w:rsidRPr="0080093D">
        <w:rPr>
          <w:rFonts w:ascii="Palatino Linotype" w:eastAsia="Palatino Linotype" w:hAnsi="Palatino Linotype" w:cs="Palatino Linotype"/>
        </w:rPr>
        <w:t>moulding</w:t>
      </w:r>
      <w:proofErr w:type="spellEnd"/>
      <w:r w:rsidR="0080093D" w:rsidRPr="0080093D">
        <w:rPr>
          <w:rFonts w:ascii="Palatino Linotype" w:eastAsia="Palatino Linotype" w:hAnsi="Palatino Linotype" w:cs="Palatino Linotype"/>
        </w:rPr>
        <w:t xml:space="preserve"> waste.</w:t>
      </w:r>
    </w:p>
    <w:p w:rsidR="00544E9C" w:rsidRDefault="00544E9C">
      <w:pPr>
        <w:tabs>
          <w:tab w:val="left" w:pos="425"/>
          <w:tab w:val="left" w:pos="851"/>
          <w:tab w:val="left" w:pos="1134"/>
          <w:tab w:val="left" w:pos="1418"/>
        </w:tabs>
        <w:jc w:val="both"/>
        <w:rPr>
          <w:rFonts w:ascii="Palatino Linotype" w:eastAsia="Palatino Linotype" w:hAnsi="Palatino Linotype" w:cs="Palatino Linotype"/>
        </w:rPr>
      </w:pPr>
    </w:p>
    <w:p w:rsidR="001D2E96" w:rsidRDefault="00000000">
      <w:pPr>
        <w:tabs>
          <w:tab w:val="left" w:pos="425"/>
          <w:tab w:val="left" w:pos="851"/>
          <w:tab w:val="left" w:pos="1134"/>
          <w:tab w:val="left" w:pos="1418"/>
        </w:tabs>
        <w:rPr>
          <w:rFonts w:ascii="Palatino Linotype" w:eastAsia="Palatino Linotype" w:hAnsi="Palatino Linotype" w:cs="Palatino Linotype"/>
          <w:sz w:val="18"/>
          <w:szCs w:val="18"/>
        </w:rPr>
      </w:pPr>
      <w:r>
        <w:rPr>
          <w:rFonts w:ascii="Palatino Linotype" w:eastAsia="Palatino Linotype" w:hAnsi="Palatino Linotype" w:cs="Palatino Linotype"/>
          <w:b/>
          <w:sz w:val="24"/>
          <w:szCs w:val="24"/>
        </w:rPr>
        <w:lastRenderedPageBreak/>
        <w:t>2.</w:t>
      </w:r>
      <w:r>
        <w:rPr>
          <w:rFonts w:ascii="Palatino Linotype" w:eastAsia="Palatino Linotype" w:hAnsi="Palatino Linotype" w:cs="Palatino Linotype"/>
          <w:b/>
          <w:sz w:val="24"/>
          <w:szCs w:val="24"/>
        </w:rPr>
        <w:tab/>
      </w:r>
      <w:r w:rsidR="0080093D">
        <w:rPr>
          <w:rFonts w:ascii="Palatino Linotype" w:eastAsia="Palatino Linotype" w:hAnsi="Palatino Linotype" w:cs="Palatino Linotype"/>
          <w:b/>
          <w:sz w:val="24"/>
          <w:szCs w:val="24"/>
        </w:rPr>
        <w:t>METHODS</w:t>
      </w:r>
      <w:r>
        <w:rPr>
          <w:rFonts w:ascii="Palatino Linotype" w:eastAsia="Palatino Linotype" w:hAnsi="Palatino Linotype" w:cs="Palatino Linotype"/>
          <w:sz w:val="18"/>
          <w:szCs w:val="18"/>
        </w:rPr>
        <w:tab/>
      </w:r>
    </w:p>
    <w:p w:rsidR="0080093D" w:rsidRPr="0080093D" w:rsidRDefault="0080093D" w:rsidP="00A16559">
      <w:pPr>
        <w:ind w:firstLine="426"/>
        <w:jc w:val="both"/>
        <w:rPr>
          <w:rFonts w:ascii="Palatino Linotype" w:eastAsia="Palatino Linotype" w:hAnsi="Palatino Linotype" w:cs="Palatino Linotype"/>
        </w:rPr>
      </w:pPr>
      <w:r w:rsidRPr="0080093D">
        <w:rPr>
          <w:rFonts w:ascii="Palatino Linotype" w:eastAsia="Palatino Linotype" w:hAnsi="Palatino Linotype" w:cs="Palatino Linotype"/>
        </w:rPr>
        <w:t xml:space="preserve">The sand waste used in this study came from sand </w:t>
      </w:r>
      <w:proofErr w:type="spellStart"/>
      <w:r w:rsidRPr="0080093D">
        <w:rPr>
          <w:rFonts w:ascii="Palatino Linotype" w:eastAsia="Palatino Linotype" w:hAnsi="Palatino Linotype" w:cs="Palatino Linotype"/>
        </w:rPr>
        <w:t>mould</w:t>
      </w:r>
      <w:proofErr w:type="spellEnd"/>
      <w:r w:rsidRPr="0080093D">
        <w:rPr>
          <w:rFonts w:ascii="Palatino Linotype" w:eastAsia="Palatino Linotype" w:hAnsi="Palatino Linotype" w:cs="Palatino Linotype"/>
        </w:rPr>
        <w:t xml:space="preserve"> waste belonging to the </w:t>
      </w:r>
      <w:proofErr w:type="spellStart"/>
      <w:r w:rsidRPr="0080093D">
        <w:rPr>
          <w:rFonts w:ascii="Palatino Linotype" w:eastAsia="Palatino Linotype" w:hAnsi="Palatino Linotype" w:cs="Palatino Linotype"/>
        </w:rPr>
        <w:t>Ceper</w:t>
      </w:r>
      <w:proofErr w:type="spellEnd"/>
      <w:r w:rsidRPr="0080093D">
        <w:rPr>
          <w:rFonts w:ascii="Palatino Linotype" w:eastAsia="Palatino Linotype" w:hAnsi="Palatino Linotype" w:cs="Palatino Linotype"/>
        </w:rPr>
        <w:t xml:space="preserve"> Manufacturing Polytechnic, </w:t>
      </w:r>
      <w:proofErr w:type="spellStart"/>
      <w:r w:rsidRPr="0080093D">
        <w:rPr>
          <w:rFonts w:ascii="Palatino Linotype" w:eastAsia="Palatino Linotype" w:hAnsi="Palatino Linotype" w:cs="Palatino Linotype"/>
        </w:rPr>
        <w:t>Klaten</w:t>
      </w:r>
      <w:proofErr w:type="spellEnd"/>
      <w:r w:rsidRPr="0080093D">
        <w:rPr>
          <w:rFonts w:ascii="Palatino Linotype" w:eastAsia="Palatino Linotype" w:hAnsi="Palatino Linotype" w:cs="Palatino Linotype"/>
        </w:rPr>
        <w:t xml:space="preserve">. The waste sand is pounded using a mortar and then crushed using a mixer machine. Waste sand that has been finely sieved with a </w:t>
      </w:r>
      <w:proofErr w:type="gramStart"/>
      <w:r w:rsidRPr="0080093D">
        <w:rPr>
          <w:rFonts w:ascii="Palatino Linotype" w:eastAsia="Palatino Linotype" w:hAnsi="Palatino Linotype" w:cs="Palatino Linotype"/>
        </w:rPr>
        <w:t>12 mesh</w:t>
      </w:r>
      <w:proofErr w:type="gramEnd"/>
      <w:r w:rsidRPr="0080093D">
        <w:rPr>
          <w:rFonts w:ascii="Palatino Linotype" w:eastAsia="Palatino Linotype" w:hAnsi="Palatino Linotype" w:cs="Palatino Linotype"/>
        </w:rPr>
        <w:t xml:space="preserve"> sieve, followed by washing using detergent. The foam left in the sand is rinsed with water until the foam disappears. Finally, the sand is dried in the sun to dry.</w:t>
      </w:r>
    </w:p>
    <w:p w:rsidR="0080093D" w:rsidRDefault="0080093D" w:rsidP="00A16559">
      <w:pPr>
        <w:ind w:firstLine="426"/>
        <w:jc w:val="both"/>
        <w:rPr>
          <w:rFonts w:ascii="Palatino Linotype" w:eastAsia="Palatino Linotype" w:hAnsi="Palatino Linotype" w:cs="Palatino Linotype"/>
        </w:rPr>
      </w:pPr>
      <w:r w:rsidRPr="0080093D">
        <w:rPr>
          <w:rFonts w:ascii="Palatino Linotype" w:eastAsia="Palatino Linotype" w:hAnsi="Palatino Linotype" w:cs="Palatino Linotype"/>
        </w:rPr>
        <w:t xml:space="preserve">SEM characterization was carried out on new, non-recycled and recycled sand. All three types of sand are used to make sand </w:t>
      </w:r>
      <w:proofErr w:type="spellStart"/>
      <w:r w:rsidRPr="0080093D">
        <w:rPr>
          <w:rFonts w:ascii="Palatino Linotype" w:eastAsia="Palatino Linotype" w:hAnsi="Palatino Linotype" w:cs="Palatino Linotype"/>
        </w:rPr>
        <w:t>moulds</w:t>
      </w:r>
      <w:proofErr w:type="spellEnd"/>
      <w:r w:rsidRPr="0080093D">
        <w:rPr>
          <w:rFonts w:ascii="Palatino Linotype" w:eastAsia="Palatino Linotype" w:hAnsi="Palatino Linotype" w:cs="Palatino Linotype"/>
        </w:rPr>
        <w:t xml:space="preserve">. FC25 material is cast into the sand </w:t>
      </w:r>
      <w:proofErr w:type="spellStart"/>
      <w:r w:rsidRPr="0080093D">
        <w:rPr>
          <w:rFonts w:ascii="Palatino Linotype" w:eastAsia="Palatino Linotype" w:hAnsi="Palatino Linotype" w:cs="Palatino Linotype"/>
        </w:rPr>
        <w:t>mould</w:t>
      </w:r>
      <w:proofErr w:type="spellEnd"/>
      <w:r w:rsidRPr="0080093D">
        <w:rPr>
          <w:rFonts w:ascii="Palatino Linotype" w:eastAsia="Palatino Linotype" w:hAnsi="Palatino Linotype" w:cs="Palatino Linotype"/>
        </w:rPr>
        <w:t xml:space="preserve"> that has been made. The cast products are characterized by hardness and roughness through the Roughness Test and visual identification using the JIS 82 standard, which is carried out after passing through the sandblasting process. The characterization results are then used to compile the analysis and conclusions.</w:t>
      </w:r>
    </w:p>
    <w:p w:rsidR="0080093D" w:rsidRDefault="0080093D" w:rsidP="0080093D">
      <w:pPr>
        <w:ind w:firstLine="426"/>
        <w:jc w:val="both"/>
        <w:rPr>
          <w:rFonts w:ascii="Palatino Linotype" w:eastAsia="Palatino Linotype" w:hAnsi="Palatino Linotype" w:cs="Palatino Linotype"/>
        </w:rPr>
      </w:pPr>
    </w:p>
    <w:p w:rsidR="001D2E96" w:rsidRPr="0061508C" w:rsidRDefault="00000000" w:rsidP="0061508C">
      <w:pPr>
        <w:tabs>
          <w:tab w:val="left" w:pos="425"/>
          <w:tab w:val="left" w:pos="851"/>
        </w:tabs>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3.</w:t>
      </w:r>
      <w:r>
        <w:rPr>
          <w:rFonts w:ascii="Palatino Linotype" w:eastAsia="Palatino Linotype" w:hAnsi="Palatino Linotype" w:cs="Palatino Linotype"/>
          <w:b/>
          <w:sz w:val="24"/>
          <w:szCs w:val="24"/>
        </w:rPr>
        <w:tab/>
      </w:r>
      <w:r w:rsidR="0080093D" w:rsidRPr="0080093D">
        <w:rPr>
          <w:rFonts w:ascii="Palatino Linotype" w:eastAsia="Palatino Linotype" w:hAnsi="Palatino Linotype" w:cs="Palatino Linotype"/>
          <w:b/>
          <w:sz w:val="24"/>
          <w:szCs w:val="24"/>
        </w:rPr>
        <w:t>RESULT AND DISCUSSION</w:t>
      </w:r>
    </w:p>
    <w:p w:rsidR="0061508C" w:rsidRDefault="0061508C" w:rsidP="0061508C">
      <w:pPr>
        <w:tabs>
          <w:tab w:val="left" w:pos="425"/>
          <w:tab w:val="left" w:pos="851"/>
        </w:tabs>
        <w:rPr>
          <w:rFonts w:ascii="Palatino Linotype" w:eastAsia="Palatino Linotype" w:hAnsi="Palatino Linotype" w:cs="Palatino Linotype"/>
          <w:b/>
          <w:bCs/>
        </w:rPr>
      </w:pPr>
    </w:p>
    <w:p w:rsidR="0061508C" w:rsidRPr="0061508C" w:rsidRDefault="0061508C" w:rsidP="0061508C">
      <w:pPr>
        <w:tabs>
          <w:tab w:val="left" w:pos="425"/>
          <w:tab w:val="left" w:pos="851"/>
        </w:tabs>
        <w:rPr>
          <w:rFonts w:ascii="Palatino Linotype" w:eastAsia="Palatino Linotype" w:hAnsi="Palatino Linotype" w:cs="Palatino Linotype"/>
          <w:b/>
          <w:bCs/>
        </w:rPr>
      </w:pPr>
      <w:r w:rsidRPr="0061508C">
        <w:rPr>
          <w:rFonts w:ascii="Palatino Linotype" w:eastAsia="Palatino Linotype" w:hAnsi="Palatino Linotype" w:cs="Palatino Linotype"/>
          <w:b/>
          <w:bCs/>
        </w:rPr>
        <w:t>3.</w:t>
      </w:r>
      <w:r w:rsidR="00A16559">
        <w:rPr>
          <w:rFonts w:ascii="Palatino Linotype" w:eastAsia="Palatino Linotype" w:hAnsi="Palatino Linotype" w:cs="Palatino Linotype"/>
          <w:b/>
          <w:bCs/>
        </w:rPr>
        <w:t>1</w:t>
      </w:r>
      <w:r w:rsidRPr="0061508C">
        <w:rPr>
          <w:rFonts w:ascii="Palatino Linotype" w:eastAsia="Palatino Linotype" w:hAnsi="Palatino Linotype" w:cs="Palatino Linotype"/>
          <w:b/>
          <w:bCs/>
        </w:rPr>
        <w:tab/>
        <w:t>SEM-EDS Characteristics</w:t>
      </w:r>
    </w:p>
    <w:p w:rsidR="0061508C" w:rsidRDefault="0061508C" w:rsidP="00A16559">
      <w:pPr>
        <w:tabs>
          <w:tab w:val="left" w:pos="425"/>
          <w:tab w:val="left" w:pos="851"/>
        </w:tabs>
        <w:jc w:val="both"/>
        <w:rPr>
          <w:rFonts w:ascii="Palatino Linotype" w:eastAsia="Palatino Linotype" w:hAnsi="Palatino Linotype" w:cs="Palatino Linotype"/>
        </w:rPr>
      </w:pPr>
      <w:r>
        <w:rPr>
          <w:rFonts w:ascii="Palatino Linotype" w:eastAsia="Palatino Linotype" w:hAnsi="Palatino Linotype" w:cs="Palatino Linotype"/>
        </w:rPr>
        <w:tab/>
      </w:r>
      <w:r w:rsidRPr="0061508C">
        <w:rPr>
          <w:rFonts w:ascii="Palatino Linotype" w:eastAsia="Palatino Linotype" w:hAnsi="Palatino Linotype" w:cs="Palatino Linotype"/>
        </w:rPr>
        <w:t>Research conducted by Khasanah et al.</w:t>
      </w:r>
      <w:r w:rsidR="00A16559">
        <w:rPr>
          <w:rFonts w:ascii="Palatino Linotype" w:eastAsia="Palatino Linotype" w:hAnsi="Palatino Linotype" w:cs="Palatino Linotype"/>
        </w:rPr>
        <w:t xml:space="preserve"> </w:t>
      </w:r>
      <w:r w:rsidR="00A16559">
        <w:rPr>
          <w:rFonts w:ascii="Palatino Linotype" w:eastAsia="Palatino Linotype" w:hAnsi="Palatino Linotype" w:cs="Palatino Linotype"/>
        </w:rPr>
        <w:fldChar w:fldCharType="begin" w:fldLock="1"/>
      </w:r>
      <w:r w:rsidR="00A16559">
        <w:rPr>
          <w:rFonts w:ascii="Palatino Linotype" w:eastAsia="Palatino Linotype" w:hAnsi="Palatino Linotype" w:cs="Palatino Linotype"/>
        </w:rPr>
        <w:instrText>ADDIN CSL_CITATION {"citationItems":[{"id":"ITEM-1","itemData":{"author":[{"dropping-particle":"","family":"Khasanah","given":"Sabtun Ismi","non-dropping-particle":"","parse-names":false,"suffix":""},{"dropping-particle":"","family":"Sesunan","given":"Nandha Riveri","non-dropping-particle":"","parse-names":false,"suffix":""},{"dropping-particle":"","family":"Abdillah","given":"Hamid","non-dropping-particle":"","parse-names":false,"suffix":""}],"container-title":"International Journal of Emerging Trends in Engineering Research","id":"ITEM-1","issue":"9","issued":{"date-parts":[["2020"]]},"page":"5454-5459","title":"Study of the Reclamation of Waste CO 2 Moulding Sand in Foundry Industry","type":"article-journal","volume":"8"},"uris":["http://www.mendeley.com/documents/?uuid=1749c694-e9f1-41d3-b1b3-a6c06eb4793c"]}],"mendeley":{"formattedCitation":"[14]","plainTextFormattedCitation":"[14]","previouslyFormattedCitation":"[14]"},"properties":{"noteIndex":0},"schema":"https://github.com/citation-style-language/schema/raw/master/csl-citation.json"}</w:instrText>
      </w:r>
      <w:r w:rsidR="00A16559">
        <w:rPr>
          <w:rFonts w:ascii="Palatino Linotype" w:eastAsia="Palatino Linotype" w:hAnsi="Palatino Linotype" w:cs="Palatino Linotype"/>
        </w:rPr>
        <w:fldChar w:fldCharType="separate"/>
      </w:r>
      <w:r w:rsidR="00A16559" w:rsidRPr="00A16559">
        <w:rPr>
          <w:rFonts w:ascii="Palatino Linotype" w:eastAsia="Palatino Linotype" w:hAnsi="Palatino Linotype" w:cs="Palatino Linotype"/>
          <w:noProof/>
        </w:rPr>
        <w:t>[14]</w:t>
      </w:r>
      <w:r w:rsidR="00A16559">
        <w:rPr>
          <w:rFonts w:ascii="Palatino Linotype" w:eastAsia="Palatino Linotype" w:hAnsi="Palatino Linotype" w:cs="Palatino Linotype"/>
        </w:rPr>
        <w:fldChar w:fldCharType="end"/>
      </w:r>
      <w:r w:rsidRPr="0061508C">
        <w:rPr>
          <w:rFonts w:ascii="Palatino Linotype" w:eastAsia="Palatino Linotype" w:hAnsi="Palatino Linotype" w:cs="Palatino Linotype"/>
        </w:rPr>
        <w:t xml:space="preserve"> showed that CO</w:t>
      </w:r>
      <w:r w:rsidRPr="00A16559">
        <w:rPr>
          <w:rFonts w:ascii="Palatino Linotype" w:eastAsia="Palatino Linotype" w:hAnsi="Palatino Linotype" w:cs="Palatino Linotype"/>
          <w:vertAlign w:val="subscript"/>
        </w:rPr>
        <w:t>2</w:t>
      </w:r>
      <w:r w:rsidRPr="0061508C">
        <w:rPr>
          <w:rFonts w:ascii="Palatino Linotype" w:eastAsia="Palatino Linotype" w:hAnsi="Palatino Linotype" w:cs="Palatino Linotype"/>
        </w:rPr>
        <w:t xml:space="preserve"> </w:t>
      </w:r>
      <w:proofErr w:type="spellStart"/>
      <w:r w:rsidRPr="0061508C">
        <w:rPr>
          <w:rFonts w:ascii="Palatino Linotype" w:eastAsia="Palatino Linotype" w:hAnsi="Palatino Linotype" w:cs="Palatino Linotype"/>
        </w:rPr>
        <w:t>moulding</w:t>
      </w:r>
      <w:proofErr w:type="spellEnd"/>
      <w:r w:rsidRPr="0061508C">
        <w:rPr>
          <w:rFonts w:ascii="Palatino Linotype" w:eastAsia="Palatino Linotype" w:hAnsi="Palatino Linotype" w:cs="Palatino Linotype"/>
        </w:rPr>
        <w:t xml:space="preserve"> sand waste has a reasonably high Na content. There was a decrease in Na content when reclaiming using the detergent washing method. Washing detergent dissolves water glass residue and releases Na</w:t>
      </w:r>
      <w:r w:rsidRPr="00A16559">
        <w:rPr>
          <w:rFonts w:ascii="Palatino Linotype" w:eastAsia="Palatino Linotype" w:hAnsi="Palatino Linotype" w:cs="Palatino Linotype"/>
          <w:vertAlign w:val="subscript"/>
        </w:rPr>
        <w:t>2</w:t>
      </w:r>
      <w:r w:rsidRPr="0061508C">
        <w:rPr>
          <w:rFonts w:ascii="Palatino Linotype" w:eastAsia="Palatino Linotype" w:hAnsi="Palatino Linotype" w:cs="Palatino Linotype"/>
        </w:rPr>
        <w:t>CO</w:t>
      </w:r>
      <w:r w:rsidRPr="00A16559">
        <w:rPr>
          <w:rFonts w:ascii="Palatino Linotype" w:eastAsia="Palatino Linotype" w:hAnsi="Palatino Linotype" w:cs="Palatino Linotype"/>
          <w:vertAlign w:val="subscript"/>
        </w:rPr>
        <w:t>3</w:t>
      </w:r>
      <w:r w:rsidRPr="0061508C">
        <w:rPr>
          <w:rFonts w:ascii="Palatino Linotype" w:eastAsia="Palatino Linotype" w:hAnsi="Palatino Linotype" w:cs="Palatino Linotype"/>
        </w:rPr>
        <w:t xml:space="preserve"> in waste sand. The results of SEM characterization of grain size variations in this study showed low levels of Na. Na content in the reclaimed sand was close to the new sand. Based on the results of the SEM characterization of the grain size variations of reclaimed CO</w:t>
      </w:r>
      <w:r w:rsidRPr="00A16559">
        <w:rPr>
          <w:rFonts w:ascii="Palatino Linotype" w:eastAsia="Palatino Linotype" w:hAnsi="Palatino Linotype" w:cs="Palatino Linotype"/>
          <w:vertAlign w:val="subscript"/>
        </w:rPr>
        <w:t>2</w:t>
      </w:r>
      <w:r w:rsidRPr="0061508C">
        <w:rPr>
          <w:rFonts w:ascii="Palatino Linotype" w:eastAsia="Palatino Linotype" w:hAnsi="Palatino Linotype" w:cs="Palatino Linotype"/>
        </w:rPr>
        <w:t xml:space="preserve"> sand, the three reclaimed </w:t>
      </w:r>
      <w:proofErr w:type="spellStart"/>
      <w:r w:rsidRPr="0061508C">
        <w:rPr>
          <w:rFonts w:ascii="Palatino Linotype" w:eastAsia="Palatino Linotype" w:hAnsi="Palatino Linotype" w:cs="Palatino Linotype"/>
        </w:rPr>
        <w:t>moulding</w:t>
      </w:r>
      <w:proofErr w:type="spellEnd"/>
      <w:r w:rsidRPr="0061508C">
        <w:rPr>
          <w:rFonts w:ascii="Palatino Linotype" w:eastAsia="Palatino Linotype" w:hAnsi="Palatino Linotype" w:cs="Palatino Linotype"/>
        </w:rPr>
        <w:t xml:space="preserve"> grains of sand have the potential to be reused for metal casting. The SEM characterization was shown in Figure 1.</w:t>
      </w:r>
    </w:p>
    <w:p w:rsidR="00A16559" w:rsidRDefault="00A3673D" w:rsidP="00A16559">
      <w:pPr>
        <w:tabs>
          <w:tab w:val="left" w:pos="425"/>
          <w:tab w:val="left" w:pos="851"/>
        </w:tabs>
        <w:jc w:val="center"/>
        <w:rPr>
          <w:rFonts w:ascii="Palatino Linotype" w:eastAsia="Palatino Linotype" w:hAnsi="Palatino Linotype" w:cs="Palatino Linotype"/>
          <w:i/>
          <w:sz w:val="18"/>
          <w:szCs w:val="18"/>
        </w:rPr>
      </w:pPr>
      <w:r>
        <w:drawing>
          <wp:inline distT="0" distB="0" distL="0" distR="0" wp14:anchorId="465C34E8" wp14:editId="5A667AA0">
            <wp:extent cx="3928262" cy="2421331"/>
            <wp:effectExtent l="0" t="0" r="0" b="0"/>
            <wp:docPr id="1" name="Chart 1">
              <a:extLst xmlns:a="http://schemas.openxmlformats.org/drawingml/2006/main">
                <a:ext uri="{FF2B5EF4-FFF2-40B4-BE49-F238E27FC236}">
                  <a16:creationId xmlns:a16="http://schemas.microsoft.com/office/drawing/2014/main" id="{813FB98E-9E61-40E5-8999-BA472EE080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6559" w:rsidRDefault="00A3673D" w:rsidP="00A16559">
      <w:pPr>
        <w:tabs>
          <w:tab w:val="left" w:pos="425"/>
          <w:tab w:val="left" w:pos="851"/>
        </w:tabs>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Figure</w:t>
      </w:r>
      <w:r w:rsidR="00A16559">
        <w:rPr>
          <w:rFonts w:ascii="Palatino Linotype" w:eastAsia="Palatino Linotype" w:hAnsi="Palatino Linotype" w:cs="Palatino Linotype"/>
          <w:i/>
          <w:sz w:val="18"/>
          <w:szCs w:val="18"/>
        </w:rPr>
        <w:t xml:space="preserve"> 1 </w:t>
      </w:r>
      <w:r w:rsidR="00A16559" w:rsidRPr="00A16559">
        <w:rPr>
          <w:rFonts w:ascii="Palatino Linotype" w:eastAsia="Palatino Linotype" w:hAnsi="Palatino Linotype" w:cs="Palatino Linotype"/>
          <w:i/>
          <w:sz w:val="18"/>
          <w:szCs w:val="18"/>
        </w:rPr>
        <w:t xml:space="preserve">SEM EDS </w:t>
      </w:r>
      <w:proofErr w:type="spellStart"/>
      <w:r w:rsidR="00A16559" w:rsidRPr="00A16559">
        <w:rPr>
          <w:rFonts w:ascii="Palatino Linotype" w:eastAsia="Palatino Linotype" w:hAnsi="Palatino Linotype" w:cs="Palatino Linotype"/>
          <w:i/>
          <w:sz w:val="18"/>
          <w:szCs w:val="18"/>
        </w:rPr>
        <w:t>characteritics</w:t>
      </w:r>
      <w:proofErr w:type="spellEnd"/>
      <w:r w:rsidR="00A16559" w:rsidRPr="00A16559">
        <w:rPr>
          <w:rFonts w:ascii="Palatino Linotype" w:eastAsia="Palatino Linotype" w:hAnsi="Palatino Linotype" w:cs="Palatino Linotype"/>
          <w:i/>
          <w:sz w:val="18"/>
          <w:szCs w:val="18"/>
        </w:rPr>
        <w:t xml:space="preserve"> of the grain size variation of reclaimed sand and new sand</w:t>
      </w:r>
    </w:p>
    <w:p w:rsidR="00A16559" w:rsidRPr="0061508C" w:rsidRDefault="00A16559" w:rsidP="00A16559">
      <w:pPr>
        <w:tabs>
          <w:tab w:val="left" w:pos="425"/>
          <w:tab w:val="left" w:pos="851"/>
        </w:tabs>
        <w:jc w:val="both"/>
        <w:rPr>
          <w:rFonts w:ascii="Palatino Linotype" w:eastAsia="Palatino Linotype" w:hAnsi="Palatino Linotype" w:cs="Palatino Linotype"/>
        </w:rPr>
      </w:pPr>
    </w:p>
    <w:p w:rsidR="0061508C" w:rsidRPr="00A16559" w:rsidRDefault="00A16559" w:rsidP="00A16559">
      <w:pPr>
        <w:tabs>
          <w:tab w:val="left" w:pos="425"/>
          <w:tab w:val="left" w:pos="851"/>
        </w:tabs>
        <w:rPr>
          <w:rFonts w:ascii="Palatino Linotype" w:eastAsia="Palatino Linotype" w:hAnsi="Palatino Linotype" w:cs="Palatino Linotype"/>
          <w:b/>
          <w:bCs/>
        </w:rPr>
      </w:pPr>
      <w:r w:rsidRPr="0061508C">
        <w:rPr>
          <w:rFonts w:ascii="Palatino Linotype" w:eastAsia="Palatino Linotype" w:hAnsi="Palatino Linotype" w:cs="Palatino Linotype"/>
          <w:b/>
          <w:bCs/>
        </w:rPr>
        <w:t>3.2</w:t>
      </w:r>
      <w:r w:rsidRPr="0061508C">
        <w:rPr>
          <w:rFonts w:ascii="Palatino Linotype" w:eastAsia="Palatino Linotype" w:hAnsi="Palatino Linotype" w:cs="Palatino Linotype"/>
          <w:b/>
          <w:bCs/>
        </w:rPr>
        <w:tab/>
      </w:r>
      <w:r w:rsidR="0061508C" w:rsidRPr="00A16559">
        <w:rPr>
          <w:rFonts w:ascii="Palatino Linotype" w:eastAsia="Palatino Linotype" w:hAnsi="Palatino Linotype" w:cs="Palatino Linotype"/>
          <w:b/>
          <w:bCs/>
        </w:rPr>
        <w:t>Hardness Test</w:t>
      </w:r>
    </w:p>
    <w:p w:rsidR="0061508C" w:rsidRPr="0061508C" w:rsidRDefault="0061508C" w:rsidP="00A16559">
      <w:pPr>
        <w:tabs>
          <w:tab w:val="left" w:pos="425"/>
          <w:tab w:val="left" w:pos="851"/>
        </w:tabs>
        <w:jc w:val="both"/>
        <w:rPr>
          <w:rFonts w:ascii="Palatino Linotype" w:eastAsia="Palatino Linotype" w:hAnsi="Palatino Linotype" w:cs="Palatino Linotype"/>
        </w:rPr>
      </w:pPr>
      <w:r>
        <w:rPr>
          <w:rFonts w:ascii="Palatino Linotype" w:eastAsia="Palatino Linotype" w:hAnsi="Palatino Linotype" w:cs="Palatino Linotype"/>
        </w:rPr>
        <w:tab/>
      </w:r>
      <w:r w:rsidRPr="0061508C">
        <w:rPr>
          <w:rFonts w:ascii="Palatino Linotype" w:eastAsia="Palatino Linotype" w:hAnsi="Palatino Linotype" w:cs="Palatino Linotype"/>
        </w:rPr>
        <w:t xml:space="preserve">The hardness test carried out in this study aims to compare the quality results of cast products using new sand </w:t>
      </w:r>
      <w:proofErr w:type="spellStart"/>
      <w:r w:rsidRPr="0061508C">
        <w:rPr>
          <w:rFonts w:ascii="Palatino Linotype" w:eastAsia="Palatino Linotype" w:hAnsi="Palatino Linotype" w:cs="Palatino Linotype"/>
        </w:rPr>
        <w:t>moulds</w:t>
      </w:r>
      <w:proofErr w:type="spellEnd"/>
      <w:r w:rsidRPr="0061508C">
        <w:rPr>
          <w:rFonts w:ascii="Palatino Linotype" w:eastAsia="Palatino Linotype" w:hAnsi="Palatino Linotype" w:cs="Palatino Linotype"/>
        </w:rPr>
        <w:t xml:space="preserve"> and reclaimed CO</w:t>
      </w:r>
      <w:r w:rsidRPr="00A16559">
        <w:rPr>
          <w:rFonts w:ascii="Palatino Linotype" w:eastAsia="Palatino Linotype" w:hAnsi="Palatino Linotype" w:cs="Palatino Linotype"/>
          <w:vertAlign w:val="subscript"/>
        </w:rPr>
        <w:t>2</w:t>
      </w:r>
      <w:r w:rsidRPr="0061508C">
        <w:rPr>
          <w:rFonts w:ascii="Palatino Linotype" w:eastAsia="Palatino Linotype" w:hAnsi="Palatino Linotype" w:cs="Palatino Linotype"/>
        </w:rPr>
        <w:t xml:space="preserve"> sand </w:t>
      </w:r>
      <w:proofErr w:type="spellStart"/>
      <w:r w:rsidRPr="0061508C">
        <w:rPr>
          <w:rFonts w:ascii="Palatino Linotype" w:eastAsia="Palatino Linotype" w:hAnsi="Palatino Linotype" w:cs="Palatino Linotype"/>
        </w:rPr>
        <w:t>moulds</w:t>
      </w:r>
      <w:proofErr w:type="spellEnd"/>
      <w:r w:rsidRPr="0061508C">
        <w:rPr>
          <w:rFonts w:ascii="Palatino Linotype" w:eastAsia="Palatino Linotype" w:hAnsi="Palatino Linotype" w:cs="Palatino Linotype"/>
        </w:rPr>
        <w:t>. Hardness test using the Rockwell method with a load of 981 N and using a 1/16" steel ball. Each cast object with the variation of mesh size is tested by the Rockwell Method for as many as 5 points. The hardness test results are in Table 1 and are shown in Figure 2 as a graph of the correlation between grain size variations and hardness.</w:t>
      </w:r>
    </w:p>
    <w:p w:rsidR="0061508C" w:rsidRDefault="00A16559" w:rsidP="00A16559">
      <w:pPr>
        <w:tabs>
          <w:tab w:val="left" w:pos="425"/>
          <w:tab w:val="left" w:pos="851"/>
        </w:tabs>
        <w:jc w:val="both"/>
        <w:rPr>
          <w:rFonts w:ascii="Palatino Linotype" w:eastAsia="Palatino Linotype" w:hAnsi="Palatino Linotype" w:cs="Palatino Linotype"/>
        </w:rPr>
      </w:pPr>
      <w:r>
        <w:rPr>
          <w:rFonts w:ascii="Palatino Linotype" w:eastAsia="Palatino Linotype" w:hAnsi="Palatino Linotype" w:cs="Palatino Linotype"/>
        </w:rPr>
        <w:tab/>
      </w:r>
      <w:r w:rsidR="0061508C" w:rsidRPr="0061508C">
        <w:rPr>
          <w:rFonts w:ascii="Palatino Linotype" w:eastAsia="Palatino Linotype" w:hAnsi="Palatino Linotype" w:cs="Palatino Linotype"/>
        </w:rPr>
        <w:t xml:space="preserve">Figure 2 shows the effect of comparing grain size variation to casting hardness. Based on the JIS G 5501 standard (1995), the hardness of the four cast products corresponds to the FC 250 hardness standard, which is below 241 HB (100 HRB). The casting products using reclaimed waste sand </w:t>
      </w:r>
      <w:proofErr w:type="spellStart"/>
      <w:r w:rsidR="0061508C" w:rsidRPr="0061508C">
        <w:rPr>
          <w:rFonts w:ascii="Palatino Linotype" w:eastAsia="Palatino Linotype" w:hAnsi="Palatino Linotype" w:cs="Palatino Linotype"/>
        </w:rPr>
        <w:t>moulds</w:t>
      </w:r>
      <w:proofErr w:type="spellEnd"/>
      <w:r w:rsidR="0061508C" w:rsidRPr="0061508C">
        <w:rPr>
          <w:rFonts w:ascii="Palatino Linotype" w:eastAsia="Palatino Linotype" w:hAnsi="Palatino Linotype" w:cs="Palatino Linotype"/>
        </w:rPr>
        <w:t xml:space="preserve"> have a hardness below those cast using new sand </w:t>
      </w:r>
      <w:proofErr w:type="spellStart"/>
      <w:r w:rsidR="0061508C" w:rsidRPr="0061508C">
        <w:rPr>
          <w:rFonts w:ascii="Palatino Linotype" w:eastAsia="Palatino Linotype" w:hAnsi="Palatino Linotype" w:cs="Palatino Linotype"/>
        </w:rPr>
        <w:t>moulds</w:t>
      </w:r>
      <w:proofErr w:type="spellEnd"/>
      <w:r w:rsidR="0061508C" w:rsidRPr="0061508C">
        <w:rPr>
          <w:rFonts w:ascii="Palatino Linotype" w:eastAsia="Palatino Linotype" w:hAnsi="Palatino Linotype" w:cs="Palatino Linotype"/>
        </w:rPr>
        <w:t xml:space="preserve">. Reclaimed sands have undergone a crushing process that causes the shape of the sand to change. The sand, which was initially round, becomes an angular shape. If this angular sand is used to make </w:t>
      </w:r>
      <w:proofErr w:type="spellStart"/>
      <w:r w:rsidR="0061508C" w:rsidRPr="0061508C">
        <w:rPr>
          <w:rFonts w:ascii="Palatino Linotype" w:eastAsia="Palatino Linotype" w:hAnsi="Palatino Linotype" w:cs="Palatino Linotype"/>
        </w:rPr>
        <w:t>moulds</w:t>
      </w:r>
      <w:proofErr w:type="spellEnd"/>
      <w:r w:rsidR="0061508C" w:rsidRPr="0061508C">
        <w:rPr>
          <w:rFonts w:ascii="Palatino Linotype" w:eastAsia="Palatino Linotype" w:hAnsi="Palatino Linotype" w:cs="Palatino Linotype"/>
        </w:rPr>
        <w:t xml:space="preserve">, the hole space between the sand that is formed will be larger than when using a round type of sand. The whole space of sand also determines the cooling rate of the </w:t>
      </w:r>
      <w:r w:rsidR="0061508C" w:rsidRPr="0061508C">
        <w:rPr>
          <w:rFonts w:ascii="Palatino Linotype" w:eastAsia="Palatino Linotype" w:hAnsi="Palatino Linotype" w:cs="Palatino Linotype"/>
        </w:rPr>
        <w:lastRenderedPageBreak/>
        <w:t xml:space="preserve">castings. The round shape has a small contact area between the grains, so the hole formed is large and the permeability increases. As a result, the air circulation is getting bigger, and the heat transfer rate is getting bigger, increasing metal hardness. The results of research conducted by </w:t>
      </w:r>
      <w:proofErr w:type="spellStart"/>
      <w:r w:rsidR="0061508C" w:rsidRPr="0061508C">
        <w:rPr>
          <w:rFonts w:ascii="Palatino Linotype" w:eastAsia="Palatino Linotype" w:hAnsi="Palatino Linotype" w:cs="Palatino Linotype"/>
        </w:rPr>
        <w:t>Siagian</w:t>
      </w:r>
      <w:proofErr w:type="spellEnd"/>
      <w:r w:rsidR="0061508C" w:rsidRPr="0061508C">
        <w:rPr>
          <w:rFonts w:ascii="Palatino Linotype" w:eastAsia="Palatino Linotype" w:hAnsi="Palatino Linotype" w:cs="Palatino Linotype"/>
        </w:rPr>
        <w:t xml:space="preserve"> et al. </w:t>
      </w: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{"citationItems":[{"id":"ITEM-1","itemData":{"abstract":"Pengecoran merupakan proses pencairan logam yang selanjutnya di tuangkan ke dalam rongga cetakan dan dibiarkan membeku. Proses pengecoran logam dengan variasi permeabilitas dan variasi silikon dilakukan untuk mengetahui pengaruhnya terhadap kekerasan, porositas dan struktur mikro. Variasi permeabilitas dilakukan dengan perbedaan ukuran pasir yaitu: 0,180 mm, 0,250 mm dan 0,315 mm, dan variasi silikon terhadap alumunium dilakukan dengan perbedaan persentase silikon yaitu: 5% ;7% dan 10%. Hasil permeabilitas dengan ukuran pasir 0,180 mm adalah 22,29 cm3/min, dengan ukuran pasir 0,250 mm adalah 27,06 cm3/min dan dengan ukuran pasir 0,315 mm adalah 31,62 cm3/min. Pengujian yang dilakukan yaitu: uji permeabilitas, uji kekerasan vikers, uji densitas untuk mengetahui nilai porositas. Permeabilitas 22,29 cm3/min dan silikon 5% didapati nilai kekerasan 29,195 Kg/mm2 dan nilai porositas 1,46%, permeabilitas 27,06 cm3/min dan silikon 5% didapati nilai kekerasan 29,428 Kg/mm2 dan nilai porositas 1,27%, permeabilitas 31,62 cm3/min dan silikon 5% didapati nilai kekerasan 33,859 Kg/mm2 dan nilai porositas 0,68%, permeabilitas 22,29 cm3/min dan silikon 7% didapati nilai kekerasan 29,428 Kg/mm2 dan nilai porositas 3,41%, permeabilitas 27,06 cm3/min dan silikon 7% didapati nilai kekerasan 29,902 Kg/mm2 dan nilai porositas 2,10%, permeabilitas 31,62 cm3/min dan silikon 7% didapati nilai kekerasan 34,445 Kg/mm2 dan nilai porositas 1,88%, permeabilitas 22,29 cm3/min dan silikon 10% didapati nilai kekerasan 37,618 Kg/mm2 dan nilai porositas 4,70%, permeabilitas 27,06 cm3/min dan silikon 10% didapati nilai kekerasan 39,372 Kg/mm2 dan nilai porositas 4,17%, permeabilitas 31,62 cm3/min dan silikon 10% didapati nilai kekerasan 42,040 Kg/mm2 dan nilai porositas 3,09%. Variasi permebilitas dan silikon berpengaruh terhadap struktur mikro","author":[{"dropping-particle":"","family":"Siagian","given":"Sihar J","non-dropping-particle":"","parse-names":false,"suffix":""},{"dropping-particle":"","family":"Gede","given":"I Ketut","non-dropping-particle":"","parse-names":false,"suffix":""},{"dropping-particle":"","family":"Istri","given":"Cok","non-dropping-particle":"","parse-names":false,"suffix":""},{"dropping-particle":"","family":"Kusuma","given":"Putri","non-dropping-particle":"","parse-names":false,"suffix":""}],"container-title":"Jurnal Ilmiah Teknik Desain Mekanika","id":"ITEM-1","issue":"4","issued":{"date-parts":[["2017"]]},"page":"305-310","title":"Pengaruh Permeabilitas Cetakan Pasir dan Penambahan Silikon ( Si ) pada Proses Pengecoran Terhadap Kekerasan , Porositas dan Struktur Mikro Alumunium Silikon ( Al-Si )","type":"article-journal","volume":"6"},"uris":["http://www.mendeley.com/documents/?uuid=81cc38d2-e9b7-474c-b736-5aec7c443980"]}],"mendeley":{"formattedCitation":"[15]","plainTextFormattedCitation":"[15]","previouslyFormattedCitation":"[15]"},"properties":{"noteIndex":0},"schema":"https://github.com/citation-style-language/schema/raw/master/csl-citation.json"}</w:instrText>
      </w:r>
      <w:r>
        <w:rPr>
          <w:rFonts w:ascii="Palatino Linotype" w:eastAsia="Palatino Linotype" w:hAnsi="Palatino Linotype" w:cs="Palatino Linotype"/>
        </w:rPr>
        <w:fldChar w:fldCharType="separate"/>
      </w:r>
      <w:r w:rsidRPr="00A16559">
        <w:rPr>
          <w:rFonts w:ascii="Palatino Linotype" w:eastAsia="Palatino Linotype" w:hAnsi="Palatino Linotype" w:cs="Palatino Linotype"/>
          <w:noProof/>
        </w:rPr>
        <w:t>[15]</w:t>
      </w:r>
      <w:r>
        <w:rPr>
          <w:rFonts w:ascii="Palatino Linotype" w:eastAsia="Palatino Linotype" w:hAnsi="Palatino Linotype" w:cs="Palatino Linotype"/>
        </w:rPr>
        <w:fldChar w:fldCharType="end"/>
      </w:r>
      <w:r w:rsidR="0061508C" w:rsidRPr="0061508C">
        <w:rPr>
          <w:rFonts w:ascii="Palatino Linotype" w:eastAsia="Palatino Linotype" w:hAnsi="Palatino Linotype" w:cs="Palatino Linotype"/>
        </w:rPr>
        <w:t xml:space="preserve"> concluded that the greater the permeability of the sand </w:t>
      </w:r>
      <w:proofErr w:type="spellStart"/>
      <w:r w:rsidR="0061508C" w:rsidRPr="0061508C">
        <w:rPr>
          <w:rFonts w:ascii="Palatino Linotype" w:eastAsia="Palatino Linotype" w:hAnsi="Palatino Linotype" w:cs="Palatino Linotype"/>
        </w:rPr>
        <w:t>mould</w:t>
      </w:r>
      <w:proofErr w:type="spellEnd"/>
      <w:r w:rsidR="0061508C" w:rsidRPr="0061508C">
        <w:rPr>
          <w:rFonts w:ascii="Palatino Linotype" w:eastAsia="Palatino Linotype" w:hAnsi="Palatino Linotype" w:cs="Palatino Linotype"/>
        </w:rPr>
        <w:t>, the greater the hardness of the casting product.</w:t>
      </w:r>
    </w:p>
    <w:p w:rsidR="00A3673D" w:rsidRDefault="00A3673D" w:rsidP="00A16559">
      <w:pPr>
        <w:tabs>
          <w:tab w:val="left" w:pos="425"/>
          <w:tab w:val="left" w:pos="851"/>
        </w:tabs>
        <w:jc w:val="both"/>
        <w:rPr>
          <w:rFonts w:ascii="Palatino Linotype" w:eastAsia="Palatino Linotype" w:hAnsi="Palatino Linotype" w:cs="Palatino Linotype"/>
        </w:rPr>
      </w:pPr>
    </w:p>
    <w:p w:rsidR="00A3673D" w:rsidRDefault="00A3673D" w:rsidP="00A3673D">
      <w:pPr>
        <w:tabs>
          <w:tab w:val="left" w:pos="425"/>
          <w:tab w:val="left" w:pos="851"/>
        </w:tabs>
        <w:jc w:val="center"/>
        <w:rPr>
          <w:rFonts w:ascii="Palatino Linotype" w:eastAsia="Palatino Linotype" w:hAnsi="Palatino Linotype" w:cs="Palatino Linotype"/>
        </w:rPr>
      </w:pPr>
      <w:r>
        <w:rPr>
          <w:rFonts w:ascii="Palatino Linotype" w:eastAsia="Palatino Linotype" w:hAnsi="Palatino Linotype" w:cs="Palatino Linotype"/>
          <w:i/>
          <w:sz w:val="18"/>
          <w:szCs w:val="18"/>
        </w:rPr>
        <w:t>Table 1</w:t>
      </w:r>
      <w:r>
        <w:rPr>
          <w:rFonts w:ascii="Palatino Linotype" w:eastAsia="Palatino Linotype" w:hAnsi="Palatino Linotype" w:cs="Palatino Linotype"/>
          <w:i/>
          <w:sz w:val="18"/>
          <w:szCs w:val="18"/>
        </w:rPr>
        <w:t xml:space="preserve"> </w:t>
      </w:r>
      <w:r w:rsidRPr="00A3673D">
        <w:rPr>
          <w:rFonts w:ascii="Palatino Linotype" w:eastAsia="Palatino Linotype" w:hAnsi="Palatino Linotype" w:cs="Palatino Linotype"/>
          <w:i/>
          <w:sz w:val="18"/>
          <w:szCs w:val="18"/>
        </w:rPr>
        <w:t>The result of hardness test using Rockwell Method</w:t>
      </w:r>
    </w:p>
    <w:tbl>
      <w:tblPr>
        <w:tblStyle w:val="TableGrid"/>
        <w:tblW w:w="0" w:type="auto"/>
        <w:jc w:val="center"/>
        <w:tblLook w:val="04A0" w:firstRow="1" w:lastRow="0" w:firstColumn="1" w:lastColumn="0" w:noHBand="0" w:noVBand="1"/>
      </w:tblPr>
      <w:tblGrid>
        <w:gridCol w:w="1229"/>
        <w:gridCol w:w="893"/>
        <w:gridCol w:w="756"/>
        <w:gridCol w:w="803"/>
        <w:gridCol w:w="850"/>
        <w:gridCol w:w="851"/>
        <w:gridCol w:w="2268"/>
      </w:tblGrid>
      <w:tr w:rsidR="00A3673D" w:rsidRPr="005D6BAB" w:rsidTr="005333BC">
        <w:trPr>
          <w:trHeight w:val="219"/>
          <w:jc w:val="center"/>
        </w:trPr>
        <w:tc>
          <w:tcPr>
            <w:tcW w:w="1229" w:type="dxa"/>
            <w:vMerge w:val="restart"/>
            <w:tcBorders>
              <w:top w:val="single" w:sz="4" w:space="0" w:color="auto"/>
              <w:left w:val="nil"/>
              <w:bottom w:val="single" w:sz="4" w:space="0" w:color="auto"/>
              <w:right w:val="nil"/>
            </w:tcBorders>
            <w:vAlign w:val="center"/>
            <w:hideMark/>
          </w:tcPr>
          <w:p w:rsidR="00A3673D" w:rsidRPr="005D6BAB" w:rsidRDefault="00A3673D" w:rsidP="005333BC">
            <w:pPr>
              <w:spacing w:line="276" w:lineRule="auto"/>
              <w:jc w:val="center"/>
              <w:rPr>
                <w:rFonts w:cstheme="minorHAnsi"/>
                <w:b/>
                <w:lang w:val="id-ID"/>
              </w:rPr>
            </w:pPr>
            <w:bookmarkStart w:id="1" w:name="_Hlk80171642"/>
            <w:r>
              <w:rPr>
                <w:rFonts w:cstheme="minorHAnsi"/>
                <w:b/>
                <w:lang w:val="en-ID"/>
              </w:rPr>
              <w:t>m</w:t>
            </w:r>
            <w:proofErr w:type="spellStart"/>
            <w:r w:rsidRPr="005D6BAB">
              <w:rPr>
                <w:rFonts w:cstheme="minorHAnsi"/>
                <w:b/>
                <w:lang w:val="id-ID"/>
              </w:rPr>
              <w:t>esh</w:t>
            </w:r>
            <w:proofErr w:type="spellEnd"/>
          </w:p>
        </w:tc>
        <w:tc>
          <w:tcPr>
            <w:tcW w:w="4153" w:type="dxa"/>
            <w:gridSpan w:val="5"/>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b/>
                <w:lang w:val="en-ID"/>
              </w:rPr>
            </w:pPr>
            <w:r>
              <w:rPr>
                <w:rFonts w:cstheme="minorHAnsi"/>
                <w:b/>
                <w:lang w:val="en-ID"/>
              </w:rPr>
              <w:t>point</w:t>
            </w:r>
          </w:p>
        </w:tc>
        <w:tc>
          <w:tcPr>
            <w:tcW w:w="2268" w:type="dxa"/>
            <w:vMerge w:val="restart"/>
            <w:tcBorders>
              <w:top w:val="single" w:sz="4" w:space="0" w:color="auto"/>
              <w:left w:val="nil"/>
              <w:bottom w:val="single" w:sz="4" w:space="0" w:color="auto"/>
              <w:right w:val="nil"/>
            </w:tcBorders>
            <w:vAlign w:val="center"/>
            <w:hideMark/>
          </w:tcPr>
          <w:p w:rsidR="00A3673D" w:rsidRPr="005D6BAB" w:rsidRDefault="00A3673D" w:rsidP="005333BC">
            <w:pPr>
              <w:spacing w:line="276" w:lineRule="auto"/>
              <w:jc w:val="center"/>
              <w:rPr>
                <w:rFonts w:cstheme="minorHAnsi"/>
                <w:b/>
                <w:lang w:val="en-ID"/>
              </w:rPr>
            </w:pPr>
            <w:r w:rsidRPr="005D6BAB">
              <w:rPr>
                <w:rFonts w:cstheme="minorHAnsi"/>
                <w:b/>
                <w:lang w:val="id-ID"/>
              </w:rPr>
              <w:t>HRB</w:t>
            </w:r>
            <w:r w:rsidRPr="005D6BAB">
              <w:rPr>
                <w:rFonts w:cstheme="minorHAnsi"/>
                <w:b/>
                <w:lang w:val="en-ID"/>
              </w:rPr>
              <w:t xml:space="preserve"> (</w:t>
            </w:r>
            <w:r>
              <w:rPr>
                <w:rFonts w:cstheme="minorHAnsi"/>
                <w:b/>
                <w:lang w:val="en-ID"/>
              </w:rPr>
              <w:t>a</w:t>
            </w:r>
            <w:r w:rsidRPr="005D6BAB">
              <w:rPr>
                <w:rFonts w:cstheme="minorHAnsi"/>
                <w:b/>
                <w:lang w:val="en-ID"/>
              </w:rPr>
              <w:t>verage)</w:t>
            </w:r>
          </w:p>
        </w:tc>
      </w:tr>
      <w:tr w:rsidR="00A3673D" w:rsidRPr="005D6BAB" w:rsidTr="005333BC">
        <w:trPr>
          <w:jc w:val="center"/>
        </w:trPr>
        <w:tc>
          <w:tcPr>
            <w:tcW w:w="0" w:type="auto"/>
            <w:vMerge/>
            <w:tcBorders>
              <w:top w:val="single" w:sz="4" w:space="0" w:color="auto"/>
              <w:left w:val="nil"/>
              <w:bottom w:val="single" w:sz="4" w:space="0" w:color="auto"/>
              <w:right w:val="nil"/>
            </w:tcBorders>
            <w:vAlign w:val="center"/>
            <w:hideMark/>
          </w:tcPr>
          <w:p w:rsidR="00A3673D" w:rsidRPr="005D6BAB" w:rsidRDefault="00A3673D" w:rsidP="005333BC">
            <w:pPr>
              <w:rPr>
                <w:rFonts w:cstheme="minorHAnsi"/>
                <w:lang w:val="id-ID"/>
              </w:rPr>
            </w:pPr>
          </w:p>
        </w:tc>
        <w:tc>
          <w:tcPr>
            <w:tcW w:w="89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b/>
                <w:lang w:val="id-ID"/>
              </w:rPr>
            </w:pPr>
            <w:r w:rsidRPr="005D6BAB">
              <w:rPr>
                <w:rFonts w:cstheme="minorHAnsi"/>
                <w:b/>
                <w:lang w:val="id-ID"/>
              </w:rPr>
              <w:t>1</w:t>
            </w:r>
          </w:p>
        </w:tc>
        <w:tc>
          <w:tcPr>
            <w:tcW w:w="756"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b/>
                <w:lang w:val="id-ID"/>
              </w:rPr>
            </w:pPr>
            <w:r w:rsidRPr="005D6BAB">
              <w:rPr>
                <w:rFonts w:cstheme="minorHAnsi"/>
                <w:b/>
                <w:lang w:val="id-ID"/>
              </w:rPr>
              <w:t>2</w:t>
            </w:r>
          </w:p>
        </w:tc>
        <w:tc>
          <w:tcPr>
            <w:tcW w:w="80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b/>
                <w:lang w:val="id-ID"/>
              </w:rPr>
            </w:pPr>
            <w:r w:rsidRPr="005D6BAB">
              <w:rPr>
                <w:rFonts w:cstheme="minorHAnsi"/>
                <w:b/>
                <w:lang w:val="id-ID"/>
              </w:rPr>
              <w:t>3</w:t>
            </w:r>
          </w:p>
        </w:tc>
        <w:tc>
          <w:tcPr>
            <w:tcW w:w="850"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b/>
                <w:lang w:val="id-ID"/>
              </w:rPr>
            </w:pPr>
            <w:r w:rsidRPr="005D6BAB">
              <w:rPr>
                <w:rFonts w:cstheme="minorHAnsi"/>
                <w:b/>
                <w:lang w:val="id-ID"/>
              </w:rPr>
              <w:t>4</w:t>
            </w:r>
          </w:p>
        </w:tc>
        <w:tc>
          <w:tcPr>
            <w:tcW w:w="851"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b/>
                <w:lang w:val="id-ID"/>
              </w:rPr>
            </w:pPr>
            <w:r w:rsidRPr="005D6BAB">
              <w:rPr>
                <w:rFonts w:cstheme="minorHAnsi"/>
                <w:b/>
                <w:lang w:val="id-ID"/>
              </w:rPr>
              <w:t>5</w:t>
            </w:r>
          </w:p>
        </w:tc>
        <w:tc>
          <w:tcPr>
            <w:tcW w:w="0" w:type="auto"/>
            <w:vMerge/>
            <w:tcBorders>
              <w:top w:val="single" w:sz="4" w:space="0" w:color="auto"/>
              <w:left w:val="nil"/>
              <w:bottom w:val="single" w:sz="4" w:space="0" w:color="auto"/>
              <w:right w:val="nil"/>
            </w:tcBorders>
            <w:vAlign w:val="center"/>
            <w:hideMark/>
          </w:tcPr>
          <w:p w:rsidR="00A3673D" w:rsidRPr="005D6BAB" w:rsidRDefault="00A3673D" w:rsidP="005333BC">
            <w:pPr>
              <w:rPr>
                <w:rFonts w:cstheme="minorHAnsi"/>
                <w:lang w:val="id-ID"/>
              </w:rPr>
            </w:pPr>
          </w:p>
        </w:tc>
      </w:tr>
      <w:tr w:rsidR="00A3673D" w:rsidRPr="005D6BAB" w:rsidTr="005333BC">
        <w:trPr>
          <w:jc w:val="center"/>
        </w:trPr>
        <w:tc>
          <w:tcPr>
            <w:tcW w:w="1229"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12</w:t>
            </w:r>
          </w:p>
        </w:tc>
        <w:tc>
          <w:tcPr>
            <w:tcW w:w="89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92,01</w:t>
            </w:r>
          </w:p>
        </w:tc>
        <w:tc>
          <w:tcPr>
            <w:tcW w:w="756"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92,93</w:t>
            </w:r>
          </w:p>
        </w:tc>
        <w:tc>
          <w:tcPr>
            <w:tcW w:w="80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93,10</w:t>
            </w:r>
          </w:p>
        </w:tc>
        <w:tc>
          <w:tcPr>
            <w:tcW w:w="850"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93,13</w:t>
            </w:r>
          </w:p>
        </w:tc>
        <w:tc>
          <w:tcPr>
            <w:tcW w:w="851"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93,05</w:t>
            </w:r>
          </w:p>
        </w:tc>
        <w:tc>
          <w:tcPr>
            <w:tcW w:w="2268" w:type="dxa"/>
            <w:tcBorders>
              <w:top w:val="single" w:sz="4" w:space="0" w:color="auto"/>
              <w:left w:val="nil"/>
              <w:bottom w:val="single" w:sz="4" w:space="0" w:color="auto"/>
              <w:right w:val="nil"/>
            </w:tcBorders>
            <w:vAlign w:val="bottom"/>
            <w:hideMark/>
          </w:tcPr>
          <w:p w:rsidR="00A3673D" w:rsidRPr="005D6BAB" w:rsidRDefault="00A3673D" w:rsidP="005333BC">
            <w:pPr>
              <w:spacing w:line="276" w:lineRule="auto"/>
              <w:jc w:val="center"/>
              <w:rPr>
                <w:rFonts w:cstheme="minorHAnsi"/>
                <w:lang w:val="id-ID"/>
              </w:rPr>
            </w:pPr>
            <w:r w:rsidRPr="005D6BAB">
              <w:rPr>
                <w:rFonts w:cstheme="minorHAnsi"/>
                <w:color w:val="000000"/>
                <w:lang w:val="id-ID"/>
              </w:rPr>
              <w:t>92,844</w:t>
            </w:r>
          </w:p>
        </w:tc>
      </w:tr>
      <w:tr w:rsidR="00A3673D" w:rsidRPr="005D6BAB" w:rsidTr="005333BC">
        <w:trPr>
          <w:jc w:val="center"/>
        </w:trPr>
        <w:tc>
          <w:tcPr>
            <w:tcW w:w="1229"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25</w:t>
            </w:r>
          </w:p>
        </w:tc>
        <w:tc>
          <w:tcPr>
            <w:tcW w:w="89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93,61</w:t>
            </w:r>
          </w:p>
        </w:tc>
        <w:tc>
          <w:tcPr>
            <w:tcW w:w="756"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93,53</w:t>
            </w:r>
          </w:p>
        </w:tc>
        <w:tc>
          <w:tcPr>
            <w:tcW w:w="80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93,</w:t>
            </w:r>
            <w:r w:rsidRPr="005D6BAB">
              <w:rPr>
                <w:rFonts w:cstheme="minorHAnsi" w:hint="cs"/>
                <w:rtl/>
                <w:lang w:val="id-ID"/>
              </w:rPr>
              <w:t>97</w:t>
            </w:r>
          </w:p>
        </w:tc>
        <w:tc>
          <w:tcPr>
            <w:tcW w:w="850"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93,64</w:t>
            </w:r>
          </w:p>
        </w:tc>
        <w:tc>
          <w:tcPr>
            <w:tcW w:w="851"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93,83</w:t>
            </w:r>
          </w:p>
        </w:tc>
        <w:tc>
          <w:tcPr>
            <w:tcW w:w="2268" w:type="dxa"/>
            <w:tcBorders>
              <w:top w:val="single" w:sz="4" w:space="0" w:color="auto"/>
              <w:left w:val="nil"/>
              <w:bottom w:val="single" w:sz="4" w:space="0" w:color="auto"/>
              <w:right w:val="nil"/>
            </w:tcBorders>
            <w:vAlign w:val="bottom"/>
            <w:hideMark/>
          </w:tcPr>
          <w:p w:rsidR="00A3673D" w:rsidRPr="005D6BAB" w:rsidRDefault="00A3673D" w:rsidP="005333BC">
            <w:pPr>
              <w:spacing w:line="276" w:lineRule="auto"/>
              <w:jc w:val="center"/>
              <w:rPr>
                <w:rFonts w:cstheme="minorHAnsi"/>
                <w:lang w:val="id-ID"/>
              </w:rPr>
            </w:pPr>
            <w:r w:rsidRPr="005D6BAB">
              <w:rPr>
                <w:rFonts w:cstheme="minorHAnsi"/>
                <w:color w:val="000000"/>
                <w:lang w:val="id-ID"/>
              </w:rPr>
              <w:t>93,716</w:t>
            </w:r>
          </w:p>
        </w:tc>
      </w:tr>
      <w:tr w:rsidR="00A3673D" w:rsidRPr="005D6BAB" w:rsidTr="005333BC">
        <w:trPr>
          <w:jc w:val="center"/>
        </w:trPr>
        <w:tc>
          <w:tcPr>
            <w:tcW w:w="1229"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40</w:t>
            </w:r>
          </w:p>
        </w:tc>
        <w:tc>
          <w:tcPr>
            <w:tcW w:w="89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92,98</w:t>
            </w:r>
          </w:p>
        </w:tc>
        <w:tc>
          <w:tcPr>
            <w:tcW w:w="756"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92,39</w:t>
            </w:r>
          </w:p>
        </w:tc>
        <w:tc>
          <w:tcPr>
            <w:tcW w:w="80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92,25</w:t>
            </w:r>
          </w:p>
        </w:tc>
        <w:tc>
          <w:tcPr>
            <w:tcW w:w="850"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92,42</w:t>
            </w:r>
          </w:p>
        </w:tc>
        <w:tc>
          <w:tcPr>
            <w:tcW w:w="851"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92,54</w:t>
            </w:r>
          </w:p>
        </w:tc>
        <w:tc>
          <w:tcPr>
            <w:tcW w:w="2268" w:type="dxa"/>
            <w:tcBorders>
              <w:top w:val="single" w:sz="4" w:space="0" w:color="auto"/>
              <w:left w:val="nil"/>
              <w:bottom w:val="single" w:sz="4" w:space="0" w:color="auto"/>
              <w:right w:val="nil"/>
            </w:tcBorders>
            <w:vAlign w:val="bottom"/>
            <w:hideMark/>
          </w:tcPr>
          <w:p w:rsidR="00A3673D" w:rsidRPr="005D6BAB" w:rsidRDefault="00A3673D" w:rsidP="005333BC">
            <w:pPr>
              <w:spacing w:line="276" w:lineRule="auto"/>
              <w:jc w:val="center"/>
              <w:rPr>
                <w:rFonts w:cstheme="minorHAnsi"/>
                <w:lang w:val="id-ID"/>
              </w:rPr>
            </w:pPr>
            <w:r w:rsidRPr="005D6BAB">
              <w:rPr>
                <w:rFonts w:cstheme="minorHAnsi"/>
                <w:color w:val="000000"/>
                <w:lang w:val="id-ID"/>
              </w:rPr>
              <w:t>92,516</w:t>
            </w:r>
          </w:p>
        </w:tc>
      </w:tr>
      <w:tr w:rsidR="00A3673D" w:rsidRPr="005D6BAB" w:rsidTr="005333BC">
        <w:trPr>
          <w:jc w:val="center"/>
        </w:trPr>
        <w:tc>
          <w:tcPr>
            <w:tcW w:w="1229"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 xml:space="preserve">New </w:t>
            </w:r>
            <w:proofErr w:type="spellStart"/>
            <w:r w:rsidRPr="005D6BAB">
              <w:rPr>
                <w:rFonts w:cstheme="minorHAnsi"/>
                <w:lang w:val="id-ID"/>
              </w:rPr>
              <w:t>Sand</w:t>
            </w:r>
            <w:proofErr w:type="spellEnd"/>
          </w:p>
        </w:tc>
        <w:tc>
          <w:tcPr>
            <w:tcW w:w="89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95,07</w:t>
            </w:r>
          </w:p>
        </w:tc>
        <w:tc>
          <w:tcPr>
            <w:tcW w:w="756"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94,95</w:t>
            </w:r>
          </w:p>
        </w:tc>
        <w:tc>
          <w:tcPr>
            <w:tcW w:w="803"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94,93</w:t>
            </w:r>
          </w:p>
        </w:tc>
        <w:tc>
          <w:tcPr>
            <w:tcW w:w="850"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94,96</w:t>
            </w:r>
          </w:p>
        </w:tc>
        <w:tc>
          <w:tcPr>
            <w:tcW w:w="851" w:type="dxa"/>
            <w:tcBorders>
              <w:top w:val="single" w:sz="4" w:space="0" w:color="auto"/>
              <w:left w:val="nil"/>
              <w:bottom w:val="single" w:sz="4" w:space="0" w:color="auto"/>
              <w:right w:val="nil"/>
            </w:tcBorders>
            <w:hideMark/>
          </w:tcPr>
          <w:p w:rsidR="00A3673D" w:rsidRPr="005D6BAB" w:rsidRDefault="00A3673D" w:rsidP="005333BC">
            <w:pPr>
              <w:spacing w:line="276" w:lineRule="auto"/>
              <w:jc w:val="center"/>
              <w:rPr>
                <w:rFonts w:cstheme="minorHAnsi"/>
                <w:lang w:val="id-ID"/>
              </w:rPr>
            </w:pPr>
            <w:r w:rsidRPr="005D6BAB">
              <w:rPr>
                <w:rFonts w:cstheme="minorHAnsi"/>
                <w:lang w:val="id-ID"/>
              </w:rPr>
              <w:t>94,95</w:t>
            </w:r>
          </w:p>
        </w:tc>
        <w:tc>
          <w:tcPr>
            <w:tcW w:w="2268" w:type="dxa"/>
            <w:tcBorders>
              <w:top w:val="single" w:sz="4" w:space="0" w:color="auto"/>
              <w:left w:val="nil"/>
              <w:bottom w:val="single" w:sz="4" w:space="0" w:color="auto"/>
              <w:right w:val="nil"/>
            </w:tcBorders>
            <w:vAlign w:val="bottom"/>
            <w:hideMark/>
          </w:tcPr>
          <w:p w:rsidR="00A3673D" w:rsidRPr="005D6BAB" w:rsidRDefault="00A3673D" w:rsidP="005333BC">
            <w:pPr>
              <w:spacing w:line="276" w:lineRule="auto"/>
              <w:jc w:val="center"/>
              <w:rPr>
                <w:rFonts w:cstheme="minorHAnsi"/>
                <w:lang w:val="id-ID"/>
              </w:rPr>
            </w:pPr>
            <w:r w:rsidRPr="005D6BAB">
              <w:rPr>
                <w:rFonts w:cstheme="minorHAnsi"/>
                <w:color w:val="000000"/>
                <w:lang w:val="id-ID"/>
              </w:rPr>
              <w:t>94,972</w:t>
            </w:r>
          </w:p>
        </w:tc>
      </w:tr>
      <w:bookmarkEnd w:id="1"/>
    </w:tbl>
    <w:p w:rsidR="00A3673D" w:rsidRPr="0061508C" w:rsidRDefault="00A3673D" w:rsidP="00A16559">
      <w:pPr>
        <w:tabs>
          <w:tab w:val="left" w:pos="425"/>
          <w:tab w:val="left" w:pos="851"/>
        </w:tabs>
        <w:jc w:val="both"/>
        <w:rPr>
          <w:rFonts w:ascii="Palatino Linotype" w:eastAsia="Palatino Linotype" w:hAnsi="Palatino Linotype" w:cs="Palatino Linotype"/>
        </w:rPr>
      </w:pPr>
    </w:p>
    <w:p w:rsidR="00A3673D" w:rsidRDefault="00A3673D" w:rsidP="00A3673D">
      <w:pPr>
        <w:tabs>
          <w:tab w:val="left" w:pos="425"/>
          <w:tab w:val="left" w:pos="851"/>
        </w:tabs>
        <w:jc w:val="center"/>
        <w:rPr>
          <w:rFonts w:ascii="Palatino Linotype" w:eastAsia="Palatino Linotype" w:hAnsi="Palatino Linotype" w:cs="Palatino Linotype"/>
        </w:rPr>
      </w:pPr>
      <w:r>
        <w:drawing>
          <wp:inline distT="0" distB="0" distL="0" distR="0" wp14:anchorId="637DD177" wp14:editId="6CD9BBFD">
            <wp:extent cx="3811219" cy="1792224"/>
            <wp:effectExtent l="0" t="0" r="0" b="0"/>
            <wp:docPr id="2" name="Chart 2">
              <a:extLst xmlns:a="http://schemas.openxmlformats.org/drawingml/2006/main">
                <a:ext uri="{FF2B5EF4-FFF2-40B4-BE49-F238E27FC236}">
                  <a16:creationId xmlns:a16="http://schemas.microsoft.com/office/drawing/2014/main" id="{CCB8DA61-F211-4037-BF62-98E8094B29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3673D" w:rsidRDefault="00A3673D" w:rsidP="00A3673D">
      <w:pPr>
        <w:tabs>
          <w:tab w:val="left" w:pos="425"/>
          <w:tab w:val="left" w:pos="851"/>
        </w:tabs>
        <w:jc w:val="center"/>
        <w:rPr>
          <w:rFonts w:ascii="Palatino Linotype" w:eastAsia="Palatino Linotype" w:hAnsi="Palatino Linotype" w:cs="Palatino Linotype"/>
        </w:rPr>
      </w:pPr>
      <w:r>
        <w:rPr>
          <w:rFonts w:ascii="Palatino Linotype" w:eastAsia="Palatino Linotype" w:hAnsi="Palatino Linotype" w:cs="Palatino Linotype"/>
          <w:i/>
          <w:sz w:val="18"/>
          <w:szCs w:val="18"/>
        </w:rPr>
        <w:t xml:space="preserve">Figure </w:t>
      </w:r>
      <w:r>
        <w:rPr>
          <w:rFonts w:ascii="Palatino Linotype" w:eastAsia="Palatino Linotype" w:hAnsi="Palatino Linotype" w:cs="Palatino Linotype"/>
          <w:i/>
          <w:sz w:val="18"/>
          <w:szCs w:val="18"/>
        </w:rPr>
        <w:t xml:space="preserve">2 </w:t>
      </w:r>
      <w:r w:rsidRPr="00A3673D">
        <w:rPr>
          <w:rFonts w:ascii="Palatino Linotype" w:eastAsia="Palatino Linotype" w:hAnsi="Palatino Linotype" w:cs="Palatino Linotype"/>
          <w:i/>
          <w:sz w:val="18"/>
          <w:szCs w:val="18"/>
        </w:rPr>
        <w:t>Correlation of sand grain size variation to hardness</w:t>
      </w:r>
    </w:p>
    <w:p w:rsidR="00A3673D" w:rsidRDefault="00A3673D" w:rsidP="00A16559">
      <w:pPr>
        <w:tabs>
          <w:tab w:val="left" w:pos="425"/>
          <w:tab w:val="left" w:pos="851"/>
        </w:tabs>
        <w:jc w:val="both"/>
        <w:rPr>
          <w:rFonts w:ascii="Palatino Linotype" w:eastAsia="Palatino Linotype" w:hAnsi="Palatino Linotype" w:cs="Palatino Linotype"/>
        </w:rPr>
      </w:pPr>
      <w:r>
        <w:rPr>
          <w:rFonts w:ascii="Palatino Linotype" w:eastAsia="Palatino Linotype" w:hAnsi="Palatino Linotype" w:cs="Palatino Linotype"/>
        </w:rPr>
        <w:tab/>
      </w:r>
    </w:p>
    <w:p w:rsidR="0061508C" w:rsidRDefault="00A3673D" w:rsidP="00A16559">
      <w:pPr>
        <w:tabs>
          <w:tab w:val="left" w:pos="425"/>
          <w:tab w:val="left" w:pos="851"/>
        </w:tabs>
        <w:jc w:val="both"/>
        <w:rPr>
          <w:rFonts w:ascii="Palatino Linotype" w:eastAsia="Palatino Linotype" w:hAnsi="Palatino Linotype" w:cs="Palatino Linotype"/>
        </w:rPr>
      </w:pPr>
      <w:r>
        <w:rPr>
          <w:rFonts w:ascii="Palatino Linotype" w:eastAsia="Palatino Linotype" w:hAnsi="Palatino Linotype" w:cs="Palatino Linotype"/>
        </w:rPr>
        <w:tab/>
      </w:r>
      <w:r w:rsidR="0061508C" w:rsidRPr="0061508C">
        <w:rPr>
          <w:rFonts w:ascii="Palatino Linotype" w:eastAsia="Palatino Linotype" w:hAnsi="Palatino Linotype" w:cs="Palatino Linotype"/>
        </w:rPr>
        <w:t xml:space="preserve">The correlation between sand grain variation and roughness is presented in Figure 3. The highest metal surface roughness is obtained at a grain size variation of 25 mesh. There is a correlation between the value of roughness and hardness. The increasing hardness value is linear to the roughness value. These results follow research conducted by </w:t>
      </w:r>
      <w:proofErr w:type="spellStart"/>
      <w:r w:rsidR="0061508C" w:rsidRPr="0061508C">
        <w:rPr>
          <w:rFonts w:ascii="Palatino Linotype" w:eastAsia="Palatino Linotype" w:hAnsi="Palatino Linotype" w:cs="Palatino Linotype"/>
        </w:rPr>
        <w:t>Sigit</w:t>
      </w:r>
      <w:proofErr w:type="spellEnd"/>
      <w:r w:rsidR="0061508C" w:rsidRPr="0061508C">
        <w:rPr>
          <w:rFonts w:ascii="Palatino Linotype" w:eastAsia="Palatino Linotype" w:hAnsi="Palatino Linotype" w:cs="Palatino Linotype"/>
        </w:rPr>
        <w:t xml:space="preserve"> </w:t>
      </w:r>
      <w:proofErr w:type="spellStart"/>
      <w:r w:rsidR="0061508C" w:rsidRPr="0061508C">
        <w:rPr>
          <w:rFonts w:ascii="Palatino Linotype" w:eastAsia="Palatino Linotype" w:hAnsi="Palatino Linotype" w:cs="Palatino Linotype"/>
        </w:rPr>
        <w:t>Gunawan</w:t>
      </w:r>
      <w:proofErr w:type="spellEnd"/>
      <w:r w:rsidR="0061508C" w:rsidRPr="0061508C">
        <w:rPr>
          <w:rFonts w:ascii="Palatino Linotype" w:eastAsia="Palatino Linotype" w:hAnsi="Palatino Linotype" w:cs="Palatino Linotype"/>
        </w:rPr>
        <w:t xml:space="preserve"> &amp; </w:t>
      </w:r>
      <w:proofErr w:type="spellStart"/>
      <w:r w:rsidR="0061508C" w:rsidRPr="0061508C">
        <w:rPr>
          <w:rFonts w:ascii="Palatino Linotype" w:eastAsia="Palatino Linotype" w:hAnsi="Palatino Linotype" w:cs="Palatino Linotype"/>
        </w:rPr>
        <w:t>Sigit</w:t>
      </w:r>
      <w:proofErr w:type="spellEnd"/>
      <w:r w:rsidR="0061508C" w:rsidRPr="0061508C">
        <w:rPr>
          <w:rFonts w:ascii="Palatino Linotype" w:eastAsia="Palatino Linotype" w:hAnsi="Palatino Linotype" w:cs="Palatino Linotype"/>
        </w:rPr>
        <w:t xml:space="preserve"> Budi Hartono </w:t>
      </w:r>
      <w:r w:rsidR="00A16559">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ADDIN CSL_CITATION {"citationItems":[{"id":"ITEM-1","itemData":{"abstract":"Penelitian ini bertujuan untuk mengetahui variasi ukuran besar butir pasir cetak terhadap kekerasan dan kekuatan tarik coran scrap aluminium piston sepeda motor. Aluminium merupakan logam yang ringan (berat jenis 2.56 kg/m3 atau 1/3 berat jenis tembaga) kekuatan tarik maksimum dalam keadaan dingin 17 – 20 kg/cm2 , dan titik cairnya 660ºC, sedangkan titik didihnya 1800°C. Variabel penelitian adalah besar butir pasir silika. Variasi besar butir pasir silika 140 mesh, 130 mesh, 120 mesh, 110 mesh, dan 100 mesh. Proses pengecoran dilakukan dengan cara mencairkan scrap aluminium piston sepeda motor, dilanjutkan dengan penuangan logam cair dalam cetakan pasir silika dengan tingkat kehalusan pasir 140 mesh, 130 mesh, 120 mesh, 110 mesh, dan 100 mesh. Hasil penelitian menunjukkan bahwa kenaikan kekasaran pasir silika menyebabkan kekerasan meningkat tetapi kekuatan tarik cenderung menurun. Kekerasan rata-rata tertinggi 84,90 HB pada 120 mesh, dan kekuatan tarik rata- rata tertinggi 14,92 kg/mm2 pada 130 mesh. Kata","author":[{"dropping-particle":"","family":"Sigit Gunawan","given":"","non-dropping-particle":"","parse-names":false,"suffix":""},{"dropping-particle":"","family":"Sigit Budi Hartono","given":"","non-dropping-particle":"","parse-names":false,"suffix":""}],"container-title":"Teknik Mesin","id":"ITEM-1","issue":"1","issued":{"date-parts":[["2015"]]},"page":"10-20","title":"Variasi Ukuran Pasir Cetak terhadap Kekerasan dan Kekuatan Tarik Coran Scrap Piston Sepeda Motor","type":"article-journal","volume":"15"},"uris":["http://www.mendeley.com/documents/?uuid=cf26a3b2-9c98-426e-9ced-b96d51ba83bd"]}],"mendeley":{"formattedCitation":"[16]","plainTextFormattedCitation":"[16]","previouslyFormattedCitation":"[16]"},"properties":{"noteIndex":0},"schema":"https://github.com/citation-style-language/schema/raw/master/csl-citation.json"}</w:instrText>
      </w:r>
      <w:r w:rsidR="00A16559">
        <w:rPr>
          <w:rFonts w:ascii="Palatino Linotype" w:eastAsia="Palatino Linotype" w:hAnsi="Palatino Linotype" w:cs="Palatino Linotype"/>
        </w:rPr>
        <w:fldChar w:fldCharType="separate"/>
      </w:r>
      <w:r w:rsidR="00A16559" w:rsidRPr="00A16559">
        <w:rPr>
          <w:rFonts w:ascii="Palatino Linotype" w:eastAsia="Palatino Linotype" w:hAnsi="Palatino Linotype" w:cs="Palatino Linotype"/>
          <w:noProof/>
        </w:rPr>
        <w:t>[16]</w:t>
      </w:r>
      <w:r w:rsidR="00A16559">
        <w:rPr>
          <w:rFonts w:ascii="Palatino Linotype" w:eastAsia="Palatino Linotype" w:hAnsi="Palatino Linotype" w:cs="Palatino Linotype"/>
        </w:rPr>
        <w:fldChar w:fldCharType="end"/>
      </w:r>
      <w:r w:rsidR="0061508C" w:rsidRPr="0061508C">
        <w:rPr>
          <w:rFonts w:ascii="Palatino Linotype" w:eastAsia="Palatino Linotype" w:hAnsi="Palatino Linotype" w:cs="Palatino Linotype"/>
        </w:rPr>
        <w:t xml:space="preserve">, the coarseness of silica sand causes the hardness to increase, but the tensile strength tends to decrease. Based on the quality of the metal surface roughness values and the hardness of the recycled sand, the variation of mesh size 25 is close to the quality of the castings using a new sand </w:t>
      </w:r>
      <w:proofErr w:type="spellStart"/>
      <w:r w:rsidR="0061508C" w:rsidRPr="0061508C">
        <w:rPr>
          <w:rFonts w:ascii="Palatino Linotype" w:eastAsia="Palatino Linotype" w:hAnsi="Palatino Linotype" w:cs="Palatino Linotype"/>
        </w:rPr>
        <w:t>mould</w:t>
      </w:r>
      <w:proofErr w:type="spellEnd"/>
      <w:r w:rsidR="0061508C" w:rsidRPr="0061508C">
        <w:rPr>
          <w:rFonts w:ascii="Palatino Linotype" w:eastAsia="Palatino Linotype" w:hAnsi="Palatino Linotype" w:cs="Palatino Linotype"/>
        </w:rPr>
        <w:t>.</w:t>
      </w:r>
    </w:p>
    <w:p w:rsidR="0061508C" w:rsidRDefault="0061508C" w:rsidP="00A16559">
      <w:pPr>
        <w:jc w:val="both"/>
        <w:rPr>
          <w:lang w:bidi="fa-IR"/>
        </w:rPr>
      </w:pPr>
    </w:p>
    <w:p w:rsidR="0061508C" w:rsidRDefault="0061508C" w:rsidP="0061508C">
      <w:pPr>
        <w:jc w:val="center"/>
        <w:rPr>
          <w:lang w:bidi="fa-IR"/>
        </w:rPr>
      </w:pPr>
      <w:r>
        <w:drawing>
          <wp:inline distT="0" distB="0" distL="0" distR="0" wp14:anchorId="28C24EA4" wp14:editId="414FC152">
            <wp:extent cx="3752697" cy="2048256"/>
            <wp:effectExtent l="0" t="0" r="635" b="0"/>
            <wp:docPr id="3" name="Chart 3">
              <a:extLst xmlns:a="http://schemas.openxmlformats.org/drawingml/2006/main">
                <a:ext uri="{FF2B5EF4-FFF2-40B4-BE49-F238E27FC236}">
                  <a16:creationId xmlns:a16="http://schemas.microsoft.com/office/drawing/2014/main" id="{436755D8-2235-47F9-8D48-8BBE054853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508C" w:rsidRPr="00057C5B" w:rsidRDefault="00A3673D" w:rsidP="0061508C">
      <w:pPr>
        <w:spacing w:line="276" w:lineRule="auto"/>
        <w:jc w:val="center"/>
        <w:rPr>
          <w:rFonts w:cstheme="minorHAnsi"/>
        </w:rPr>
      </w:pPr>
      <w:bookmarkStart w:id="2" w:name="_Hlk80173723"/>
      <w:r>
        <w:rPr>
          <w:rFonts w:ascii="Palatino Linotype" w:eastAsia="Palatino Linotype" w:hAnsi="Palatino Linotype" w:cs="Palatino Linotype"/>
          <w:i/>
          <w:sz w:val="18"/>
          <w:szCs w:val="18"/>
        </w:rPr>
        <w:t xml:space="preserve">Figure 2 </w:t>
      </w:r>
      <w:bookmarkEnd w:id="2"/>
      <w:r w:rsidRPr="00A3673D">
        <w:rPr>
          <w:rFonts w:ascii="Palatino Linotype" w:eastAsia="Palatino Linotype" w:hAnsi="Palatino Linotype" w:cs="Palatino Linotype"/>
          <w:i/>
          <w:sz w:val="18"/>
          <w:szCs w:val="18"/>
        </w:rPr>
        <w:t>Variation of sand grain size on metal surface roughness</w:t>
      </w:r>
    </w:p>
    <w:p w:rsidR="0061508C" w:rsidRDefault="0061508C" w:rsidP="0061508C">
      <w:pPr>
        <w:tabs>
          <w:tab w:val="left" w:pos="425"/>
          <w:tab w:val="left" w:pos="851"/>
        </w:tabs>
        <w:jc w:val="both"/>
        <w:rPr>
          <w:rFonts w:ascii="Palatino Linotype" w:eastAsia="Palatino Linotype" w:hAnsi="Palatino Linotype" w:cs="Palatino Linotype"/>
        </w:rPr>
      </w:pPr>
    </w:p>
    <w:p w:rsidR="00A3673D" w:rsidRDefault="00A3673D">
      <w:pPr>
        <w:rPr>
          <w:rFonts w:ascii="Palatino Linotype" w:eastAsia="Palatino Linotype" w:hAnsi="Palatino Linotype" w:cs="Palatino Linotype"/>
        </w:rPr>
      </w:pPr>
      <w:r>
        <w:rPr>
          <w:rFonts w:ascii="Palatino Linotype" w:eastAsia="Palatino Linotype" w:hAnsi="Palatino Linotype" w:cs="Palatino Linotype"/>
        </w:rPr>
        <w:br w:type="page"/>
      </w:r>
    </w:p>
    <w:p w:rsidR="001D2E96" w:rsidRDefault="00000000">
      <w:pPr>
        <w:tabs>
          <w:tab w:val="left" w:pos="425"/>
          <w:tab w:val="left" w:pos="851"/>
        </w:tabs>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lastRenderedPageBreak/>
        <w:t>4.</w:t>
      </w:r>
      <w:r>
        <w:rPr>
          <w:rFonts w:ascii="Palatino Linotype" w:eastAsia="Palatino Linotype" w:hAnsi="Palatino Linotype" w:cs="Palatino Linotype"/>
          <w:b/>
          <w:sz w:val="24"/>
          <w:szCs w:val="24"/>
        </w:rPr>
        <w:tab/>
      </w:r>
      <w:r w:rsidR="0061508C">
        <w:rPr>
          <w:rFonts w:ascii="Palatino Linotype" w:eastAsia="Palatino Linotype" w:hAnsi="Palatino Linotype" w:cs="Palatino Linotype"/>
          <w:b/>
          <w:sz w:val="24"/>
          <w:szCs w:val="24"/>
        </w:rPr>
        <w:t>CONCLUSION</w:t>
      </w:r>
    </w:p>
    <w:p w:rsidR="0061508C" w:rsidRPr="0061508C" w:rsidRDefault="0061508C" w:rsidP="0061508C">
      <w:pPr>
        <w:tabs>
          <w:tab w:val="left" w:pos="425"/>
          <w:tab w:val="left" w:pos="851"/>
        </w:tabs>
        <w:rPr>
          <w:rFonts w:ascii="Palatino Linotype" w:eastAsia="Palatino Linotype" w:hAnsi="Palatino Linotype" w:cs="Palatino Linotype"/>
        </w:rPr>
      </w:pPr>
      <w:r>
        <w:rPr>
          <w:rFonts w:ascii="Palatino Linotype" w:eastAsia="Palatino Linotype" w:hAnsi="Palatino Linotype" w:cs="Palatino Linotype"/>
          <w:b/>
        </w:rPr>
        <w:tab/>
      </w:r>
      <w:r w:rsidRPr="0061508C">
        <w:rPr>
          <w:rFonts w:ascii="Palatino Linotype" w:eastAsia="Palatino Linotype" w:hAnsi="Palatino Linotype" w:cs="Palatino Linotype"/>
        </w:rPr>
        <w:t xml:space="preserve">Based on the results of tests and analysis, the conclusions of this study are as follows: </w:t>
      </w:r>
    </w:p>
    <w:p w:rsidR="0061508C" w:rsidRPr="00A3673D" w:rsidRDefault="0061508C" w:rsidP="00A3673D">
      <w:pPr>
        <w:pStyle w:val="ListParagraph"/>
        <w:numPr>
          <w:ilvl w:val="0"/>
          <w:numId w:val="2"/>
        </w:numPr>
        <w:tabs>
          <w:tab w:val="left" w:pos="425"/>
          <w:tab w:val="left" w:pos="851"/>
        </w:tabs>
        <w:rPr>
          <w:rFonts w:ascii="Palatino Linotype" w:eastAsia="Palatino Linotype" w:hAnsi="Palatino Linotype" w:cs="Palatino Linotype"/>
        </w:rPr>
      </w:pPr>
      <w:r w:rsidRPr="00A3673D">
        <w:rPr>
          <w:rFonts w:ascii="Palatino Linotype" w:eastAsia="Palatino Linotype" w:hAnsi="Palatino Linotype" w:cs="Palatino Linotype"/>
        </w:rPr>
        <w:t xml:space="preserve">The result of SEM characterization shows that the three variations of the recycled sand grain size have the potential to be reused for metal casting. </w:t>
      </w:r>
    </w:p>
    <w:p w:rsidR="001D2E96" w:rsidRPr="00A3673D" w:rsidRDefault="0061508C" w:rsidP="00A3673D">
      <w:pPr>
        <w:pStyle w:val="ListParagraph"/>
        <w:numPr>
          <w:ilvl w:val="0"/>
          <w:numId w:val="2"/>
        </w:numPr>
        <w:tabs>
          <w:tab w:val="left" w:pos="425"/>
          <w:tab w:val="left" w:pos="851"/>
        </w:tabs>
        <w:jc w:val="both"/>
        <w:rPr>
          <w:rFonts w:ascii="Palatino Linotype" w:eastAsia="Palatino Linotype" w:hAnsi="Palatino Linotype" w:cs="Palatino Linotype"/>
        </w:rPr>
      </w:pPr>
      <w:r w:rsidRPr="00A3673D">
        <w:rPr>
          <w:rFonts w:ascii="Palatino Linotype" w:eastAsia="Palatino Linotype" w:hAnsi="Palatino Linotype" w:cs="Palatino Linotype"/>
        </w:rPr>
        <w:t xml:space="preserve">The quality of the metal surface roughness and the hardness of the recycled sand with a mesh size variation of 25 is close to the quality of the castings using a new sand </w:t>
      </w:r>
      <w:proofErr w:type="spellStart"/>
      <w:r w:rsidRPr="00A3673D">
        <w:rPr>
          <w:rFonts w:ascii="Palatino Linotype" w:eastAsia="Palatino Linotype" w:hAnsi="Palatino Linotype" w:cs="Palatino Linotype"/>
        </w:rPr>
        <w:t>mould</w:t>
      </w:r>
      <w:proofErr w:type="spellEnd"/>
      <w:r w:rsidRPr="00A3673D">
        <w:rPr>
          <w:rFonts w:ascii="Palatino Linotype" w:eastAsia="Palatino Linotype" w:hAnsi="Palatino Linotype" w:cs="Palatino Linotype"/>
        </w:rPr>
        <w:t>.</w:t>
      </w:r>
      <w:r w:rsidRPr="00A3673D">
        <w:rPr>
          <w:rFonts w:ascii="Palatino Linotype" w:eastAsia="Palatino Linotype" w:hAnsi="Palatino Linotype" w:cs="Palatino Linotype"/>
        </w:rPr>
        <w:t xml:space="preserve"> </w:t>
      </w:r>
    </w:p>
    <w:p w:rsidR="001D2E96" w:rsidRDefault="001D2E96">
      <w:pPr>
        <w:tabs>
          <w:tab w:val="left" w:pos="425"/>
          <w:tab w:val="left" w:pos="851"/>
        </w:tabs>
        <w:spacing w:line="235" w:lineRule="auto"/>
        <w:jc w:val="both"/>
        <w:rPr>
          <w:rFonts w:ascii="Palatino Linotype" w:eastAsia="Palatino Linotype" w:hAnsi="Palatino Linotype" w:cs="Palatino Linotype"/>
          <w:b/>
          <w:smallCaps/>
          <w:color w:val="000000"/>
          <w:sz w:val="24"/>
          <w:szCs w:val="24"/>
        </w:rPr>
      </w:pPr>
    </w:p>
    <w:p w:rsidR="001D2E96" w:rsidRDefault="00000000">
      <w:pPr>
        <w:tabs>
          <w:tab w:val="left" w:pos="425"/>
          <w:tab w:val="left" w:pos="851"/>
        </w:tabs>
        <w:spacing w:line="235" w:lineRule="auto"/>
        <w:jc w:val="both"/>
        <w:rPr>
          <w:rFonts w:ascii="Palatino Linotype" w:eastAsia="Palatino Linotype" w:hAnsi="Palatino Linotype" w:cs="Palatino Linotype"/>
          <w:b/>
          <w:smallCaps/>
          <w:color w:val="000000"/>
          <w:sz w:val="24"/>
          <w:szCs w:val="24"/>
        </w:rPr>
      </w:pPr>
      <w:r>
        <w:rPr>
          <w:rFonts w:ascii="Palatino Linotype" w:eastAsia="Palatino Linotype" w:hAnsi="Palatino Linotype" w:cs="Palatino Linotype"/>
          <w:b/>
          <w:smallCaps/>
          <w:color w:val="000000"/>
          <w:sz w:val="24"/>
          <w:szCs w:val="24"/>
        </w:rPr>
        <w:t>REFERENCES</w:t>
      </w:r>
    </w:p>
    <w:p w:rsidR="00A3673D" w:rsidRDefault="00A3673D">
      <w:pPr>
        <w:tabs>
          <w:tab w:val="left" w:pos="425"/>
          <w:tab w:val="left" w:pos="851"/>
        </w:tabs>
        <w:spacing w:line="235" w:lineRule="auto"/>
        <w:jc w:val="both"/>
        <w:rPr>
          <w:rFonts w:ascii="Palatino Linotype" w:eastAsia="Palatino Linotype" w:hAnsi="Palatino Linotype" w:cs="Palatino Linotype"/>
          <w:b/>
          <w:smallCaps/>
          <w:color w:val="000000"/>
          <w:sz w:val="24"/>
          <w:szCs w:val="24"/>
        </w:rPr>
      </w:pP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eastAsia="Palatino Linotype" w:hAnsi="Palatino Linotype" w:cs="Palatino Linotype"/>
          <w:b/>
          <w:smallCaps/>
          <w:color w:val="000000"/>
        </w:rPr>
        <w:fldChar w:fldCharType="begin" w:fldLock="1"/>
      </w:r>
      <w:r w:rsidRPr="00A3673D">
        <w:rPr>
          <w:rFonts w:ascii="Palatino Linotype" w:eastAsia="Palatino Linotype" w:hAnsi="Palatino Linotype" w:cs="Palatino Linotype"/>
          <w:b/>
          <w:smallCaps/>
          <w:color w:val="000000"/>
        </w:rPr>
        <w:instrText xml:space="preserve">ADDIN Mendeley Bibliography CSL_BIBLIOGRAPHY </w:instrText>
      </w:r>
      <w:r w:rsidRPr="00A3673D">
        <w:rPr>
          <w:rFonts w:ascii="Palatino Linotype" w:eastAsia="Palatino Linotype" w:hAnsi="Palatino Linotype" w:cs="Palatino Linotype"/>
          <w:b/>
          <w:smallCaps/>
          <w:color w:val="000000"/>
        </w:rPr>
        <w:fldChar w:fldCharType="separate"/>
      </w:r>
      <w:r w:rsidRPr="00A3673D">
        <w:rPr>
          <w:rFonts w:ascii="Palatino Linotype" w:hAnsi="Palatino Linotype"/>
          <w:noProof/>
        </w:rPr>
        <w:t>[1]</w:t>
      </w:r>
      <w:r w:rsidRPr="00A3673D">
        <w:rPr>
          <w:rFonts w:ascii="Palatino Linotype" w:hAnsi="Palatino Linotype"/>
          <w:noProof/>
        </w:rPr>
        <w:tab/>
        <w:t>D. Haryono, “Pengaruh Jenis Pasir Cetakan Terhadap Produk Pengecoran Aluminium Dengan Metode Lost Foam Casting,” Universitas Muhammadiyah Surakarta, 2019.</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[2]</w:t>
      </w:r>
      <w:r w:rsidRPr="00A3673D">
        <w:rPr>
          <w:rFonts w:ascii="Palatino Linotype" w:hAnsi="Palatino Linotype"/>
          <w:noProof/>
        </w:rPr>
        <w:tab/>
        <w:t xml:space="preserve">J. Mitterpach, E. Hroncov, J. Ladomerský, and K. Balco, “Environmental evaluation of grey cast iron via life cycle assessment,” </w:t>
      </w:r>
      <w:r w:rsidRPr="00A3673D">
        <w:rPr>
          <w:rFonts w:ascii="Palatino Linotype" w:hAnsi="Palatino Linotype"/>
          <w:i/>
          <w:iCs/>
          <w:noProof/>
        </w:rPr>
        <w:t>J. Clean. Prod. J.</w:t>
      </w:r>
      <w:r w:rsidRPr="00A3673D">
        <w:rPr>
          <w:rFonts w:ascii="Palatino Linotype" w:hAnsi="Palatino Linotype"/>
          <w:noProof/>
        </w:rPr>
        <w:t>, vol. 148, pp. 324–335, 2017, doi: 10.1016/j.jclepro.2017.02.023.</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[3]</w:t>
      </w:r>
      <w:r w:rsidRPr="00A3673D">
        <w:rPr>
          <w:rFonts w:ascii="Palatino Linotype" w:hAnsi="Palatino Linotype"/>
          <w:noProof/>
        </w:rPr>
        <w:tab/>
        <w:t xml:space="preserve">M. M. Khan, M. Singh, S. M. Mahajani, G. N. Jadhav, and S. Mandre, “Reclamation of used Green Sand in small scale foundries Authors:,” </w:t>
      </w:r>
      <w:r w:rsidRPr="00A3673D">
        <w:rPr>
          <w:rFonts w:ascii="Palatino Linotype" w:hAnsi="Palatino Linotype"/>
          <w:i/>
          <w:iCs/>
          <w:noProof/>
        </w:rPr>
        <w:t>J. Mater. Process. Tech.</w:t>
      </w:r>
      <w:r w:rsidRPr="00A3673D">
        <w:rPr>
          <w:rFonts w:ascii="Palatino Linotype" w:hAnsi="Palatino Linotype"/>
          <w:noProof/>
        </w:rPr>
        <w:t>, pp. 1–35, 2018, doi: 10.1016/j.jmatprotec.2018.01.005.</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[4]</w:t>
      </w:r>
      <w:r w:rsidRPr="00A3673D">
        <w:rPr>
          <w:rFonts w:ascii="Palatino Linotype" w:hAnsi="Palatino Linotype"/>
          <w:noProof/>
        </w:rPr>
        <w:tab/>
        <w:t xml:space="preserve">R. Siddique and G. Singh, “Resources , Conservation and Recycling Utilization of waste foundry sand ( WFS ) in concrete manufacturing,” </w:t>
      </w:r>
      <w:r w:rsidRPr="00A3673D">
        <w:rPr>
          <w:rFonts w:ascii="Palatino Linotype" w:hAnsi="Palatino Linotype"/>
          <w:i/>
          <w:iCs/>
          <w:noProof/>
        </w:rPr>
        <w:t>"Resources, Conserv. Recycl.</w:t>
      </w:r>
      <w:r w:rsidRPr="00A3673D">
        <w:rPr>
          <w:rFonts w:ascii="Palatino Linotype" w:hAnsi="Palatino Linotype"/>
          <w:noProof/>
        </w:rPr>
        <w:t>, vol. 55, no. 11, pp. 885–892, 2011, doi: 10.1016/j.resconrec.2011.05.001.</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[5]</w:t>
      </w:r>
      <w:r w:rsidRPr="00A3673D">
        <w:rPr>
          <w:rFonts w:ascii="Palatino Linotype" w:hAnsi="Palatino Linotype"/>
          <w:noProof/>
        </w:rPr>
        <w:tab/>
        <w:t>A. Coz, J. R. Viguri, and A. Andrés, “Recycling of foundry by-products in the ceramic industry</w:t>
      </w:r>
      <w:r w:rsidRPr="00A3673D">
        <w:rPr>
          <w:noProof/>
        </w:rPr>
        <w:t> </w:t>
      </w:r>
      <w:r w:rsidRPr="00A3673D">
        <w:rPr>
          <w:rFonts w:ascii="Palatino Linotype" w:hAnsi="Palatino Linotype"/>
          <w:noProof/>
        </w:rPr>
        <w:t xml:space="preserve">: Green and core sand in clay bricks,” </w:t>
      </w:r>
      <w:r w:rsidRPr="00A3673D">
        <w:rPr>
          <w:rFonts w:ascii="Palatino Linotype" w:hAnsi="Palatino Linotype"/>
          <w:i/>
          <w:iCs/>
          <w:noProof/>
        </w:rPr>
        <w:t>Constr. Build. Mater.</w:t>
      </w:r>
      <w:r w:rsidRPr="00A3673D">
        <w:rPr>
          <w:rFonts w:ascii="Palatino Linotype" w:hAnsi="Palatino Linotype"/>
          <w:noProof/>
        </w:rPr>
        <w:t>, vol. 27, no. 1, pp. 97–106, 2012, doi: 10.1016/j.conbuildmat.2011.08.022.</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[6]</w:t>
      </w:r>
      <w:r w:rsidRPr="00A3673D">
        <w:rPr>
          <w:rFonts w:ascii="Palatino Linotype" w:hAnsi="Palatino Linotype"/>
          <w:noProof/>
        </w:rPr>
        <w:tab/>
        <w:t xml:space="preserve">G. S. Patange, M. P. Khond, H. J. Rathod, and K. B. Chhadva, “Investigation of foundry waste sand reclamation process for small and medium scale indian foundry,” </w:t>
      </w:r>
      <w:r w:rsidRPr="00A3673D">
        <w:rPr>
          <w:rFonts w:ascii="Palatino Linotype" w:hAnsi="Palatino Linotype"/>
          <w:i/>
          <w:iCs/>
          <w:noProof/>
        </w:rPr>
        <w:t>Int. J. Ind. Eng. Technol.</w:t>
      </w:r>
      <w:r w:rsidRPr="00A3673D">
        <w:rPr>
          <w:rFonts w:ascii="Palatino Linotype" w:hAnsi="Palatino Linotype"/>
          <w:noProof/>
        </w:rPr>
        <w:t>, vol. 3, no. 1, pp. 1–6, 2013.</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[7]</w:t>
      </w:r>
      <w:r w:rsidRPr="00A3673D">
        <w:rPr>
          <w:rFonts w:ascii="Palatino Linotype" w:hAnsi="Palatino Linotype"/>
          <w:noProof/>
        </w:rPr>
        <w:tab/>
        <w:t xml:space="preserve">A. Ghosh, “Modern Sand Reclamation Technologies for Economy , Environment Friendliness and Energy Efficiency,” in </w:t>
      </w:r>
      <w:r w:rsidRPr="00A3673D">
        <w:rPr>
          <w:rFonts w:ascii="Palatino Linotype" w:hAnsi="Palatino Linotype"/>
          <w:i/>
          <w:iCs/>
          <w:noProof/>
        </w:rPr>
        <w:t>Transactions of 61st Indian Foundry Congress</w:t>
      </w:r>
      <w:r w:rsidRPr="00A3673D">
        <w:rPr>
          <w:rFonts w:ascii="Palatino Linotype" w:hAnsi="Palatino Linotype"/>
          <w:noProof/>
        </w:rPr>
        <w:t>, 2013, pp. 1–5.</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[8]</w:t>
      </w:r>
      <w:r w:rsidRPr="00A3673D">
        <w:rPr>
          <w:rFonts w:ascii="Palatino Linotype" w:hAnsi="Palatino Linotype"/>
          <w:noProof/>
        </w:rPr>
        <w:tab/>
        <w:t xml:space="preserve">M. Stachowicz and K. Granat, “Possibilities of reclamation microwave-hardened molding sands with water glass,” </w:t>
      </w:r>
      <w:r w:rsidRPr="00A3673D">
        <w:rPr>
          <w:rFonts w:ascii="Palatino Linotype" w:hAnsi="Palatino Linotype"/>
          <w:i/>
          <w:iCs/>
          <w:noProof/>
        </w:rPr>
        <w:t>Arch. Metall. Mater.</w:t>
      </w:r>
      <w:r w:rsidRPr="00A3673D">
        <w:rPr>
          <w:rFonts w:ascii="Palatino Linotype" w:hAnsi="Palatino Linotype"/>
          <w:noProof/>
        </w:rPr>
        <w:t>, vol. 59, no. 2, pp. 757–760, 2014, doi: 10.2478/amm-2014-0127.</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[9]</w:t>
      </w:r>
      <w:r w:rsidRPr="00A3673D">
        <w:rPr>
          <w:rFonts w:ascii="Palatino Linotype" w:hAnsi="Palatino Linotype"/>
          <w:noProof/>
        </w:rPr>
        <w:tab/>
        <w:t xml:space="preserve">D. F. Undayat, C. Ruskandi, and M. N. Hidajatullah, “Perancangan Sistem Daur Ulang Pasir Pada Industri Pengecoran Logam Skala Kecil Untuk Peningkatan Efisiensi Biaya Dan Pengurangan Limbah,” </w:t>
      </w:r>
      <w:r w:rsidRPr="00A3673D">
        <w:rPr>
          <w:rFonts w:ascii="Palatino Linotype" w:hAnsi="Palatino Linotype"/>
          <w:i/>
          <w:iCs/>
          <w:noProof/>
        </w:rPr>
        <w:t>J. Teknol. Terap. |</w:t>
      </w:r>
      <w:r w:rsidRPr="00A3673D">
        <w:rPr>
          <w:rFonts w:ascii="Palatino Linotype" w:hAnsi="Palatino Linotype"/>
          <w:noProof/>
        </w:rPr>
        <w:t>, vol. 4, no. 1, pp. 55–62, 2018.</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[10]</w:t>
      </w:r>
      <w:r w:rsidRPr="00A3673D">
        <w:rPr>
          <w:rFonts w:ascii="Palatino Linotype" w:hAnsi="Palatino Linotype"/>
          <w:noProof/>
        </w:rPr>
        <w:tab/>
        <w:t xml:space="preserve">D. R. Patel, M. V. Oza, and M. V. Pandya, “Reclamation of Sodium Silicate Bonded CO 2 Sand by Detergent Wash Method,” </w:t>
      </w:r>
      <w:r w:rsidRPr="00A3673D">
        <w:rPr>
          <w:rFonts w:ascii="Palatino Linotype" w:hAnsi="Palatino Linotype"/>
          <w:i/>
          <w:iCs/>
          <w:noProof/>
        </w:rPr>
        <w:t>Int. J. Eng. Technol. Manag. Appl. Sci.</w:t>
      </w:r>
      <w:r w:rsidRPr="00A3673D">
        <w:rPr>
          <w:rFonts w:ascii="Palatino Linotype" w:hAnsi="Palatino Linotype"/>
          <w:noProof/>
        </w:rPr>
        <w:t>, vol. 3, no. Special Issue, pp. 156–161, 2015.</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[11]</w:t>
      </w:r>
      <w:r w:rsidRPr="00A3673D">
        <w:rPr>
          <w:rFonts w:ascii="Palatino Linotype" w:hAnsi="Palatino Linotype"/>
          <w:noProof/>
        </w:rPr>
        <w:tab/>
        <w:t xml:space="preserve">W. A. Saputra, M. Balfas, and M. H. Asiri, “Analisis Kekerasan Coran Aluminium dengan Variasi Besar Butir Pasir Cetak,” </w:t>
      </w:r>
      <w:r w:rsidRPr="00A3673D">
        <w:rPr>
          <w:rFonts w:ascii="Palatino Linotype" w:hAnsi="Palatino Linotype"/>
          <w:i/>
          <w:iCs/>
          <w:noProof/>
        </w:rPr>
        <w:t>Teknologi</w:t>
      </w:r>
      <w:r w:rsidRPr="00A3673D">
        <w:rPr>
          <w:rFonts w:ascii="Palatino Linotype" w:hAnsi="Palatino Linotype"/>
          <w:noProof/>
        </w:rPr>
        <w:t>, vol. 18, no. 1, pp. 1–5, 2018.</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[12]</w:t>
      </w:r>
      <w:r w:rsidRPr="00A3673D">
        <w:rPr>
          <w:rFonts w:ascii="Palatino Linotype" w:hAnsi="Palatino Linotype"/>
          <w:noProof/>
        </w:rPr>
        <w:tab/>
        <w:t xml:space="preserve">N. Ahmadi, “Effects Of Grains Size And Sandblasting Duration To The Surface Hardness Of The Casting Product,” in </w:t>
      </w:r>
      <w:r w:rsidRPr="00A3673D">
        <w:rPr>
          <w:rFonts w:ascii="Palatino Linotype" w:hAnsi="Palatino Linotype"/>
          <w:i/>
          <w:iCs/>
          <w:noProof/>
        </w:rPr>
        <w:t>Prosiding Seminar Nasional Teknologi Informasi dan Kedirgantaraan</w:t>
      </w:r>
      <w:r w:rsidRPr="00A3673D">
        <w:rPr>
          <w:i/>
          <w:iCs/>
          <w:noProof/>
        </w:rPr>
        <w:t> </w:t>
      </w:r>
      <w:r w:rsidRPr="00A3673D">
        <w:rPr>
          <w:rFonts w:ascii="Palatino Linotype" w:hAnsi="Palatino Linotype"/>
          <w:i/>
          <w:iCs/>
          <w:noProof/>
        </w:rPr>
        <w:t>: Transformasi Teknologi untuk Mendukung Ketahanan Nasional</w:t>
      </w:r>
      <w:r w:rsidRPr="00A3673D">
        <w:rPr>
          <w:rFonts w:ascii="Palatino Linotype" w:hAnsi="Palatino Linotype"/>
          <w:noProof/>
        </w:rPr>
        <w:t>, 2018, vol. IV, pp. 1–6.</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[13]</w:t>
      </w:r>
      <w:r w:rsidRPr="00A3673D">
        <w:rPr>
          <w:rFonts w:ascii="Palatino Linotype" w:hAnsi="Palatino Linotype"/>
          <w:noProof/>
        </w:rPr>
        <w:tab/>
        <w:t xml:space="preserve">M. I. Z. Muttahar </w:t>
      </w:r>
      <w:r w:rsidRPr="00A3673D">
        <w:rPr>
          <w:rFonts w:ascii="Palatino Linotype" w:hAnsi="Palatino Linotype"/>
          <w:i/>
          <w:iCs/>
          <w:noProof/>
        </w:rPr>
        <w:t>et al.</w:t>
      </w:r>
      <w:r w:rsidRPr="00A3673D">
        <w:rPr>
          <w:rFonts w:ascii="Palatino Linotype" w:hAnsi="Palatino Linotype"/>
          <w:noProof/>
        </w:rPr>
        <w:t xml:space="preserve">, “Pengaruh Cetakan Pasir Daur Ulang Berpengikat Waterglass Terhadap Permukaan Logam Hasil Pengecoran,” </w:t>
      </w:r>
      <w:r w:rsidRPr="00A3673D">
        <w:rPr>
          <w:rFonts w:ascii="Palatino Linotype" w:hAnsi="Palatino Linotype"/>
          <w:i/>
          <w:iCs/>
          <w:noProof/>
        </w:rPr>
        <w:t>Flywheel J. Tek. Mesin Untirta</w:t>
      </w:r>
      <w:r w:rsidRPr="00A3673D">
        <w:rPr>
          <w:rFonts w:ascii="Palatino Linotype" w:hAnsi="Palatino Linotype"/>
          <w:noProof/>
        </w:rPr>
        <w:t>, vol. IV, no. 1, pp. 39–44, 2018.</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[14]</w:t>
      </w:r>
      <w:r w:rsidRPr="00A3673D">
        <w:rPr>
          <w:rFonts w:ascii="Palatino Linotype" w:hAnsi="Palatino Linotype"/>
          <w:noProof/>
        </w:rPr>
        <w:tab/>
        <w:t xml:space="preserve">S. I. Khasanah, N. R. Sesunan, and H. Abdillah, “Study of the Reclamation of Waste CO 2 Moulding Sand in Foundry Industry,” </w:t>
      </w:r>
      <w:r w:rsidRPr="00A3673D">
        <w:rPr>
          <w:rFonts w:ascii="Palatino Linotype" w:hAnsi="Palatino Linotype"/>
          <w:i/>
          <w:iCs/>
          <w:noProof/>
        </w:rPr>
        <w:t>Int. J. Emerg. Trends Eng. Res.</w:t>
      </w:r>
      <w:r w:rsidRPr="00A3673D">
        <w:rPr>
          <w:rFonts w:ascii="Palatino Linotype" w:hAnsi="Palatino Linotype"/>
          <w:noProof/>
        </w:rPr>
        <w:t>, vol. 8, no. 9, pp. 5454–5459, 2020.</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[15]</w:t>
      </w:r>
      <w:r w:rsidRPr="00A3673D">
        <w:rPr>
          <w:rFonts w:ascii="Palatino Linotype" w:hAnsi="Palatino Linotype"/>
          <w:noProof/>
        </w:rPr>
        <w:tab/>
        <w:t xml:space="preserve">S. J. Siagian, I. K. Gede, C. Istri, and P. Kusuma, “Pengaruh Permeabilitas Cetakan Pasir dan Penambahan Silikon ( Si ) pada Proses Pengecoran Terhadap Kekerasan , Porositas dan Struktur Mikro Alumunium Silikon ( Al-Si ),” </w:t>
      </w:r>
      <w:r w:rsidRPr="00A3673D">
        <w:rPr>
          <w:rFonts w:ascii="Palatino Linotype" w:hAnsi="Palatino Linotype"/>
          <w:i/>
          <w:iCs/>
          <w:noProof/>
        </w:rPr>
        <w:t>J. Ilm. Tek. Desain Mek.</w:t>
      </w:r>
      <w:r w:rsidRPr="00A3673D">
        <w:rPr>
          <w:rFonts w:ascii="Palatino Linotype" w:hAnsi="Palatino Linotype"/>
          <w:noProof/>
        </w:rPr>
        <w:t>, vol. 6, no. 4, pp. 305–310, 2017.</w:t>
      </w:r>
    </w:p>
    <w:p w:rsidR="00A3673D" w:rsidRPr="00A3673D" w:rsidRDefault="00A3673D" w:rsidP="00A3673D">
      <w:pPr>
        <w:widowControl w:val="0"/>
        <w:autoSpaceDE w:val="0"/>
        <w:autoSpaceDN w:val="0"/>
        <w:adjustRightInd w:val="0"/>
        <w:ind w:left="640" w:hanging="640"/>
        <w:jc w:val="both"/>
        <w:rPr>
          <w:rFonts w:ascii="Palatino Linotype" w:hAnsi="Palatino Linotype"/>
          <w:noProof/>
        </w:rPr>
      </w:pPr>
      <w:r w:rsidRPr="00A3673D">
        <w:rPr>
          <w:rFonts w:ascii="Palatino Linotype" w:hAnsi="Palatino Linotype"/>
          <w:noProof/>
        </w:rPr>
        <w:t>[16]</w:t>
      </w:r>
      <w:r w:rsidRPr="00A3673D">
        <w:rPr>
          <w:rFonts w:ascii="Palatino Linotype" w:hAnsi="Palatino Linotype"/>
          <w:noProof/>
        </w:rPr>
        <w:tab/>
        <w:t xml:space="preserve">Sigit Gunawan and Sigit Budi Hartono, “Variasi Ukuran Pasir Cetak terhadap Kekerasan dan Kekuatan Tarik Coran Scrap Piston Sepeda Motor,” </w:t>
      </w:r>
      <w:r w:rsidRPr="00A3673D">
        <w:rPr>
          <w:rFonts w:ascii="Palatino Linotype" w:hAnsi="Palatino Linotype"/>
          <w:i/>
          <w:iCs/>
          <w:noProof/>
        </w:rPr>
        <w:t>Tek. Mesin</w:t>
      </w:r>
      <w:r w:rsidRPr="00A3673D">
        <w:rPr>
          <w:rFonts w:ascii="Palatino Linotype" w:hAnsi="Palatino Linotype"/>
          <w:noProof/>
        </w:rPr>
        <w:t>, vol. 15, no. 1, pp. 10–20, 2015.</w:t>
      </w:r>
    </w:p>
    <w:p w:rsidR="00A3673D" w:rsidRPr="00A3673D" w:rsidRDefault="00A3673D" w:rsidP="00A3673D">
      <w:pPr>
        <w:tabs>
          <w:tab w:val="left" w:pos="425"/>
          <w:tab w:val="left" w:pos="851"/>
        </w:tabs>
        <w:spacing w:line="235" w:lineRule="auto"/>
        <w:jc w:val="both"/>
        <w:rPr>
          <w:rFonts w:ascii="Palatino Linotype" w:eastAsia="Palatino Linotype" w:hAnsi="Palatino Linotype" w:cs="Palatino Linotype"/>
          <w:b/>
          <w:smallCaps/>
          <w:color w:val="000000"/>
        </w:rPr>
      </w:pPr>
      <w:r w:rsidRPr="00A3673D">
        <w:rPr>
          <w:rFonts w:ascii="Palatino Linotype" w:eastAsia="Palatino Linotype" w:hAnsi="Palatino Linotype" w:cs="Palatino Linotype"/>
          <w:b/>
          <w:smallCaps/>
          <w:color w:val="000000"/>
        </w:rPr>
        <w:fldChar w:fldCharType="end"/>
      </w:r>
    </w:p>
    <w:sectPr w:rsidR="00A3673D" w:rsidRPr="00A3673D">
      <w:type w:val="continuous"/>
      <w:pgSz w:w="11907" w:h="16839"/>
      <w:pgMar w:top="1134" w:right="1134" w:bottom="1134" w:left="1418" w:header="567"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EE5" w:rsidRDefault="00B03EE5">
      <w:r>
        <w:separator/>
      </w:r>
    </w:p>
  </w:endnote>
  <w:endnote w:type="continuationSeparator" w:id="0">
    <w:p w:rsidR="00B03EE5" w:rsidRDefault="00B0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E96" w:rsidRDefault="001D2E96">
    <w:pPr>
      <w:widowControl w:val="0"/>
      <w:pBdr>
        <w:top w:val="nil"/>
        <w:left w:val="nil"/>
        <w:bottom w:val="nil"/>
        <w:right w:val="nil"/>
        <w:between w:val="nil"/>
      </w:pBdr>
      <w:spacing w:line="276" w:lineRule="auto"/>
      <w:rPr>
        <w:color w:val="000000"/>
      </w:rPr>
    </w:pPr>
  </w:p>
  <w:tbl>
    <w:tblPr>
      <w:tblStyle w:val="ae"/>
      <w:tblW w:w="93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8492"/>
    </w:tblGrid>
    <w:tr w:rsidR="001D2E96">
      <w:tc>
        <w:tcPr>
          <w:tcW w:w="823" w:type="dxa"/>
          <w:tcBorders>
            <w:top w:val="single" w:sz="4" w:space="0" w:color="943634"/>
          </w:tcBorders>
          <w:shd w:val="clear" w:color="auto" w:fill="943634"/>
        </w:tcPr>
        <w:p w:rsidR="001D2E96" w:rsidRDefault="00000000">
          <w:pPr>
            <w:pBdr>
              <w:top w:val="nil"/>
              <w:left w:val="nil"/>
              <w:bottom w:val="nil"/>
              <w:right w:val="nil"/>
              <w:between w:val="nil"/>
            </w:pBdr>
            <w:tabs>
              <w:tab w:val="center" w:pos="4680"/>
              <w:tab w:val="right" w:pos="9360"/>
            </w:tabs>
            <w:jc w:val="right"/>
            <w:rPr>
              <w:b/>
              <w:color w:val="FFFFFF"/>
            </w:rPr>
          </w:pPr>
          <w:r>
            <w:rPr>
              <w:color w:val="000000"/>
            </w:rPr>
            <w:fldChar w:fldCharType="begin"/>
          </w:r>
          <w:r>
            <w:rPr>
              <w:color w:val="000000"/>
            </w:rPr>
            <w:instrText>PAGE</w:instrText>
          </w:r>
          <w:r>
            <w:rPr>
              <w:color w:val="000000"/>
            </w:rPr>
            <w:fldChar w:fldCharType="separate"/>
          </w:r>
          <w:r w:rsidR="00544E9C">
            <w:rPr>
              <w:noProof/>
              <w:color w:val="000000"/>
            </w:rPr>
            <w:t>2</w:t>
          </w:r>
          <w:r>
            <w:rPr>
              <w:color w:val="000000"/>
            </w:rPr>
            <w:fldChar w:fldCharType="end"/>
          </w:r>
        </w:p>
      </w:tc>
      <w:tc>
        <w:tcPr>
          <w:tcW w:w="8492" w:type="dxa"/>
          <w:tcBorders>
            <w:top w:val="single" w:sz="4" w:space="0" w:color="000000"/>
          </w:tcBorders>
        </w:tcPr>
        <w:p w:rsidR="001D2E96" w:rsidRDefault="00000000">
          <w:pPr>
            <w:pBdr>
              <w:top w:val="nil"/>
              <w:left w:val="nil"/>
              <w:bottom w:val="nil"/>
              <w:right w:val="nil"/>
              <w:between w:val="nil"/>
            </w:pBdr>
            <w:tabs>
              <w:tab w:val="center" w:pos="4680"/>
              <w:tab w:val="right" w:pos="9360"/>
            </w:tabs>
            <w:jc w:val="right"/>
            <w:rPr>
              <w:color w:val="000000"/>
            </w:rPr>
          </w:pPr>
          <w:r>
            <w:rPr>
              <w:b/>
              <w:color w:val="000000"/>
            </w:rPr>
            <w:t xml:space="preserve">JMPM Vol. (xx), No. (xx), </w:t>
          </w:r>
          <w:proofErr w:type="spellStart"/>
          <w:r>
            <w:rPr>
              <w:b/>
              <w:color w:val="000000"/>
            </w:rPr>
            <w:t>Tahun</w:t>
          </w:r>
          <w:proofErr w:type="spellEnd"/>
          <w:r>
            <w:rPr>
              <w:b/>
              <w:color w:val="000000"/>
            </w:rPr>
            <w:t xml:space="preserve"> (</w:t>
          </w:r>
          <w:proofErr w:type="spellStart"/>
          <w:r>
            <w:rPr>
              <w:b/>
              <w:color w:val="000000"/>
            </w:rPr>
            <w:t>xxxx</w:t>
          </w:r>
          <w:proofErr w:type="spellEnd"/>
          <w:r>
            <w:rPr>
              <w:b/>
              <w:color w:val="000000"/>
            </w:rPr>
            <w:t xml:space="preserve">), pp (xx-xx) </w:t>
          </w:r>
        </w:p>
      </w:tc>
    </w:tr>
  </w:tbl>
  <w:p w:rsidR="001D2E96" w:rsidRDefault="001D2E9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E96" w:rsidRDefault="001D2E96">
    <w:pPr>
      <w:widowControl w:val="0"/>
      <w:pBdr>
        <w:top w:val="nil"/>
        <w:left w:val="nil"/>
        <w:bottom w:val="nil"/>
        <w:right w:val="nil"/>
        <w:between w:val="nil"/>
      </w:pBdr>
      <w:spacing w:line="276" w:lineRule="auto"/>
      <w:rPr>
        <w:color w:val="000000"/>
      </w:rPr>
    </w:pPr>
  </w:p>
  <w:tbl>
    <w:tblPr>
      <w:tblStyle w:val="af0"/>
      <w:tblW w:w="9299"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5"/>
      <w:gridCol w:w="824"/>
    </w:tblGrid>
    <w:tr w:rsidR="001D2E96">
      <w:tc>
        <w:tcPr>
          <w:tcW w:w="8475" w:type="dxa"/>
          <w:tcBorders>
            <w:top w:val="single" w:sz="4" w:space="0" w:color="000000"/>
          </w:tcBorders>
        </w:tcPr>
        <w:p w:rsidR="001D2E96" w:rsidRDefault="00000000">
          <w:pPr>
            <w:pBdr>
              <w:top w:val="nil"/>
              <w:left w:val="nil"/>
              <w:bottom w:val="nil"/>
              <w:right w:val="nil"/>
              <w:between w:val="nil"/>
            </w:pBdr>
            <w:tabs>
              <w:tab w:val="center" w:pos="4680"/>
              <w:tab w:val="right" w:pos="9360"/>
            </w:tabs>
            <w:rPr>
              <w:b/>
              <w:color w:val="000000"/>
            </w:rPr>
          </w:pPr>
          <w:r>
            <w:rPr>
              <w:b/>
              <w:color w:val="000000"/>
            </w:rPr>
            <w:t xml:space="preserve">JMPM Vol. (xx), No. (xx), </w:t>
          </w:r>
          <w:proofErr w:type="spellStart"/>
          <w:r>
            <w:rPr>
              <w:b/>
              <w:color w:val="000000"/>
            </w:rPr>
            <w:t>Tahun</w:t>
          </w:r>
          <w:proofErr w:type="spellEnd"/>
          <w:r>
            <w:rPr>
              <w:b/>
              <w:color w:val="000000"/>
            </w:rPr>
            <w:t xml:space="preserve"> (</w:t>
          </w:r>
          <w:proofErr w:type="spellStart"/>
          <w:r>
            <w:rPr>
              <w:b/>
              <w:color w:val="000000"/>
            </w:rPr>
            <w:t>xxxx</w:t>
          </w:r>
          <w:proofErr w:type="spellEnd"/>
          <w:r>
            <w:rPr>
              <w:b/>
              <w:color w:val="000000"/>
            </w:rPr>
            <w:t>), pp (xx-xx)</w:t>
          </w:r>
        </w:p>
      </w:tc>
      <w:tc>
        <w:tcPr>
          <w:tcW w:w="824" w:type="dxa"/>
          <w:tcBorders>
            <w:top w:val="single" w:sz="4" w:space="0" w:color="C0504D"/>
          </w:tcBorders>
          <w:shd w:val="clear" w:color="auto" w:fill="943634"/>
        </w:tcPr>
        <w:p w:rsidR="001D2E96" w:rsidRDefault="00000000">
          <w:pPr>
            <w:pBdr>
              <w:top w:val="nil"/>
              <w:left w:val="nil"/>
              <w:bottom w:val="nil"/>
              <w:right w:val="nil"/>
              <w:between w:val="nil"/>
            </w:pBdr>
            <w:tabs>
              <w:tab w:val="center" w:pos="4680"/>
              <w:tab w:val="right" w:pos="9360"/>
            </w:tabs>
            <w:rPr>
              <w:color w:val="FFFFFF"/>
            </w:rPr>
          </w:pPr>
          <w:r>
            <w:rPr>
              <w:color w:val="000000"/>
            </w:rPr>
            <w:fldChar w:fldCharType="begin"/>
          </w:r>
          <w:r>
            <w:rPr>
              <w:color w:val="000000"/>
            </w:rPr>
            <w:instrText>PAGE</w:instrText>
          </w:r>
          <w:r>
            <w:rPr>
              <w:color w:val="000000"/>
            </w:rPr>
            <w:fldChar w:fldCharType="separate"/>
          </w:r>
          <w:r w:rsidR="00544E9C">
            <w:rPr>
              <w:noProof/>
              <w:color w:val="000000"/>
            </w:rPr>
            <w:t>3</w:t>
          </w:r>
          <w:r>
            <w:rPr>
              <w:color w:val="000000"/>
            </w:rPr>
            <w:fldChar w:fldCharType="end"/>
          </w:r>
        </w:p>
      </w:tc>
    </w:tr>
  </w:tbl>
  <w:p w:rsidR="001D2E96" w:rsidRDefault="001D2E96">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E96" w:rsidRDefault="001D2E96">
    <w:pPr>
      <w:widowControl w:val="0"/>
      <w:pBdr>
        <w:top w:val="nil"/>
        <w:left w:val="nil"/>
        <w:bottom w:val="nil"/>
        <w:right w:val="nil"/>
        <w:between w:val="nil"/>
      </w:pBdr>
      <w:spacing w:line="276" w:lineRule="auto"/>
      <w:rPr>
        <w:color w:val="000000"/>
      </w:rPr>
    </w:pPr>
  </w:p>
  <w:tbl>
    <w:tblPr>
      <w:tblStyle w:val="af"/>
      <w:tblW w:w="9299"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5"/>
      <w:gridCol w:w="824"/>
    </w:tblGrid>
    <w:tr w:rsidR="001D2E96">
      <w:tc>
        <w:tcPr>
          <w:tcW w:w="8475" w:type="dxa"/>
          <w:tcBorders>
            <w:top w:val="single" w:sz="4" w:space="0" w:color="000000"/>
          </w:tcBorders>
        </w:tcPr>
        <w:p w:rsidR="001D2E96" w:rsidRDefault="00000000">
          <w:pPr>
            <w:spacing w:line="242" w:lineRule="auto"/>
            <w:ind w:left="776" w:right="-8" w:hanging="757"/>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DOI: https//doi.org/10.18196/</w:t>
          </w:r>
          <w:proofErr w:type="spellStart"/>
          <w:r>
            <w:rPr>
              <w:rFonts w:ascii="Palatino Linotype" w:eastAsia="Palatino Linotype" w:hAnsi="Palatino Linotype" w:cs="Palatino Linotype"/>
              <w:sz w:val="16"/>
              <w:szCs w:val="16"/>
            </w:rPr>
            <w:t>jmpm.xxxx</w:t>
          </w:r>
          <w:proofErr w:type="spellEnd"/>
        </w:p>
        <w:p w:rsidR="001D2E96" w:rsidRDefault="00000000">
          <w:pPr>
            <w:spacing w:line="242" w:lineRule="auto"/>
            <w:ind w:left="776" w:right="-8" w:hanging="757"/>
            <w:rPr>
              <w:b/>
            </w:rPr>
          </w:pPr>
          <w:r>
            <w:rPr>
              <w:rFonts w:ascii="Palatino Linotype" w:eastAsia="Palatino Linotype" w:hAnsi="Palatino Linotype" w:cs="Palatino Linotype"/>
              <w:sz w:val="16"/>
              <w:szCs w:val="16"/>
            </w:rPr>
            <w:t>https://journal.umy.ac.id/index.php/jmpm</w:t>
          </w:r>
        </w:p>
      </w:tc>
      <w:tc>
        <w:tcPr>
          <w:tcW w:w="824" w:type="dxa"/>
          <w:tcBorders>
            <w:top w:val="single" w:sz="4" w:space="0" w:color="C0504D"/>
          </w:tcBorders>
          <w:shd w:val="clear" w:color="auto" w:fill="943634"/>
        </w:tcPr>
        <w:p w:rsidR="001D2E96" w:rsidRDefault="00000000">
          <w:pPr>
            <w:pBdr>
              <w:top w:val="nil"/>
              <w:left w:val="nil"/>
              <w:bottom w:val="nil"/>
              <w:right w:val="nil"/>
              <w:between w:val="nil"/>
            </w:pBdr>
            <w:tabs>
              <w:tab w:val="center" w:pos="4680"/>
              <w:tab w:val="right" w:pos="9360"/>
            </w:tabs>
            <w:rPr>
              <w:color w:val="FFFFFF"/>
            </w:rPr>
          </w:pPr>
          <w:r>
            <w:rPr>
              <w:color w:val="000000"/>
            </w:rPr>
            <w:fldChar w:fldCharType="begin"/>
          </w:r>
          <w:r>
            <w:rPr>
              <w:color w:val="000000"/>
            </w:rPr>
            <w:instrText>PAGE</w:instrText>
          </w:r>
          <w:r>
            <w:rPr>
              <w:color w:val="000000"/>
            </w:rPr>
            <w:fldChar w:fldCharType="separate"/>
          </w:r>
          <w:r w:rsidR="00544E9C">
            <w:rPr>
              <w:noProof/>
              <w:color w:val="000000"/>
            </w:rPr>
            <w:t>1</w:t>
          </w:r>
          <w:r>
            <w:rPr>
              <w:color w:val="000000"/>
            </w:rPr>
            <w:fldChar w:fldCharType="end"/>
          </w:r>
        </w:p>
      </w:tc>
    </w:tr>
  </w:tbl>
  <w:p w:rsidR="001D2E96" w:rsidRDefault="001D2E9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EE5" w:rsidRDefault="00B03EE5">
      <w:r>
        <w:separator/>
      </w:r>
    </w:p>
  </w:footnote>
  <w:footnote w:type="continuationSeparator" w:id="0">
    <w:p w:rsidR="00B03EE5" w:rsidRDefault="00B0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E96" w:rsidRDefault="001D2E96">
    <w:pPr>
      <w:widowControl w:val="0"/>
      <w:pBdr>
        <w:top w:val="nil"/>
        <w:left w:val="nil"/>
        <w:bottom w:val="nil"/>
        <w:right w:val="nil"/>
        <w:between w:val="nil"/>
      </w:pBdr>
      <w:spacing w:line="276" w:lineRule="auto"/>
      <w:rPr>
        <w:color w:val="000000"/>
      </w:rPr>
    </w:pPr>
  </w:p>
  <w:tbl>
    <w:tblPr>
      <w:tblStyle w:val="ac"/>
      <w:tblW w:w="9571" w:type="dxa"/>
      <w:tblInd w:w="-115"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571"/>
    </w:tblGrid>
    <w:tr w:rsidR="001D2E96">
      <w:tc>
        <w:tcPr>
          <w:tcW w:w="9571" w:type="dxa"/>
        </w:tcPr>
        <w:p w:rsidR="001D2E96" w:rsidRDefault="00A3673D">
          <w:pPr>
            <w:spacing w:line="200" w:lineRule="auto"/>
            <w:jc w:val="center"/>
            <w:rPr>
              <w:i/>
            </w:rPr>
          </w:pPr>
          <w:bookmarkStart w:id="0" w:name="_heading=h.3znysh7" w:colFirst="0" w:colLast="0"/>
          <w:bookmarkEnd w:id="0"/>
          <w:r>
            <w:rPr>
              <w:i/>
            </w:rPr>
            <w:t>Khasanah</w:t>
          </w:r>
          <w:r w:rsidR="00000000">
            <w:rPr>
              <w:i/>
            </w:rPr>
            <w:t xml:space="preserve"> et al.</w:t>
          </w:r>
        </w:p>
        <w:p w:rsidR="001D2E96" w:rsidRDefault="001D2E96">
          <w:pPr>
            <w:spacing w:line="200" w:lineRule="auto"/>
            <w:jc w:val="center"/>
            <w:rPr>
              <w:b/>
              <w:i/>
              <w:sz w:val="18"/>
              <w:szCs w:val="18"/>
            </w:rPr>
          </w:pPr>
        </w:p>
      </w:tc>
    </w:tr>
  </w:tbl>
  <w:p w:rsidR="001D2E96" w:rsidRDefault="00000000">
    <w:pPr>
      <w:pBdr>
        <w:top w:val="nil"/>
        <w:left w:val="nil"/>
        <w:bottom w:val="nil"/>
        <w:right w:val="nil"/>
        <w:between w:val="nil"/>
      </w:pBdr>
      <w:tabs>
        <w:tab w:val="center" w:pos="4680"/>
        <w:tab w:val="right" w:pos="9360"/>
      </w:tabs>
      <w:rPr>
        <w:color w:val="000000"/>
      </w:rPr>
    </w:pPr>
    <w:r>
      <w:rPr>
        <w:noProof/>
        <w:color w:val="000000"/>
      </w:rPr>
      <mc:AlternateContent>
        <mc:Choice Requires="wps">
          <w:drawing>
            <wp:anchor distT="0" distB="0" distL="0" distR="0" simplePos="0" relativeHeight="251658240" behindDoc="0" locked="0" layoutInCell="1" hidden="0" allowOverlap="1">
              <wp:simplePos x="0" y="0"/>
              <wp:positionH relativeFrom="page">
                <wp:posOffset>1751966</wp:posOffset>
              </wp:positionH>
              <wp:positionV relativeFrom="page">
                <wp:posOffset>499111</wp:posOffset>
              </wp:positionV>
              <wp:extent cx="3962400" cy="238125"/>
              <wp:effectExtent l="0" t="0" r="0" b="0"/>
              <wp:wrapSquare wrapText="bothSides" distT="0" distB="0" distL="0" distR="0"/>
              <wp:docPr id="32" name="Rectangle 32"/>
              <wp:cNvGraphicFramePr/>
              <a:graphic xmlns:a="http://schemas.openxmlformats.org/drawingml/2006/main">
                <a:graphicData uri="http://schemas.microsoft.com/office/word/2010/wordprocessingShape">
                  <wps:wsp>
                    <wps:cNvSpPr/>
                    <wps:spPr>
                      <a:xfrm>
                        <a:off x="3374325" y="3670463"/>
                        <a:ext cx="3943350" cy="219075"/>
                      </a:xfrm>
                      <a:prstGeom prst="rect">
                        <a:avLst/>
                      </a:prstGeom>
                      <a:noFill/>
                      <a:ln>
                        <a:noFill/>
                      </a:ln>
                    </wps:spPr>
                    <wps:txbx>
                      <w:txbxContent>
                        <w:p w:rsidR="001D2E96" w:rsidRDefault="001D2E96">
                          <w:pPr>
                            <w:spacing w:line="200" w:lineRule="auto"/>
                            <w:jc w:val="center"/>
                            <w:textDirection w:val="btLr"/>
                          </w:pPr>
                        </w:p>
                      </w:txbxContent>
                    </wps:txbx>
                    <wps:bodyPr spcFirstLastPara="1" wrap="square" lIns="0" tIns="0" rIns="0" bIns="0" anchor="t" anchorCtr="0">
                      <a:noAutofit/>
                    </wps:bodyPr>
                  </wps:wsp>
                </a:graphicData>
              </a:graphic>
            </wp:anchor>
          </w:drawing>
        </mc:Choice>
        <mc:Fallback>
          <w:pict>
            <v:rect id="Rectangle 32" o:spid="_x0000_s1026" style="position:absolute;margin-left:137.95pt;margin-top:39.3pt;width:312pt;height:18.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" filled="f" stroked="f">
              <v:textbox inset="0,0,0,0">
                <w:txbxContent>
                  <w:p w:rsidR="001D2E96" w:rsidRDefault="001D2E96">
                    <w:pPr>
                      <w:spacing w:line="200" w:lineRule="auto"/>
                      <w:jc w:val="center"/>
                      <w:textDirection w:val="btLr"/>
                    </w:pPr>
                  </w:p>
                </w:txbxContent>
              </v:textbox>
              <w10:wrap type="square"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E96" w:rsidRDefault="001D2E96">
    <w:pPr>
      <w:widowControl w:val="0"/>
      <w:pBdr>
        <w:top w:val="nil"/>
        <w:left w:val="nil"/>
        <w:bottom w:val="nil"/>
        <w:right w:val="nil"/>
        <w:between w:val="nil"/>
      </w:pBdr>
      <w:spacing w:line="276" w:lineRule="auto"/>
      <w:rPr>
        <w:rFonts w:ascii="Palatino Linotype" w:eastAsia="Palatino Linotype" w:hAnsi="Palatino Linotype" w:cs="Palatino Linotype"/>
        <w:color w:val="000000"/>
      </w:rPr>
    </w:pPr>
  </w:p>
  <w:tbl>
    <w:tblPr>
      <w:tblStyle w:val="ab"/>
      <w:tblW w:w="9571" w:type="dxa"/>
      <w:tblInd w:w="-115"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571"/>
    </w:tblGrid>
    <w:tr w:rsidR="001D2E96">
      <w:tc>
        <w:tcPr>
          <w:tcW w:w="9571" w:type="dxa"/>
        </w:tcPr>
        <w:p w:rsidR="001D2E96" w:rsidRDefault="00000000">
          <w:pPr>
            <w:spacing w:line="200" w:lineRule="auto"/>
            <w:jc w:val="center"/>
            <w:rPr>
              <w:i/>
            </w:rPr>
          </w:pPr>
          <w:r>
            <w:rPr>
              <w:i/>
            </w:rPr>
            <w:t>Last Name of the Corresponding Author(s) et al.</w:t>
          </w:r>
        </w:p>
        <w:p w:rsidR="001D2E96" w:rsidRDefault="001D2E96">
          <w:pPr>
            <w:spacing w:line="200" w:lineRule="auto"/>
            <w:jc w:val="center"/>
            <w:rPr>
              <w:b/>
              <w:i/>
              <w:sz w:val="18"/>
              <w:szCs w:val="18"/>
            </w:rPr>
          </w:pPr>
        </w:p>
      </w:tc>
    </w:tr>
  </w:tbl>
  <w:p w:rsidR="001D2E96" w:rsidRDefault="001D2E96">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2E96" w:rsidRDefault="001D2E96">
    <w:pPr>
      <w:widowControl w:val="0"/>
      <w:pBdr>
        <w:top w:val="nil"/>
        <w:left w:val="nil"/>
        <w:bottom w:val="nil"/>
        <w:right w:val="nil"/>
        <w:between w:val="nil"/>
      </w:pBdr>
      <w:spacing w:line="276" w:lineRule="auto"/>
      <w:rPr>
        <w:color w:val="000000"/>
      </w:rPr>
    </w:pPr>
  </w:p>
  <w:tbl>
    <w:tblPr>
      <w:tblStyle w:val="ad"/>
      <w:tblW w:w="9571" w:type="dxa"/>
      <w:tblInd w:w="-115" w:type="dxa"/>
      <w:tblBorders>
        <w:top w:val="nil"/>
        <w:left w:val="nil"/>
        <w:bottom w:val="single" w:sz="8" w:space="0" w:color="000000"/>
        <w:right w:val="nil"/>
        <w:insideH w:val="nil"/>
        <w:insideV w:val="nil"/>
      </w:tblBorders>
      <w:tblLayout w:type="fixed"/>
      <w:tblLook w:val="0400" w:firstRow="0" w:lastRow="0" w:firstColumn="0" w:lastColumn="0" w:noHBand="0" w:noVBand="1"/>
    </w:tblPr>
    <w:tblGrid>
      <w:gridCol w:w="1416"/>
      <w:gridCol w:w="8155"/>
    </w:tblGrid>
    <w:tr w:rsidR="001D2E96">
      <w:trPr>
        <w:trHeight w:val="794"/>
      </w:trPr>
      <w:tc>
        <w:tcPr>
          <w:tcW w:w="1416" w:type="dxa"/>
          <w:vAlign w:val="center"/>
        </w:tcPr>
        <w:p w:rsidR="001D2E96"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extent cx="762829" cy="305783"/>
                <wp:effectExtent l="0" t="0" r="0" b="0"/>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2829" cy="305783"/>
                        </a:xfrm>
                        <a:prstGeom prst="rect">
                          <a:avLst/>
                        </a:prstGeom>
                        <a:ln/>
                      </pic:spPr>
                    </pic:pic>
                  </a:graphicData>
                </a:graphic>
              </wp:inline>
            </w:drawing>
          </w:r>
        </w:p>
      </w:tc>
      <w:tc>
        <w:tcPr>
          <w:tcW w:w="8155" w:type="dxa"/>
          <w:vAlign w:val="center"/>
        </w:tcPr>
        <w:p w:rsidR="001D2E96" w:rsidRDefault="00000000">
          <w:pPr>
            <w:spacing w:line="242" w:lineRule="auto"/>
            <w:ind w:left="776" w:right="-8" w:hanging="757"/>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JMPM: </w:t>
          </w:r>
          <w:proofErr w:type="spellStart"/>
          <w:r>
            <w:rPr>
              <w:rFonts w:ascii="Palatino Linotype" w:eastAsia="Palatino Linotype" w:hAnsi="Palatino Linotype" w:cs="Palatino Linotype"/>
              <w:sz w:val="16"/>
              <w:szCs w:val="16"/>
            </w:rPr>
            <w:t>Jurnal</w:t>
          </w:r>
          <w:proofErr w:type="spellEnd"/>
          <w:r>
            <w:rPr>
              <w:rFonts w:ascii="Palatino Linotype" w:eastAsia="Palatino Linotype" w:hAnsi="Palatino Linotype" w:cs="Palatino Linotype"/>
              <w:sz w:val="16"/>
              <w:szCs w:val="16"/>
            </w:rPr>
            <w:t xml:space="preserve"> Material dan Proses </w:t>
          </w:r>
          <w:proofErr w:type="spellStart"/>
          <w:r>
            <w:rPr>
              <w:rFonts w:ascii="Palatino Linotype" w:eastAsia="Palatino Linotype" w:hAnsi="Palatino Linotype" w:cs="Palatino Linotype"/>
              <w:sz w:val="16"/>
              <w:szCs w:val="16"/>
            </w:rPr>
            <w:t>Manufaktur</w:t>
          </w:r>
          <w:proofErr w:type="spellEnd"/>
          <w:r>
            <w:rPr>
              <w:rFonts w:ascii="Palatino Linotype" w:eastAsia="Palatino Linotype" w:hAnsi="Palatino Linotype" w:cs="Palatino Linotype"/>
              <w:sz w:val="16"/>
              <w:szCs w:val="16"/>
            </w:rPr>
            <w:t xml:space="preserve"> </w:t>
          </w:r>
        </w:p>
        <w:p w:rsidR="001D2E96" w:rsidRDefault="00000000">
          <w:pPr>
            <w:spacing w:line="242" w:lineRule="auto"/>
            <w:ind w:left="776" w:right="-8" w:hanging="757"/>
            <w:rPr>
              <w:rFonts w:ascii="Palatino Linotype" w:eastAsia="Palatino Linotype" w:hAnsi="Palatino Linotype" w:cs="Palatino Linotype"/>
              <w:sz w:val="16"/>
              <w:szCs w:val="16"/>
            </w:rPr>
          </w:pPr>
          <w:proofErr w:type="spellStart"/>
          <w:r>
            <w:rPr>
              <w:rFonts w:ascii="Palatino Linotype" w:eastAsia="Palatino Linotype" w:hAnsi="Palatino Linotype" w:cs="Palatino Linotype"/>
              <w:sz w:val="16"/>
              <w:szCs w:val="16"/>
            </w:rPr>
            <w:t>Vol.XX</w:t>
          </w:r>
          <w:proofErr w:type="spellEnd"/>
          <w:r>
            <w:rPr>
              <w:rFonts w:ascii="Palatino Linotype" w:eastAsia="Palatino Linotype" w:hAnsi="Palatino Linotype" w:cs="Palatino Linotype"/>
              <w:sz w:val="16"/>
              <w:szCs w:val="16"/>
            </w:rPr>
            <w:t xml:space="preserve">, </w:t>
          </w:r>
          <w:proofErr w:type="spellStart"/>
          <w:r>
            <w:rPr>
              <w:rFonts w:ascii="Palatino Linotype" w:eastAsia="Palatino Linotype" w:hAnsi="Palatino Linotype" w:cs="Palatino Linotype"/>
              <w:sz w:val="16"/>
              <w:szCs w:val="16"/>
            </w:rPr>
            <w:t>No.XXX</w:t>
          </w:r>
          <w:proofErr w:type="spellEnd"/>
          <w:r>
            <w:rPr>
              <w:rFonts w:ascii="Palatino Linotype" w:eastAsia="Palatino Linotype" w:hAnsi="Palatino Linotype" w:cs="Palatino Linotype"/>
              <w:sz w:val="16"/>
              <w:szCs w:val="16"/>
            </w:rPr>
            <w:t>, XX-XX, XXX</w:t>
          </w:r>
        </w:p>
      </w:tc>
    </w:tr>
  </w:tbl>
  <w:p w:rsidR="001D2E96" w:rsidRDefault="001D2E9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26DD"/>
    <w:multiLevelType w:val="hybridMultilevel"/>
    <w:tmpl w:val="6A8E59F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3AE6835"/>
    <w:multiLevelType w:val="multilevel"/>
    <w:tmpl w:val="03A0518A"/>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8189137">
    <w:abstractNumId w:val="1"/>
  </w:num>
  <w:num w:numId="2" w16cid:durableId="209250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96"/>
    <w:rsid w:val="001D2E96"/>
    <w:rsid w:val="00234CCF"/>
    <w:rsid w:val="00544E9C"/>
    <w:rsid w:val="0061508C"/>
    <w:rsid w:val="0080093D"/>
    <w:rsid w:val="00A16559"/>
    <w:rsid w:val="00A3673D"/>
    <w:rsid w:val="00B03EE5"/>
    <w:rsid w:val="00C61567"/>
    <w:rsid w:val="00E15A6C"/>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1E16A"/>
  <w15:docId w15:val="{99FBA1A8-C254-4CE4-9785-72C21C35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1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37F56"/>
    <w:pPr>
      <w:jc w:val="center"/>
    </w:pPr>
    <w:rPr>
      <w:b/>
      <w:bCs/>
      <w:sz w:val="28"/>
      <w:szCs w:val="24"/>
      <w:lang w:val="id-ID"/>
    </w:rPr>
  </w:style>
  <w:style w:type="paragraph" w:styleId="Header">
    <w:name w:val="header"/>
    <w:basedOn w:val="Normal"/>
    <w:link w:val="HeaderChar"/>
    <w:uiPriority w:val="99"/>
    <w:unhideWhenUsed/>
    <w:rsid w:val="00C37F56"/>
    <w:pPr>
      <w:tabs>
        <w:tab w:val="center" w:pos="4680"/>
        <w:tab w:val="right" w:pos="9360"/>
      </w:tabs>
    </w:pPr>
  </w:style>
  <w:style w:type="character" w:customStyle="1" w:styleId="HeaderChar">
    <w:name w:val="Header Char"/>
    <w:basedOn w:val="DefaultParagraphFont"/>
    <w:link w:val="Header"/>
    <w:uiPriority w:val="99"/>
    <w:rsid w:val="00C37F56"/>
  </w:style>
  <w:style w:type="paragraph" w:styleId="Footer">
    <w:name w:val="footer"/>
    <w:basedOn w:val="Normal"/>
    <w:link w:val="FooterChar"/>
    <w:uiPriority w:val="99"/>
    <w:unhideWhenUsed/>
    <w:rsid w:val="00C37F56"/>
    <w:pPr>
      <w:tabs>
        <w:tab w:val="center" w:pos="4680"/>
        <w:tab w:val="right" w:pos="9360"/>
      </w:tabs>
    </w:pPr>
  </w:style>
  <w:style w:type="character" w:customStyle="1" w:styleId="FooterChar">
    <w:name w:val="Footer Char"/>
    <w:basedOn w:val="DefaultParagraphFont"/>
    <w:link w:val="Footer"/>
    <w:uiPriority w:val="99"/>
    <w:rsid w:val="00C37F56"/>
  </w:style>
  <w:style w:type="paragraph" w:styleId="BalloonText">
    <w:name w:val="Balloon Text"/>
    <w:basedOn w:val="Normal"/>
    <w:link w:val="BalloonTextChar"/>
    <w:uiPriority w:val="99"/>
    <w:semiHidden/>
    <w:unhideWhenUsed/>
    <w:rsid w:val="00C37F56"/>
    <w:rPr>
      <w:rFonts w:ascii="Tahoma" w:hAnsi="Tahoma" w:cs="Tahoma"/>
      <w:sz w:val="16"/>
      <w:szCs w:val="16"/>
    </w:rPr>
  </w:style>
  <w:style w:type="character" w:customStyle="1" w:styleId="BalloonTextChar">
    <w:name w:val="Balloon Text Char"/>
    <w:basedOn w:val="DefaultParagraphFont"/>
    <w:link w:val="BalloonText"/>
    <w:uiPriority w:val="99"/>
    <w:semiHidden/>
    <w:rsid w:val="00C37F56"/>
    <w:rPr>
      <w:rFonts w:ascii="Tahoma" w:hAnsi="Tahoma" w:cs="Tahoma"/>
      <w:sz w:val="16"/>
      <w:szCs w:val="16"/>
    </w:rPr>
  </w:style>
  <w:style w:type="character" w:styleId="Hyperlink">
    <w:name w:val="Hyperlink"/>
    <w:rsid w:val="00C37F56"/>
    <w:rPr>
      <w:color w:val="0000FF"/>
      <w:u w:val="single"/>
    </w:rPr>
  </w:style>
  <w:style w:type="character" w:customStyle="1" w:styleId="TitleChar">
    <w:name w:val="Title Char"/>
    <w:basedOn w:val="DefaultParagraphFont"/>
    <w:link w:val="Title"/>
    <w:rsid w:val="00C37F56"/>
    <w:rPr>
      <w:rFonts w:ascii="Times New Roman" w:eastAsia="Times New Roman" w:hAnsi="Times New Roman" w:cs="Times New Roman"/>
      <w:b/>
      <w:bCs/>
      <w:sz w:val="28"/>
      <w:szCs w:val="24"/>
      <w:lang w:val="id-ID"/>
    </w:rPr>
  </w:style>
  <w:style w:type="character" w:customStyle="1" w:styleId="apple-style-span">
    <w:name w:val="apple-style-span"/>
    <w:basedOn w:val="DefaultParagraphFont"/>
    <w:rsid w:val="00C37F56"/>
  </w:style>
  <w:style w:type="character" w:styleId="Emphasis">
    <w:name w:val="Emphasis"/>
    <w:uiPriority w:val="20"/>
    <w:qFormat/>
    <w:rsid w:val="00C37F56"/>
    <w:rPr>
      <w:i/>
      <w:iCs/>
    </w:rPr>
  </w:style>
  <w:style w:type="paragraph" w:customStyle="1" w:styleId="references">
    <w:name w:val="references"/>
    <w:rsid w:val="00C37F56"/>
    <w:pPr>
      <w:numPr>
        <w:numId w:val="1"/>
      </w:numPr>
      <w:spacing w:after="40" w:line="180" w:lineRule="exact"/>
      <w:jc w:val="both"/>
    </w:pPr>
    <w:rPr>
      <w:rFonts w:eastAsia="SimSun"/>
      <w:sz w:val="16"/>
    </w:rPr>
  </w:style>
  <w:style w:type="paragraph" w:styleId="HTMLPreformatted">
    <w:name w:val="HTML Preformatted"/>
    <w:basedOn w:val="Normal"/>
    <w:link w:val="HTMLPreformattedChar"/>
    <w:rsid w:val="00C3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C37F56"/>
    <w:rPr>
      <w:rFonts w:ascii="Courier New" w:eastAsia="Times New Roman" w:hAnsi="Courier New" w:cs="Courier New"/>
      <w:sz w:val="20"/>
      <w:szCs w:val="20"/>
    </w:rPr>
  </w:style>
  <w:style w:type="paragraph" w:styleId="NoSpacing">
    <w:name w:val="No Spacing"/>
    <w:qFormat/>
    <w:rsid w:val="00C37F56"/>
    <w:rPr>
      <w:rFonts w:ascii="Calibri" w:eastAsia="Calibri" w:hAnsi="Calibri"/>
    </w:rPr>
  </w:style>
  <w:style w:type="table" w:styleId="TableGrid">
    <w:name w:val="Table Grid"/>
    <w:basedOn w:val="TableNormal"/>
    <w:uiPriority w:val="59"/>
    <w:unhideWhenUsed/>
    <w:rsid w:val="00AE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F04"/>
    <w:pPr>
      <w:ind w:left="720"/>
      <w:contextualSpacing/>
    </w:pPr>
  </w:style>
  <w:style w:type="character" w:customStyle="1" w:styleId="UnresolvedMention1">
    <w:name w:val="Unresolved Mention1"/>
    <w:basedOn w:val="DefaultParagraphFont"/>
    <w:uiPriority w:val="99"/>
    <w:semiHidden/>
    <w:unhideWhenUsed/>
    <w:rsid w:val="00D1259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72" w:type="dxa"/>
        <w:left w:w="115" w:type="dxa"/>
        <w:bottom w:w="72" w:type="dxa"/>
        <w:right w:w="115" w:type="dxa"/>
      </w:tblCellMar>
    </w:tblPr>
  </w:style>
  <w:style w:type="table" w:customStyle="1" w:styleId="a6">
    <w:basedOn w:val="TableNormal"/>
    <w:tblPr>
      <w:tblStyleRowBandSize w:val="1"/>
      <w:tblStyleColBandSize w:val="1"/>
      <w:tblCellMar>
        <w:top w:w="72" w:type="dxa"/>
        <w:left w:w="115" w:type="dxa"/>
        <w:bottom w:w="72" w:type="dxa"/>
        <w:right w:w="115" w:type="dxa"/>
      </w:tblCellMar>
    </w:tblPr>
  </w:style>
  <w:style w:type="table" w:customStyle="1" w:styleId="a7">
    <w:basedOn w:val="TableNormal"/>
    <w:tblPr>
      <w:tblStyleRowBandSize w:val="1"/>
      <w:tblStyleColBandSize w:val="1"/>
      <w:tblCellMar>
        <w:top w:w="72" w:type="dxa"/>
        <w:left w:w="115" w:type="dxa"/>
        <w:bottom w:w="72" w:type="dxa"/>
        <w:right w:w="115" w:type="dxa"/>
      </w:tblCellMar>
    </w:tblPr>
  </w:style>
  <w:style w:type="table" w:customStyle="1" w:styleId="a8">
    <w:basedOn w:val="TableNormal"/>
    <w:tblPr>
      <w:tblStyleRowBandSize w:val="1"/>
      <w:tblStyleColBandSize w:val="1"/>
      <w:tblCellMar>
        <w:top w:w="72" w:type="dxa"/>
        <w:left w:w="115" w:type="dxa"/>
        <w:bottom w:w="72" w:type="dxa"/>
        <w:right w:w="115" w:type="dxa"/>
      </w:tblCellMar>
    </w:tblPr>
  </w:style>
  <w:style w:type="table" w:customStyle="1" w:styleId="a9">
    <w:basedOn w:val="TableNormal"/>
    <w:tblPr>
      <w:tblStyleRowBandSize w:val="1"/>
      <w:tblStyleColBandSize w:val="1"/>
      <w:tblCellMar>
        <w:top w:w="72" w:type="dxa"/>
        <w:left w:w="115" w:type="dxa"/>
        <w:bottom w:w="72" w:type="dxa"/>
        <w:right w:w="115" w:type="dxa"/>
      </w:tblCellMar>
    </w:tblPr>
  </w:style>
  <w:style w:type="table" w:customStyle="1" w:styleId="aa">
    <w:basedOn w:val="TableNormal"/>
    <w:tblPr>
      <w:tblStyleRowBandSize w:val="1"/>
      <w:tblStyleColBandSize w:val="1"/>
      <w:tblCellMar>
        <w:top w:w="72" w:type="dxa"/>
        <w:left w:w="115" w:type="dxa"/>
        <w:bottom w:w="72" w:type="dxa"/>
        <w:right w:w="115" w:type="dxa"/>
      </w:tblCellMar>
    </w:tblPr>
  </w:style>
  <w:style w:type="table" w:customStyle="1" w:styleId="ab">
    <w:basedOn w:val="TableNormal"/>
    <w:tblPr>
      <w:tblStyleRowBandSize w:val="1"/>
      <w:tblStyleColBandSize w:val="1"/>
      <w:tblCellMar>
        <w:top w:w="72" w:type="dxa"/>
        <w:left w:w="115" w:type="dxa"/>
        <w:bottom w:w="72" w:type="dxa"/>
        <w:right w:w="115" w:type="dxa"/>
      </w:tblCellMar>
    </w:tblPr>
  </w:style>
  <w:style w:type="table" w:customStyle="1" w:styleId="ac">
    <w:basedOn w:val="TableNormal"/>
    <w:tblPr>
      <w:tblStyleRowBandSize w:val="1"/>
      <w:tblStyleColBandSize w:val="1"/>
      <w:tblCellMar>
        <w:top w:w="72" w:type="dxa"/>
        <w:left w:w="115" w:type="dxa"/>
        <w:bottom w:w="72" w:type="dxa"/>
        <w:right w:w="115" w:type="dxa"/>
      </w:tblCellMar>
    </w:tblPr>
  </w:style>
  <w:style w:type="table" w:customStyle="1" w:styleId="ad">
    <w:basedOn w:val="TableNormal"/>
    <w:tblPr>
      <w:tblStyleRowBandSize w:val="1"/>
      <w:tblStyleColBandSize w:val="1"/>
      <w:tblCellMar>
        <w:top w:w="72" w:type="dxa"/>
        <w:left w:w="115" w:type="dxa"/>
        <w:bottom w:w="72" w:type="dxa"/>
        <w:right w:w="115" w:type="dxa"/>
      </w:tblCellMar>
    </w:tblPr>
  </w:style>
  <w:style w:type="table" w:customStyle="1" w:styleId="ae">
    <w:basedOn w:val="TableNormal"/>
    <w:tblPr>
      <w:tblStyleRowBandSize w:val="1"/>
      <w:tblStyleColBandSize w:val="1"/>
      <w:tblCellMar>
        <w:top w:w="72" w:type="dxa"/>
        <w:left w:w="115" w:type="dxa"/>
        <w:bottom w:w="72" w:type="dxa"/>
        <w:right w:w="115" w:type="dxa"/>
      </w:tblCellMar>
    </w:tblPr>
  </w:style>
  <w:style w:type="table" w:customStyle="1" w:styleId="af">
    <w:basedOn w:val="TableNormal"/>
    <w:tblPr>
      <w:tblStyleRowBandSize w:val="1"/>
      <w:tblStyleColBandSize w:val="1"/>
      <w:tblCellMar>
        <w:top w:w="72" w:type="dxa"/>
        <w:left w:w="115" w:type="dxa"/>
        <w:bottom w:w="72" w:type="dxa"/>
        <w:right w:w="115" w:type="dxa"/>
      </w:tblCellMar>
    </w:tblPr>
  </w:style>
  <w:style w:type="table" w:customStyle="1" w:styleId="af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POLMAN%20CEPER\1.%20PENELITIAN%20DAN%20PENGABDIAN\PENELITIAN%202019%20(Pelaksanaan)\Hasil%20Penelitian\hasil%20uji%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OLMAN%20CEPER\1.%20PENELITIAN%20DAN%20PENGABDIAN\PENELITIAN%202019%20(Pelaksanaan)\Hasil%20Penelitian\hasil%20uji%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OLMAN%20CEPER\1.%20PENELITIAN%20DAN%20PENGABDIAN\PENELITIAN%202019%20(Pelaksanaan)\Hasil%20Penelitian\hasil%20uji%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'Karakterisasi SEM'!$J$28</c:f>
              <c:strCache>
                <c:ptCount val="1"/>
                <c:pt idx="0">
                  <c:v>C</c:v>
                </c:pt>
              </c:strCache>
            </c:strRef>
          </c:tx>
          <c:spPr>
            <a:pattFill prst="ltDnDiag">
              <a:fgClr>
                <a:schemeClr val="tx1"/>
              </a:fgClr>
              <a:bgClr>
                <a:schemeClr val="bg1"/>
              </a:bgClr>
            </a:pattFill>
            <a:ln>
              <a:noFill/>
            </a:ln>
            <a:effectLst/>
          </c:spPr>
          <c:invertIfNegative val="0"/>
          <c:cat>
            <c:strRef>
              <c:f>'Karakterisasi SEM'!$K$27:$N$27</c:f>
              <c:strCache>
                <c:ptCount val="4"/>
                <c:pt idx="0">
                  <c:v>MESH 12</c:v>
                </c:pt>
                <c:pt idx="1">
                  <c:v>MESH 25</c:v>
                </c:pt>
                <c:pt idx="2">
                  <c:v>MESH 40</c:v>
                </c:pt>
                <c:pt idx="3">
                  <c:v>NEW SAND</c:v>
                </c:pt>
              </c:strCache>
            </c:strRef>
          </c:cat>
          <c:val>
            <c:numRef>
              <c:f>'Karakterisasi SEM'!$K$28:$N$28</c:f>
              <c:numCache>
                <c:formatCode>General</c:formatCode>
                <c:ptCount val="4"/>
                <c:pt idx="0">
                  <c:v>9.17</c:v>
                </c:pt>
                <c:pt idx="1">
                  <c:v>22.94</c:v>
                </c:pt>
                <c:pt idx="2">
                  <c:v>28.58</c:v>
                </c:pt>
                <c:pt idx="3">
                  <c:v>29.84</c:v>
                </c:pt>
              </c:numCache>
            </c:numRef>
          </c:val>
          <c:extLst>
            <c:ext xmlns:c16="http://schemas.microsoft.com/office/drawing/2014/chart" uri="{C3380CC4-5D6E-409C-BE32-E72D297353CC}">
              <c16:uniqueId val="{00000000-FC36-4181-9933-0A6291BBCBAD}"/>
            </c:ext>
          </c:extLst>
        </c:ser>
        <c:ser>
          <c:idx val="1"/>
          <c:order val="1"/>
          <c:tx>
            <c:strRef>
              <c:f>'Karakterisasi SEM'!$J$29</c:f>
              <c:strCache>
                <c:ptCount val="1"/>
                <c:pt idx="0">
                  <c:v>O</c:v>
                </c:pt>
              </c:strCache>
            </c:strRef>
          </c:tx>
          <c:spPr>
            <a:pattFill prst="smCheck">
              <a:fgClr>
                <a:sysClr val="windowText" lastClr="000000"/>
              </a:fgClr>
              <a:bgClr>
                <a:schemeClr val="bg1"/>
              </a:bgClr>
            </a:pattFill>
            <a:ln>
              <a:noFill/>
            </a:ln>
            <a:effectLst/>
          </c:spPr>
          <c:invertIfNegative val="0"/>
          <c:cat>
            <c:strRef>
              <c:f>'Karakterisasi SEM'!$K$27:$N$27</c:f>
              <c:strCache>
                <c:ptCount val="4"/>
                <c:pt idx="0">
                  <c:v>MESH 12</c:v>
                </c:pt>
                <c:pt idx="1">
                  <c:v>MESH 25</c:v>
                </c:pt>
                <c:pt idx="2">
                  <c:v>MESH 40</c:v>
                </c:pt>
                <c:pt idx="3">
                  <c:v>NEW SAND</c:v>
                </c:pt>
              </c:strCache>
            </c:strRef>
          </c:cat>
          <c:val>
            <c:numRef>
              <c:f>'Karakterisasi SEM'!$K$29:$N$29</c:f>
              <c:numCache>
                <c:formatCode>General</c:formatCode>
                <c:ptCount val="4"/>
                <c:pt idx="0">
                  <c:v>65.34</c:v>
                </c:pt>
                <c:pt idx="1">
                  <c:v>57.08</c:v>
                </c:pt>
                <c:pt idx="2">
                  <c:v>53.41</c:v>
                </c:pt>
                <c:pt idx="3">
                  <c:v>52.87</c:v>
                </c:pt>
              </c:numCache>
            </c:numRef>
          </c:val>
          <c:extLst>
            <c:ext xmlns:c16="http://schemas.microsoft.com/office/drawing/2014/chart" uri="{C3380CC4-5D6E-409C-BE32-E72D297353CC}">
              <c16:uniqueId val="{00000001-FC36-4181-9933-0A6291BBCBAD}"/>
            </c:ext>
          </c:extLst>
        </c:ser>
        <c:ser>
          <c:idx val="2"/>
          <c:order val="2"/>
          <c:tx>
            <c:strRef>
              <c:f>'Karakterisasi SEM'!$J$30</c:f>
              <c:strCache>
                <c:ptCount val="1"/>
                <c:pt idx="0">
                  <c:v>Na</c:v>
                </c:pt>
              </c:strCache>
            </c:strRef>
          </c:tx>
          <c:spPr>
            <a:pattFill prst="pct80">
              <a:fgClr>
                <a:sysClr val="windowText" lastClr="000000"/>
              </a:fgClr>
              <a:bgClr>
                <a:schemeClr val="bg1"/>
              </a:bgClr>
            </a:pattFill>
            <a:ln>
              <a:noFill/>
            </a:ln>
            <a:effectLst/>
          </c:spPr>
          <c:invertIfNegative val="0"/>
          <c:cat>
            <c:strRef>
              <c:f>'Karakterisasi SEM'!$K$27:$N$27</c:f>
              <c:strCache>
                <c:ptCount val="4"/>
                <c:pt idx="0">
                  <c:v>MESH 12</c:v>
                </c:pt>
                <c:pt idx="1">
                  <c:v>MESH 25</c:v>
                </c:pt>
                <c:pt idx="2">
                  <c:v>MESH 40</c:v>
                </c:pt>
                <c:pt idx="3">
                  <c:v>NEW SAND</c:v>
                </c:pt>
              </c:strCache>
            </c:strRef>
          </c:cat>
          <c:val>
            <c:numRef>
              <c:f>'Karakterisasi SEM'!$K$30:$N$30</c:f>
              <c:numCache>
                <c:formatCode>General</c:formatCode>
                <c:ptCount val="4"/>
                <c:pt idx="0">
                  <c:v>1.41</c:v>
                </c:pt>
                <c:pt idx="1">
                  <c:v>0.95</c:v>
                </c:pt>
                <c:pt idx="2">
                  <c:v>0.97</c:v>
                </c:pt>
                <c:pt idx="3">
                  <c:v>1.45</c:v>
                </c:pt>
              </c:numCache>
            </c:numRef>
          </c:val>
          <c:extLst>
            <c:ext xmlns:c16="http://schemas.microsoft.com/office/drawing/2014/chart" uri="{C3380CC4-5D6E-409C-BE32-E72D297353CC}">
              <c16:uniqueId val="{00000002-FC36-4181-9933-0A6291BBCBAD}"/>
            </c:ext>
          </c:extLst>
        </c:ser>
        <c:ser>
          <c:idx val="3"/>
          <c:order val="3"/>
          <c:tx>
            <c:strRef>
              <c:f>'Karakterisasi SEM'!$J$31</c:f>
              <c:strCache>
                <c:ptCount val="1"/>
                <c:pt idx="0">
                  <c:v>Si</c:v>
                </c:pt>
              </c:strCache>
            </c:strRef>
          </c:tx>
          <c:spPr>
            <a:pattFill prst="dkUpDiag">
              <a:fgClr>
                <a:sysClr val="windowText" lastClr="000000"/>
              </a:fgClr>
              <a:bgClr>
                <a:schemeClr val="bg1"/>
              </a:bgClr>
            </a:pattFill>
            <a:ln>
              <a:noFill/>
            </a:ln>
            <a:effectLst/>
          </c:spPr>
          <c:invertIfNegative val="0"/>
          <c:cat>
            <c:strRef>
              <c:f>'Karakterisasi SEM'!$K$27:$N$27</c:f>
              <c:strCache>
                <c:ptCount val="4"/>
                <c:pt idx="0">
                  <c:v>MESH 12</c:v>
                </c:pt>
                <c:pt idx="1">
                  <c:v>MESH 25</c:v>
                </c:pt>
                <c:pt idx="2">
                  <c:v>MESH 40</c:v>
                </c:pt>
                <c:pt idx="3">
                  <c:v>NEW SAND</c:v>
                </c:pt>
              </c:strCache>
            </c:strRef>
          </c:cat>
          <c:val>
            <c:numRef>
              <c:f>'Karakterisasi SEM'!$K$31:$N$31</c:f>
              <c:numCache>
                <c:formatCode>General</c:formatCode>
                <c:ptCount val="4"/>
                <c:pt idx="0">
                  <c:v>24.08</c:v>
                </c:pt>
                <c:pt idx="1">
                  <c:v>19.04</c:v>
                </c:pt>
                <c:pt idx="2">
                  <c:v>17.04</c:v>
                </c:pt>
                <c:pt idx="3">
                  <c:v>15.84</c:v>
                </c:pt>
              </c:numCache>
            </c:numRef>
          </c:val>
          <c:extLst>
            <c:ext xmlns:c16="http://schemas.microsoft.com/office/drawing/2014/chart" uri="{C3380CC4-5D6E-409C-BE32-E72D297353CC}">
              <c16:uniqueId val="{00000003-FC36-4181-9933-0A6291BBCBAD}"/>
            </c:ext>
          </c:extLst>
        </c:ser>
        <c:dLbls>
          <c:showLegendKey val="0"/>
          <c:showVal val="0"/>
          <c:showCatName val="0"/>
          <c:showSerName val="0"/>
          <c:showPercent val="0"/>
          <c:showBubbleSize val="0"/>
        </c:dLbls>
        <c:gapWidth val="150"/>
        <c:axId val="371758976"/>
        <c:axId val="371760512"/>
      </c:barChart>
      <c:catAx>
        <c:axId val="371758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760512"/>
        <c:crosses val="autoZero"/>
        <c:auto val="1"/>
        <c:lblAlgn val="ctr"/>
        <c:lblOffset val="100"/>
        <c:noMultiLvlLbl val="0"/>
      </c:catAx>
      <c:valAx>
        <c:axId val="371760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D">
                    <a:solidFill>
                      <a:sysClr val="windowText" lastClr="000000"/>
                    </a:solidFill>
                    <a:latin typeface="Times New Roman" panose="02020603050405020304" pitchFamily="18" charset="0"/>
                    <a:cs typeface="Times New Roman" panose="02020603050405020304" pitchFamily="18" charset="0"/>
                  </a:rPr>
                  <a:t>% Atomic</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1758976"/>
        <c:crosses val="autoZero"/>
        <c:crossBetween val="between"/>
      </c:valAx>
      <c:dTable>
        <c:showHorzBorder val="1"/>
        <c:showVertBorder val="1"/>
        <c:showOutline val="1"/>
        <c:showKeys val="1"/>
        <c:spPr>
          <a:noFill/>
          <a:ln w="6350" cap="flat" cmpd="sng" algn="ctr">
            <a:solidFill>
              <a:schemeClr val="dk1">
                <a:shade val="95000"/>
                <a:satMod val="105000"/>
              </a:schemeClr>
            </a:solidFill>
            <a:prstDash val="solid"/>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w="635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dkDnDiag">
              <a:fgClr>
                <a:schemeClr val="tx1"/>
              </a:fgClr>
              <a:bgClr>
                <a:schemeClr val="bg1"/>
              </a:bgClr>
            </a:pattFill>
            <a:ln>
              <a:noFill/>
            </a:ln>
            <a:effectLst/>
          </c:spPr>
          <c:invertIfNegative val="0"/>
          <c:dPt>
            <c:idx val="3"/>
            <c:invertIfNegative val="0"/>
            <c:bubble3D val="0"/>
            <c:spPr>
              <a:pattFill prst="wdDnDiag">
                <a:fgClr>
                  <a:schemeClr val="tx1"/>
                </a:fgClr>
                <a:bgClr>
                  <a:schemeClr val="bg1"/>
                </a:bgClr>
              </a:pattFill>
              <a:ln>
                <a:noFill/>
              </a:ln>
              <a:effectLst/>
            </c:spPr>
            <c:extLst>
              <c:ext xmlns:c16="http://schemas.microsoft.com/office/drawing/2014/chart" uri="{C3380CC4-5D6E-409C-BE32-E72D297353CC}">
                <c16:uniqueId val="{00000001-5945-4620-9690-8B98BD5F8F63}"/>
              </c:ext>
            </c:extLst>
          </c:dPt>
          <c:cat>
            <c:strRef>
              <c:f>' Kekerasan dan kekasaran'!$C$3:$C$6</c:f>
              <c:strCache>
                <c:ptCount val="4"/>
                <c:pt idx="0">
                  <c:v>Mesh 12</c:v>
                </c:pt>
                <c:pt idx="1">
                  <c:v>Mesh 25</c:v>
                </c:pt>
                <c:pt idx="2">
                  <c:v>Mesh 40 </c:v>
                </c:pt>
                <c:pt idx="3">
                  <c:v>New Sand</c:v>
                </c:pt>
              </c:strCache>
            </c:strRef>
          </c:cat>
          <c:val>
            <c:numRef>
              <c:f>' Kekerasan dan kekasaran'!$D$3:$D$6</c:f>
              <c:numCache>
                <c:formatCode>General</c:formatCode>
                <c:ptCount val="4"/>
                <c:pt idx="0">
                  <c:v>92.84</c:v>
                </c:pt>
                <c:pt idx="1">
                  <c:v>93.72</c:v>
                </c:pt>
                <c:pt idx="2">
                  <c:v>92.72</c:v>
                </c:pt>
                <c:pt idx="3">
                  <c:v>94.97</c:v>
                </c:pt>
              </c:numCache>
            </c:numRef>
          </c:val>
          <c:extLst>
            <c:ext xmlns:c16="http://schemas.microsoft.com/office/drawing/2014/chart" uri="{C3380CC4-5D6E-409C-BE32-E72D297353CC}">
              <c16:uniqueId val="{00000002-5945-4620-9690-8B98BD5F8F63}"/>
            </c:ext>
          </c:extLst>
        </c:ser>
        <c:dLbls>
          <c:showLegendKey val="0"/>
          <c:showVal val="0"/>
          <c:showCatName val="0"/>
          <c:showSerName val="0"/>
          <c:showPercent val="0"/>
          <c:showBubbleSize val="0"/>
        </c:dLbls>
        <c:gapWidth val="219"/>
        <c:overlap val="-27"/>
        <c:axId val="371775744"/>
        <c:axId val="371777920"/>
      </c:barChart>
      <c:catAx>
        <c:axId val="371775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Grain size variation</a:t>
                </a:r>
              </a:p>
            </c:rich>
          </c:tx>
          <c:layout>
            <c:manualLayout>
              <c:xMode val="edge"/>
              <c:yMode val="edge"/>
              <c:x val="0.40601310069534852"/>
              <c:y val="0.8511884947525230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1777920"/>
        <c:crosses val="autoZero"/>
        <c:auto val="1"/>
        <c:lblAlgn val="ctr"/>
        <c:lblOffset val="100"/>
        <c:noMultiLvlLbl val="0"/>
      </c:catAx>
      <c:valAx>
        <c:axId val="371777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a:latin typeface="Times New Roman" panose="02020603050405020304" pitchFamily="18" charset="0"/>
                    <a:cs typeface="Times New Roman" panose="02020603050405020304" pitchFamily="18" charset="0"/>
                  </a:rPr>
                  <a:t>Hardness (HRB)</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1775744"/>
        <c:crosses val="autoZero"/>
        <c:crossBetween val="between"/>
      </c:valAx>
      <c:spPr>
        <a:solidFill>
          <a:schemeClr val="lt1"/>
        </a:solidFill>
        <a:ln w="9525" cap="flat" cmpd="sng" algn="ctr">
          <a:solidFill>
            <a:schemeClr val="accent1"/>
          </a:solid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dkUpDiag">
              <a:fgClr>
                <a:schemeClr val="tx1"/>
              </a:fgClr>
              <a:bgClr>
                <a:schemeClr val="bg1"/>
              </a:bgClr>
            </a:pattFill>
            <a:ln>
              <a:noFill/>
            </a:ln>
            <a:effectLst/>
          </c:spPr>
          <c:invertIfNegative val="0"/>
          <c:dPt>
            <c:idx val="3"/>
            <c:invertIfNegative val="0"/>
            <c:bubble3D val="0"/>
            <c:spPr>
              <a:pattFill prst="wdUpDiag">
                <a:fgClr>
                  <a:schemeClr val="tx1"/>
                </a:fgClr>
                <a:bgClr>
                  <a:schemeClr val="bg1"/>
                </a:bgClr>
              </a:pattFill>
              <a:ln>
                <a:noFill/>
              </a:ln>
              <a:effectLst/>
            </c:spPr>
            <c:extLst>
              <c:ext xmlns:c16="http://schemas.microsoft.com/office/drawing/2014/chart" uri="{C3380CC4-5D6E-409C-BE32-E72D297353CC}">
                <c16:uniqueId val="{00000001-EF90-4178-8F55-B0727A179F34}"/>
              </c:ext>
            </c:extLst>
          </c:dPt>
          <c:cat>
            <c:strRef>
              <c:f>' Kekerasan dan kekasaran'!$E$3:$E$6</c:f>
              <c:strCache>
                <c:ptCount val="4"/>
                <c:pt idx="0">
                  <c:v>Mesh 12</c:v>
                </c:pt>
                <c:pt idx="1">
                  <c:v>Mesh 25</c:v>
                </c:pt>
                <c:pt idx="2">
                  <c:v>Mesh 40 </c:v>
                </c:pt>
                <c:pt idx="3">
                  <c:v>New Sand</c:v>
                </c:pt>
              </c:strCache>
            </c:strRef>
          </c:cat>
          <c:val>
            <c:numRef>
              <c:f>' Kekerasan dan kekasaran'!$F$3:$F$6</c:f>
              <c:numCache>
                <c:formatCode>General</c:formatCode>
                <c:ptCount val="4"/>
                <c:pt idx="0">
                  <c:v>12.505333333333333</c:v>
                </c:pt>
                <c:pt idx="1">
                  <c:v>15.748666666666667</c:v>
                </c:pt>
                <c:pt idx="2">
                  <c:v>12.469999999999999</c:v>
                </c:pt>
                <c:pt idx="3">
                  <c:v>21.154666666666667</c:v>
                </c:pt>
              </c:numCache>
            </c:numRef>
          </c:val>
          <c:extLst>
            <c:ext xmlns:c16="http://schemas.microsoft.com/office/drawing/2014/chart" uri="{C3380CC4-5D6E-409C-BE32-E72D297353CC}">
              <c16:uniqueId val="{00000002-EF90-4178-8F55-B0727A179F34}"/>
            </c:ext>
          </c:extLst>
        </c:ser>
        <c:dLbls>
          <c:showLegendKey val="0"/>
          <c:showVal val="0"/>
          <c:showCatName val="0"/>
          <c:showSerName val="0"/>
          <c:showPercent val="0"/>
          <c:showBubbleSize val="0"/>
        </c:dLbls>
        <c:gapWidth val="219"/>
        <c:overlap val="-27"/>
        <c:axId val="372704768"/>
        <c:axId val="372706688"/>
      </c:barChart>
      <c:catAx>
        <c:axId val="372704768"/>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ID" sz="900" b="0" i="0" baseline="0">
                    <a:solidFill>
                      <a:schemeClr val="bg1">
                        <a:lumMod val="50000"/>
                      </a:schemeClr>
                    </a:solidFill>
                    <a:effectLst/>
                    <a:latin typeface="Times New Roman" panose="02020603050405020304" pitchFamily="18" charset="0"/>
                    <a:cs typeface="Times New Roman" panose="02020603050405020304" pitchFamily="18" charset="0"/>
                  </a:rPr>
                  <a:t>Grain size variation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72706688"/>
        <c:crosses val="autoZero"/>
        <c:auto val="1"/>
        <c:lblAlgn val="ctr"/>
        <c:lblOffset val="100"/>
        <c:noMultiLvlLbl val="0"/>
      </c:catAx>
      <c:valAx>
        <c:axId val="372706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D" sz="900">
                    <a:latin typeface="Times New Roman" panose="02020603050405020304" pitchFamily="18" charset="0"/>
                    <a:cs typeface="Times New Roman" panose="02020603050405020304" pitchFamily="18" charset="0"/>
                  </a:rPr>
                  <a:t>The</a:t>
                </a:r>
                <a:r>
                  <a:rPr lang="en-ID" sz="900" baseline="0">
                    <a:latin typeface="Times New Roman" panose="02020603050405020304" pitchFamily="18" charset="0"/>
                    <a:cs typeface="Times New Roman" panose="02020603050405020304" pitchFamily="18" charset="0"/>
                  </a:rPr>
                  <a:t> Roughness Surface (µm)</a:t>
                </a:r>
                <a:endParaRPr lang="en-ID" sz="9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704768"/>
        <c:crosses val="autoZero"/>
        <c:crossBetween val="between"/>
      </c:valAx>
      <c:spPr>
        <a:solidFill>
          <a:schemeClr val="lt1"/>
        </a:solidFill>
        <a:ln w="6350" cap="flat" cmpd="sng" algn="ctr">
          <a:solidFill>
            <a:schemeClr val="dk1"/>
          </a:solid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1o1rhXbMpQUPPx9MJ4mWdAWgLw==">AMUW2mXUu7M4gFxTJX3IHprXJr+TSR77Cdv4mOmihoq1Z3ZNhMhY7yMySg4h8h0hYEbSg1JnJngbQPcNK5t90Mc/QBtrlJ44aHzFmbwgmosaTBBbKE9qj4482ybqeGKSolGTaIoMVpIg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319F2AF-73D0-46CD-AC79-75730388B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Pages>
  <Words>5836</Words>
  <Characters>33270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sabtun ismi khasanah</cp:lastModifiedBy>
  <cp:revision>4</cp:revision>
  <dcterms:created xsi:type="dcterms:W3CDTF">2022-08-04T04:16:00Z</dcterms:created>
  <dcterms:modified xsi:type="dcterms:W3CDTF">2023-01-12T09:48:00Z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http://www.zotero.org/styles/jurnal-riset-teknologi-pencegahan-pencemaran-industri</vt:lpwstr>
  </property>
  <property fmtid="{D5CDD505-2E9C-101B-9397-08002B2CF9AE}" pid="17" name="Mendeley Recent Style Name 7_1">
    <vt:lpwstr>Jurnal Riset Teknologi Pencegahan Pencemaran Industri</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fc65f9fb-3ce8-32e5-b393-20ac5e4d71ad</vt:lpwstr>
  </property>
</Properties>
</file>