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7ABCA7" w14:textId="707A4287" w:rsidR="008D0F12" w:rsidRDefault="00BB7DF9" w:rsidP="00BB7DF9">
      <w:pPr>
        <w:pStyle w:val="ListParagraph"/>
        <w:numPr>
          <w:ilvl w:val="0"/>
          <w:numId w:val="1"/>
        </w:numPr>
      </w:pPr>
      <w:r w:rsidRPr="00C7413E">
        <w:t>YOLOv8</w:t>
      </w:r>
    </w:p>
    <w:p w14:paraId="1D573AF1" w14:textId="367CF9CE" w:rsidR="00BB7DF9" w:rsidRDefault="00BB7DF9" w:rsidP="00BB7DF9">
      <w:pPr>
        <w:pStyle w:val="ListParagraph"/>
        <w:numPr>
          <w:ilvl w:val="0"/>
          <w:numId w:val="1"/>
        </w:numPr>
      </w:pPr>
      <w:r w:rsidRPr="00837551">
        <w:t>Data collection for various diseases involved sourcing images from three distinct databases: Roboflow, Kaggle, and medical clinics. These images originated from the optical coherence tomography (OCT) device, capturing eye disease images without surgical procedures. Four classes were identified, encompassing glaucoma, cataracts, (DR), and a healthy from the Roboflow database, totaling 4215 images. Age-related macular degeneration (AMD) data, consisting of 511 images, was obtained from the Kaggle database. Furthermore, data on RVO was collected from medical clinics in Salah al-Din Samarra, Iraq. A total of 1061 images were acquired, of which 513 were of CRVO and 538 were of BRVO. Clinicians in practice made clinical diagnoses, and data collection was approved ethically. All of the images have been pre-processed to have a set size of 224 by 224. A total of 5787 images made up the combined dataset, called Ophthalmic Data,</w:t>
      </w:r>
    </w:p>
    <w:p w14:paraId="0D460023" w14:textId="77777777" w:rsidR="00BB7DF9" w:rsidRDefault="00BB7DF9" w:rsidP="00BB7DF9">
      <w:pPr>
        <w:pStyle w:val="ListParagraph"/>
      </w:pPr>
    </w:p>
    <w:sectPr w:rsidR="00BB7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02029E"/>
    <w:multiLevelType w:val="hybridMultilevel"/>
    <w:tmpl w:val="9148FA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09"/>
    <w:rsid w:val="008D0F12"/>
    <w:rsid w:val="00A46F09"/>
    <w:rsid w:val="00BB7D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5922"/>
  <w15:chartTrackingRefBased/>
  <w15:docId w15:val="{CB198C32-6D65-4803-8CF2-1259442AE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2024-01-06T20:26:00Z</dcterms:created>
  <dcterms:modified xsi:type="dcterms:W3CDTF">2024-01-06T20:30:00Z</dcterms:modified>
</cp:coreProperties>
</file>