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9A728" w14:textId="77777777" w:rsidR="00232BCA" w:rsidRDefault="004972AF" w:rsidP="00211146">
      <w:pPr>
        <w:jc w:val="right"/>
        <w:rPr>
          <w:rFonts w:cs="Calibri"/>
          <w:color w:val="000000"/>
          <w:sz w:val="20"/>
          <w:szCs w:val="20"/>
        </w:rPr>
      </w:pPr>
      <w:r w:rsidRPr="0068198A">
        <w:rPr>
          <w:noProof/>
        </w:rPr>
        <w:drawing>
          <wp:anchor distT="0" distB="0" distL="114300" distR="114300" simplePos="0" relativeHeight="251657728" behindDoc="0" locked="0" layoutInCell="1" allowOverlap="1" wp14:anchorId="0ADC235F" wp14:editId="3A4599BA">
            <wp:simplePos x="0" y="0"/>
            <wp:positionH relativeFrom="column">
              <wp:posOffset>-14605</wp:posOffset>
            </wp:positionH>
            <wp:positionV relativeFrom="paragraph">
              <wp:posOffset>-31115</wp:posOffset>
            </wp:positionV>
            <wp:extent cx="1584960" cy="71437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960" cy="714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32BCA" w:rsidRPr="00C4669C">
        <w:rPr>
          <w:rFonts w:cs="Calibri"/>
          <w:color w:val="000000"/>
          <w:sz w:val="20"/>
          <w:szCs w:val="20"/>
        </w:rPr>
        <w:t>Mutiara</w:t>
      </w:r>
      <w:proofErr w:type="spellEnd"/>
      <w:r w:rsidR="00232BCA" w:rsidRPr="00C4669C">
        <w:rPr>
          <w:rFonts w:cs="Calibri"/>
          <w:color w:val="000000"/>
          <w:sz w:val="20"/>
          <w:szCs w:val="20"/>
        </w:rPr>
        <w:t xml:space="preserve"> </w:t>
      </w:r>
      <w:proofErr w:type="spellStart"/>
      <w:r w:rsidR="00232BCA" w:rsidRPr="00C4669C">
        <w:rPr>
          <w:rFonts w:cs="Calibri"/>
          <w:color w:val="000000"/>
          <w:sz w:val="20"/>
          <w:szCs w:val="20"/>
        </w:rPr>
        <w:t>Medika</w:t>
      </w:r>
      <w:proofErr w:type="spellEnd"/>
      <w:r w:rsidR="00232BCA" w:rsidRPr="00C4669C">
        <w:rPr>
          <w:rFonts w:cs="Calibri"/>
          <w:color w:val="000000"/>
          <w:sz w:val="20"/>
          <w:szCs w:val="20"/>
        </w:rPr>
        <w:t xml:space="preserve">: </w:t>
      </w:r>
      <w:proofErr w:type="spellStart"/>
      <w:r w:rsidR="00232BCA" w:rsidRPr="00C4669C">
        <w:rPr>
          <w:rFonts w:cs="Calibri"/>
          <w:color w:val="000000"/>
          <w:sz w:val="20"/>
          <w:szCs w:val="20"/>
        </w:rPr>
        <w:t>Jurnal</w:t>
      </w:r>
      <w:proofErr w:type="spellEnd"/>
      <w:r w:rsidR="00232BCA" w:rsidRPr="00C4669C">
        <w:rPr>
          <w:rFonts w:cs="Calibri"/>
          <w:color w:val="000000"/>
          <w:sz w:val="20"/>
          <w:szCs w:val="20"/>
        </w:rPr>
        <w:t xml:space="preserve"> </w:t>
      </w:r>
      <w:proofErr w:type="spellStart"/>
      <w:r w:rsidR="00232BCA" w:rsidRPr="00C4669C">
        <w:rPr>
          <w:rFonts w:cs="Calibri"/>
          <w:color w:val="000000"/>
          <w:sz w:val="20"/>
          <w:szCs w:val="20"/>
        </w:rPr>
        <w:t>Kedokteran</w:t>
      </w:r>
      <w:proofErr w:type="spellEnd"/>
      <w:r w:rsidR="00232BCA" w:rsidRPr="00C4669C">
        <w:rPr>
          <w:rFonts w:cs="Calibri"/>
          <w:color w:val="000000"/>
          <w:sz w:val="20"/>
          <w:szCs w:val="20"/>
        </w:rPr>
        <w:t xml:space="preserve"> </w:t>
      </w:r>
      <w:proofErr w:type="spellStart"/>
      <w:r w:rsidR="00232BCA" w:rsidRPr="00C4669C">
        <w:rPr>
          <w:rFonts w:cs="Calibri"/>
          <w:color w:val="000000"/>
          <w:sz w:val="20"/>
          <w:szCs w:val="20"/>
        </w:rPr>
        <w:t>dan</w:t>
      </w:r>
      <w:proofErr w:type="spellEnd"/>
      <w:r w:rsidR="00232BCA" w:rsidRPr="00C4669C">
        <w:rPr>
          <w:rFonts w:cs="Calibri"/>
          <w:color w:val="000000"/>
          <w:sz w:val="20"/>
          <w:szCs w:val="20"/>
        </w:rPr>
        <w:t xml:space="preserve"> </w:t>
      </w:r>
      <w:proofErr w:type="spellStart"/>
      <w:r w:rsidR="00232BCA" w:rsidRPr="00C4669C">
        <w:rPr>
          <w:rFonts w:cs="Calibri"/>
          <w:color w:val="000000"/>
          <w:sz w:val="20"/>
          <w:szCs w:val="20"/>
        </w:rPr>
        <w:t>Kesehatan</w:t>
      </w:r>
      <w:proofErr w:type="spellEnd"/>
    </w:p>
    <w:p w14:paraId="5FCE5DC1" w14:textId="77777777" w:rsidR="00B3273A" w:rsidRPr="0068198A" w:rsidRDefault="00B3273A" w:rsidP="00211146">
      <w:pPr>
        <w:jc w:val="right"/>
        <w:rPr>
          <w:rFonts w:cs="Calibri"/>
          <w:noProof/>
          <w:sz w:val="20"/>
          <w:szCs w:val="20"/>
        </w:rPr>
      </w:pPr>
      <w:r w:rsidRPr="0068198A">
        <w:rPr>
          <w:rFonts w:cs="Calibri"/>
          <w:color w:val="000000"/>
          <w:sz w:val="20"/>
          <w:szCs w:val="20"/>
        </w:rPr>
        <w:t>http://journal.umy.ac.id/index.php/mm</w:t>
      </w:r>
    </w:p>
    <w:p w14:paraId="0AEFA61C" w14:textId="77777777" w:rsidR="00B3273A" w:rsidRPr="0068198A" w:rsidRDefault="00D72EE5" w:rsidP="00211146">
      <w:pPr>
        <w:ind w:left="5812"/>
        <w:jc w:val="right"/>
        <w:rPr>
          <w:rFonts w:cs="Calibri"/>
          <w:color w:val="000000"/>
          <w:sz w:val="20"/>
          <w:szCs w:val="20"/>
        </w:rPr>
      </w:pPr>
      <w:r>
        <w:rPr>
          <w:rFonts w:cs="Calibri"/>
          <w:bCs/>
          <w:sz w:val="20"/>
          <w:szCs w:val="16"/>
          <w:lang w:val="id-ID"/>
        </w:rPr>
        <w:t xml:space="preserve"> </w:t>
      </w:r>
      <w:r w:rsidR="00211146" w:rsidRPr="0068198A">
        <w:rPr>
          <w:rFonts w:cs="Calibri"/>
          <w:noProof/>
          <w:sz w:val="14"/>
          <w:szCs w:val="14"/>
        </w:rPr>
        <w:t xml:space="preserve"> </w:t>
      </w:r>
    </w:p>
    <w:p w14:paraId="26C4305A" w14:textId="77777777" w:rsidR="00B3273A" w:rsidRPr="0068198A" w:rsidRDefault="00B3273A" w:rsidP="00B3273A">
      <w:pPr>
        <w:ind w:left="5812"/>
        <w:rPr>
          <w:rFonts w:ascii="Cambria" w:hAnsi="Cambria"/>
          <w:color w:val="000000"/>
          <w:sz w:val="18"/>
          <w:szCs w:val="18"/>
        </w:rPr>
      </w:pPr>
    </w:p>
    <w:p w14:paraId="4F7FBEAB" w14:textId="77777777" w:rsidR="00B3273A" w:rsidRPr="0068198A" w:rsidRDefault="00B3273A" w:rsidP="00B3273A">
      <w:pPr>
        <w:ind w:left="5812"/>
        <w:rPr>
          <w:rFonts w:ascii="Cambria" w:hAnsi="Cambria"/>
          <w:color w:val="000000"/>
          <w:sz w:val="18"/>
          <w:szCs w:val="18"/>
        </w:rPr>
      </w:pPr>
    </w:p>
    <w:p w14:paraId="72C27505" w14:textId="77777777" w:rsidR="00B3273A" w:rsidRPr="00094E27" w:rsidRDefault="00B4705A" w:rsidP="00004D12">
      <w:pPr>
        <w:rPr>
          <w:rFonts w:cs="Calibri"/>
          <w:noProof/>
          <w:color w:val="000000"/>
          <w:sz w:val="20"/>
          <w:szCs w:val="20"/>
          <w:lang w:val="id-ID"/>
        </w:rPr>
      </w:pPr>
      <w:r>
        <w:rPr>
          <w:rFonts w:cs="Calibri"/>
          <w:color w:val="000000"/>
          <w:sz w:val="20"/>
        </w:rPr>
        <w:t xml:space="preserve">Vol </w:t>
      </w:r>
      <w:r w:rsidR="00CB1F24">
        <w:rPr>
          <w:rFonts w:cs="Calibri"/>
          <w:color w:val="000000"/>
          <w:sz w:val="20"/>
        </w:rPr>
        <w:t>xx</w:t>
      </w:r>
      <w:r w:rsidR="00B3273A" w:rsidRPr="003A6D0D">
        <w:rPr>
          <w:rFonts w:cs="Calibri"/>
          <w:color w:val="000000"/>
          <w:sz w:val="20"/>
        </w:rPr>
        <w:t xml:space="preserve"> No </w:t>
      </w:r>
      <w:r w:rsidR="00CB1F24">
        <w:rPr>
          <w:rFonts w:cs="Calibri"/>
          <w:color w:val="000000"/>
          <w:sz w:val="20"/>
        </w:rPr>
        <w:t>x</w:t>
      </w:r>
      <w:r w:rsidR="007D584A" w:rsidRPr="00352C09">
        <w:rPr>
          <w:rFonts w:cs="Calibri"/>
          <w:color w:val="000000"/>
          <w:sz w:val="20"/>
        </w:rPr>
        <w:t xml:space="preserve"> </w:t>
      </w:r>
      <w:r w:rsidRPr="00352C09">
        <w:rPr>
          <w:rFonts w:cs="Calibri"/>
          <w:color w:val="000000"/>
          <w:sz w:val="20"/>
        </w:rPr>
        <w:t>Pa</w:t>
      </w:r>
      <w:r w:rsidRPr="00352C09">
        <w:rPr>
          <w:rFonts w:cs="Calibri"/>
          <w:color w:val="000000"/>
          <w:sz w:val="20"/>
          <w:lang w:val="id-ID"/>
        </w:rPr>
        <w:t>ge</w:t>
      </w:r>
      <w:r w:rsidR="007D584A" w:rsidRPr="00352C09">
        <w:rPr>
          <w:rFonts w:cs="Calibri"/>
          <w:color w:val="000000"/>
          <w:sz w:val="20"/>
        </w:rPr>
        <w:t xml:space="preserve"> </w:t>
      </w:r>
      <w:r w:rsidR="00CB1F24">
        <w:rPr>
          <w:rFonts w:cs="Calibri"/>
          <w:color w:val="000000"/>
          <w:sz w:val="20"/>
          <w:lang w:val="en-ID"/>
        </w:rPr>
        <w:t>xx</w:t>
      </w:r>
      <w:r w:rsidR="00267183">
        <w:rPr>
          <w:rFonts w:cs="Calibri"/>
          <w:color w:val="000000"/>
          <w:sz w:val="20"/>
          <w:lang w:val="id-ID"/>
        </w:rPr>
        <w:t>-</w:t>
      </w:r>
      <w:r w:rsidR="00CB1F24">
        <w:rPr>
          <w:rFonts w:cs="Calibri"/>
          <w:color w:val="000000"/>
          <w:sz w:val="20"/>
          <w:lang w:val="en-GB"/>
        </w:rPr>
        <w:t>xx</w:t>
      </w:r>
      <w:r w:rsidR="00B3273A" w:rsidRPr="003A6D0D">
        <w:rPr>
          <w:rFonts w:cs="Calibri"/>
          <w:color w:val="000000"/>
          <w:sz w:val="20"/>
        </w:rPr>
        <w:t xml:space="preserve"> </w:t>
      </w:r>
      <w:r>
        <w:rPr>
          <w:rFonts w:cs="Calibri"/>
          <w:color w:val="000000"/>
          <w:sz w:val="20"/>
          <w:szCs w:val="20"/>
        </w:rPr>
        <w:t>January</w:t>
      </w:r>
      <w:r w:rsidR="00CB1F24">
        <w:rPr>
          <w:rFonts w:cs="Calibri"/>
          <w:color w:val="000000"/>
          <w:sz w:val="20"/>
          <w:szCs w:val="20"/>
        </w:rPr>
        <w:t>/July</w:t>
      </w:r>
      <w:r>
        <w:rPr>
          <w:rFonts w:cs="Calibri"/>
          <w:color w:val="000000"/>
          <w:sz w:val="20"/>
          <w:szCs w:val="20"/>
        </w:rPr>
        <w:t xml:space="preserve"> </w:t>
      </w:r>
      <w:r w:rsidR="009F184D">
        <w:rPr>
          <w:rFonts w:cs="Calibri"/>
          <w:color w:val="000000"/>
          <w:sz w:val="20"/>
          <w:szCs w:val="20"/>
        </w:rPr>
        <w:t>Year</w:t>
      </w:r>
    </w:p>
    <w:p w14:paraId="291024EC" w14:textId="77777777" w:rsidR="00B3273A" w:rsidRPr="0068198A" w:rsidRDefault="00B3273A" w:rsidP="00B3273A">
      <w:pPr>
        <w:jc w:val="right"/>
        <w:rPr>
          <w:noProof/>
          <w:sz w:val="14"/>
          <w:szCs w:val="14"/>
        </w:rPr>
      </w:pPr>
    </w:p>
    <w:tbl>
      <w:tblPr>
        <w:tblW w:w="9056" w:type="dxa"/>
        <w:jc w:val="center"/>
        <w:tblBorders>
          <w:top w:val="single" w:sz="4" w:space="0" w:color="auto"/>
          <w:bottom w:val="single" w:sz="4" w:space="0" w:color="auto"/>
        </w:tblBorders>
        <w:tblLook w:val="04A0" w:firstRow="1" w:lastRow="0" w:firstColumn="1" w:lastColumn="0" w:noHBand="0" w:noVBand="1"/>
      </w:tblPr>
      <w:tblGrid>
        <w:gridCol w:w="2235"/>
        <w:gridCol w:w="6821"/>
      </w:tblGrid>
      <w:tr w:rsidR="00B3273A" w:rsidRPr="0068198A" w14:paraId="47926A05" w14:textId="77777777" w:rsidTr="005140BA">
        <w:trPr>
          <w:jc w:val="center"/>
        </w:trPr>
        <w:tc>
          <w:tcPr>
            <w:tcW w:w="9056" w:type="dxa"/>
            <w:gridSpan w:val="2"/>
            <w:shd w:val="clear" w:color="auto" w:fill="auto"/>
          </w:tcPr>
          <w:p w14:paraId="6B653EFC" w14:textId="77777777" w:rsidR="00B3273A" w:rsidRPr="0068198A" w:rsidRDefault="00B3273A" w:rsidP="0036634B">
            <w:pPr>
              <w:jc w:val="center"/>
              <w:rPr>
                <w:rFonts w:ascii="BatangChe" w:eastAsia="BatangChe" w:hAnsi="BatangChe" w:cs="Times New Roman"/>
                <w:b/>
                <w:sz w:val="6"/>
                <w:szCs w:val="6"/>
              </w:rPr>
            </w:pPr>
          </w:p>
          <w:p w14:paraId="262E2DCE" w14:textId="538B9F98" w:rsidR="007D584A" w:rsidRPr="002E45D0" w:rsidRDefault="00D12F24" w:rsidP="00B65359">
            <w:pPr>
              <w:rPr>
                <w:rFonts w:ascii="Candara" w:hAnsi="Candara" w:cs="Times New Roman"/>
                <w:b/>
                <w:sz w:val="36"/>
                <w:szCs w:val="36"/>
              </w:rPr>
            </w:pPr>
            <w:r w:rsidRPr="002E45D0">
              <w:rPr>
                <w:rFonts w:ascii="Candara" w:hAnsi="Candara" w:cs="Times New Roman"/>
                <w:b/>
                <w:bCs/>
                <w:iCs/>
                <w:sz w:val="36"/>
                <w:szCs w:val="36"/>
                <w:lang w:val="id-ID"/>
              </w:rPr>
              <w:t xml:space="preserve">Anticoagulant Therapy in Moderate to Severe </w:t>
            </w:r>
            <w:r w:rsidR="00E30904">
              <w:rPr>
                <w:rFonts w:ascii="Candara" w:hAnsi="Candara" w:cs="Times New Roman"/>
                <w:b/>
                <w:bCs/>
                <w:iCs/>
                <w:sz w:val="36"/>
                <w:szCs w:val="36"/>
                <w:lang w:val="id-ID"/>
              </w:rPr>
              <w:t>COVID-19</w:t>
            </w:r>
            <w:r w:rsidRPr="002E45D0">
              <w:rPr>
                <w:rFonts w:ascii="Candara" w:hAnsi="Candara" w:cs="Times New Roman"/>
                <w:b/>
                <w:bCs/>
                <w:iCs/>
                <w:sz w:val="36"/>
                <w:szCs w:val="36"/>
                <w:lang w:val="id-ID"/>
              </w:rPr>
              <w:t xml:space="preserve"> Patients</w:t>
            </w:r>
            <w:r w:rsidR="00DC3713" w:rsidRPr="002E45D0">
              <w:rPr>
                <w:rFonts w:ascii="Candara" w:hAnsi="Candara" w:cs="Times New Roman"/>
                <w:b/>
                <w:sz w:val="36"/>
                <w:szCs w:val="36"/>
              </w:rPr>
              <w:t xml:space="preserve"> </w:t>
            </w:r>
          </w:p>
          <w:p w14:paraId="549FECCF" w14:textId="77777777" w:rsidR="00B3273A" w:rsidRPr="007D584A" w:rsidRDefault="00B3273A" w:rsidP="00CC73AC">
            <w:pPr>
              <w:rPr>
                <w:rFonts w:ascii="Candara" w:hAnsi="Candara"/>
                <w:b/>
                <w:i/>
                <w:sz w:val="20"/>
                <w:szCs w:val="20"/>
              </w:rPr>
            </w:pPr>
          </w:p>
          <w:p w14:paraId="164CAB27" w14:textId="10595492" w:rsidR="007D584A" w:rsidRPr="00D12F24" w:rsidRDefault="00D12F24" w:rsidP="0096397C">
            <w:pPr>
              <w:rPr>
                <w:rFonts w:ascii="Candara" w:hAnsi="Candara"/>
                <w:bCs/>
                <w:i/>
                <w:sz w:val="22"/>
                <w:szCs w:val="22"/>
                <w:lang w:val="id-ID"/>
              </w:rPr>
            </w:pPr>
            <w:r w:rsidRPr="00D12F24">
              <w:rPr>
                <w:rFonts w:ascii="Candara" w:hAnsi="Candara"/>
                <w:bCs/>
                <w:i/>
                <w:sz w:val="22"/>
                <w:szCs w:val="22"/>
                <w:lang w:val="id-ID"/>
              </w:rPr>
              <w:t xml:space="preserve">Terapi Antikoagulan pada Pasien </w:t>
            </w:r>
            <w:r w:rsidR="00E30904">
              <w:rPr>
                <w:rFonts w:ascii="Candara" w:hAnsi="Candara"/>
                <w:bCs/>
                <w:i/>
                <w:sz w:val="22"/>
                <w:szCs w:val="22"/>
                <w:lang w:val="id-ID"/>
              </w:rPr>
              <w:t>COVID-19</w:t>
            </w:r>
            <w:r w:rsidRPr="00D12F24">
              <w:rPr>
                <w:rFonts w:ascii="Candara" w:hAnsi="Candara"/>
                <w:bCs/>
                <w:i/>
                <w:sz w:val="22"/>
                <w:szCs w:val="22"/>
                <w:lang w:val="id-ID"/>
              </w:rPr>
              <w:t xml:space="preserve"> Sedang sampai Berat</w:t>
            </w:r>
            <w:r w:rsidR="00CB1F24" w:rsidRPr="00D12F24">
              <w:rPr>
                <w:rFonts w:ascii="Candara" w:hAnsi="Candara"/>
                <w:bCs/>
                <w:i/>
                <w:sz w:val="22"/>
                <w:szCs w:val="22"/>
              </w:rPr>
              <w:t xml:space="preserve"> </w:t>
            </w:r>
          </w:p>
          <w:p w14:paraId="164EA481" w14:textId="77777777" w:rsidR="00B3273A" w:rsidRPr="007D584A" w:rsidRDefault="00B3273A" w:rsidP="0036634B">
            <w:pPr>
              <w:jc w:val="center"/>
              <w:rPr>
                <w:rFonts w:ascii="Goudy Old Style" w:hAnsi="Goudy Old Style" w:cs="Times New Roman"/>
                <w:bCs/>
                <w:i/>
                <w:iCs/>
                <w:sz w:val="20"/>
                <w:szCs w:val="20"/>
                <w:lang w:val="id-ID"/>
              </w:rPr>
            </w:pPr>
          </w:p>
          <w:p w14:paraId="62099837" w14:textId="77777777" w:rsidR="007D584A" w:rsidRPr="00DE7DBC" w:rsidRDefault="00D12F24" w:rsidP="007D584A">
            <w:pPr>
              <w:ind w:left="27"/>
              <w:rPr>
                <w:rFonts w:ascii="Goudy Old Style" w:hAnsi="Goudy Old Style"/>
                <w:b/>
              </w:rPr>
            </w:pPr>
            <w:r w:rsidRPr="00D12F24">
              <w:rPr>
                <w:rFonts w:ascii="Goudy Old Style" w:hAnsi="Goudy Old Style"/>
                <w:b/>
                <w:bCs/>
                <w:lang w:val="id-ID"/>
              </w:rPr>
              <w:t>Agus Fitriyanto Achmad</w:t>
            </w:r>
            <w:r w:rsidRPr="00D12F24">
              <w:rPr>
                <w:rFonts w:ascii="Goudy Old Style" w:hAnsi="Goudy Old Style"/>
                <w:b/>
                <w:bCs/>
                <w:vertAlign w:val="superscript"/>
              </w:rPr>
              <w:t xml:space="preserve"> </w:t>
            </w:r>
            <w:r w:rsidR="00100B5B" w:rsidRPr="00100B5B">
              <w:rPr>
                <w:rFonts w:ascii="Goudy Old Style" w:hAnsi="Goudy Old Style"/>
                <w:b/>
                <w:bCs/>
                <w:vertAlign w:val="superscript"/>
              </w:rPr>
              <w:t>1</w:t>
            </w:r>
            <w:r w:rsidR="00B46949">
              <w:rPr>
                <w:rFonts w:ascii="Goudy Old Style" w:hAnsi="Goudy Old Style"/>
                <w:b/>
                <w:bCs/>
                <w:lang w:val="id-ID"/>
              </w:rPr>
              <w:t>*</w:t>
            </w:r>
            <w:r w:rsidR="00B46949" w:rsidRPr="00B46949">
              <w:rPr>
                <w:rFonts w:ascii="Goudy Old Style" w:hAnsi="Goudy Old Style"/>
                <w:b/>
                <w:bCs/>
              </w:rPr>
              <w:t xml:space="preserve">, </w:t>
            </w:r>
            <w:r w:rsidR="00DE7DBC" w:rsidRPr="00DE7DBC">
              <w:rPr>
                <w:rFonts w:ascii="Goudy Old Style" w:hAnsi="Goudy Old Style"/>
                <w:b/>
                <w:bCs/>
                <w:lang w:val="id-ID"/>
              </w:rPr>
              <w:t>Yuni Iswati Raharjani</w:t>
            </w:r>
            <w:r w:rsidR="00100B5B" w:rsidRPr="00100B5B">
              <w:rPr>
                <w:rFonts w:ascii="Goudy Old Style" w:hAnsi="Goudy Old Style"/>
                <w:b/>
                <w:bCs/>
                <w:vertAlign w:val="superscript"/>
              </w:rPr>
              <w:t>2</w:t>
            </w:r>
            <w:r w:rsidR="00DE7DBC">
              <w:rPr>
                <w:rFonts w:ascii="Goudy Old Style" w:hAnsi="Goudy Old Style"/>
                <w:b/>
                <w:bCs/>
              </w:rPr>
              <w:t xml:space="preserve">, </w:t>
            </w:r>
            <w:r w:rsidR="00DE7DBC" w:rsidRPr="00DE7DBC">
              <w:rPr>
                <w:rFonts w:ascii="Goudy Old Style" w:hAnsi="Goudy Old Style"/>
                <w:b/>
                <w:bCs/>
                <w:lang w:val="id-ID"/>
              </w:rPr>
              <w:t>Zidni Setyaningrum</w:t>
            </w:r>
            <w:r w:rsidR="00DE7DBC">
              <w:rPr>
                <w:rFonts w:ascii="Goudy Old Style" w:hAnsi="Goudy Old Style"/>
                <w:b/>
                <w:bCs/>
              </w:rPr>
              <w:t xml:space="preserve">, </w:t>
            </w:r>
            <w:r w:rsidR="00DE7DBC" w:rsidRPr="00DE7DBC">
              <w:rPr>
                <w:rFonts w:ascii="Goudy Old Style" w:hAnsi="Goudy Old Style"/>
                <w:b/>
                <w:bCs/>
                <w:lang w:val="id-ID"/>
              </w:rPr>
              <w:t>Bagus Andi Pramono</w:t>
            </w:r>
            <w:r w:rsidR="00DE7DBC">
              <w:rPr>
                <w:rFonts w:ascii="Goudy Old Style" w:hAnsi="Goudy Old Style"/>
                <w:b/>
                <w:bCs/>
                <w:vertAlign w:val="superscript"/>
              </w:rPr>
              <w:t>3</w:t>
            </w:r>
            <w:r w:rsidR="00DE7DBC">
              <w:rPr>
                <w:rFonts w:ascii="Goudy Old Style" w:hAnsi="Goudy Old Style"/>
                <w:b/>
                <w:bCs/>
              </w:rPr>
              <w:t xml:space="preserve">, </w:t>
            </w:r>
            <w:r w:rsidR="00DE7DBC" w:rsidRPr="00DE7DBC">
              <w:rPr>
                <w:rFonts w:ascii="Goudy Old Style" w:hAnsi="Goudy Old Style"/>
                <w:b/>
                <w:bCs/>
                <w:lang w:val="id-ID"/>
              </w:rPr>
              <w:t>Dita Ria Selvyana</w:t>
            </w:r>
            <w:r w:rsidR="00DE7DBC">
              <w:rPr>
                <w:rFonts w:ascii="Goudy Old Style" w:hAnsi="Goudy Old Style"/>
                <w:b/>
                <w:bCs/>
                <w:vertAlign w:val="superscript"/>
              </w:rPr>
              <w:t>5</w:t>
            </w:r>
            <w:r w:rsidR="00DE7DBC">
              <w:rPr>
                <w:rFonts w:ascii="Goudy Old Style" w:hAnsi="Goudy Old Style"/>
                <w:b/>
                <w:bCs/>
              </w:rPr>
              <w:t xml:space="preserve">, </w:t>
            </w:r>
            <w:r w:rsidR="00DE7DBC" w:rsidRPr="00DE7DBC">
              <w:rPr>
                <w:rFonts w:ascii="Goudy Old Style" w:hAnsi="Goudy Old Style"/>
                <w:b/>
                <w:bCs/>
              </w:rPr>
              <w:t xml:space="preserve">Sri </w:t>
            </w:r>
            <w:proofErr w:type="spellStart"/>
            <w:r w:rsidR="00DE7DBC" w:rsidRPr="00DE7DBC">
              <w:rPr>
                <w:rFonts w:ascii="Goudy Old Style" w:hAnsi="Goudy Old Style"/>
                <w:b/>
                <w:bCs/>
              </w:rPr>
              <w:t>Pramesthi</w:t>
            </w:r>
            <w:proofErr w:type="spellEnd"/>
            <w:r w:rsidR="00DE7DBC" w:rsidRPr="00DE7DBC">
              <w:rPr>
                <w:rFonts w:ascii="Goudy Old Style" w:hAnsi="Goudy Old Style"/>
                <w:b/>
                <w:bCs/>
              </w:rPr>
              <w:t xml:space="preserve"> </w:t>
            </w:r>
            <w:proofErr w:type="spellStart"/>
            <w:r w:rsidR="00DE7DBC" w:rsidRPr="00DE7DBC">
              <w:rPr>
                <w:rFonts w:ascii="Goudy Old Style" w:hAnsi="Goudy Old Style"/>
                <w:b/>
                <w:bCs/>
              </w:rPr>
              <w:t>Wisnu</w:t>
            </w:r>
            <w:proofErr w:type="spellEnd"/>
            <w:r w:rsidR="00DE7DBC" w:rsidRPr="00DE7DBC">
              <w:rPr>
                <w:rFonts w:ascii="Goudy Old Style" w:hAnsi="Goudy Old Style"/>
                <w:b/>
                <w:bCs/>
              </w:rPr>
              <w:t xml:space="preserve"> </w:t>
            </w:r>
            <w:proofErr w:type="spellStart"/>
            <w:r w:rsidR="00DE7DBC" w:rsidRPr="00DE7DBC">
              <w:rPr>
                <w:rFonts w:ascii="Goudy Old Style" w:hAnsi="Goudy Old Style"/>
                <w:b/>
                <w:bCs/>
              </w:rPr>
              <w:t>Bowo</w:t>
            </w:r>
            <w:proofErr w:type="spellEnd"/>
            <w:r w:rsidR="00DE7DBC" w:rsidRPr="00DE7DBC">
              <w:rPr>
                <w:rFonts w:ascii="Goudy Old Style" w:hAnsi="Goudy Old Style"/>
                <w:b/>
                <w:bCs/>
              </w:rPr>
              <w:t xml:space="preserve"> Negoro</w:t>
            </w:r>
            <w:r w:rsidR="00DE7DBC" w:rsidRPr="00DE7DBC">
              <w:rPr>
                <w:rFonts w:ascii="Goudy Old Style" w:hAnsi="Goudy Old Style"/>
                <w:b/>
                <w:bCs/>
                <w:vertAlign w:val="superscript"/>
              </w:rPr>
              <w:t>6</w:t>
            </w:r>
          </w:p>
          <w:p w14:paraId="25216E64" w14:textId="77777777" w:rsidR="00DE7DBC"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1</w:t>
            </w:r>
            <w:r>
              <w:rPr>
                <w:rFonts w:asciiTheme="majorHAnsi" w:hAnsiTheme="majorHAnsi" w:cstheme="majorHAnsi"/>
                <w:sz w:val="18"/>
                <w:szCs w:val="18"/>
              </w:rPr>
              <w:t xml:space="preserve">Haematologist and Medical Oncologist, Internal Medicine Department of </w:t>
            </w:r>
            <w:proofErr w:type="spellStart"/>
            <w:r>
              <w:rPr>
                <w:rFonts w:asciiTheme="majorHAnsi" w:hAnsiTheme="majorHAnsi" w:cstheme="majorHAnsi"/>
                <w:sz w:val="18"/>
                <w:szCs w:val="18"/>
              </w:rPr>
              <w:t>Panembahan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Senopati</w:t>
            </w:r>
            <w:proofErr w:type="spellEnd"/>
            <w:r>
              <w:rPr>
                <w:rFonts w:asciiTheme="majorHAnsi" w:hAnsiTheme="majorHAnsi" w:cstheme="majorHAnsi"/>
                <w:sz w:val="18"/>
                <w:szCs w:val="18"/>
              </w:rPr>
              <w:t xml:space="preserve"> Hospital</w:t>
            </w:r>
          </w:p>
          <w:p w14:paraId="0E94C833" w14:textId="77777777" w:rsidR="00DE7DBC"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2</w:t>
            </w:r>
            <w:r>
              <w:rPr>
                <w:rFonts w:asciiTheme="majorHAnsi" w:hAnsiTheme="majorHAnsi" w:cstheme="majorHAnsi"/>
                <w:sz w:val="18"/>
                <w:szCs w:val="18"/>
              </w:rPr>
              <w:t xml:space="preserve">Pulmonologist, Internal Medicine Department of </w:t>
            </w:r>
            <w:proofErr w:type="spellStart"/>
            <w:r>
              <w:rPr>
                <w:rFonts w:asciiTheme="majorHAnsi" w:hAnsiTheme="majorHAnsi" w:cstheme="majorHAnsi"/>
                <w:sz w:val="18"/>
                <w:szCs w:val="18"/>
              </w:rPr>
              <w:t>Panembahan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Senopati</w:t>
            </w:r>
            <w:proofErr w:type="spellEnd"/>
            <w:r>
              <w:rPr>
                <w:rFonts w:asciiTheme="majorHAnsi" w:hAnsiTheme="majorHAnsi" w:cstheme="majorHAnsi"/>
                <w:sz w:val="18"/>
                <w:szCs w:val="18"/>
              </w:rPr>
              <w:t xml:space="preserve"> Hospital</w:t>
            </w:r>
          </w:p>
          <w:p w14:paraId="7CD10625" w14:textId="77777777" w:rsidR="00DE7DBC"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3</w:t>
            </w:r>
            <w:r>
              <w:rPr>
                <w:rFonts w:asciiTheme="majorHAnsi" w:hAnsiTheme="majorHAnsi" w:cstheme="majorHAnsi"/>
                <w:sz w:val="18"/>
                <w:szCs w:val="18"/>
              </w:rPr>
              <w:t xml:space="preserve">Internist, Internal Medicine Department of </w:t>
            </w:r>
            <w:proofErr w:type="spellStart"/>
            <w:r>
              <w:rPr>
                <w:rFonts w:asciiTheme="majorHAnsi" w:hAnsiTheme="majorHAnsi" w:cstheme="majorHAnsi"/>
                <w:sz w:val="18"/>
                <w:szCs w:val="18"/>
              </w:rPr>
              <w:t>Panembahan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Senopati</w:t>
            </w:r>
            <w:proofErr w:type="spellEnd"/>
            <w:r>
              <w:rPr>
                <w:rFonts w:asciiTheme="majorHAnsi" w:hAnsiTheme="majorHAnsi" w:cstheme="majorHAnsi"/>
                <w:sz w:val="18"/>
                <w:szCs w:val="18"/>
              </w:rPr>
              <w:t xml:space="preserve"> Hospital</w:t>
            </w:r>
          </w:p>
          <w:p w14:paraId="79E5AD6D" w14:textId="77777777" w:rsidR="00DE7DBC"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4</w:t>
            </w:r>
            <w:r>
              <w:rPr>
                <w:rFonts w:asciiTheme="majorHAnsi" w:hAnsiTheme="majorHAnsi" w:cstheme="majorHAnsi"/>
                <w:sz w:val="18"/>
                <w:szCs w:val="18"/>
              </w:rPr>
              <w:t xml:space="preserve">Cardiologist, Internal Medicine Department of </w:t>
            </w:r>
            <w:proofErr w:type="spellStart"/>
            <w:r>
              <w:rPr>
                <w:rFonts w:asciiTheme="majorHAnsi" w:hAnsiTheme="majorHAnsi" w:cstheme="majorHAnsi"/>
                <w:sz w:val="18"/>
                <w:szCs w:val="18"/>
              </w:rPr>
              <w:t>Panembahan</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Senopati</w:t>
            </w:r>
            <w:proofErr w:type="spellEnd"/>
            <w:r>
              <w:rPr>
                <w:rFonts w:asciiTheme="majorHAnsi" w:hAnsiTheme="majorHAnsi" w:cstheme="majorHAnsi"/>
                <w:sz w:val="18"/>
                <w:szCs w:val="18"/>
              </w:rPr>
              <w:t xml:space="preserve"> Hospital</w:t>
            </w:r>
          </w:p>
          <w:p w14:paraId="7B3B35B1" w14:textId="77777777" w:rsidR="00DE7DBC"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5</w:t>
            </w:r>
            <w:r>
              <w:rPr>
                <w:rFonts w:asciiTheme="majorHAnsi" w:hAnsiTheme="majorHAnsi" w:cstheme="majorHAnsi"/>
                <w:sz w:val="18"/>
                <w:szCs w:val="18"/>
              </w:rPr>
              <w:t>Internist, Internal Medicine Department of Medical Faculty of Muhammadiyah Yogyakarta University</w:t>
            </w:r>
          </w:p>
          <w:p w14:paraId="2987B453" w14:textId="77777777" w:rsidR="00DE7DBC" w:rsidRPr="00D84A51" w:rsidRDefault="00DE7DBC" w:rsidP="00DE7DBC">
            <w:pPr>
              <w:rPr>
                <w:rFonts w:asciiTheme="majorHAnsi" w:hAnsiTheme="majorHAnsi" w:cstheme="majorHAnsi"/>
                <w:sz w:val="18"/>
                <w:szCs w:val="18"/>
              </w:rPr>
            </w:pPr>
            <w:r>
              <w:rPr>
                <w:rFonts w:asciiTheme="majorHAnsi" w:hAnsiTheme="majorHAnsi" w:cstheme="majorHAnsi"/>
                <w:sz w:val="18"/>
                <w:szCs w:val="18"/>
                <w:vertAlign w:val="superscript"/>
              </w:rPr>
              <w:t>6</w:t>
            </w:r>
            <w:r>
              <w:rPr>
                <w:rFonts w:asciiTheme="majorHAnsi" w:hAnsiTheme="majorHAnsi" w:cstheme="majorHAnsi"/>
                <w:sz w:val="18"/>
                <w:szCs w:val="18"/>
              </w:rPr>
              <w:t>General Practitioner</w:t>
            </w:r>
          </w:p>
          <w:p w14:paraId="561D92B7" w14:textId="77777777" w:rsidR="00094E27" w:rsidRPr="00B46949" w:rsidRDefault="00094E27" w:rsidP="005558EC">
            <w:pPr>
              <w:ind w:left="27"/>
              <w:rPr>
                <w:rFonts w:ascii="Calibri Light" w:hAnsi="Calibri Light"/>
                <w:bCs/>
                <w:iCs/>
                <w:sz w:val="18"/>
                <w:szCs w:val="18"/>
              </w:rPr>
            </w:pPr>
          </w:p>
        </w:tc>
      </w:tr>
      <w:tr w:rsidR="00B3273A" w:rsidRPr="00196937" w14:paraId="7E0D96C0" w14:textId="77777777" w:rsidTr="00672763">
        <w:trPr>
          <w:jc w:val="center"/>
        </w:trPr>
        <w:tc>
          <w:tcPr>
            <w:tcW w:w="2235" w:type="dxa"/>
            <w:tcBorders>
              <w:top w:val="nil"/>
              <w:bottom w:val="nil"/>
            </w:tcBorders>
            <w:shd w:val="clear" w:color="auto" w:fill="auto"/>
          </w:tcPr>
          <w:p w14:paraId="56FA1F1A" w14:textId="77777777" w:rsidR="00B3273A" w:rsidRPr="0068198A" w:rsidRDefault="00B3273A" w:rsidP="0036634B">
            <w:pPr>
              <w:autoSpaceDE w:val="0"/>
              <w:autoSpaceDN w:val="0"/>
              <w:adjustRightInd w:val="0"/>
              <w:rPr>
                <w:rFonts w:ascii="Humanist777BT-LightB" w:hAnsi="Humanist777BT-LightB" w:cs="Humanist777BT-LightB"/>
                <w:color w:val="231F20"/>
                <w:sz w:val="16"/>
                <w:szCs w:val="10"/>
              </w:rPr>
            </w:pPr>
          </w:p>
          <w:p w14:paraId="548807C1" w14:textId="77777777" w:rsidR="00B3273A" w:rsidRPr="00267183" w:rsidRDefault="00B3273A" w:rsidP="00357FB6">
            <w:pPr>
              <w:autoSpaceDE w:val="0"/>
              <w:autoSpaceDN w:val="0"/>
              <w:adjustRightInd w:val="0"/>
              <w:rPr>
                <w:rFonts w:cs="Calibri"/>
                <w:b/>
                <w:bCs/>
                <w:color w:val="231F20"/>
                <w:sz w:val="18"/>
                <w:szCs w:val="18"/>
              </w:rPr>
            </w:pPr>
            <w:r w:rsidRPr="00267183">
              <w:rPr>
                <w:rFonts w:cs="Calibri"/>
                <w:b/>
                <w:bCs/>
                <w:color w:val="231F20"/>
                <w:sz w:val="18"/>
                <w:szCs w:val="18"/>
              </w:rPr>
              <w:t xml:space="preserve">DATA </w:t>
            </w:r>
            <w:r w:rsidR="00357FB6" w:rsidRPr="00267183">
              <w:rPr>
                <w:rFonts w:cs="Calibri"/>
                <w:b/>
                <w:bCs/>
                <w:color w:val="231F20"/>
                <w:sz w:val="18"/>
                <w:szCs w:val="18"/>
              </w:rPr>
              <w:t>OF ARTICLE</w:t>
            </w:r>
            <w:r w:rsidR="007F12FE" w:rsidRPr="00267183">
              <w:rPr>
                <w:rFonts w:cs="Calibri"/>
                <w:b/>
                <w:bCs/>
                <w:color w:val="231F20"/>
                <w:sz w:val="18"/>
                <w:szCs w:val="18"/>
              </w:rPr>
              <w:t>:</w:t>
            </w:r>
          </w:p>
          <w:p w14:paraId="019E52C1" w14:textId="77777777" w:rsidR="00B3273A" w:rsidRPr="00100B5B" w:rsidRDefault="00357FB6" w:rsidP="00357FB6">
            <w:pPr>
              <w:autoSpaceDE w:val="0"/>
              <w:autoSpaceDN w:val="0"/>
              <w:adjustRightInd w:val="0"/>
              <w:rPr>
                <w:rFonts w:cs="Calibri"/>
                <w:color w:val="231F20"/>
                <w:sz w:val="18"/>
                <w:szCs w:val="18"/>
                <w:lang w:val="en-ID"/>
              </w:rPr>
            </w:pPr>
            <w:r w:rsidRPr="00267183">
              <w:rPr>
                <w:rFonts w:cs="Calibri"/>
                <w:color w:val="231F20"/>
                <w:sz w:val="18"/>
                <w:szCs w:val="18"/>
              </w:rPr>
              <w:t>Receive</w:t>
            </w:r>
            <w:r w:rsidR="006B3491" w:rsidRPr="00267183">
              <w:rPr>
                <w:rFonts w:cs="Calibri"/>
                <w:color w:val="231F20"/>
                <w:sz w:val="18"/>
                <w:szCs w:val="18"/>
              </w:rPr>
              <w:t>d</w:t>
            </w:r>
            <w:r w:rsidR="007D584A" w:rsidRPr="00267183">
              <w:rPr>
                <w:rFonts w:cs="Calibri"/>
                <w:color w:val="231F20"/>
                <w:sz w:val="18"/>
                <w:szCs w:val="18"/>
              </w:rPr>
              <w:t xml:space="preserve">: </w:t>
            </w:r>
            <w:r w:rsidR="00100B5B">
              <w:rPr>
                <w:rFonts w:cs="Calibri"/>
                <w:color w:val="231F20"/>
                <w:sz w:val="18"/>
                <w:szCs w:val="18"/>
                <w:lang w:val="en-ID"/>
              </w:rPr>
              <w:t>…</w:t>
            </w:r>
          </w:p>
          <w:p w14:paraId="31D96F36" w14:textId="77777777" w:rsidR="00B3273A" w:rsidRPr="00100B5B" w:rsidRDefault="00357FB6" w:rsidP="00357FB6">
            <w:pPr>
              <w:autoSpaceDE w:val="0"/>
              <w:autoSpaceDN w:val="0"/>
              <w:adjustRightInd w:val="0"/>
              <w:rPr>
                <w:rFonts w:cs="Calibri"/>
                <w:color w:val="231F20"/>
                <w:sz w:val="18"/>
                <w:szCs w:val="18"/>
                <w:lang w:val="en-ID"/>
              </w:rPr>
            </w:pPr>
            <w:r w:rsidRPr="00267183">
              <w:rPr>
                <w:rFonts w:cs="Calibri"/>
                <w:color w:val="231F20"/>
                <w:sz w:val="18"/>
                <w:szCs w:val="18"/>
              </w:rPr>
              <w:t>Reviewed</w:t>
            </w:r>
            <w:r w:rsidR="00B3273A" w:rsidRPr="00267183">
              <w:rPr>
                <w:rFonts w:cs="Calibri"/>
                <w:color w:val="231F20"/>
                <w:sz w:val="18"/>
                <w:szCs w:val="18"/>
              </w:rPr>
              <w:t>:</w:t>
            </w:r>
            <w:r w:rsidR="00B5077A" w:rsidRPr="00267183">
              <w:rPr>
                <w:rFonts w:cs="Calibri"/>
                <w:color w:val="231F20"/>
                <w:sz w:val="18"/>
                <w:szCs w:val="18"/>
              </w:rPr>
              <w:t xml:space="preserve"> </w:t>
            </w:r>
            <w:r w:rsidR="00100B5B">
              <w:rPr>
                <w:rFonts w:cs="Calibri"/>
                <w:color w:val="231F20"/>
                <w:sz w:val="18"/>
                <w:szCs w:val="18"/>
                <w:lang w:val="en-ID"/>
              </w:rPr>
              <w:t>…</w:t>
            </w:r>
          </w:p>
          <w:p w14:paraId="7D8C2DD3" w14:textId="77777777" w:rsidR="00B3273A" w:rsidRPr="00100B5B" w:rsidRDefault="00357FB6" w:rsidP="00357FB6">
            <w:pPr>
              <w:autoSpaceDE w:val="0"/>
              <w:autoSpaceDN w:val="0"/>
              <w:adjustRightInd w:val="0"/>
              <w:rPr>
                <w:rFonts w:cs="Calibri"/>
                <w:color w:val="231F20"/>
                <w:sz w:val="18"/>
                <w:szCs w:val="18"/>
                <w:lang w:val="en-ID"/>
              </w:rPr>
            </w:pPr>
            <w:r w:rsidRPr="00267183">
              <w:rPr>
                <w:rFonts w:cs="Calibri"/>
                <w:color w:val="231F20"/>
                <w:sz w:val="18"/>
                <w:szCs w:val="18"/>
              </w:rPr>
              <w:t>Revised</w:t>
            </w:r>
            <w:r w:rsidR="00B3273A" w:rsidRPr="00267183">
              <w:rPr>
                <w:rFonts w:cs="Calibri"/>
                <w:color w:val="231F20"/>
                <w:sz w:val="18"/>
                <w:szCs w:val="18"/>
              </w:rPr>
              <w:t>:</w:t>
            </w:r>
            <w:r w:rsidR="00B5077A" w:rsidRPr="00267183">
              <w:rPr>
                <w:rFonts w:cs="Calibri"/>
                <w:color w:val="231F20"/>
                <w:sz w:val="18"/>
                <w:szCs w:val="18"/>
              </w:rPr>
              <w:t xml:space="preserve"> </w:t>
            </w:r>
            <w:r w:rsidR="00100B5B">
              <w:rPr>
                <w:rFonts w:cs="Calibri"/>
                <w:color w:val="231F20"/>
                <w:sz w:val="18"/>
                <w:szCs w:val="18"/>
                <w:lang w:val="en-ID"/>
              </w:rPr>
              <w:t>…</w:t>
            </w:r>
          </w:p>
          <w:p w14:paraId="05C700BD" w14:textId="010D462A" w:rsidR="00B3273A" w:rsidRPr="00267183" w:rsidRDefault="00357FB6" w:rsidP="005140BA">
            <w:pPr>
              <w:autoSpaceDE w:val="0"/>
              <w:autoSpaceDN w:val="0"/>
              <w:adjustRightInd w:val="0"/>
              <w:rPr>
                <w:rFonts w:cs="Calibri"/>
                <w:color w:val="231F20"/>
                <w:sz w:val="18"/>
                <w:szCs w:val="18"/>
                <w:lang w:val="en-GB"/>
              </w:rPr>
            </w:pPr>
            <w:r w:rsidRPr="00267183">
              <w:rPr>
                <w:rFonts w:cs="Calibri"/>
                <w:color w:val="231F20"/>
                <w:sz w:val="18"/>
                <w:szCs w:val="18"/>
              </w:rPr>
              <w:t>Accepted</w:t>
            </w:r>
            <w:r w:rsidR="005140BA" w:rsidRPr="00267183">
              <w:rPr>
                <w:rFonts w:cs="Calibri"/>
                <w:color w:val="231F20"/>
                <w:sz w:val="18"/>
                <w:szCs w:val="18"/>
              </w:rPr>
              <w:t>:</w:t>
            </w:r>
            <w:r w:rsidR="005A18BE">
              <w:rPr>
                <w:rFonts w:cs="Calibri"/>
                <w:color w:val="231F20"/>
                <w:sz w:val="18"/>
                <w:szCs w:val="18"/>
              </w:rPr>
              <w:t xml:space="preserve"> </w:t>
            </w:r>
            <w:r w:rsidR="005A18BE">
              <w:rPr>
                <w:rFonts w:cs="Calibri"/>
                <w:color w:val="231F20"/>
                <w:sz w:val="18"/>
                <w:szCs w:val="18"/>
                <w:lang w:val="id-ID"/>
              </w:rPr>
              <w:t>.</w:t>
            </w:r>
            <w:r w:rsidR="005A18BE">
              <w:rPr>
                <w:rFonts w:cs="Calibri"/>
                <w:color w:val="231F20"/>
                <w:sz w:val="18"/>
                <w:szCs w:val="18"/>
              </w:rPr>
              <w:t>.</w:t>
            </w:r>
            <w:r w:rsidR="00100B5B">
              <w:rPr>
                <w:rFonts w:cs="Calibri"/>
                <w:color w:val="231F20"/>
                <w:sz w:val="18"/>
                <w:szCs w:val="18"/>
              </w:rPr>
              <w:t>.</w:t>
            </w:r>
          </w:p>
          <w:p w14:paraId="3E73FEF1" w14:textId="77777777" w:rsidR="00B3273A" w:rsidRPr="0068198A" w:rsidRDefault="00B3273A" w:rsidP="0036634B">
            <w:pPr>
              <w:autoSpaceDE w:val="0"/>
              <w:autoSpaceDN w:val="0"/>
              <w:adjustRightInd w:val="0"/>
              <w:rPr>
                <w:rFonts w:ascii="Cambria" w:hAnsi="Cambria" w:cs="Humanist777BT-LightB"/>
                <w:color w:val="231F20"/>
                <w:sz w:val="18"/>
                <w:szCs w:val="18"/>
              </w:rPr>
            </w:pPr>
          </w:p>
          <w:p w14:paraId="03084ACE" w14:textId="77777777" w:rsidR="00211146" w:rsidRPr="0068198A" w:rsidRDefault="00211146" w:rsidP="00B3273A">
            <w:pPr>
              <w:rPr>
                <w:rFonts w:cs="Calibri"/>
                <w:b/>
                <w:bCs/>
                <w:color w:val="231F20"/>
                <w:sz w:val="18"/>
                <w:szCs w:val="18"/>
              </w:rPr>
            </w:pPr>
          </w:p>
          <w:p w14:paraId="702A7FD9" w14:textId="77777777" w:rsidR="00211146" w:rsidRPr="0068198A" w:rsidRDefault="00211146" w:rsidP="00B3273A">
            <w:pPr>
              <w:rPr>
                <w:rFonts w:cs="Calibri"/>
                <w:b/>
                <w:bCs/>
                <w:color w:val="231F20"/>
                <w:sz w:val="18"/>
                <w:szCs w:val="18"/>
              </w:rPr>
            </w:pPr>
          </w:p>
          <w:p w14:paraId="29779ED2" w14:textId="77777777" w:rsidR="00CC73AC" w:rsidRPr="0068198A" w:rsidRDefault="000661A4" w:rsidP="000661A4">
            <w:pPr>
              <w:rPr>
                <w:rFonts w:cs="Calibri"/>
                <w:b/>
                <w:bCs/>
                <w:color w:val="231F20"/>
                <w:sz w:val="18"/>
                <w:szCs w:val="18"/>
              </w:rPr>
            </w:pPr>
            <w:r>
              <w:rPr>
                <w:rFonts w:cs="Calibri"/>
                <w:b/>
                <w:bCs/>
                <w:color w:val="231F20"/>
                <w:sz w:val="18"/>
                <w:szCs w:val="18"/>
              </w:rPr>
              <w:t>*C</w:t>
            </w:r>
            <w:r w:rsidR="00CC73AC" w:rsidRPr="0068198A">
              <w:rPr>
                <w:rFonts w:cs="Calibri"/>
                <w:b/>
                <w:bCs/>
                <w:color w:val="231F20"/>
                <w:sz w:val="18"/>
                <w:szCs w:val="18"/>
              </w:rPr>
              <w:t>OR</w:t>
            </w:r>
            <w:r>
              <w:rPr>
                <w:rFonts w:cs="Calibri"/>
                <w:b/>
                <w:bCs/>
                <w:color w:val="231F20"/>
                <w:sz w:val="18"/>
                <w:szCs w:val="18"/>
              </w:rPr>
              <w:t>R</w:t>
            </w:r>
            <w:r w:rsidR="00CC73AC" w:rsidRPr="0068198A">
              <w:rPr>
                <w:rFonts w:cs="Calibri"/>
                <w:b/>
                <w:bCs/>
                <w:color w:val="231F20"/>
                <w:sz w:val="18"/>
                <w:szCs w:val="18"/>
              </w:rPr>
              <w:t>ESPONDEN</w:t>
            </w:r>
            <w:r>
              <w:rPr>
                <w:rFonts w:cs="Calibri"/>
                <w:b/>
                <w:bCs/>
                <w:color w:val="231F20"/>
                <w:sz w:val="18"/>
                <w:szCs w:val="18"/>
              </w:rPr>
              <w:t>CE</w:t>
            </w:r>
            <w:r w:rsidR="00CC73AC" w:rsidRPr="0068198A">
              <w:rPr>
                <w:rFonts w:cs="Calibri"/>
                <w:b/>
                <w:bCs/>
                <w:color w:val="231F20"/>
                <w:sz w:val="18"/>
                <w:szCs w:val="18"/>
              </w:rPr>
              <w:t xml:space="preserve">: </w:t>
            </w:r>
          </w:p>
          <w:p w14:paraId="6D14B9ED" w14:textId="77777777" w:rsidR="007D584A" w:rsidRPr="00F65B5D" w:rsidRDefault="00DA68FA" w:rsidP="00896AA4">
            <w:pPr>
              <w:ind w:left="27"/>
              <w:rPr>
                <w:rFonts w:ascii="Calibri Light" w:hAnsi="Calibri Light"/>
                <w:bCs/>
                <w:i/>
                <w:iCs/>
                <w:sz w:val="18"/>
                <w:szCs w:val="18"/>
              </w:rPr>
            </w:pPr>
            <w:hyperlink r:id="rId9" w:history="1">
              <w:r w:rsidR="00DE7DBC" w:rsidRPr="00DE7DBC">
                <w:rPr>
                  <w:rStyle w:val="Hyperlink"/>
                  <w:rFonts w:ascii="Calibri Light" w:hAnsi="Calibri Light"/>
                  <w:bCs/>
                  <w:iCs/>
                  <w:sz w:val="18"/>
                  <w:szCs w:val="18"/>
                  <w:lang w:val="id-ID"/>
                </w:rPr>
                <w:t>agusfachmad@yahoo.com</w:t>
              </w:r>
            </w:hyperlink>
          </w:p>
          <w:p w14:paraId="4F2D988E" w14:textId="77777777" w:rsidR="00211146" w:rsidRPr="0068198A" w:rsidRDefault="00211146" w:rsidP="00B3273A">
            <w:pPr>
              <w:rPr>
                <w:rFonts w:ascii="Times New Roman" w:hAnsi="Times New Roman" w:cs="Times New Roman"/>
                <w:b/>
                <w:sz w:val="18"/>
                <w:szCs w:val="18"/>
              </w:rPr>
            </w:pPr>
          </w:p>
          <w:p w14:paraId="23426950" w14:textId="77777777" w:rsidR="00CC2722" w:rsidRPr="0068198A" w:rsidRDefault="00CC2722" w:rsidP="00B3273A">
            <w:pPr>
              <w:rPr>
                <w:rFonts w:ascii="Times New Roman" w:hAnsi="Times New Roman" w:cs="Times New Roman"/>
                <w:b/>
                <w:sz w:val="18"/>
                <w:szCs w:val="18"/>
              </w:rPr>
            </w:pPr>
          </w:p>
          <w:p w14:paraId="45CEE0DA" w14:textId="77777777" w:rsidR="005140BA" w:rsidRPr="0068198A" w:rsidRDefault="005140BA" w:rsidP="00B3273A">
            <w:pPr>
              <w:rPr>
                <w:rFonts w:ascii="Times New Roman" w:hAnsi="Times New Roman" w:cs="Times New Roman"/>
                <w:b/>
                <w:sz w:val="18"/>
                <w:szCs w:val="18"/>
              </w:rPr>
            </w:pPr>
          </w:p>
          <w:p w14:paraId="2C94ED47" w14:textId="77777777" w:rsidR="00211146" w:rsidRPr="00352C09" w:rsidRDefault="00211146" w:rsidP="00B3273A">
            <w:pPr>
              <w:rPr>
                <w:rFonts w:cs="Calibri"/>
                <w:b/>
                <w:bCs/>
                <w:noProof/>
                <w:sz w:val="18"/>
                <w:szCs w:val="18"/>
              </w:rPr>
            </w:pPr>
            <w:r w:rsidRPr="00352C09">
              <w:rPr>
                <w:rFonts w:cs="Calibri"/>
                <w:b/>
                <w:bCs/>
                <w:noProof/>
                <w:sz w:val="18"/>
                <w:szCs w:val="18"/>
              </w:rPr>
              <w:t>DOI:</w:t>
            </w:r>
          </w:p>
          <w:p w14:paraId="685F8DB7" w14:textId="77777777" w:rsidR="00211146" w:rsidRPr="00055A25" w:rsidRDefault="00055A25" w:rsidP="00B3273A">
            <w:pPr>
              <w:rPr>
                <w:rFonts w:cs="Calibri"/>
                <w:color w:val="000000"/>
                <w:sz w:val="18"/>
                <w:szCs w:val="18"/>
                <w:lang w:val="id-ID"/>
              </w:rPr>
            </w:pPr>
            <w:r>
              <w:rPr>
                <w:rFonts w:cs="Calibri"/>
                <w:color w:val="000000"/>
                <w:sz w:val="18"/>
                <w:szCs w:val="18"/>
              </w:rPr>
              <w:t>…</w:t>
            </w:r>
            <w:r>
              <w:rPr>
                <w:rFonts w:cs="Calibri"/>
                <w:color w:val="000000"/>
                <w:sz w:val="18"/>
                <w:szCs w:val="18"/>
                <w:lang w:val="id-ID"/>
              </w:rPr>
              <w:t>......</w:t>
            </w:r>
          </w:p>
          <w:p w14:paraId="34CC85EA" w14:textId="77777777" w:rsidR="00CC2722" w:rsidRPr="0068198A" w:rsidRDefault="00CC2722" w:rsidP="00B3273A">
            <w:pPr>
              <w:rPr>
                <w:rFonts w:cs="Calibri"/>
                <w:color w:val="000000"/>
                <w:sz w:val="18"/>
                <w:szCs w:val="18"/>
              </w:rPr>
            </w:pPr>
          </w:p>
          <w:p w14:paraId="253A3315" w14:textId="77777777" w:rsidR="00CC2722" w:rsidRPr="0068198A" w:rsidRDefault="00CC2722" w:rsidP="00B3273A">
            <w:pPr>
              <w:rPr>
                <w:rFonts w:cs="Calibri"/>
                <w:color w:val="000000"/>
                <w:sz w:val="18"/>
                <w:szCs w:val="18"/>
              </w:rPr>
            </w:pPr>
          </w:p>
          <w:p w14:paraId="44C674A3" w14:textId="77777777" w:rsidR="00CC2722" w:rsidRPr="0068198A" w:rsidRDefault="00CC2722" w:rsidP="00B3273A">
            <w:pPr>
              <w:rPr>
                <w:rFonts w:cs="Calibri"/>
                <w:color w:val="000000"/>
                <w:sz w:val="18"/>
                <w:szCs w:val="18"/>
              </w:rPr>
            </w:pPr>
          </w:p>
          <w:p w14:paraId="0C755A0C" w14:textId="77777777" w:rsidR="00CC2722" w:rsidRPr="0068198A" w:rsidRDefault="00CC2722" w:rsidP="00357FB6">
            <w:pPr>
              <w:rPr>
                <w:rFonts w:cs="Calibri"/>
                <w:b/>
                <w:sz w:val="18"/>
                <w:szCs w:val="18"/>
              </w:rPr>
            </w:pPr>
            <w:r w:rsidRPr="0068198A">
              <w:rPr>
                <w:rFonts w:cs="Calibri"/>
                <w:b/>
                <w:sz w:val="18"/>
                <w:szCs w:val="18"/>
              </w:rPr>
              <w:t>T</w:t>
            </w:r>
            <w:r w:rsidR="00357FB6">
              <w:rPr>
                <w:rFonts w:cs="Calibri"/>
                <w:b/>
                <w:sz w:val="18"/>
                <w:szCs w:val="18"/>
              </w:rPr>
              <w:t>Y</w:t>
            </w:r>
            <w:r w:rsidRPr="0068198A">
              <w:rPr>
                <w:rFonts w:cs="Calibri"/>
                <w:b/>
                <w:sz w:val="18"/>
                <w:szCs w:val="18"/>
              </w:rPr>
              <w:t>PE</w:t>
            </w:r>
            <w:r w:rsidR="00357FB6">
              <w:rPr>
                <w:rFonts w:cs="Calibri"/>
                <w:b/>
                <w:sz w:val="18"/>
                <w:szCs w:val="18"/>
              </w:rPr>
              <w:t xml:space="preserve"> OF</w:t>
            </w:r>
            <w:r w:rsidRPr="0068198A">
              <w:rPr>
                <w:rFonts w:cs="Calibri"/>
                <w:b/>
                <w:sz w:val="18"/>
                <w:szCs w:val="18"/>
              </w:rPr>
              <w:t xml:space="preserve"> ARTI</w:t>
            </w:r>
            <w:r w:rsidR="00357FB6">
              <w:rPr>
                <w:rFonts w:cs="Calibri"/>
                <w:b/>
                <w:sz w:val="18"/>
                <w:szCs w:val="18"/>
              </w:rPr>
              <w:t>C</w:t>
            </w:r>
            <w:r w:rsidRPr="0068198A">
              <w:rPr>
                <w:rFonts w:cs="Calibri"/>
                <w:b/>
                <w:sz w:val="18"/>
                <w:szCs w:val="18"/>
              </w:rPr>
              <w:t>L</w:t>
            </w:r>
            <w:r w:rsidR="00357FB6">
              <w:rPr>
                <w:rFonts w:cs="Calibri"/>
                <w:b/>
                <w:sz w:val="18"/>
                <w:szCs w:val="18"/>
              </w:rPr>
              <w:t>E</w:t>
            </w:r>
            <w:r w:rsidRPr="0068198A">
              <w:rPr>
                <w:rFonts w:cs="Calibri"/>
                <w:b/>
                <w:sz w:val="18"/>
                <w:szCs w:val="18"/>
              </w:rPr>
              <w:t>:</w:t>
            </w:r>
          </w:p>
          <w:p w14:paraId="0D0C471E" w14:textId="77777777" w:rsidR="00CC2722" w:rsidRPr="00B46949" w:rsidRDefault="00B46949" w:rsidP="00CC2722">
            <w:pPr>
              <w:rPr>
                <w:rFonts w:cs="Calibri"/>
                <w:bCs/>
                <w:sz w:val="18"/>
                <w:szCs w:val="18"/>
                <w:lang w:val="id-ID"/>
              </w:rPr>
            </w:pPr>
            <w:r>
              <w:rPr>
                <w:rFonts w:cs="Calibri"/>
                <w:bCs/>
                <w:sz w:val="18"/>
                <w:szCs w:val="18"/>
                <w:lang w:val="id-ID"/>
              </w:rPr>
              <w:t>Case Report</w:t>
            </w:r>
          </w:p>
          <w:p w14:paraId="2B110BB0" w14:textId="77777777" w:rsidR="00CC2722" w:rsidRPr="0068198A" w:rsidRDefault="00CC2722" w:rsidP="00B3273A">
            <w:pPr>
              <w:rPr>
                <w:rFonts w:ascii="Times New Roman" w:hAnsi="Times New Roman" w:cs="Times New Roman"/>
                <w:b/>
                <w:sz w:val="14"/>
                <w:szCs w:val="14"/>
              </w:rPr>
            </w:pPr>
          </w:p>
        </w:tc>
        <w:tc>
          <w:tcPr>
            <w:tcW w:w="6821" w:type="dxa"/>
            <w:tcBorders>
              <w:top w:val="nil"/>
              <w:bottom w:val="nil"/>
            </w:tcBorders>
            <w:shd w:val="clear" w:color="auto" w:fill="auto"/>
          </w:tcPr>
          <w:p w14:paraId="62645E5D" w14:textId="056F7B64" w:rsidR="00424888" w:rsidRPr="00424888" w:rsidRDefault="00896AA4" w:rsidP="005D6A5F">
            <w:pPr>
              <w:jc w:val="both"/>
              <w:rPr>
                <w:rFonts w:ascii="Goudy Old Style" w:hAnsi="Goudy Old Style"/>
                <w:color w:val="000000"/>
                <w:sz w:val="20"/>
                <w:szCs w:val="20"/>
                <w:shd w:val="clear" w:color="auto" w:fill="F5F5F5"/>
              </w:rPr>
            </w:pPr>
            <w:proofErr w:type="spellStart"/>
            <w:r w:rsidRPr="00896AA4">
              <w:rPr>
                <w:rFonts w:ascii="Goudy Old Style" w:hAnsi="Goudy Old Style" w:cs="Aparajita"/>
                <w:b/>
                <w:bCs/>
                <w:i/>
                <w:color w:val="000000"/>
                <w:sz w:val="20"/>
                <w:szCs w:val="20"/>
              </w:rPr>
              <w:t>Abstrac</w:t>
            </w:r>
            <w:proofErr w:type="spellEnd"/>
            <w:r w:rsidRPr="00896AA4">
              <w:rPr>
                <w:rFonts w:ascii="Goudy Old Style" w:hAnsi="Goudy Old Style" w:cs="Aparajita"/>
                <w:b/>
                <w:bCs/>
                <w:i/>
                <w:color w:val="000000"/>
                <w:sz w:val="20"/>
                <w:szCs w:val="20"/>
                <w:lang w:val="id-ID"/>
              </w:rPr>
              <w:t>t</w:t>
            </w:r>
            <w:r w:rsidRPr="00896AA4">
              <w:rPr>
                <w:rFonts w:ascii="Goudy Old Style" w:hAnsi="Goudy Old Style" w:cs="Aparajita"/>
                <w:b/>
                <w:bCs/>
                <w:color w:val="000000"/>
                <w:sz w:val="20"/>
                <w:szCs w:val="20"/>
              </w:rPr>
              <w:t>:</w:t>
            </w:r>
            <w:r w:rsidRPr="00896AA4">
              <w:rPr>
                <w:rFonts w:ascii="Goudy Old Style" w:hAnsi="Goudy Old Style" w:cs="Aparajita"/>
                <w:b/>
                <w:color w:val="000000"/>
                <w:sz w:val="20"/>
                <w:szCs w:val="20"/>
              </w:rPr>
              <w:t xml:space="preserve"> </w:t>
            </w:r>
            <w:r w:rsidR="00C02C5F">
              <w:rPr>
                <w:rFonts w:ascii="Goudy Old Style" w:hAnsi="Goudy Old Style" w:cs="Aparajita"/>
                <w:i/>
                <w:color w:val="000000"/>
                <w:sz w:val="20"/>
                <w:szCs w:val="20"/>
                <w:lang w:val="id-ID"/>
              </w:rPr>
              <w:t>Coronavirus d</w:t>
            </w:r>
            <w:r w:rsidR="002B3298" w:rsidRPr="003F35FA">
              <w:rPr>
                <w:rFonts w:ascii="Goudy Old Style" w:hAnsi="Goudy Old Style" w:cs="Aparajita"/>
                <w:i/>
                <w:color w:val="000000"/>
                <w:sz w:val="20"/>
                <w:szCs w:val="20"/>
                <w:lang w:val="id-ID"/>
              </w:rPr>
              <w:t>isease</w:t>
            </w:r>
            <w:r w:rsidR="00C02C5F">
              <w:rPr>
                <w:rFonts w:ascii="Goudy Old Style" w:hAnsi="Goudy Old Style" w:cs="Aparajita"/>
                <w:i/>
                <w:color w:val="000000"/>
                <w:sz w:val="20"/>
                <w:szCs w:val="20"/>
                <w:lang w:val="id-ID"/>
              </w:rPr>
              <w:t>-19 (COVID-19)</w:t>
            </w:r>
            <w:r w:rsidR="002B3298" w:rsidRPr="003F35FA">
              <w:rPr>
                <w:rFonts w:ascii="Goudy Old Style" w:hAnsi="Goudy Old Style" w:cs="Aparajita"/>
                <w:i/>
                <w:color w:val="000000"/>
                <w:sz w:val="20"/>
                <w:szCs w:val="20"/>
                <w:lang w:val="id-ID"/>
              </w:rPr>
              <w:t xml:space="preserve"> has a spectrum of severity from no symptoms to serious complications. Coagulopathy is a serio</w:t>
            </w:r>
            <w:r w:rsidR="002F2B18">
              <w:rPr>
                <w:rFonts w:ascii="Goudy Old Style" w:hAnsi="Goudy Old Style" w:cs="Aparajita"/>
                <w:i/>
                <w:color w:val="000000"/>
                <w:sz w:val="20"/>
                <w:szCs w:val="20"/>
                <w:lang w:val="id-ID"/>
              </w:rPr>
              <w:t xml:space="preserve">us complication of </w:t>
            </w:r>
            <w:r w:rsidR="00E30904">
              <w:rPr>
                <w:rFonts w:ascii="Goudy Old Style" w:hAnsi="Goudy Old Style" w:cs="Aparajita"/>
                <w:i/>
                <w:color w:val="000000"/>
                <w:sz w:val="20"/>
                <w:szCs w:val="20"/>
                <w:lang w:val="id-ID"/>
              </w:rPr>
              <w:t>COVID-19</w:t>
            </w:r>
            <w:r w:rsidR="00C02C5F">
              <w:rPr>
                <w:rFonts w:ascii="Goudy Old Style" w:hAnsi="Goudy Old Style" w:cs="Aparajita"/>
                <w:i/>
                <w:color w:val="000000"/>
                <w:sz w:val="20"/>
                <w:szCs w:val="20"/>
                <w:lang w:val="id-ID"/>
              </w:rPr>
              <w:t xml:space="preserve"> and</w:t>
            </w:r>
            <w:r w:rsidR="002F2B18">
              <w:rPr>
                <w:rFonts w:ascii="Goudy Old Style" w:hAnsi="Goudy Old Style" w:cs="Aparajita"/>
                <w:i/>
                <w:color w:val="000000"/>
                <w:sz w:val="20"/>
                <w:szCs w:val="20"/>
              </w:rPr>
              <w:t xml:space="preserve"> that condition is a marker of poor prognosis</w:t>
            </w:r>
            <w:r w:rsidR="002B3298" w:rsidRPr="003F35FA">
              <w:rPr>
                <w:rFonts w:ascii="Goudy Old Style" w:hAnsi="Goudy Old Style" w:cs="Aparajita"/>
                <w:i/>
                <w:color w:val="000000"/>
                <w:sz w:val="20"/>
                <w:szCs w:val="20"/>
                <w:lang w:val="id-ID"/>
              </w:rPr>
              <w:t xml:space="preserve">. </w:t>
            </w:r>
            <w:r w:rsidR="002F2B18">
              <w:rPr>
                <w:rFonts w:ascii="Goudy Old Style" w:hAnsi="Goudy Old Style" w:cs="Aparajita"/>
                <w:i/>
                <w:color w:val="000000"/>
                <w:sz w:val="20"/>
                <w:szCs w:val="20"/>
              </w:rPr>
              <w:t>A</w:t>
            </w:r>
            <w:r w:rsidR="002B3298" w:rsidRPr="003F35FA">
              <w:rPr>
                <w:rFonts w:ascii="Goudy Old Style" w:hAnsi="Goudy Old Style" w:cs="Aparajita"/>
                <w:i/>
                <w:color w:val="000000"/>
                <w:sz w:val="20"/>
                <w:szCs w:val="20"/>
                <w:lang w:val="id-ID"/>
              </w:rPr>
              <w:t xml:space="preserve">nticoagulant drugs </w:t>
            </w:r>
            <w:r w:rsidR="002F2B18">
              <w:rPr>
                <w:rFonts w:ascii="Goudy Old Style" w:hAnsi="Goudy Old Style" w:cs="Aparajita"/>
                <w:i/>
                <w:color w:val="000000"/>
                <w:sz w:val="20"/>
                <w:szCs w:val="20"/>
              </w:rPr>
              <w:t xml:space="preserve">are often used </w:t>
            </w:r>
            <w:r w:rsidR="002B3298" w:rsidRPr="003F35FA">
              <w:rPr>
                <w:rFonts w:ascii="Goudy Old Style" w:hAnsi="Goudy Old Style" w:cs="Aparajita"/>
                <w:i/>
                <w:color w:val="000000"/>
                <w:sz w:val="20"/>
                <w:szCs w:val="20"/>
                <w:lang w:val="id-ID"/>
              </w:rPr>
              <w:t>as pro</w:t>
            </w:r>
            <w:r w:rsidR="002F2B18">
              <w:rPr>
                <w:rFonts w:ascii="Goudy Old Style" w:hAnsi="Goudy Old Style" w:cs="Aparajita"/>
                <w:i/>
                <w:color w:val="000000"/>
                <w:sz w:val="20"/>
                <w:szCs w:val="20"/>
                <w:lang w:val="id-ID"/>
              </w:rPr>
              <w:t xml:space="preserve">phylaxis and thrombosis therapy </w:t>
            </w:r>
            <w:r w:rsidR="002B3298" w:rsidRPr="003F35FA">
              <w:rPr>
                <w:rFonts w:ascii="Goudy Old Style" w:hAnsi="Goudy Old Style" w:cs="Aparajita"/>
                <w:i/>
                <w:color w:val="000000"/>
                <w:sz w:val="20"/>
                <w:szCs w:val="20"/>
                <w:lang w:val="id-ID"/>
              </w:rPr>
              <w:t xml:space="preserve">in </w:t>
            </w:r>
            <w:r w:rsidR="002F2B18">
              <w:rPr>
                <w:rFonts w:ascii="Goudy Old Style" w:hAnsi="Goudy Old Style" w:cs="Aparajita"/>
                <w:i/>
                <w:color w:val="000000"/>
                <w:sz w:val="20"/>
                <w:szCs w:val="20"/>
              </w:rPr>
              <w:t>th</w:t>
            </w:r>
            <w:r w:rsidR="005A18BE">
              <w:rPr>
                <w:rFonts w:ascii="Goudy Old Style" w:hAnsi="Goudy Old Style" w:cs="Aparajita"/>
                <w:i/>
                <w:color w:val="000000"/>
                <w:sz w:val="20"/>
                <w:szCs w:val="20"/>
              </w:rPr>
              <w:t>e</w:t>
            </w:r>
            <w:r w:rsidR="00C02C5F">
              <w:rPr>
                <w:rFonts w:ascii="Goudy Old Style" w:hAnsi="Goudy Old Style" w:cs="Aparajita"/>
                <w:i/>
                <w:color w:val="000000"/>
                <w:sz w:val="20"/>
                <w:szCs w:val="20"/>
                <w:lang w:val="id-ID"/>
              </w:rPr>
              <w:t xml:space="preserve"> treatment of COVID-19 patients</w:t>
            </w:r>
            <w:r w:rsidR="002B3298" w:rsidRPr="003F35FA">
              <w:rPr>
                <w:rFonts w:ascii="Goudy Old Style" w:hAnsi="Goudy Old Style" w:cs="Aparajita"/>
                <w:i/>
                <w:color w:val="000000"/>
                <w:sz w:val="20"/>
                <w:szCs w:val="20"/>
                <w:lang w:val="id-ID"/>
              </w:rPr>
              <w:t xml:space="preserve">. </w:t>
            </w:r>
            <w:r w:rsidR="00D15654" w:rsidRPr="00D15654">
              <w:rPr>
                <w:rFonts w:ascii="Goudy Old Style" w:hAnsi="Goudy Old Style" w:cs="Aparajita"/>
                <w:i/>
                <w:color w:val="000000"/>
                <w:sz w:val="20"/>
                <w:szCs w:val="20"/>
                <w:lang w:val="id-ID"/>
              </w:rPr>
              <w:t>Anticoagulant therapy is indicated for moderate-severe COVID-19 patients.</w:t>
            </w:r>
            <w:r w:rsidR="00D15654">
              <w:rPr>
                <w:rFonts w:ascii="Goudy Old Style" w:hAnsi="Goudy Old Style" w:cs="Aparajita"/>
                <w:i/>
                <w:color w:val="000000"/>
                <w:sz w:val="20"/>
                <w:szCs w:val="20"/>
                <w:lang w:val="id-ID"/>
              </w:rPr>
              <w:t xml:space="preserve"> </w:t>
            </w:r>
            <w:r w:rsidR="002B3298" w:rsidRPr="003F35FA">
              <w:rPr>
                <w:rFonts w:ascii="Goudy Old Style" w:hAnsi="Goudy Old Style" w:cs="Aparajita"/>
                <w:i/>
                <w:color w:val="000000"/>
                <w:sz w:val="20"/>
                <w:szCs w:val="20"/>
                <w:lang w:val="id-ID"/>
              </w:rPr>
              <w:t xml:space="preserve">Low molecular weight heparin (LMWH) </w:t>
            </w:r>
            <w:r w:rsidR="00C02C5F">
              <w:rPr>
                <w:rFonts w:ascii="Goudy Old Style" w:hAnsi="Goudy Old Style" w:cs="Aparajita"/>
                <w:i/>
                <w:color w:val="000000"/>
                <w:sz w:val="20"/>
                <w:szCs w:val="20"/>
                <w:lang w:val="id-ID"/>
              </w:rPr>
              <w:t>and Unfractionated Heparin (UFH) are</w:t>
            </w:r>
            <w:r w:rsidR="002B3298" w:rsidRPr="003F35FA">
              <w:rPr>
                <w:rFonts w:ascii="Goudy Old Style" w:hAnsi="Goudy Old Style" w:cs="Aparajita"/>
                <w:i/>
                <w:color w:val="000000"/>
                <w:sz w:val="20"/>
                <w:szCs w:val="20"/>
                <w:lang w:val="id-ID"/>
              </w:rPr>
              <w:t xml:space="preserve"> anticoagulant drug</w:t>
            </w:r>
            <w:r w:rsidR="00C02C5F">
              <w:rPr>
                <w:rFonts w:ascii="Goudy Old Style" w:hAnsi="Goudy Old Style" w:cs="Aparajita"/>
                <w:i/>
                <w:color w:val="000000"/>
                <w:sz w:val="20"/>
                <w:szCs w:val="20"/>
                <w:lang w:val="id-ID"/>
              </w:rPr>
              <w:t>s</w:t>
            </w:r>
            <w:r w:rsidR="002B3298" w:rsidRPr="003F35FA">
              <w:rPr>
                <w:rFonts w:ascii="Goudy Old Style" w:hAnsi="Goudy Old Style" w:cs="Aparajita"/>
                <w:i/>
                <w:color w:val="000000"/>
                <w:sz w:val="20"/>
                <w:szCs w:val="20"/>
                <w:lang w:val="id-ID"/>
              </w:rPr>
              <w:t xml:space="preserve"> of choice for prophylaxis and thrombosis therapy</w:t>
            </w:r>
            <w:r w:rsidR="00521FAF">
              <w:rPr>
                <w:rFonts w:ascii="Goudy Old Style" w:hAnsi="Goudy Old Style" w:cs="Aparajita"/>
                <w:i/>
                <w:color w:val="000000"/>
                <w:sz w:val="20"/>
                <w:szCs w:val="20"/>
                <w:lang w:val="id-ID"/>
              </w:rPr>
              <w:t xml:space="preserve"> in COVID-19 patients</w:t>
            </w:r>
            <w:r w:rsidR="00D15654">
              <w:rPr>
                <w:rFonts w:ascii="Goudy Old Style" w:hAnsi="Goudy Old Style" w:cs="Aparajita"/>
                <w:i/>
                <w:color w:val="000000"/>
                <w:sz w:val="20"/>
                <w:szCs w:val="20"/>
                <w:lang w:val="id-ID"/>
              </w:rPr>
              <w:t xml:space="preserve">. </w:t>
            </w:r>
            <w:r w:rsidR="002B3298" w:rsidRPr="003F35FA">
              <w:rPr>
                <w:rFonts w:ascii="Goudy Old Style" w:hAnsi="Goudy Old Style" w:cs="Aparajita"/>
                <w:i/>
                <w:color w:val="000000"/>
                <w:sz w:val="20"/>
                <w:szCs w:val="20"/>
                <w:lang w:val="id-ID"/>
              </w:rPr>
              <w:t>Monitoring of bleeding, renal function</w:t>
            </w:r>
            <w:r w:rsidR="005A18BE">
              <w:rPr>
                <w:rFonts w:ascii="Goudy Old Style" w:hAnsi="Goudy Old Style" w:cs="Aparajita"/>
                <w:i/>
                <w:color w:val="000000"/>
                <w:sz w:val="20"/>
                <w:szCs w:val="20"/>
                <w:lang w:val="id-ID"/>
              </w:rPr>
              <w:t>,</w:t>
            </w:r>
            <w:r w:rsidR="002B3298" w:rsidRPr="003F35FA">
              <w:rPr>
                <w:rFonts w:ascii="Goudy Old Style" w:hAnsi="Goudy Old Style" w:cs="Aparajita"/>
                <w:i/>
                <w:color w:val="000000"/>
                <w:sz w:val="20"/>
                <w:szCs w:val="20"/>
                <w:lang w:val="id-ID"/>
              </w:rPr>
              <w:t xml:space="preserve"> and platelet count needs to be done when administering anticoagulant drugs even if only as thromboprophylaxis. LMWH </w:t>
            </w:r>
            <w:r w:rsidR="00521FAF">
              <w:rPr>
                <w:rFonts w:ascii="Goudy Old Style" w:hAnsi="Goudy Old Style" w:cs="Aparajita"/>
                <w:i/>
                <w:color w:val="000000"/>
                <w:sz w:val="20"/>
                <w:szCs w:val="20"/>
                <w:lang w:val="id-ID"/>
              </w:rPr>
              <w:t xml:space="preserve">and UFH </w:t>
            </w:r>
            <w:r w:rsidR="002B3298" w:rsidRPr="003F35FA">
              <w:rPr>
                <w:rFonts w:ascii="Goudy Old Style" w:hAnsi="Goudy Old Style" w:cs="Aparajita"/>
                <w:i/>
                <w:color w:val="000000"/>
                <w:sz w:val="20"/>
                <w:szCs w:val="20"/>
                <w:lang w:val="id-ID"/>
              </w:rPr>
              <w:t>ha</w:t>
            </w:r>
            <w:r w:rsidR="00521FAF">
              <w:rPr>
                <w:rFonts w:ascii="Goudy Old Style" w:hAnsi="Goudy Old Style" w:cs="Aparajita"/>
                <w:i/>
                <w:color w:val="000000"/>
                <w:sz w:val="20"/>
                <w:szCs w:val="20"/>
                <w:lang w:val="id-ID"/>
              </w:rPr>
              <w:t>ve</w:t>
            </w:r>
            <w:r w:rsidR="002B3298" w:rsidRPr="003F35FA">
              <w:rPr>
                <w:rFonts w:ascii="Goudy Old Style" w:hAnsi="Goudy Old Style" w:cs="Aparajita"/>
                <w:i/>
                <w:color w:val="000000"/>
                <w:sz w:val="20"/>
                <w:szCs w:val="20"/>
                <w:lang w:val="id-ID"/>
              </w:rPr>
              <w:t xml:space="preserve"> good clinical efficacy with minimal side effects in the management of </w:t>
            </w:r>
            <w:r w:rsidR="00E30904">
              <w:rPr>
                <w:rFonts w:ascii="Goudy Old Style" w:hAnsi="Goudy Old Style" w:cs="Aparajita"/>
                <w:i/>
                <w:color w:val="000000"/>
                <w:sz w:val="20"/>
                <w:szCs w:val="20"/>
                <w:lang w:val="id-ID"/>
              </w:rPr>
              <w:t>COVID-19</w:t>
            </w:r>
            <w:r w:rsidR="002B3298" w:rsidRPr="003F35FA">
              <w:rPr>
                <w:rFonts w:ascii="Goudy Old Style" w:hAnsi="Goudy Old Style" w:cs="Aparajita"/>
                <w:i/>
                <w:color w:val="000000"/>
                <w:sz w:val="20"/>
                <w:szCs w:val="20"/>
                <w:lang w:val="id-ID"/>
              </w:rPr>
              <w:t xml:space="preserve"> patients.</w:t>
            </w:r>
          </w:p>
          <w:p w14:paraId="4980D3F6" w14:textId="77777777" w:rsidR="00566BB8" w:rsidRDefault="00566BB8" w:rsidP="00B46949">
            <w:pPr>
              <w:spacing w:before="2"/>
              <w:jc w:val="both"/>
              <w:rPr>
                <w:rFonts w:ascii="Goudy Old Style" w:hAnsi="Goudy Old Style"/>
                <w:b/>
                <w:bCs/>
                <w:sz w:val="20"/>
                <w:szCs w:val="20"/>
              </w:rPr>
            </w:pPr>
          </w:p>
          <w:p w14:paraId="6D25798C" w14:textId="6D4C84FB" w:rsidR="00F65B5D" w:rsidRPr="001500EB" w:rsidRDefault="00B46949" w:rsidP="00B46949">
            <w:pPr>
              <w:spacing w:before="2"/>
              <w:jc w:val="both"/>
              <w:rPr>
                <w:rFonts w:ascii="Goudy Old Style" w:hAnsi="Goudy Old Style"/>
                <w:i/>
                <w:sz w:val="20"/>
              </w:rPr>
            </w:pPr>
            <w:r w:rsidRPr="001500EB">
              <w:rPr>
                <w:rFonts w:ascii="Goudy Old Style" w:hAnsi="Goudy Old Style"/>
                <w:b/>
                <w:bCs/>
                <w:i/>
                <w:sz w:val="20"/>
                <w:szCs w:val="20"/>
              </w:rPr>
              <w:t xml:space="preserve">Keywords: </w:t>
            </w:r>
            <w:r w:rsidR="00E30904">
              <w:rPr>
                <w:rFonts w:ascii="Goudy Old Style" w:hAnsi="Goudy Old Style"/>
                <w:bCs/>
                <w:i/>
                <w:sz w:val="20"/>
                <w:szCs w:val="20"/>
              </w:rPr>
              <w:t>COVID-19</w:t>
            </w:r>
            <w:r w:rsidR="002B3298" w:rsidRPr="001500EB">
              <w:rPr>
                <w:rFonts w:ascii="Goudy Old Style" w:hAnsi="Goudy Old Style"/>
                <w:bCs/>
                <w:i/>
                <w:sz w:val="20"/>
                <w:szCs w:val="20"/>
              </w:rPr>
              <w:t>; Coagulopathy;</w:t>
            </w:r>
            <w:r w:rsidR="00566BB8" w:rsidRPr="001500EB">
              <w:rPr>
                <w:rFonts w:ascii="Goudy Old Style" w:hAnsi="Goudy Old Style"/>
                <w:bCs/>
                <w:i/>
                <w:sz w:val="20"/>
                <w:szCs w:val="20"/>
              </w:rPr>
              <w:t xml:space="preserve"> Anticoagulant;</w:t>
            </w:r>
            <w:r w:rsidR="002B3298" w:rsidRPr="001500EB">
              <w:rPr>
                <w:rFonts w:ascii="Goudy Old Style" w:hAnsi="Goudy Old Style"/>
                <w:bCs/>
                <w:i/>
                <w:sz w:val="20"/>
                <w:szCs w:val="20"/>
              </w:rPr>
              <w:t xml:space="preserve"> </w:t>
            </w:r>
            <w:r w:rsidR="0019184A" w:rsidRPr="001500EB">
              <w:rPr>
                <w:rFonts w:ascii="Goudy Old Style" w:hAnsi="Goudy Old Style"/>
                <w:bCs/>
                <w:i/>
                <w:sz w:val="20"/>
                <w:szCs w:val="20"/>
              </w:rPr>
              <w:t>Low-Molecular-Weight Heparin</w:t>
            </w:r>
            <w:r w:rsidR="00566BB8" w:rsidRPr="001500EB">
              <w:rPr>
                <w:rFonts w:ascii="Goudy Old Style" w:hAnsi="Goudy Old Style"/>
                <w:bCs/>
                <w:i/>
                <w:sz w:val="20"/>
                <w:szCs w:val="20"/>
              </w:rPr>
              <w:t>; Unfractionated Heparin</w:t>
            </w:r>
          </w:p>
          <w:p w14:paraId="51B4F202" w14:textId="77777777" w:rsidR="00B3273A" w:rsidRPr="0068198A" w:rsidRDefault="00B3273A" w:rsidP="0036634B">
            <w:pPr>
              <w:jc w:val="both"/>
              <w:rPr>
                <w:rFonts w:ascii="Californian FB" w:hAnsi="Californian FB" w:cs="Aparajita"/>
                <w:sz w:val="20"/>
                <w:szCs w:val="20"/>
                <w:lang w:val="id-ID"/>
              </w:rPr>
            </w:pPr>
          </w:p>
          <w:p w14:paraId="25B52433" w14:textId="7584429C" w:rsidR="007C65D0" w:rsidRPr="00DE7DBC" w:rsidRDefault="00896AA4" w:rsidP="00196937">
            <w:pPr>
              <w:jc w:val="both"/>
              <w:rPr>
                <w:rFonts w:ascii="Goudy Old Style" w:hAnsi="Goudy Old Style" w:cs="Aparajita"/>
                <w:i/>
                <w:color w:val="000000"/>
                <w:sz w:val="20"/>
                <w:szCs w:val="20"/>
                <w:lang w:val="id-ID"/>
              </w:rPr>
            </w:pPr>
            <w:r w:rsidRPr="00896AA4">
              <w:rPr>
                <w:rFonts w:ascii="Goudy Old Style" w:hAnsi="Goudy Old Style" w:cs="Aparajita"/>
                <w:b/>
                <w:i/>
                <w:iCs/>
                <w:color w:val="212121"/>
                <w:sz w:val="20"/>
                <w:szCs w:val="20"/>
                <w:shd w:val="clear" w:color="auto" w:fill="FFFFFF"/>
                <w:lang w:val="id-ID"/>
              </w:rPr>
              <w:t>Abstrak</w:t>
            </w:r>
            <w:r w:rsidRPr="00896AA4">
              <w:rPr>
                <w:rFonts w:ascii="Goudy Old Style" w:hAnsi="Goudy Old Style" w:cs="Aparajita"/>
                <w:b/>
                <w:i/>
                <w:iCs/>
                <w:color w:val="212121"/>
                <w:sz w:val="20"/>
                <w:szCs w:val="20"/>
                <w:shd w:val="clear" w:color="auto" w:fill="FFFFFF"/>
              </w:rPr>
              <w:t xml:space="preserve">: </w:t>
            </w:r>
            <w:r w:rsidR="002B3298" w:rsidRPr="002B3298">
              <w:rPr>
                <w:rFonts w:ascii="Goudy Old Style" w:hAnsi="Goudy Old Style" w:cs="Aparajita"/>
                <w:i/>
                <w:color w:val="000000"/>
                <w:sz w:val="20"/>
                <w:szCs w:val="20"/>
                <w:lang w:val="id-ID"/>
              </w:rPr>
              <w:t xml:space="preserve">Penyakit </w:t>
            </w:r>
            <w:r w:rsidR="00D15654">
              <w:rPr>
                <w:rFonts w:ascii="Goudy Old Style" w:hAnsi="Goudy Old Style" w:cs="Aparajita"/>
                <w:i/>
                <w:color w:val="000000"/>
                <w:sz w:val="20"/>
                <w:szCs w:val="20"/>
                <w:lang w:val="id-ID"/>
              </w:rPr>
              <w:t>COVID-19</w:t>
            </w:r>
            <w:r w:rsidR="002B3298" w:rsidRPr="002B3298">
              <w:rPr>
                <w:rFonts w:ascii="Goudy Old Style" w:hAnsi="Goudy Old Style" w:cs="Aparajita"/>
                <w:i/>
                <w:color w:val="000000"/>
                <w:sz w:val="20"/>
                <w:szCs w:val="20"/>
                <w:lang w:val="id-ID"/>
              </w:rPr>
              <w:t xml:space="preserve"> memiliki spektrum derajat keparahan mulai dari tanpa gejala sampai dengan berbagai komplikasi berat. Koagulopati merupakan suatu bentuk komplikasi berat dari </w:t>
            </w:r>
            <w:r w:rsidR="00E30904">
              <w:rPr>
                <w:rFonts w:ascii="Goudy Old Style" w:hAnsi="Goudy Old Style" w:cs="Aparajita"/>
                <w:i/>
                <w:color w:val="000000"/>
                <w:sz w:val="20"/>
                <w:szCs w:val="20"/>
                <w:lang w:val="id-ID"/>
              </w:rPr>
              <w:t>COVID-19</w:t>
            </w:r>
            <w:r w:rsidR="002B3298" w:rsidRPr="002B3298">
              <w:rPr>
                <w:rFonts w:ascii="Goudy Old Style" w:hAnsi="Goudy Old Style" w:cs="Aparajita"/>
                <w:i/>
                <w:color w:val="000000"/>
                <w:sz w:val="20"/>
                <w:szCs w:val="20"/>
                <w:lang w:val="id-ID"/>
              </w:rPr>
              <w:t xml:space="preserve">. Koagulopati ini merupakan suatu penanda prognosis buruk pada pasien </w:t>
            </w:r>
            <w:r w:rsidR="00E30904">
              <w:rPr>
                <w:rFonts w:ascii="Goudy Old Style" w:hAnsi="Goudy Old Style" w:cs="Aparajita"/>
                <w:i/>
                <w:color w:val="000000"/>
                <w:sz w:val="20"/>
                <w:szCs w:val="20"/>
                <w:lang w:val="id-ID"/>
              </w:rPr>
              <w:t>COVID-19</w:t>
            </w:r>
            <w:r w:rsidR="002B3298" w:rsidRPr="002B3298">
              <w:rPr>
                <w:rFonts w:ascii="Goudy Old Style" w:hAnsi="Goudy Old Style" w:cs="Aparajita"/>
                <w:i/>
                <w:color w:val="000000"/>
                <w:sz w:val="20"/>
                <w:szCs w:val="20"/>
                <w:lang w:val="id-ID"/>
              </w:rPr>
              <w:t xml:space="preserve">. </w:t>
            </w:r>
            <w:r w:rsidR="00D15654">
              <w:rPr>
                <w:rFonts w:ascii="Goudy Old Style" w:hAnsi="Goudy Old Style" w:cs="Aparajita"/>
                <w:i/>
                <w:color w:val="000000"/>
                <w:sz w:val="20"/>
                <w:szCs w:val="20"/>
                <w:lang w:val="id-ID"/>
              </w:rPr>
              <w:t xml:space="preserve">Obat </w:t>
            </w:r>
            <w:r w:rsidR="002B3298" w:rsidRPr="002B3298">
              <w:rPr>
                <w:rFonts w:ascii="Goudy Old Style" w:hAnsi="Goudy Old Style" w:cs="Aparajita"/>
                <w:i/>
                <w:color w:val="000000"/>
                <w:sz w:val="20"/>
                <w:szCs w:val="20"/>
                <w:lang w:val="id-ID"/>
              </w:rPr>
              <w:t xml:space="preserve">antikoagulan sebagai profilaksis dan terapi trombosis banyak digunakan pada perawatan pasien </w:t>
            </w:r>
            <w:r w:rsidR="00E30904">
              <w:rPr>
                <w:rFonts w:ascii="Goudy Old Style" w:hAnsi="Goudy Old Style" w:cs="Aparajita"/>
                <w:i/>
                <w:color w:val="000000"/>
                <w:sz w:val="20"/>
                <w:szCs w:val="20"/>
                <w:lang w:val="id-ID"/>
              </w:rPr>
              <w:t>COVID-19</w:t>
            </w:r>
            <w:r w:rsidR="002B3298" w:rsidRPr="002B3298">
              <w:rPr>
                <w:rFonts w:ascii="Goudy Old Style" w:hAnsi="Goudy Old Style" w:cs="Aparajita"/>
                <w:i/>
                <w:color w:val="000000"/>
                <w:sz w:val="20"/>
                <w:szCs w:val="20"/>
                <w:lang w:val="id-ID"/>
              </w:rPr>
              <w:t xml:space="preserve">. </w:t>
            </w:r>
            <w:r w:rsidR="00D15654" w:rsidRPr="00D15654">
              <w:rPr>
                <w:rFonts w:ascii="Goudy Old Style" w:hAnsi="Goudy Old Style" w:cs="Aparajita"/>
                <w:i/>
                <w:color w:val="000000"/>
                <w:sz w:val="20"/>
                <w:szCs w:val="20"/>
                <w:lang w:val="id-ID"/>
              </w:rPr>
              <w:t>Terapi antikoagulan diindikasikan untuk pasien COVID-19 derajat sedang-berat.</w:t>
            </w:r>
            <w:r w:rsidR="00521FAF">
              <w:rPr>
                <w:rFonts w:ascii="Goudy Old Style" w:hAnsi="Goudy Old Style" w:cs="Aparajita"/>
                <w:i/>
                <w:color w:val="000000"/>
                <w:sz w:val="20"/>
                <w:szCs w:val="20"/>
                <w:lang w:val="id-ID"/>
              </w:rPr>
              <w:t xml:space="preserve"> Heparin Berberat Molekul Rendah</w:t>
            </w:r>
            <w:r w:rsidR="002B3298" w:rsidRPr="002B3298">
              <w:rPr>
                <w:rFonts w:ascii="Goudy Old Style" w:hAnsi="Goudy Old Style" w:cs="Aparajita"/>
                <w:i/>
                <w:color w:val="000000"/>
                <w:sz w:val="20"/>
                <w:szCs w:val="20"/>
                <w:lang w:val="id-ID"/>
              </w:rPr>
              <w:t xml:space="preserve"> (LMWH)</w:t>
            </w:r>
            <w:r w:rsidR="00521FAF">
              <w:rPr>
                <w:rFonts w:ascii="Goudy Old Style" w:hAnsi="Goudy Old Style" w:cs="Aparajita"/>
                <w:i/>
                <w:color w:val="000000"/>
                <w:sz w:val="20"/>
                <w:szCs w:val="20"/>
                <w:lang w:val="id-ID"/>
              </w:rPr>
              <w:t xml:space="preserve"> dan Heparin tak Terfraksinasi (UFH)</w:t>
            </w:r>
            <w:r w:rsidR="002B3298" w:rsidRPr="002B3298">
              <w:rPr>
                <w:rFonts w:ascii="Goudy Old Style" w:hAnsi="Goudy Old Style" w:cs="Aparajita"/>
                <w:i/>
                <w:color w:val="000000"/>
                <w:sz w:val="20"/>
                <w:szCs w:val="20"/>
                <w:lang w:val="id-ID"/>
              </w:rPr>
              <w:t xml:space="preserve"> merupakan pilihan obat antikoagulan sebagai profilaksis maupun terapi trombosis</w:t>
            </w:r>
            <w:r w:rsidR="00521FAF">
              <w:rPr>
                <w:rFonts w:ascii="Goudy Old Style" w:hAnsi="Goudy Old Style" w:cs="Aparajita"/>
                <w:i/>
                <w:color w:val="000000"/>
                <w:sz w:val="20"/>
                <w:szCs w:val="20"/>
                <w:lang w:val="id-ID"/>
              </w:rPr>
              <w:t xml:space="preserve"> pada pasien COVID-19</w:t>
            </w:r>
            <w:r w:rsidR="002B3298" w:rsidRPr="002B3298">
              <w:rPr>
                <w:rFonts w:ascii="Goudy Old Style" w:hAnsi="Goudy Old Style" w:cs="Aparajita"/>
                <w:i/>
                <w:color w:val="000000"/>
                <w:sz w:val="20"/>
                <w:szCs w:val="20"/>
                <w:lang w:val="id-ID"/>
              </w:rPr>
              <w:t xml:space="preserve">. Monitoring perdarahan, fungsi ginjal dan jumlah trombosit perlu dilakukan saat pemberian obat antikoagulan meskipun hanya sebagai tromboprofilaksis. LMWH </w:t>
            </w:r>
            <w:r w:rsidR="00521FAF">
              <w:rPr>
                <w:rFonts w:ascii="Goudy Old Style" w:hAnsi="Goudy Old Style" w:cs="Aparajita"/>
                <w:i/>
                <w:color w:val="000000"/>
                <w:sz w:val="20"/>
                <w:szCs w:val="20"/>
                <w:lang w:val="id-ID"/>
              </w:rPr>
              <w:t xml:space="preserve">dan UFH </w:t>
            </w:r>
            <w:r w:rsidR="002B3298" w:rsidRPr="002B3298">
              <w:rPr>
                <w:rFonts w:ascii="Goudy Old Style" w:hAnsi="Goudy Old Style" w:cs="Aparajita"/>
                <w:i/>
                <w:color w:val="000000"/>
                <w:sz w:val="20"/>
                <w:szCs w:val="20"/>
                <w:lang w:val="id-ID"/>
              </w:rPr>
              <w:t xml:space="preserve">memiliki efikasi klinis yang baik dengan efek samping minimal pada tatalaksana pasien </w:t>
            </w:r>
            <w:r w:rsidR="00E30904">
              <w:rPr>
                <w:rFonts w:ascii="Goudy Old Style" w:hAnsi="Goudy Old Style" w:cs="Aparajita"/>
                <w:i/>
                <w:color w:val="000000"/>
                <w:sz w:val="20"/>
                <w:szCs w:val="20"/>
                <w:lang w:val="id-ID"/>
              </w:rPr>
              <w:t>COVID-19</w:t>
            </w:r>
            <w:r w:rsidR="002B3298" w:rsidRPr="002B3298">
              <w:rPr>
                <w:rFonts w:ascii="Goudy Old Style" w:hAnsi="Goudy Old Style" w:cs="Aparajita"/>
                <w:i/>
                <w:color w:val="000000"/>
                <w:sz w:val="20"/>
                <w:szCs w:val="20"/>
                <w:lang w:val="id-ID"/>
              </w:rPr>
              <w:t>.</w:t>
            </w:r>
          </w:p>
          <w:p w14:paraId="2B78FB14" w14:textId="0217F914" w:rsidR="00896AA4" w:rsidRPr="00B46949" w:rsidRDefault="00896AA4" w:rsidP="00F65B5D">
            <w:pPr>
              <w:jc w:val="both"/>
              <w:rPr>
                <w:rFonts w:ascii="Goudy Old Style" w:hAnsi="Goudy Old Style"/>
                <w:i/>
                <w:sz w:val="20"/>
                <w:szCs w:val="20"/>
                <w:lang w:val="id-ID"/>
              </w:rPr>
            </w:pPr>
            <w:r w:rsidRPr="00896AA4">
              <w:rPr>
                <w:rFonts w:ascii="Goudy Old Style" w:hAnsi="Goudy Old Style"/>
                <w:b/>
                <w:i/>
                <w:sz w:val="20"/>
                <w:szCs w:val="20"/>
                <w:lang w:val="id-ID"/>
              </w:rPr>
              <w:t xml:space="preserve">Kata Kunci : </w:t>
            </w:r>
            <w:r w:rsidR="00E30904">
              <w:rPr>
                <w:rFonts w:ascii="Goudy Old Style" w:hAnsi="Goudy Old Style"/>
                <w:i/>
                <w:sz w:val="20"/>
                <w:szCs w:val="20"/>
              </w:rPr>
              <w:t>COVID-19</w:t>
            </w:r>
            <w:r w:rsidR="00566BB8">
              <w:rPr>
                <w:rFonts w:ascii="Goudy Old Style" w:hAnsi="Goudy Old Style"/>
                <w:i/>
                <w:sz w:val="20"/>
                <w:szCs w:val="20"/>
                <w:lang w:val="id-ID"/>
              </w:rPr>
              <w:t>;</w:t>
            </w:r>
            <w:r w:rsidR="0019184A">
              <w:rPr>
                <w:rFonts w:ascii="Goudy Old Style" w:hAnsi="Goudy Old Style"/>
                <w:i/>
                <w:sz w:val="20"/>
                <w:szCs w:val="20"/>
                <w:lang w:val="id-ID"/>
              </w:rPr>
              <w:t xml:space="preserve"> </w:t>
            </w:r>
            <w:r w:rsidR="00154656">
              <w:rPr>
                <w:rFonts w:ascii="Goudy Old Style" w:hAnsi="Goudy Old Style"/>
                <w:i/>
                <w:sz w:val="20"/>
                <w:szCs w:val="20"/>
                <w:lang w:val="id-ID"/>
              </w:rPr>
              <w:t>K</w:t>
            </w:r>
            <w:r w:rsidR="0019184A">
              <w:rPr>
                <w:rFonts w:ascii="Goudy Old Style" w:hAnsi="Goudy Old Style"/>
                <w:i/>
                <w:sz w:val="20"/>
                <w:szCs w:val="20"/>
                <w:lang w:val="id-ID"/>
              </w:rPr>
              <w:t>oagulopati</w:t>
            </w:r>
            <w:r w:rsidR="00566BB8">
              <w:rPr>
                <w:rFonts w:ascii="Goudy Old Style" w:hAnsi="Goudy Old Style"/>
                <w:i/>
                <w:sz w:val="20"/>
                <w:szCs w:val="20"/>
              </w:rPr>
              <w:t>;</w:t>
            </w:r>
            <w:r w:rsidR="0019184A">
              <w:rPr>
                <w:rFonts w:ascii="Goudy Old Style" w:hAnsi="Goudy Old Style"/>
                <w:i/>
                <w:sz w:val="20"/>
                <w:szCs w:val="20"/>
                <w:lang w:val="id-ID"/>
              </w:rPr>
              <w:t xml:space="preserve"> </w:t>
            </w:r>
            <w:proofErr w:type="spellStart"/>
            <w:r w:rsidR="00566BB8">
              <w:rPr>
                <w:rFonts w:ascii="Goudy Old Style" w:hAnsi="Goudy Old Style"/>
                <w:i/>
                <w:sz w:val="20"/>
                <w:szCs w:val="20"/>
              </w:rPr>
              <w:t>Antikoagulan</w:t>
            </w:r>
            <w:proofErr w:type="spellEnd"/>
            <w:r w:rsidR="00566BB8">
              <w:rPr>
                <w:rFonts w:ascii="Goudy Old Style" w:hAnsi="Goudy Old Style"/>
                <w:i/>
                <w:sz w:val="20"/>
                <w:szCs w:val="20"/>
              </w:rPr>
              <w:t>;</w:t>
            </w:r>
            <w:r w:rsidR="0019184A">
              <w:rPr>
                <w:rFonts w:ascii="Goudy Old Style" w:hAnsi="Goudy Old Style"/>
                <w:i/>
                <w:sz w:val="20"/>
                <w:szCs w:val="20"/>
                <w:lang w:val="id-ID"/>
              </w:rPr>
              <w:t xml:space="preserve"> </w:t>
            </w:r>
            <w:r w:rsidR="00566BB8" w:rsidRPr="001500EB">
              <w:rPr>
                <w:rFonts w:ascii="Goudy Old Style" w:hAnsi="Goudy Old Style"/>
                <w:bCs/>
                <w:i/>
                <w:sz w:val="20"/>
                <w:szCs w:val="20"/>
              </w:rPr>
              <w:t>Heparin</w:t>
            </w:r>
            <w:r w:rsidR="001500EB" w:rsidRPr="001500EB">
              <w:rPr>
                <w:rFonts w:ascii="Goudy Old Style" w:hAnsi="Goudy Old Style"/>
                <w:bCs/>
                <w:i/>
                <w:sz w:val="20"/>
                <w:szCs w:val="20"/>
              </w:rPr>
              <w:t xml:space="preserve"> </w:t>
            </w:r>
            <w:proofErr w:type="spellStart"/>
            <w:r w:rsidR="001500EB" w:rsidRPr="001500EB">
              <w:rPr>
                <w:rFonts w:ascii="Goudy Old Style" w:hAnsi="Goudy Old Style"/>
                <w:bCs/>
                <w:i/>
                <w:sz w:val="20"/>
                <w:szCs w:val="20"/>
              </w:rPr>
              <w:t>Berberat</w:t>
            </w:r>
            <w:proofErr w:type="spellEnd"/>
            <w:r w:rsidR="001500EB" w:rsidRPr="001500EB">
              <w:rPr>
                <w:rFonts w:ascii="Goudy Old Style" w:hAnsi="Goudy Old Style"/>
                <w:bCs/>
                <w:i/>
                <w:sz w:val="20"/>
                <w:szCs w:val="20"/>
              </w:rPr>
              <w:t xml:space="preserve"> </w:t>
            </w:r>
            <w:proofErr w:type="spellStart"/>
            <w:r w:rsidR="001500EB" w:rsidRPr="001500EB">
              <w:rPr>
                <w:rFonts w:ascii="Goudy Old Style" w:hAnsi="Goudy Old Style"/>
                <w:bCs/>
                <w:i/>
                <w:sz w:val="20"/>
                <w:szCs w:val="20"/>
              </w:rPr>
              <w:t>Molekul</w:t>
            </w:r>
            <w:proofErr w:type="spellEnd"/>
            <w:r w:rsidR="001500EB" w:rsidRPr="001500EB">
              <w:rPr>
                <w:rFonts w:ascii="Goudy Old Style" w:hAnsi="Goudy Old Style"/>
                <w:bCs/>
                <w:i/>
                <w:sz w:val="20"/>
                <w:szCs w:val="20"/>
              </w:rPr>
              <w:t xml:space="preserve"> </w:t>
            </w:r>
            <w:proofErr w:type="spellStart"/>
            <w:r w:rsidR="001500EB" w:rsidRPr="001500EB">
              <w:rPr>
                <w:rFonts w:ascii="Goudy Old Style" w:hAnsi="Goudy Old Style"/>
                <w:bCs/>
                <w:i/>
                <w:sz w:val="20"/>
                <w:szCs w:val="20"/>
              </w:rPr>
              <w:t>Rendah</w:t>
            </w:r>
            <w:proofErr w:type="spellEnd"/>
            <w:r w:rsidR="00566BB8" w:rsidRPr="001500EB">
              <w:rPr>
                <w:rFonts w:ascii="Goudy Old Style" w:hAnsi="Goudy Old Style"/>
                <w:bCs/>
                <w:i/>
                <w:sz w:val="20"/>
                <w:szCs w:val="20"/>
              </w:rPr>
              <w:t xml:space="preserve">; </w:t>
            </w:r>
            <w:r w:rsidR="001500EB" w:rsidRPr="001500EB">
              <w:rPr>
                <w:rFonts w:ascii="Goudy Old Style" w:hAnsi="Goudy Old Style"/>
                <w:bCs/>
                <w:i/>
                <w:sz w:val="20"/>
                <w:szCs w:val="20"/>
              </w:rPr>
              <w:t xml:space="preserve">Heparin </w:t>
            </w:r>
            <w:r w:rsidR="00521FAF">
              <w:rPr>
                <w:rFonts w:ascii="Goudy Old Style" w:hAnsi="Goudy Old Style"/>
                <w:bCs/>
                <w:i/>
                <w:sz w:val="20"/>
                <w:szCs w:val="20"/>
                <w:lang w:val="id-ID"/>
              </w:rPr>
              <w:t>t</w:t>
            </w:r>
            <w:proofErr w:type="spellStart"/>
            <w:r w:rsidR="001500EB" w:rsidRPr="001500EB">
              <w:rPr>
                <w:rFonts w:ascii="Goudy Old Style" w:hAnsi="Goudy Old Style"/>
                <w:bCs/>
                <w:i/>
                <w:sz w:val="20"/>
                <w:szCs w:val="20"/>
              </w:rPr>
              <w:t>ak</w:t>
            </w:r>
            <w:proofErr w:type="spellEnd"/>
            <w:r w:rsidR="001500EB" w:rsidRPr="001500EB">
              <w:rPr>
                <w:rFonts w:ascii="Goudy Old Style" w:hAnsi="Goudy Old Style"/>
                <w:bCs/>
                <w:i/>
                <w:sz w:val="20"/>
                <w:szCs w:val="20"/>
              </w:rPr>
              <w:t xml:space="preserve"> </w:t>
            </w:r>
            <w:r w:rsidR="00154656">
              <w:rPr>
                <w:rFonts w:ascii="Goudy Old Style" w:hAnsi="Goudy Old Style"/>
                <w:bCs/>
                <w:i/>
                <w:sz w:val="20"/>
                <w:szCs w:val="20"/>
                <w:lang w:val="id-ID"/>
              </w:rPr>
              <w:t>T</w:t>
            </w:r>
            <w:proofErr w:type="spellStart"/>
            <w:r w:rsidR="001500EB" w:rsidRPr="001500EB">
              <w:rPr>
                <w:rFonts w:ascii="Goudy Old Style" w:hAnsi="Goudy Old Style"/>
                <w:bCs/>
                <w:i/>
                <w:sz w:val="20"/>
                <w:szCs w:val="20"/>
              </w:rPr>
              <w:t>erfraksinasi</w:t>
            </w:r>
            <w:proofErr w:type="spellEnd"/>
          </w:p>
          <w:p w14:paraId="5B44EB8E" w14:textId="77777777" w:rsidR="00B3273A" w:rsidRPr="00196937" w:rsidRDefault="00B3273A" w:rsidP="005140BA">
            <w:pPr>
              <w:jc w:val="both"/>
              <w:rPr>
                <w:rFonts w:ascii="Aparajita" w:hAnsi="Aparajita" w:cs="Aparajita"/>
                <w:b/>
                <w:lang w:val="id-ID"/>
              </w:rPr>
            </w:pPr>
          </w:p>
        </w:tc>
      </w:tr>
    </w:tbl>
    <w:p w14:paraId="6A5D40BA" w14:textId="77777777" w:rsidR="00B3273A" w:rsidRPr="0068198A" w:rsidRDefault="00B3273A" w:rsidP="001F735B">
      <w:pPr>
        <w:rPr>
          <w:rFonts w:ascii="Times New Roman" w:hAnsi="Times New Roman" w:cs="Times New Roman"/>
          <w:b/>
          <w:sz w:val="20"/>
          <w:szCs w:val="20"/>
          <w:lang w:val="id-ID"/>
        </w:rPr>
        <w:sectPr w:rsidR="00B3273A" w:rsidRPr="0068198A" w:rsidSect="00EE2DF8">
          <w:headerReference w:type="even" r:id="rId10"/>
          <w:headerReference w:type="default" r:id="rId11"/>
          <w:footerReference w:type="even" r:id="rId12"/>
          <w:type w:val="continuous"/>
          <w:pgSz w:w="11907" w:h="16840" w:code="9"/>
          <w:pgMar w:top="1418" w:right="1418" w:bottom="1418" w:left="1418" w:header="720" w:footer="720" w:gutter="0"/>
          <w:pgNumType w:start="45"/>
          <w:cols w:space="720"/>
          <w:titlePg/>
          <w:docGrid w:linePitch="360"/>
        </w:sectPr>
      </w:pPr>
    </w:p>
    <w:p w14:paraId="676CA46E" w14:textId="77777777" w:rsidR="006933E2" w:rsidRDefault="006933E2" w:rsidP="007D584A">
      <w:pPr>
        <w:jc w:val="both"/>
        <w:rPr>
          <w:rFonts w:ascii="Candara" w:hAnsi="Candara" w:cs="Times New Roman"/>
          <w:b/>
          <w:sz w:val="20"/>
          <w:szCs w:val="20"/>
          <w:lang w:val="id-ID"/>
        </w:rPr>
        <w:sectPr w:rsidR="006933E2" w:rsidSect="00A90BF5">
          <w:footerReference w:type="default" r:id="rId13"/>
          <w:type w:val="continuous"/>
          <w:pgSz w:w="11907" w:h="16840" w:code="9"/>
          <w:pgMar w:top="1418" w:right="1418" w:bottom="1418" w:left="1418" w:header="1531" w:footer="567" w:gutter="0"/>
          <w:cols w:num="2" w:space="284"/>
          <w:docGrid w:linePitch="360"/>
        </w:sectPr>
      </w:pPr>
    </w:p>
    <w:p w14:paraId="4DED00BA" w14:textId="5672F9F7" w:rsidR="007D584A" w:rsidRPr="00991555" w:rsidRDefault="00896AA4" w:rsidP="007D584A">
      <w:pPr>
        <w:jc w:val="both"/>
        <w:rPr>
          <w:rFonts w:ascii="Candara" w:hAnsi="Candara" w:cs="Times New Roman"/>
          <w:b/>
          <w:sz w:val="20"/>
          <w:szCs w:val="20"/>
        </w:rPr>
      </w:pPr>
      <w:r w:rsidRPr="00896AA4">
        <w:rPr>
          <w:rFonts w:ascii="Candara" w:hAnsi="Candara" w:cs="Times New Roman"/>
          <w:b/>
          <w:sz w:val="20"/>
          <w:szCs w:val="20"/>
          <w:lang w:val="id-ID"/>
        </w:rPr>
        <w:lastRenderedPageBreak/>
        <w:t>INTRODUCTION</w:t>
      </w:r>
      <w:r w:rsidR="00991555">
        <w:rPr>
          <w:rFonts w:ascii="Candara" w:hAnsi="Candara" w:cs="Times New Roman"/>
          <w:b/>
          <w:sz w:val="20"/>
          <w:szCs w:val="20"/>
        </w:rPr>
        <w:t xml:space="preserve"> </w:t>
      </w:r>
    </w:p>
    <w:p w14:paraId="1841C793" w14:textId="77777777" w:rsidR="007D584A" w:rsidRPr="007D584A" w:rsidRDefault="007D584A" w:rsidP="007D584A">
      <w:pPr>
        <w:jc w:val="both"/>
        <w:rPr>
          <w:rFonts w:ascii="Candara" w:hAnsi="Candara" w:cs="Times New Roman"/>
          <w:sz w:val="20"/>
          <w:szCs w:val="20"/>
        </w:rPr>
      </w:pPr>
    </w:p>
    <w:p w14:paraId="1AC82DEF" w14:textId="74C72504" w:rsidR="0083016D" w:rsidRPr="001C4080" w:rsidRDefault="00E30904" w:rsidP="0083016D">
      <w:pPr>
        <w:ind w:firstLine="450"/>
        <w:jc w:val="both"/>
        <w:rPr>
          <w:rFonts w:ascii="Candara" w:hAnsi="Candara"/>
          <w:sz w:val="20"/>
          <w:szCs w:val="20"/>
        </w:rPr>
      </w:pPr>
      <w:bookmarkStart w:id="0" w:name="_Hlk68461716"/>
      <w:r>
        <w:rPr>
          <w:rFonts w:ascii="Candara" w:hAnsi="Candara"/>
          <w:sz w:val="20"/>
          <w:szCs w:val="20"/>
          <w:lang w:val="id-ID"/>
        </w:rPr>
        <w:t>COVID-19</w:t>
      </w:r>
      <w:r w:rsidR="0083016D" w:rsidRPr="001C4080">
        <w:rPr>
          <w:rFonts w:ascii="Candara" w:hAnsi="Candara"/>
          <w:sz w:val="20"/>
          <w:szCs w:val="20"/>
          <w:lang w:val="id-ID"/>
        </w:rPr>
        <w:t xml:space="preserve"> (coronavirus disease 19)</w:t>
      </w:r>
      <w:r w:rsidR="00E63434">
        <w:rPr>
          <w:rFonts w:ascii="Candara" w:hAnsi="Candara"/>
          <w:sz w:val="20"/>
          <w:szCs w:val="20"/>
        </w:rPr>
        <w:t xml:space="preserve"> is caused by the new </w:t>
      </w:r>
      <w:r w:rsidR="00E63434" w:rsidRPr="00E63434">
        <w:rPr>
          <w:rFonts w:ascii="Candara" w:hAnsi="Candara"/>
          <w:sz w:val="20"/>
          <w:szCs w:val="20"/>
        </w:rPr>
        <w:t>coronavirus known as SARS-CoV-2 (severe acute respiratory syndrome coronavirus 2)</w:t>
      </w:r>
      <w:r w:rsidR="0083016D" w:rsidRPr="001C4080">
        <w:rPr>
          <w:rFonts w:ascii="Candara" w:hAnsi="Candara"/>
          <w:sz w:val="20"/>
          <w:szCs w:val="20"/>
          <w:lang w:val="id-ID"/>
        </w:rPr>
        <w:t>.</w:t>
      </w:r>
      <w:r w:rsidR="0083016D">
        <w:rPr>
          <w:rFonts w:ascii="Candara" w:hAnsi="Candara"/>
          <w:sz w:val="20"/>
          <w:szCs w:val="20"/>
          <w:shd w:val="clear" w:color="auto" w:fill="F5F5F5"/>
          <w:lang w:val="id-ID"/>
        </w:rPr>
        <w:t xml:space="preserve"> </w:t>
      </w:r>
      <w:r w:rsidR="0083016D" w:rsidRPr="001C4080">
        <w:rPr>
          <w:rFonts w:ascii="Candara" w:hAnsi="Candara"/>
          <w:sz w:val="20"/>
          <w:szCs w:val="20"/>
        </w:rPr>
        <w:t xml:space="preserve">Currently, </w:t>
      </w:r>
      <w:r>
        <w:rPr>
          <w:rFonts w:ascii="Candara" w:hAnsi="Candara"/>
          <w:sz w:val="20"/>
          <w:szCs w:val="20"/>
          <w:lang w:val="id-ID"/>
        </w:rPr>
        <w:t>COVID-19</w:t>
      </w:r>
      <w:r w:rsidR="0083016D" w:rsidRPr="001C4080">
        <w:rPr>
          <w:rFonts w:ascii="Candara" w:hAnsi="Candara"/>
          <w:sz w:val="20"/>
          <w:szCs w:val="20"/>
        </w:rPr>
        <w:t xml:space="preserve"> is a worldwide pandemic that emerged at the end </w:t>
      </w:r>
      <w:r w:rsidR="0083016D" w:rsidRPr="001C4080">
        <w:rPr>
          <w:rFonts w:ascii="Candara" w:hAnsi="Candara"/>
          <w:sz w:val="20"/>
          <w:szCs w:val="20"/>
        </w:rPr>
        <w:lastRenderedPageBreak/>
        <w:t>of 2019</w:t>
      </w:r>
      <w:r w:rsidR="0083016D" w:rsidRPr="001C4080">
        <w:rPr>
          <w:rFonts w:ascii="Candara" w:hAnsi="Candara"/>
          <w:sz w:val="20"/>
          <w:szCs w:val="20"/>
        </w:rPr>
        <w:fldChar w:fldCharType="begin" w:fldLock="1"/>
      </w:r>
      <w:r w:rsidR="0083016D" w:rsidRPr="001C4080">
        <w:rPr>
          <w:rFonts w:ascii="Candara" w:hAnsi="Candara"/>
          <w:sz w:val="20"/>
          <w:szCs w:val="20"/>
        </w:rPr>
        <w:instrText>ADDIN CSL_CITATION {"citationItems":[{"id":"ITEM-1","itemData":{"DOI":"https://doi.org/10.1186/s41256-020-00135-6","abstract":"The novel coronavirus (2019-nCoV, or COVID-19) epidemic first broke out in Wuhan and has been spreading in whole China and the world. The numbers of new infections and deaths in Wuhan are still increasing, which have posed major public health and governance concerns. A series of mandatory actions have been taken by the municipal and provincial governments supported by the central government, such as measures to restrict travels across cities, case detection and contact tracing, quarantine, guidance and information to the public, detection kit development, etc. Challenges such as lacking effective drugs, insufficient hospital services and medical supplies, logistics, etc. have much alleviated with the solidarity of the whole society. The pandemic will definitely be ended with the continuous efforts of both national and international multi-sectoral bodies.","author":[{"dropping-particle":"","family":"Hengbo","given":"Zhu","non-dropping-particle":"","parse-names":false,"suffix":""},{"dropping-particle":"","family":"Li","given":"Wei","non-dropping-particle":"","parse-names":false,"suffix":""},{"dropping-particle":"","family":"Ping","given":"Niu","non-dropping-particle":"","parse-names":false,"suffix":""}],"container-title":"Global Health Research and Policy","id":"ITEM-1","issue":"6","issued":{"date-parts":[["2020"]]},"publisher":"Global Health Research and Policy","title":"The novel coronavirus outbreak in Wuhan, China","type":"report","volume":"5"},"uris":["http://www.mendeley.com/documents/?uuid=392b60db-4379-426c-8dd1-ec2a4e76191a"]}],"mendeley":{"formattedCitation":"(1)","plainTextFormattedCitation":"(1)","previouslyFormattedCitation":"(1)"},"properties":{"noteIndex":0},"schema":"https://github.com/citation-style-language/schema/raw/master/csl-citation.json"}</w:instrText>
      </w:r>
      <w:r w:rsidR="0083016D" w:rsidRPr="001C4080">
        <w:rPr>
          <w:rFonts w:ascii="Candara" w:hAnsi="Candara"/>
          <w:sz w:val="20"/>
          <w:szCs w:val="20"/>
        </w:rPr>
        <w:fldChar w:fldCharType="separate"/>
      </w:r>
      <w:r w:rsidR="0083016D" w:rsidRPr="001C4080">
        <w:rPr>
          <w:rFonts w:ascii="Candara" w:hAnsi="Candara"/>
          <w:sz w:val="20"/>
          <w:szCs w:val="20"/>
        </w:rPr>
        <w:t>(1)</w:t>
      </w:r>
      <w:r w:rsidR="0083016D" w:rsidRPr="001C4080">
        <w:rPr>
          <w:rFonts w:ascii="Candara" w:hAnsi="Candara"/>
          <w:sz w:val="20"/>
          <w:szCs w:val="20"/>
        </w:rPr>
        <w:fldChar w:fldCharType="end"/>
      </w:r>
      <w:r w:rsidR="0083016D" w:rsidRPr="001C4080">
        <w:rPr>
          <w:rFonts w:ascii="Candara" w:hAnsi="Candara"/>
          <w:sz w:val="20"/>
          <w:szCs w:val="20"/>
        </w:rPr>
        <w:t xml:space="preserve">. The disease has a spectrum of severity from no symptoms, mild, moderate, severe with multi-organ failure conditions, and until death </w:t>
      </w:r>
      <w:r w:rsidR="0083016D" w:rsidRPr="001C4080">
        <w:rPr>
          <w:rFonts w:ascii="Candara" w:hAnsi="Candara"/>
          <w:sz w:val="20"/>
          <w:szCs w:val="20"/>
        </w:rPr>
        <w:fldChar w:fldCharType="begin" w:fldLock="1"/>
      </w:r>
      <w:r w:rsidR="0083016D" w:rsidRPr="001C4080">
        <w:rPr>
          <w:rFonts w:ascii="Candara" w:hAnsi="Candara"/>
          <w:sz w:val="20"/>
          <w:szCs w:val="20"/>
        </w:rPr>
        <w:instrText>ADDIN CSL_CITATION {"citationItems":[{"id":"ITEM-1","itemData":{"PMID":"32232218","abstract":"Introduction In the beginning of 2020, an unexpected outbreak due to a new corona virus made the headlines all over the world. Exponential growth in the number of those affected makes this virus such a threat. The current meta-analysis aimed to estimate the prevalence of underlying disorders in hospitalized COVID-19 patients. Methods A comprehensive systematic search was performed on PubMed, Scopus, Web of science, and Google scholar, to find articles published until 15 February 2020. All relevant articles that reported clinical characteristics and epidemiological information of hospitalized COVID-19 patients were included in the analysis. Results The data of 76993 patients presented in 10 articles were included in this study. According to the meta-analysis, the pooled prevalence of hypertension, cardiovascular disease, smoking history and diabetes in people infected with SARS-CoV-2 were estimated as 16.37% (95%CI: 10.15%-23.65%), 12.11% (95%CI 4.40%-22.75%), 7.63% (95%CI 3.83%-12.43%) and 7.87% (95%CI 6.57%-9.28%), respectively. Conclusion According to the findings of the present study, hypertension, cardiovascular diseases, diabetes mellitus, smoking, chronic obstructive pulmonary disease (COPD), malignancy, and chronic kidney disease were among the most prevalent underlying diseases among hospitalized COVID-19 patients, respectively.","author":[{"dropping-particle":"","family":"Amir","given":"Emami","non-dropping-particle":"","parse-names":false,"suffix":""},{"dropping-particle":"","family":"Fatemeh","given":"Javanmardi","non-dropping-particle":"","parse-names":false,"suffix":""},{"dropping-particle":"","family":"Neda","given":"Pirbonyeh","non-dropping-particle":"","parse-names":false,"suffix":""},{"dropping-particle":"","family":"Ali","given":"Akbari","non-dropping-particle":"","parse-names":false,"suffix":""}],"container-title":"Archives of Academic Emergency Medicine","id":"ITEM-1","issue":"1","issued":{"date-parts":[["2020"]]},"page":"e35-e35","title":"Prevalence of Underlying Diseases in Hospitalized Pa- tients with COVID-19: a Systematic Review and Meta- Analysis","type":"article-journal","volume":"8"},"uris":["http://www.mendeley.com/documents/?uuid=c5fef354-b2b4-4cc0-bac8-0b55326536db"]},{"id":"ITEM-2","itemData":{"DOI":"10.7150/ijbs.45134","ISSN":"14492288","PMID":"32226295","abstract":"The outbreak of Coronavirus disease 2019 (COVID-19), caused by severe acute respiratory syndrome (SARS) coronavirus 2 (SARS-CoV-2), has thus far killed over 3,000 people and infected over 80,000 in China and elsewhere in the world, resulting in catastrophe for humans. Similar to its homologous virus, SARS-CoV, which caused SARS in thousands of people in 2003, SARS-CoV-2 might also be transmitted from the bats and causes similar symptoms through a similar mechanism. However, COVID-19 has lower severity and mortality than SARS but is much more transmissive and affects more elderly individuals than youth and more men than women. In response to the rapidly increasing number of publications on the emerging disease, this article attempts to provide a timely and comprehensive review of the swiftly developing research subject. We will cover the basics about the epidemiology, etiology, virology, diagnosis, treatment, prognosis, and prevention of the disease. Although many questions still require answers, we hope that this review helps in the understanding and eradication of the threatening disease.","author":[{"dropping-particle":"","family":"Yi","given":"Ye","non-dropping-particle":"","parse-names":false,"suffix":""},{"dropping-particle":"","family":"Lagniton","given":"Philip N.P.","non-dropping-particle":"","parse-names":false,"suffix":""},{"dropping-particle":"","family":"Ye","given":"Sen","non-dropping-particle":"","parse-names":false,"suffix":""},{"dropping-particle":"","family":"Li","given":"Enqin","non-dropping-particle":"","parse-names":false,"suffix":""},{"dropping-particle":"","family":"Xu","given":"Ren He","non-dropping-particle":"","parse-names":false,"suffix":""}],"container-title":"International Journal of Biological Sciences","id":"ITEM-2","issue":"10","issued":{"date-parts":[["2020"]]},"page":"1753-1766","title":"COVID-19: What has been learned and to be learned about the novel coronavirus disease","type":"article-journal","volume":"16"},"uris":["http://www.mendeley.com/documents/?uuid=970d3888-d21a-43ab-a156-613818a58b18"]}],"mendeley":{"formattedCitation":"(2,3)","plainTextFormattedCitation":"(2,3)","previouslyFormattedCitation":"(2,3)"},"properties":{"noteIndex":0},"schema":"https://github.com/citation-style-language/schema/raw/master/csl-citation.json"}</w:instrText>
      </w:r>
      <w:r w:rsidR="0083016D" w:rsidRPr="001C4080">
        <w:rPr>
          <w:rFonts w:ascii="Candara" w:hAnsi="Candara"/>
          <w:sz w:val="20"/>
          <w:szCs w:val="20"/>
        </w:rPr>
        <w:fldChar w:fldCharType="separate"/>
      </w:r>
      <w:r w:rsidR="0083016D" w:rsidRPr="001C4080">
        <w:rPr>
          <w:rFonts w:ascii="Candara" w:hAnsi="Candara"/>
          <w:sz w:val="20"/>
          <w:szCs w:val="20"/>
        </w:rPr>
        <w:t>(2,3)</w:t>
      </w:r>
      <w:r w:rsidR="0083016D" w:rsidRPr="001C4080">
        <w:rPr>
          <w:rFonts w:ascii="Candara" w:hAnsi="Candara"/>
          <w:sz w:val="20"/>
          <w:szCs w:val="20"/>
        </w:rPr>
        <w:fldChar w:fldCharType="end"/>
      </w:r>
      <w:r w:rsidR="0083016D" w:rsidRPr="001C4080">
        <w:rPr>
          <w:rFonts w:ascii="Candara" w:hAnsi="Candara"/>
          <w:sz w:val="20"/>
          <w:szCs w:val="20"/>
        </w:rPr>
        <w:t xml:space="preserve">. </w:t>
      </w:r>
    </w:p>
    <w:p w14:paraId="0C96EB64" w14:textId="4C601F65" w:rsidR="0083016D" w:rsidRPr="001C4080" w:rsidRDefault="0083016D" w:rsidP="0083016D">
      <w:pPr>
        <w:ind w:firstLine="450"/>
        <w:jc w:val="both"/>
        <w:rPr>
          <w:rFonts w:ascii="Candara" w:hAnsi="Candara"/>
          <w:sz w:val="20"/>
          <w:szCs w:val="20"/>
        </w:rPr>
      </w:pPr>
      <w:r w:rsidRPr="001C4080">
        <w:rPr>
          <w:rFonts w:ascii="Candara" w:hAnsi="Candara"/>
          <w:sz w:val="20"/>
          <w:szCs w:val="20"/>
        </w:rPr>
        <w:t xml:space="preserve">Coagulopathy is a form of thromboembolism of the veins or arteries and this is a serious complication of </w:t>
      </w:r>
      <w:r w:rsidR="00E30904">
        <w:rPr>
          <w:rFonts w:ascii="Candara" w:hAnsi="Candara"/>
          <w:sz w:val="20"/>
          <w:szCs w:val="20"/>
        </w:rPr>
        <w:t>COVID-19</w:t>
      </w:r>
      <w:r w:rsidRPr="001C4080">
        <w:rPr>
          <w:rFonts w:ascii="Candara" w:hAnsi="Candara"/>
          <w:sz w:val="20"/>
          <w:szCs w:val="20"/>
        </w:rPr>
        <w:t xml:space="preserve">. This coagulopathy is a marker of poor prognosis in </w:t>
      </w:r>
      <w:r w:rsidR="00E30904">
        <w:rPr>
          <w:rFonts w:ascii="Candara" w:hAnsi="Candara"/>
          <w:sz w:val="20"/>
          <w:szCs w:val="20"/>
        </w:rPr>
        <w:t>COVID-19</w:t>
      </w:r>
      <w:r w:rsidRPr="001C4080">
        <w:rPr>
          <w:rFonts w:ascii="Candara" w:hAnsi="Candara"/>
          <w:sz w:val="20"/>
          <w:szCs w:val="20"/>
        </w:rPr>
        <w:t xml:space="preserve"> patients</w:t>
      </w:r>
      <w:r w:rsidRPr="001C4080">
        <w:rPr>
          <w:rFonts w:ascii="Candara" w:hAnsi="Candara"/>
          <w:sz w:val="20"/>
          <w:szCs w:val="20"/>
        </w:rPr>
        <w:fldChar w:fldCharType="begin" w:fldLock="1"/>
      </w:r>
      <w:r w:rsidRPr="001C4080">
        <w:rPr>
          <w:rFonts w:ascii="Candara" w:hAnsi="Candara"/>
          <w:sz w:val="20"/>
          <w:szCs w:val="20"/>
        </w:rPr>
        <w:instrText xml:space="preserve">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w:instrText>
      </w:r>
      <w:r w:rsidRPr="001C4080">
        <w:rPr>
          <w:rFonts w:ascii="Candara" w:hAnsi="Candara" w:cs="Cambria"/>
          <w:sz w:val="20"/>
          <w:szCs w:val="20"/>
        </w:rPr>
        <w:instrText>μ</w:instrText>
      </w:r>
      <w:r w:rsidRPr="001C4080">
        <w:rPr>
          <w:rFonts w:ascii="Candara" w:hAnsi="Candara"/>
          <w:sz w:val="20"/>
          <w:szCs w:val="20"/>
        </w:rPr>
        <w:instrText>g/mL (18</w:instrText>
      </w:r>
      <w:r w:rsidRPr="001C4080">
        <w:rPr>
          <w:rFonts w:ascii="Candara" w:hAnsi="Candara" w:cs="Bodoni MT Poster Compressed"/>
          <w:sz w:val="20"/>
          <w:szCs w:val="20"/>
        </w:rPr>
        <w:instrText>·</w:instrText>
      </w:r>
      <w:r w:rsidRPr="001C4080">
        <w:rPr>
          <w:rFonts w:ascii="Candara" w:hAnsi="Candara"/>
          <w:sz w:val="20"/>
          <w:szCs w:val="20"/>
        </w:rPr>
        <w:instrText>42, 2</w:instrText>
      </w:r>
      <w:r w:rsidRPr="001C4080">
        <w:rPr>
          <w:rFonts w:ascii="Candara" w:hAnsi="Candara" w:cs="Bodoni MT Poster Compressed"/>
          <w:sz w:val="20"/>
          <w:szCs w:val="20"/>
        </w:rPr>
        <w:instrText>·</w:instrText>
      </w:r>
      <w:r w:rsidRPr="001C4080">
        <w:rPr>
          <w:rFonts w:ascii="Candara" w:hAnsi="Candara"/>
          <w:sz w:val="20"/>
          <w:szCs w:val="20"/>
        </w:rPr>
        <w:instrText>64</w:instrText>
      </w:r>
      <w:r w:rsidRPr="001C4080">
        <w:rPr>
          <w:rFonts w:ascii="Candara" w:hAnsi="Candara" w:cs="Bodoni MT Poster Compressed"/>
          <w:sz w:val="20"/>
          <w:szCs w:val="20"/>
        </w:rPr>
        <w:instrText>–</w:instrText>
      </w:r>
      <w:r w:rsidRPr="001C4080">
        <w:rPr>
          <w:rFonts w:ascii="Candara" w:hAnsi="Candara"/>
          <w:sz w:val="20"/>
          <w:szCs w:val="20"/>
        </w:rPr>
        <w:instrText>128</w:instrText>
      </w:r>
      <w:r w:rsidRPr="001C4080">
        <w:rPr>
          <w:rFonts w:ascii="Candara" w:hAnsi="Candara" w:cs="Bodoni MT Poster Compressed"/>
          <w:sz w:val="20"/>
          <w:szCs w:val="20"/>
        </w:rPr>
        <w:instrText>·</w:instrText>
      </w:r>
      <w:r w:rsidRPr="001C4080">
        <w:rPr>
          <w:rFonts w:ascii="Candara" w:hAnsi="Candara"/>
          <w:sz w:val="20"/>
          <w:szCs w:val="20"/>
        </w:rPr>
        <w:instrText>55; p=0</w:instrText>
      </w:r>
      <w:r w:rsidRPr="001C4080">
        <w:rPr>
          <w:rFonts w:ascii="Candara" w:hAnsi="Candara" w:cs="Bodoni MT Poster Compressed"/>
          <w:sz w:val="20"/>
          <w:szCs w:val="20"/>
        </w:rPr>
        <w:instrText>·</w:instrText>
      </w:r>
      <w:r w:rsidRPr="001C4080">
        <w:rPr>
          <w:rFonts w:ascii="Candara" w:hAnsi="Candara"/>
          <w:sz w:val="20"/>
          <w:szCs w:val="20"/>
        </w:rPr>
        <w:instrText>0033) on admission. Median duration of viral shedding was 20</w:instrText>
      </w:r>
      <w:r w:rsidRPr="001C4080">
        <w:rPr>
          <w:rFonts w:ascii="Candara" w:hAnsi="Candara" w:cs="Bodoni MT Poster Compressed"/>
          <w:sz w:val="20"/>
          <w:szCs w:val="20"/>
        </w:rPr>
        <w:instrText>·</w:instrText>
      </w:r>
      <w:r w:rsidRPr="001C4080">
        <w:rPr>
          <w:rFonts w:ascii="Candara" w:hAnsi="Candara"/>
          <w:sz w:val="20"/>
          <w:szCs w:val="20"/>
        </w:rPr>
        <w:instrText>0 days (IQR 17</w:instrText>
      </w:r>
      <w:r w:rsidRPr="001C4080">
        <w:rPr>
          <w:rFonts w:ascii="Candara" w:hAnsi="Candara" w:cs="Bodoni MT Poster Compressed"/>
          <w:sz w:val="20"/>
          <w:szCs w:val="20"/>
        </w:rPr>
        <w:instrText>·</w:instrText>
      </w:r>
      <w:r w:rsidRPr="001C4080">
        <w:rPr>
          <w:rFonts w:ascii="Candara" w:hAnsi="Candara"/>
          <w:sz w:val="20"/>
          <w:szCs w:val="20"/>
        </w:rPr>
        <w:instrText>0</w:instrText>
      </w:r>
      <w:r w:rsidRPr="001C4080">
        <w:rPr>
          <w:rFonts w:ascii="Candara" w:hAnsi="Candara" w:cs="Bodoni MT Poster Compressed"/>
          <w:sz w:val="20"/>
          <w:szCs w:val="20"/>
        </w:rPr>
        <w:instrText>–</w:instrText>
      </w:r>
      <w:r w:rsidRPr="001C4080">
        <w:rPr>
          <w:rFonts w:ascii="Candara" w:hAnsi="Candara"/>
          <w:sz w:val="20"/>
          <w:szCs w:val="20"/>
        </w:rPr>
        <w:instrText>24</w:instrText>
      </w:r>
      <w:r w:rsidRPr="001C4080">
        <w:rPr>
          <w:rFonts w:ascii="Candara" w:hAnsi="Candara" w:cs="Bodoni MT Poster Compressed"/>
          <w:sz w:val="20"/>
          <w:szCs w:val="20"/>
        </w:rPr>
        <w:instrText>·</w:instrText>
      </w:r>
      <w:r w:rsidRPr="001C4080">
        <w:rPr>
          <w:rFonts w:ascii="Candara" w:hAnsi="Candara"/>
          <w:sz w:val="20"/>
          <w:szCs w:val="20"/>
        </w:rPr>
        <w:instrText xml:space="preserve">0) in survivors, but SARS-CoV-2 was detectable until death in non-survivors. The longest observed duration of viral shedding in survivors was 37 days. Interpretation: The potential risk factors of older age, high SOFA score, and d-dimer greater than 1 </w:instrText>
      </w:r>
      <w:r w:rsidRPr="001C4080">
        <w:rPr>
          <w:rFonts w:ascii="Candara" w:hAnsi="Candara" w:cs="Cambria"/>
          <w:sz w:val="20"/>
          <w:szCs w:val="20"/>
        </w:rPr>
        <w:instrText>μ</w:instrText>
      </w:r>
      <w:r w:rsidRPr="001C4080">
        <w:rPr>
          <w:rFonts w:ascii="Candara" w:hAnsi="Candara"/>
          <w:sz w:val="20"/>
          <w:szCs w:val="20"/>
        </w:rPr>
        <w:instrText>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Lancet","id":"ITEM-1","issue":"10229","issued":{"date-parts":[["2020"]]},"page":"1054-1062","publisher":"Elsevier Ltd","title":"Clinical course and risk factors for mortality of adult inpatients with COVID-19 in Wuhan, China: a retrospective cohort study","type":"article-journal","volume":"395"},"uris":["http://www.mendeley.com/documents/?uuid=d6d4a90a-5e32-45aa-8a14-a3c5b4b69009"]},{"id":"ITEM-2","itemData":{"DOI":"10.1056/nejmoa2002032","ISSN":"0028-4793","PMID":"32109013","abstract":"BACKGROUND Since December 2019, when coronavirus disease 2019 (Covid-19) emerged in Wuhan city and rapidly spread throughout China, data have been needed on the clinical characteristics of the affected patients. METHODS We extracted data regarding 1099 patients with laboratory-confirmed Covid-19 from 552 hospitals in 30 provinces, autonomous regions, and municipalities in China through January 29, 2020. The primary composite end point was admission to an intensive care unit (ICU), the use of mechanical ventilation, or death. RESULTS The median age of the patients was 47 years; 41.9% of the patients were female. The primary composite end point occurred in 67 patients (6.1%), including 5.0% who were admitted to the ICU, 2.3% who underwent invasive mechanical ventilation, and 1.4% who died. Only 1.9% of the patients had a history of direct contact with wildlife. Among nonresidents of Wuhan, 72.3% had contact with residents of Wuhan, including 31.3% who had visited the city. The most common symptoms were fever (43.8% on admission and 88.7% during hospitalization) and cough (67.8%). Diarrhea was uncommon (3.8%). The median incubation period was 4 days (interquartile range, 2 to 7). On admission, ground-glass opacity was the most common radiologic finding on chest computed tomography (CT) (56.4%). No radiographic or CT abnormality was found in 157 of 877 patients (17.9%) with nonsevere disease and in 5 of 173 patients (2.9%) with severe disease. Lymphocytopenia was present in 83.2% of the patients on admission. CONCLUSIONS During the first 2 months of the current outbreak, Covid-19 spread rapidly throughout China and caused varying degrees of illness. Patients often presented without fever, and many did not have abnormal radiologic findings. (Funded by the National Health Commission of China and others.).","author":[{"dropping-particle":"","family":"Guan","given":"Wei-jie","non-dropping-particle":"","parse-names":false,"suffix":""},{"dropping-particle":"","family":"Ni","given":"Zheng-yi","non-dropping-particle":"","parse-names":false,"suffix":""},{"dropping-particle":"","family":"Hu","given":"Yu","non-dropping-particle":"","parse-names":false,"suffix":""},{"dropping-particle":"","family":"Liang","given":"Wen-hua","non-dropping-particle":"","parse-names":false,"suffix":""},{"dropping-particle":"","family":"Ou","given":"Chun-quan","non-dropping-particle":"","parse-names":false,"suffix":""},{"dropping-particle":"","family":"He","given":"Jian-xing","non-dropping-particle":"","parse-names":false,"suffix":""},{"dropping-particle":"","family":"Liu","given":"Lei","non-dropping-particle":"","parse-names":false,"suffix":""},{"dropping-particle":"","family":"Shan","given":"Hong","non-dropping-particle":"","parse-names":false,"suffix":""},{"dropping-particle":"","family":"Lei","given":"Chun-liang","non-dropping-particle":"","parse-names":false,"suffix":""},{"dropping-particle":"","family":"Hui","given":"David S.C.","non-dropping-particle":"","parse-names":false,"suffix":""},{"dropping-particle":"","family":"Du","given":"Bin","non-dropping-particle":"","parse-names":false,"suffix":""},{"dropping-particle":"","family":"Li","given":"Lan-juan","non-dropping-particle":"","parse-names":false,"suffix":""},{"dropping-particle":"","family":"Zeng","given":"Guang","non-dropping-particle":"","parse-names":false,"suffix":""},{"dropping-particle":"","family":"Yuen","given":"Kwok-Yung","non-dropping-particle":"","parse-names":false,"suffix":""},{"dropping-particle":"","family":"Chen","given":"Ru-chong","non-dropping-particle":"","parse-names":false,"suffix":""},{"dropping-particle":"","family":"Tang","given":"Chun-li","non-dropping-particle":"","parse-names":false,"suffix":""},{"dropping-particle":"","family":"Wang","given":"Tao","non-dropping-particle":"","parse-names":false,"suffix":""},{"dropping-particle":"","family":"Chen","given":"Ping-yan","non-dropping-particle":"","parse-names":false,"suffix":""},{"dropping-particle":"","family":"Xiang","given":"Jie","non-dropping-particle":"","parse-names":false,"suffix":""},{"dropping-particle":"","family":"Li","given":"Shi-yue","non-dropping-particle":"","parse-names":false,"suffix":""},{"dropping-particle":"","family":"Wang","given":"Jin-lin","non-dropping-particle":"","parse-names":false,"suffix":""},{"dropping-particle":"","family":"Liang","given":"Zi-jing","non-dropping-particle":"","parse-names":false,"suffix":""},{"dropping-particle":"","family":"Peng","given":"Yi-xiang","non-dropping-particle":"","parse-names":false,"suffix":""},{"dropping-particle":"","family":"Wei","given":"Li","non-dropping-particle":"","parse-names":false,"suffix":""},{"dropping-particle":"","family":"Liu","given":"Yong","non-dropping-particle":"","parse-names":false,"suffix":""},{"dropping-particle":"","family":"Hu","given":"Ya-hua","non-dropping-particle":"","parse-names":false,"suffix":""},{"dropping-particle":"","family":"Peng","given":"Peng","non-dropping-particle":"","parse-names":false,"suffix":""},{"dropping-particle":"","family":"Wang","given":"Jian-ming","non-dropping-particle":"","parse-names":false,"suffix":""},{"dropping-particle":"","family":"Liu","given":"Ji-yang","non-dropping-particle":"","parse-names":false,"suffix":""},{"dropping-particle":"","family":"Chen","given":"Zhong","non-dropping-particle":"","parse-names":false,"suffix":""},{"dropping-particle":"","family":"Li","given":"Gang","non-dropping-particle":"","parse-names":false,"suffix":""},{"dropping-particle":"","family":"Zheng","given":"Zhi-jian","non-dropping-particle":"","parse-names":false,"suffix":""},{"dropping-particle":"","family":"Qiu","given":"Shao-qin","non-dropping-particle":"","parse-names":false,"suffix":""},{"dropping-particle":"","family":"Luo","given":"Jie","non-dropping-particle":"","parse-names":false,"suffix":""},{"dropping-particle":"","family":"Ye","given":"Chang-jiang","non-dropping-particle":"","parse-names":false,"suffix":""},{"dropping-particle":"","family":"Zhu","given":"Shao-yong","non-dropping-particle":"","parse-names":false,"suffix":""},{"dropping-particle":"","family":"Zhong","given":"Nan-shan","non-dropping-particle":"","parse-names":false,"suffix":""}],"container-title":"New England Journal of Medicine","id":"ITEM-2","issue":"18","issued":{"date-parts":[["2020"]]},"page":"1708-1720","title":"Clinical Characteristics of Coronavirus Disease 2019 in China","type":"article-journal","volume":"382"},"uris":["http://www.mendeley.com/documents/?uuid=afef573c-57fb-4fee-ad41-585af8776312"]}],"mendeley":{"formattedCitation":"(4,5)","plainTextFormattedCitation":"(4,5)","previouslyFormattedCitation":"(4,5)"},"properties":{"noteIndex":0},"schema":"https://github.com/citation-style-language/schema/raw/master/csl-citation.json"}</w:instrText>
      </w:r>
      <w:r w:rsidRPr="001C4080">
        <w:rPr>
          <w:rFonts w:ascii="Candara" w:hAnsi="Candara"/>
          <w:sz w:val="20"/>
          <w:szCs w:val="20"/>
        </w:rPr>
        <w:fldChar w:fldCharType="separate"/>
      </w:r>
      <w:r w:rsidRPr="001C4080">
        <w:rPr>
          <w:rFonts w:ascii="Candara" w:hAnsi="Candara"/>
          <w:sz w:val="20"/>
          <w:szCs w:val="20"/>
        </w:rPr>
        <w:t>(4,5)</w:t>
      </w:r>
      <w:r w:rsidRPr="001C4080">
        <w:rPr>
          <w:rFonts w:ascii="Candara" w:hAnsi="Candara"/>
          <w:sz w:val="20"/>
          <w:szCs w:val="20"/>
        </w:rPr>
        <w:fldChar w:fldCharType="end"/>
      </w:r>
      <w:r w:rsidRPr="001C4080">
        <w:rPr>
          <w:rFonts w:ascii="Candara" w:hAnsi="Candara"/>
          <w:sz w:val="20"/>
          <w:szCs w:val="20"/>
        </w:rPr>
        <w:t xml:space="preserve">. There have been many reports regarding the incidence of thrombosis in </w:t>
      </w:r>
      <w:r w:rsidR="00E30904">
        <w:rPr>
          <w:rFonts w:ascii="Candara" w:hAnsi="Candara"/>
          <w:sz w:val="20"/>
          <w:szCs w:val="20"/>
        </w:rPr>
        <w:t>COVID-19</w:t>
      </w:r>
      <w:r w:rsidRPr="001C4080">
        <w:rPr>
          <w:rFonts w:ascii="Candara" w:hAnsi="Candara"/>
          <w:sz w:val="20"/>
          <w:szCs w:val="20"/>
        </w:rPr>
        <w:t xml:space="preserve">, the use of anticoagulant drugs as prophylaxis and thrombosis therapy, and the pathophysiology of thrombosis in </w:t>
      </w:r>
      <w:r w:rsidR="00E30904">
        <w:rPr>
          <w:rFonts w:ascii="Candara" w:hAnsi="Candara"/>
          <w:sz w:val="20"/>
          <w:szCs w:val="20"/>
        </w:rPr>
        <w:t>COVID-19</w:t>
      </w:r>
      <w:r w:rsidRPr="001C4080">
        <w:rPr>
          <w:rFonts w:ascii="Candara" w:hAnsi="Candara"/>
          <w:sz w:val="20"/>
          <w:szCs w:val="20"/>
        </w:rPr>
        <w:fldChar w:fldCharType="begin" w:fldLock="1"/>
      </w:r>
      <w:r w:rsidRPr="001C4080">
        <w:rPr>
          <w:rFonts w:ascii="Candara" w:hAnsi="Candara"/>
          <w:sz w:val="20"/>
          <w:szCs w:val="20"/>
        </w:rPr>
        <w:instrText>ADDIN CSL_CITATION {"citationItems":[{"id":"ITEM-1","itemData":{"DOI":"10.1016/j.thromres.2020.04.013","abstract":"Introduction COVID-19 may predispose to both venous and arterial thromboembolism due to excessive inflammation, hypoxia, immobilisation and diffuse intravascular coagulation. Reports on the incidence of thrombotic complications are however not available. Methods We evaluated the incidence of the composite outcome of symptomatic acute pulmonary embolism (PE), deep-vein thrombosis, ischemic stroke, myocardial infarction or systemic arterial embolism in all COVID-19 patients admitted to the ICU of 2 Dutch university hospitals and 1 Dutch teaching hospital. Results We studied 184 ICU patients with proven COVID-19 pneumonia of whom 23 died (13%), 22 were discharged alive (12%) and 139 (76%) were still on the ICU on April 5th 2020. All patients received at least standard doses thromboprophylaxis. The cumulative incidence of the composite outcome was 31% (95%CI 20-41), of which CTPA and/or ultrasonography confirmed VTE in 27% (95%CI 17-37%) and arterial thrombotic events in 3.7% (95%CI 0-8.2%). PE was the most frequent thrombotic complication (n = 25, 81%). Age (adjusted hazard ratio (aHR) 1.05/per year, 95%CI 1.004-1.01) and coagulopathy, defined as spontaneous prolongation of the prothrombin time &gt; 3 s or activated partial thromboplastin time &gt; 5 s (aHR 4.1, 95%CI 1.9-9.1), were independent predictors of thrombotic complications. Conclusion The 31% incidence of thrombotic complications in ICU patients with COVID-19 infections is remarkably high. Our findings reinforce the recommendation to strictly apply pharmacological thrombosis prophylaxis in all COVID-19 patients admitted to the ICU, and are strongly suggestive of increasing the prophylaxis towards high-prophylactic doses, even in the absence of randomized evidence.","author":[{"dropping-particle":"","family":"Klok,F.A.","given":"","non-dropping-particle":"","parse-names":false,"suffix":""},{"dropping-particle":"","family":"Kruip","given":"M.J.H.A.","non-dropping-particle":"","parse-names":false,"suffix":""},{"dropping-particle":"","family":"Meer","given":"N.J.M.","non-dropping-particle":"Van der","parse-names":false,"suffix":""},{"dropping-particle":"","family":"Arbous","given":"M.S.","non-dropping-particle":"","parse-names":false,"suffix":""},{"dropping-particle":"","family":"Gommers","given":"D.A.M.P.J.","non-dropping-particle":"","parse-names":false,"suffix":""},{"dropping-particle":"","family":"Kant","given":"K.M.","non-dropping-particle":"","parse-names":false,"suffix":""},{"dropping-particle":"","family":"Kaptein","given":"F.H.J.","non-dropping-particle":"","parse-names":false,"suffix":""},{"dropping-particle":"","family":"VanPaassen","given":"J.","non-dropping-particle":"","parse-names":false,"suffix":""},{"dropping-particle":"","family":"Stals","given":"M.A.M.","non-dropping-particle":"","parse-names":false,"suffix":""},{"dropping-particle":"","family":"Huisman","given":"M.V.","non-dropping-particle":"","parse-names":false,"suffix":""},{"dropping-particle":"","family":"Endemane","given":"H.","non-dropping-particle":"","parse-names":false,"suffix":""}],"container-title":"Thrombosis Research","id":"ITEM-1","issued":{"date-parts":[["2020"]]},"page":"145–147","title":"Incidence of thrombotic complications in critically ill ICU patients with COVID-19","type":"article-journal","volume":"191"},"uris":["http://www.mendeley.com/documents/?uuid=3a8078ec-62b5-409d-b88c-9e0e318d491c"]},{"id":"ITEM-2","itemData":{"DOI":"10.1111/jth.14869","ISSN":"15387836","PMID":"32320517","abstract":"Background: Coagulopathy is a common abnormality in patients with COVID-19. However, the exact incidence of venous thromboembolic event is unknown in anticoagulated, severe COVID-19 patients. Objectives: Systematic assessment of venous thromboembolism (VTE) using complete duplex ultrasound (CDU) in anticoagulated COVID-19 patients. Patients and methods: We performed a retrospective study in 2 French intensive care units (ICU) where CDU is performed as a standard of care. A CDU from thigh to ankle at selected sites with Doppler waveforms and images was performed early during ICU stay in patients admitted with COVID-19. Anticoagulation dose was left to the discretion of the treating physician based on the individual risk of thrombosis. Patients were classified as treated with prophylactic anticoagulation or therapeutic anticoagulation. Pulmonary embolism was systematically searched in patients with persistent hypoxemia or secondary deterioration. Results: From March 19 to April 11, 2020, 26 consecutive patients with severe COVID-19 were screened for VTE. Eight patients (31%) were treated with prophylactic anticoagulation, whereas 18 patients (69%) were treated with therapeutic anticoagulation. The overall rate of VTE in patients was 69%. The proportion of VTE was significantly higher in patients treated with prophylactic anticoagulation when compared with the other group (100% vs 56%, respectively, P =.03). Surprisingly, we found a high rate of thromboembolic events in COVID-19 patients treated with therapeutic anticoagulation, with 56% of VTE and 6 pulmonary embolisms. Conclusion: Our results suggest considering both systematic screening of VTE and early therapeutic anticoagulation in severe ICU COVID-19 patients.","author":[{"dropping-particle":"","family":"Llitjos","given":"Jean François","non-dropping-particle":"","parse-names":false,"suffix":""},{"dropping-particle":"","family":"Leclerc","given":"Maxime","non-dropping-particle":"","parse-names":false,"suffix":""},{"dropping-particle":"","family":"Chochois","given":"Camille","non-dropping-particle":"","parse-names":false,"suffix":""},{"dropping-particle":"","family":"Monsallier","given":"Jean Michel","non-dropping-particle":"","parse-names":false,"suffix":""},{"dropping-particle":"","family":"Ramakers","given":"Michel","non-dropping-particle":"","parse-names":false,"suffix":""},{"dropping-particle":"","family":"Auvray","given":"Malika","non-dropping-particle":"","parse-names":false,"suffix":""},{"dropping-particle":"","family":"Merouani","given":"Karim","non-dropping-particle":"","parse-names":false,"suffix":""}],"container-title":"Journal of Thrombosis and Haemostasis","id":"ITEM-2","issue":"7","issued":{"date-parts":[["2020"]]},"page":"1743-1746","title":"High incidence of venous thromboembolic events in anticoagulated severe COVID-19 patients","type":"article-journal","volume":"18"},"uris":["http://www.mendeley.com/documents/?uuid=555a0f1e-bacd-42b3-98aa-52c5eb68fdec"]}],"mendeley":{"formattedCitation":"(6,7)","plainTextFormattedCitation":"(6,7)","previouslyFormattedCitation":"(6,7)"},"properties":{"noteIndex":0},"schema":"https://github.com/citation-style-language/schema/raw/master/csl-citation.json"}</w:instrText>
      </w:r>
      <w:r w:rsidRPr="001C4080">
        <w:rPr>
          <w:rFonts w:ascii="Candara" w:hAnsi="Candara"/>
          <w:sz w:val="20"/>
          <w:szCs w:val="20"/>
        </w:rPr>
        <w:fldChar w:fldCharType="separate"/>
      </w:r>
      <w:r w:rsidRPr="001C4080">
        <w:rPr>
          <w:rFonts w:ascii="Candara" w:hAnsi="Candara"/>
          <w:sz w:val="20"/>
          <w:szCs w:val="20"/>
        </w:rPr>
        <w:t>(6,7)</w:t>
      </w:r>
      <w:r w:rsidRPr="001C4080">
        <w:rPr>
          <w:rFonts w:ascii="Candara" w:hAnsi="Candara"/>
          <w:sz w:val="20"/>
          <w:szCs w:val="20"/>
        </w:rPr>
        <w:fldChar w:fldCharType="end"/>
      </w:r>
      <w:r w:rsidRPr="001C4080">
        <w:rPr>
          <w:rFonts w:ascii="Candara" w:hAnsi="Candara"/>
          <w:sz w:val="20"/>
          <w:szCs w:val="20"/>
        </w:rPr>
        <w:t xml:space="preserve">. </w:t>
      </w:r>
    </w:p>
    <w:p w14:paraId="14D10C56" w14:textId="2B7F43FE" w:rsidR="0083016D" w:rsidRPr="001C4080" w:rsidRDefault="0083016D" w:rsidP="0083016D">
      <w:pPr>
        <w:ind w:firstLine="450"/>
        <w:jc w:val="both"/>
        <w:rPr>
          <w:rFonts w:ascii="Candara" w:hAnsi="Candara"/>
          <w:sz w:val="20"/>
          <w:szCs w:val="20"/>
        </w:rPr>
      </w:pPr>
      <w:r w:rsidRPr="001C4080">
        <w:rPr>
          <w:rFonts w:ascii="Candara" w:hAnsi="Candara"/>
          <w:sz w:val="20"/>
          <w:szCs w:val="20"/>
        </w:rPr>
        <w:t>In this case report</w:t>
      </w:r>
      <w:r w:rsidR="00FD177B">
        <w:rPr>
          <w:rFonts w:ascii="Candara" w:hAnsi="Candara"/>
          <w:sz w:val="20"/>
          <w:szCs w:val="20"/>
          <w:lang w:val="id-ID"/>
        </w:rPr>
        <w:t>,</w:t>
      </w:r>
      <w:r w:rsidRPr="001C4080">
        <w:rPr>
          <w:rFonts w:ascii="Candara" w:hAnsi="Candara"/>
          <w:sz w:val="20"/>
          <w:szCs w:val="20"/>
        </w:rPr>
        <w:t xml:space="preserve"> we report a case series of administering anticoagulant therapy in moderate to severe </w:t>
      </w:r>
      <w:r w:rsidR="00E30904">
        <w:rPr>
          <w:rFonts w:ascii="Candara" w:hAnsi="Candara"/>
          <w:sz w:val="20"/>
          <w:szCs w:val="20"/>
        </w:rPr>
        <w:t>COVID-19</w:t>
      </w:r>
      <w:r w:rsidRPr="001C4080">
        <w:rPr>
          <w:rFonts w:ascii="Candara" w:hAnsi="Candara"/>
          <w:sz w:val="20"/>
          <w:szCs w:val="20"/>
        </w:rPr>
        <w:t xml:space="preserve"> patients with different comorbidities including diabetes mellitus, hypertension, coronary heart disease, chronic heart failure, diabetic ketoacidosis, acute kidney injury</w:t>
      </w:r>
      <w:r w:rsidR="003A79AB">
        <w:rPr>
          <w:rFonts w:ascii="Candara" w:hAnsi="Candara"/>
          <w:sz w:val="20"/>
          <w:szCs w:val="20"/>
        </w:rPr>
        <w:t>,</w:t>
      </w:r>
      <w:r w:rsidRPr="001C4080">
        <w:rPr>
          <w:rFonts w:ascii="Candara" w:hAnsi="Candara"/>
          <w:sz w:val="20"/>
          <w:szCs w:val="20"/>
        </w:rPr>
        <w:t xml:space="preserve"> and chronic kidney disease. This report can be considered in administering anticoagulants to </w:t>
      </w:r>
      <w:r w:rsidR="00E30904">
        <w:rPr>
          <w:rFonts w:ascii="Candara" w:hAnsi="Candara"/>
          <w:sz w:val="20"/>
          <w:szCs w:val="20"/>
        </w:rPr>
        <w:t>COVID-19</w:t>
      </w:r>
      <w:r w:rsidRPr="001C4080">
        <w:rPr>
          <w:rFonts w:ascii="Candara" w:hAnsi="Candara"/>
          <w:sz w:val="20"/>
          <w:szCs w:val="20"/>
        </w:rPr>
        <w:t xml:space="preserve"> patients in terms of indications, dosage, side effects</w:t>
      </w:r>
      <w:r w:rsidR="00FD177B">
        <w:rPr>
          <w:rFonts w:ascii="Candara" w:hAnsi="Candara"/>
          <w:sz w:val="20"/>
          <w:szCs w:val="20"/>
          <w:lang w:val="id-ID"/>
        </w:rPr>
        <w:t>,</w:t>
      </w:r>
      <w:r w:rsidRPr="001C4080">
        <w:rPr>
          <w:rFonts w:ascii="Candara" w:hAnsi="Candara"/>
          <w:sz w:val="20"/>
          <w:szCs w:val="20"/>
        </w:rPr>
        <w:t xml:space="preserve"> and clinical efficacy in the clinical setting of treatment for </w:t>
      </w:r>
      <w:r w:rsidR="00E30904">
        <w:rPr>
          <w:rFonts w:ascii="Candara" w:hAnsi="Candara"/>
          <w:sz w:val="20"/>
          <w:szCs w:val="20"/>
        </w:rPr>
        <w:t>COVID-19</w:t>
      </w:r>
      <w:r w:rsidRPr="001C4080">
        <w:rPr>
          <w:rFonts w:ascii="Candara" w:hAnsi="Candara"/>
          <w:sz w:val="20"/>
          <w:szCs w:val="20"/>
        </w:rPr>
        <w:t xml:space="preserve"> patients.</w:t>
      </w:r>
    </w:p>
    <w:p w14:paraId="3B4A5372" w14:textId="77777777" w:rsidR="0083016D" w:rsidRPr="0019184A" w:rsidRDefault="0083016D" w:rsidP="00DE7302">
      <w:pPr>
        <w:ind w:firstLine="426"/>
        <w:jc w:val="both"/>
        <w:rPr>
          <w:rFonts w:ascii="Candara" w:hAnsi="Candara"/>
          <w:color w:val="000000"/>
          <w:sz w:val="20"/>
          <w:szCs w:val="20"/>
          <w:shd w:val="clear" w:color="auto" w:fill="FFFFFF"/>
        </w:rPr>
      </w:pPr>
    </w:p>
    <w:bookmarkEnd w:id="0"/>
    <w:p w14:paraId="383B1C88" w14:textId="2B811ED1" w:rsidR="007D584A" w:rsidRPr="00DE7DBC" w:rsidRDefault="00B46949" w:rsidP="007D584A">
      <w:pPr>
        <w:jc w:val="both"/>
        <w:rPr>
          <w:rFonts w:ascii="Candara" w:hAnsi="Candara" w:cs="Times New Roman"/>
          <w:b/>
          <w:sz w:val="20"/>
          <w:szCs w:val="20"/>
        </w:rPr>
      </w:pPr>
      <w:r>
        <w:rPr>
          <w:rFonts w:ascii="Candara" w:hAnsi="Candara" w:cs="Times New Roman"/>
          <w:b/>
          <w:sz w:val="20"/>
          <w:szCs w:val="20"/>
          <w:lang w:val="id-ID"/>
        </w:rPr>
        <w:t>CASE</w:t>
      </w:r>
      <w:r w:rsidR="00DE7DBC">
        <w:rPr>
          <w:rFonts w:ascii="Candara" w:hAnsi="Candara" w:cs="Times New Roman"/>
          <w:b/>
          <w:sz w:val="20"/>
          <w:szCs w:val="20"/>
        </w:rPr>
        <w:t xml:space="preserve"> 1</w:t>
      </w:r>
    </w:p>
    <w:p w14:paraId="4EC250C4" w14:textId="77777777" w:rsidR="007D584A" w:rsidRPr="007D584A" w:rsidRDefault="007D584A" w:rsidP="007D584A">
      <w:pPr>
        <w:jc w:val="both"/>
        <w:rPr>
          <w:rFonts w:ascii="Candara" w:hAnsi="Candara" w:cs="Times New Roman"/>
          <w:b/>
          <w:sz w:val="20"/>
          <w:szCs w:val="20"/>
        </w:rPr>
      </w:pPr>
    </w:p>
    <w:p w14:paraId="0FA1545C" w14:textId="0CA9465E" w:rsidR="002E39E3" w:rsidRDefault="00A5580C" w:rsidP="00C40B56">
      <w:pPr>
        <w:ind w:firstLine="426"/>
        <w:jc w:val="both"/>
        <w:rPr>
          <w:rFonts w:ascii="Candara" w:hAnsi="Candara"/>
          <w:color w:val="000000"/>
          <w:sz w:val="20"/>
          <w:szCs w:val="20"/>
          <w:shd w:val="clear" w:color="auto" w:fill="FFFFFF"/>
          <w:lang w:val="id-ID"/>
        </w:rPr>
      </w:pPr>
      <w:r w:rsidRPr="00A5580C">
        <w:rPr>
          <w:rFonts w:ascii="Candara" w:hAnsi="Candara"/>
          <w:color w:val="000000"/>
          <w:sz w:val="20"/>
          <w:szCs w:val="20"/>
          <w:shd w:val="clear" w:color="auto" w:fill="FFFFFF"/>
          <w:lang w:val="id-ID"/>
        </w:rPr>
        <w:t>Mrs. A, 62 years old, with complaints of cough, shortness of breath</w:t>
      </w:r>
      <w:r w:rsidR="005A18BE">
        <w:rPr>
          <w:rFonts w:ascii="Candara" w:hAnsi="Candara"/>
          <w:color w:val="000000"/>
          <w:sz w:val="20"/>
          <w:szCs w:val="20"/>
          <w:shd w:val="clear" w:color="auto" w:fill="FFFFFF"/>
          <w:lang w:val="id-ID"/>
        </w:rPr>
        <w:t>,</w:t>
      </w:r>
      <w:r w:rsidRPr="00A5580C">
        <w:rPr>
          <w:rFonts w:ascii="Candara" w:hAnsi="Candara"/>
          <w:color w:val="000000"/>
          <w:sz w:val="20"/>
          <w:szCs w:val="20"/>
          <w:shd w:val="clear" w:color="auto" w:fill="FFFFFF"/>
          <w:lang w:val="id-ID"/>
        </w:rPr>
        <w:t xml:space="preserve"> and fever </w:t>
      </w:r>
      <w:r w:rsidR="005A18BE">
        <w:rPr>
          <w:rFonts w:ascii="Candara" w:hAnsi="Candara"/>
          <w:color w:val="000000"/>
          <w:sz w:val="20"/>
          <w:szCs w:val="20"/>
          <w:shd w:val="clear" w:color="auto" w:fill="FFFFFF"/>
          <w:lang w:val="id-ID"/>
        </w:rPr>
        <w:t>for</w:t>
      </w:r>
      <w:r w:rsidRPr="00A5580C">
        <w:rPr>
          <w:rFonts w:ascii="Candara" w:hAnsi="Candara"/>
          <w:color w:val="000000"/>
          <w:sz w:val="20"/>
          <w:szCs w:val="20"/>
          <w:shd w:val="clear" w:color="auto" w:fill="FFFFFF"/>
          <w:lang w:val="id-ID"/>
        </w:rPr>
        <w:t xml:space="preserve"> 5 days. Comorbid</w:t>
      </w:r>
      <w:r w:rsidR="00E4036F">
        <w:rPr>
          <w:rFonts w:ascii="Candara" w:hAnsi="Candara"/>
          <w:color w:val="000000"/>
          <w:sz w:val="20"/>
          <w:szCs w:val="20"/>
          <w:shd w:val="clear" w:color="auto" w:fill="FFFFFF"/>
          <w:lang w:val="id-ID"/>
        </w:rPr>
        <w:t>ities</w:t>
      </w:r>
      <w:r w:rsidRPr="00A5580C">
        <w:rPr>
          <w:rFonts w:ascii="Candara" w:hAnsi="Candara"/>
          <w:color w:val="000000"/>
          <w:sz w:val="20"/>
          <w:szCs w:val="20"/>
          <w:shd w:val="clear" w:color="auto" w:fill="FFFFFF"/>
          <w:lang w:val="id-ID"/>
        </w:rPr>
        <w:t xml:space="preserve"> hypertension, diabetes mellitus, and coronary heart</w:t>
      </w:r>
      <w:r w:rsidR="00521FAF">
        <w:rPr>
          <w:rFonts w:ascii="Candara" w:hAnsi="Candara"/>
          <w:color w:val="000000"/>
          <w:sz w:val="20"/>
          <w:szCs w:val="20"/>
          <w:shd w:val="clear" w:color="auto" w:fill="FFFFFF"/>
          <w:lang w:val="id-ID"/>
        </w:rPr>
        <w:t xml:space="preserve"> disease</w:t>
      </w:r>
      <w:r w:rsidR="009A60B4">
        <w:rPr>
          <w:rFonts w:ascii="Candara" w:hAnsi="Candara"/>
          <w:color w:val="000000"/>
          <w:sz w:val="20"/>
          <w:szCs w:val="20"/>
          <w:shd w:val="clear" w:color="auto" w:fill="FFFFFF"/>
          <w:lang w:val="id-ID"/>
        </w:rPr>
        <w:t>.</w:t>
      </w:r>
      <w:r w:rsidRPr="00A5580C">
        <w:rPr>
          <w:rFonts w:ascii="Candara" w:hAnsi="Candara"/>
          <w:color w:val="000000"/>
          <w:sz w:val="20"/>
          <w:szCs w:val="20"/>
          <w:shd w:val="clear" w:color="auto" w:fill="FFFFFF"/>
          <w:lang w:val="id-ID"/>
        </w:rPr>
        <w:t xml:space="preserve"> The patient was </w:t>
      </w:r>
      <w:r w:rsidR="00DE41CB">
        <w:rPr>
          <w:rFonts w:ascii="Candara" w:hAnsi="Candara"/>
          <w:color w:val="000000"/>
          <w:sz w:val="20"/>
          <w:szCs w:val="20"/>
          <w:shd w:val="clear" w:color="auto" w:fill="FFFFFF"/>
          <w:lang w:val="id-ID"/>
        </w:rPr>
        <w:t xml:space="preserve">confirmed </w:t>
      </w:r>
      <w:r w:rsidR="00E30904">
        <w:rPr>
          <w:rFonts w:ascii="Candara" w:hAnsi="Candara"/>
          <w:color w:val="000000"/>
          <w:sz w:val="20"/>
          <w:szCs w:val="20"/>
          <w:shd w:val="clear" w:color="auto" w:fill="FFFFFF"/>
          <w:lang w:val="id-ID"/>
        </w:rPr>
        <w:t>COVID-19</w:t>
      </w:r>
      <w:r w:rsidRPr="00A5580C">
        <w:rPr>
          <w:rFonts w:ascii="Candara" w:hAnsi="Candara"/>
          <w:color w:val="000000"/>
          <w:sz w:val="20"/>
          <w:szCs w:val="20"/>
          <w:shd w:val="clear" w:color="auto" w:fill="FFFFFF"/>
          <w:lang w:val="id-ID"/>
        </w:rPr>
        <w:t xml:space="preserve"> from </w:t>
      </w:r>
      <w:r w:rsidR="005835A1">
        <w:rPr>
          <w:rFonts w:ascii="Candara" w:hAnsi="Candara"/>
          <w:color w:val="000000"/>
          <w:sz w:val="20"/>
          <w:szCs w:val="20"/>
          <w:shd w:val="clear" w:color="auto" w:fill="FFFFFF"/>
          <w:lang w:val="id-ID"/>
        </w:rPr>
        <w:t xml:space="preserve">a </w:t>
      </w:r>
      <w:r w:rsidR="009A60B4">
        <w:rPr>
          <w:rFonts w:ascii="Candara" w:hAnsi="Candara"/>
          <w:color w:val="000000"/>
          <w:sz w:val="20"/>
          <w:szCs w:val="20"/>
          <w:shd w:val="clear" w:color="auto" w:fill="FFFFFF"/>
          <w:lang w:val="id-ID"/>
        </w:rPr>
        <w:t xml:space="preserve">positive </w:t>
      </w:r>
      <w:r w:rsidR="00E77974">
        <w:rPr>
          <w:rFonts w:ascii="Candara" w:hAnsi="Candara"/>
          <w:color w:val="000000"/>
          <w:sz w:val="20"/>
          <w:szCs w:val="20"/>
          <w:shd w:val="clear" w:color="auto" w:fill="FFFFFF"/>
          <w:lang w:val="id-ID"/>
        </w:rPr>
        <w:t>RT-</w:t>
      </w:r>
      <w:r w:rsidRPr="00A5580C">
        <w:rPr>
          <w:rFonts w:ascii="Candara" w:hAnsi="Candara"/>
          <w:color w:val="000000"/>
          <w:sz w:val="20"/>
          <w:szCs w:val="20"/>
          <w:shd w:val="clear" w:color="auto" w:fill="FFFFFF"/>
          <w:lang w:val="id-ID"/>
        </w:rPr>
        <w:t xml:space="preserve">PCR </w:t>
      </w:r>
      <w:r w:rsidR="009A60B4">
        <w:rPr>
          <w:rFonts w:ascii="Candara" w:hAnsi="Candara"/>
          <w:color w:val="000000"/>
          <w:sz w:val="20"/>
          <w:szCs w:val="20"/>
          <w:shd w:val="clear" w:color="auto" w:fill="FFFFFF"/>
          <w:lang w:val="id-ID"/>
        </w:rPr>
        <w:t>nasopharyngeal swab</w:t>
      </w:r>
      <w:r w:rsidRPr="00A5580C">
        <w:rPr>
          <w:rFonts w:ascii="Candara" w:hAnsi="Candara"/>
          <w:color w:val="000000"/>
          <w:sz w:val="20"/>
          <w:szCs w:val="20"/>
          <w:shd w:val="clear" w:color="auto" w:fill="FFFFFF"/>
          <w:lang w:val="id-ID"/>
        </w:rPr>
        <w:t xml:space="preserve"> </w:t>
      </w:r>
      <w:r w:rsidR="00DE41CB">
        <w:rPr>
          <w:rFonts w:ascii="Candara" w:hAnsi="Candara"/>
          <w:color w:val="000000"/>
          <w:sz w:val="20"/>
          <w:szCs w:val="20"/>
          <w:shd w:val="clear" w:color="auto" w:fill="FFFFFF"/>
          <w:lang w:val="id-ID"/>
        </w:rPr>
        <w:t>with</w:t>
      </w:r>
      <w:r w:rsidRPr="00A5580C">
        <w:rPr>
          <w:rFonts w:ascii="Candara" w:hAnsi="Candara"/>
          <w:color w:val="000000"/>
          <w:sz w:val="20"/>
          <w:szCs w:val="20"/>
          <w:shd w:val="clear" w:color="auto" w:fill="FFFFFF"/>
          <w:lang w:val="id-ID"/>
        </w:rPr>
        <w:t xml:space="preserve"> chest X-ray bronchopneumonia. </w:t>
      </w:r>
      <w:r w:rsidR="00DE41CB">
        <w:rPr>
          <w:rFonts w:ascii="Candara" w:hAnsi="Candara"/>
          <w:color w:val="000000"/>
          <w:sz w:val="20"/>
          <w:szCs w:val="20"/>
          <w:shd w:val="clear" w:color="auto" w:fill="FFFFFF"/>
          <w:lang w:val="id-ID"/>
        </w:rPr>
        <w:t>Mrs. A had m</w:t>
      </w:r>
      <w:r w:rsidRPr="00A5580C">
        <w:rPr>
          <w:rFonts w:ascii="Candara" w:hAnsi="Candara"/>
          <w:color w:val="000000"/>
          <w:sz w:val="20"/>
          <w:szCs w:val="20"/>
          <w:shd w:val="clear" w:color="auto" w:fill="FFFFFF"/>
          <w:lang w:val="id-ID"/>
        </w:rPr>
        <w:t xml:space="preserve">oderate clinical symptoms with </w:t>
      </w:r>
      <w:r w:rsidR="005A18BE">
        <w:rPr>
          <w:rFonts w:ascii="Candara" w:hAnsi="Candara"/>
          <w:color w:val="000000"/>
          <w:sz w:val="20"/>
          <w:szCs w:val="20"/>
          <w:shd w:val="clear" w:color="auto" w:fill="FFFFFF"/>
          <w:lang w:val="id-ID"/>
        </w:rPr>
        <w:t xml:space="preserve">the </w:t>
      </w:r>
      <w:r w:rsidRPr="00A5580C">
        <w:rPr>
          <w:rFonts w:ascii="Candara" w:hAnsi="Candara"/>
          <w:color w:val="000000"/>
          <w:sz w:val="20"/>
          <w:szCs w:val="20"/>
          <w:shd w:val="clear" w:color="auto" w:fill="FFFFFF"/>
          <w:lang w:val="id-ID"/>
        </w:rPr>
        <w:t>d-dimer result was 1.08</w:t>
      </w:r>
      <w:r w:rsidR="00C40B56">
        <w:rPr>
          <w:rFonts w:ascii="Candara" w:hAnsi="Candara"/>
          <w:color w:val="000000"/>
          <w:sz w:val="20"/>
          <w:szCs w:val="20"/>
          <w:shd w:val="clear" w:color="auto" w:fill="FFFFFF"/>
          <w:lang w:val="id-ID"/>
        </w:rPr>
        <w:t xml:space="preserve"> </w:t>
      </w:r>
      <w:r w:rsidR="00C40B56" w:rsidRPr="00C40B56">
        <w:rPr>
          <w:rFonts w:ascii="Candara" w:hAnsi="Candara"/>
          <w:color w:val="000000"/>
          <w:sz w:val="20"/>
          <w:szCs w:val="20"/>
          <w:shd w:val="clear" w:color="auto" w:fill="FFFFFF"/>
          <w:lang w:val="id-ID"/>
        </w:rPr>
        <w:t>µg/dl</w:t>
      </w:r>
      <w:r w:rsidR="00C40B56">
        <w:rPr>
          <w:rFonts w:ascii="Candara" w:hAnsi="Candara"/>
          <w:color w:val="000000"/>
          <w:sz w:val="20"/>
          <w:szCs w:val="20"/>
          <w:shd w:val="clear" w:color="auto" w:fill="FFFFFF"/>
          <w:lang w:val="id-ID"/>
        </w:rPr>
        <w:t xml:space="preserve">, </w:t>
      </w:r>
      <w:r w:rsidRPr="00A5580C">
        <w:rPr>
          <w:rFonts w:ascii="Candara" w:hAnsi="Candara"/>
          <w:color w:val="000000"/>
          <w:sz w:val="20"/>
          <w:szCs w:val="20"/>
          <w:shd w:val="clear" w:color="auto" w:fill="FFFFFF"/>
          <w:lang w:val="id-ID"/>
        </w:rPr>
        <w:t>3.6 times normal value</w:t>
      </w:r>
      <w:r w:rsidR="00C40B56">
        <w:rPr>
          <w:rFonts w:ascii="Candara" w:hAnsi="Candara"/>
          <w:color w:val="000000"/>
          <w:sz w:val="20"/>
          <w:szCs w:val="20"/>
          <w:shd w:val="clear" w:color="auto" w:fill="FFFFFF"/>
          <w:lang w:val="id-ID"/>
        </w:rPr>
        <w:t xml:space="preserve"> (0.3</w:t>
      </w:r>
      <w:r w:rsidR="00C40B56" w:rsidRPr="00C40B56">
        <w:t xml:space="preserve"> </w:t>
      </w:r>
      <w:r w:rsidR="00C40B56" w:rsidRPr="00C40B56">
        <w:rPr>
          <w:rFonts w:ascii="Candara" w:hAnsi="Candara"/>
          <w:color w:val="000000"/>
          <w:sz w:val="20"/>
          <w:szCs w:val="20"/>
          <w:shd w:val="clear" w:color="auto" w:fill="FFFFFF"/>
          <w:lang w:val="id-ID"/>
        </w:rPr>
        <w:t>µg/dl</w:t>
      </w:r>
      <w:r w:rsidR="00C40B56">
        <w:rPr>
          <w:rFonts w:ascii="Candara" w:hAnsi="Candara"/>
          <w:color w:val="000000"/>
          <w:sz w:val="20"/>
          <w:szCs w:val="20"/>
          <w:shd w:val="clear" w:color="auto" w:fill="FFFFFF"/>
          <w:lang w:val="id-ID"/>
        </w:rPr>
        <w:t xml:space="preserve"> </w:t>
      </w:r>
      <w:r w:rsidRPr="00A5580C">
        <w:rPr>
          <w:rFonts w:ascii="Candara" w:hAnsi="Candara"/>
          <w:color w:val="000000"/>
          <w:sz w:val="20"/>
          <w:szCs w:val="20"/>
          <w:shd w:val="clear" w:color="auto" w:fill="FFFFFF"/>
          <w:lang w:val="id-ID"/>
        </w:rPr>
        <w:t xml:space="preserve">). </w:t>
      </w:r>
      <w:r w:rsidR="00F01FD2">
        <w:rPr>
          <w:rFonts w:ascii="Candara" w:hAnsi="Candara"/>
          <w:color w:val="000000"/>
          <w:sz w:val="20"/>
          <w:szCs w:val="20"/>
          <w:shd w:val="clear" w:color="auto" w:fill="FFFFFF"/>
          <w:lang w:val="id-ID"/>
        </w:rPr>
        <w:t>The p</w:t>
      </w:r>
      <w:r w:rsidRPr="00A5580C">
        <w:rPr>
          <w:rFonts w:ascii="Candara" w:hAnsi="Candara"/>
          <w:color w:val="000000"/>
          <w:sz w:val="20"/>
          <w:szCs w:val="20"/>
          <w:shd w:val="clear" w:color="auto" w:fill="FFFFFF"/>
          <w:lang w:val="id-ID"/>
        </w:rPr>
        <w:t>atient</w:t>
      </w:r>
      <w:r w:rsidR="00F01FD2">
        <w:rPr>
          <w:rFonts w:ascii="Candara" w:hAnsi="Candara"/>
          <w:color w:val="000000"/>
          <w:sz w:val="20"/>
          <w:szCs w:val="20"/>
          <w:shd w:val="clear" w:color="auto" w:fill="FFFFFF"/>
          <w:lang w:val="id-ID"/>
        </w:rPr>
        <w:t xml:space="preserve"> has</w:t>
      </w:r>
      <w:r w:rsidRPr="00A5580C">
        <w:rPr>
          <w:rFonts w:ascii="Candara" w:hAnsi="Candara"/>
          <w:color w:val="000000"/>
          <w:sz w:val="20"/>
          <w:szCs w:val="20"/>
          <w:shd w:val="clear" w:color="auto" w:fill="FFFFFF"/>
          <w:lang w:val="id-ID"/>
        </w:rPr>
        <w:t xml:space="preserve"> given enoxaparin (low molecular weight heparin / LMWH) 0.4 ml per 24 hours with a d-dimer evaluation result of 0.91 </w:t>
      </w:r>
      <w:r w:rsidR="00C40B56" w:rsidRPr="00C40B56">
        <w:rPr>
          <w:rFonts w:ascii="Candara" w:hAnsi="Candara"/>
          <w:color w:val="000000"/>
          <w:sz w:val="20"/>
          <w:szCs w:val="20"/>
          <w:shd w:val="clear" w:color="auto" w:fill="FFFFFF"/>
          <w:lang w:val="id-ID"/>
        </w:rPr>
        <w:t xml:space="preserve">µg/dl </w:t>
      </w:r>
      <w:r w:rsidRPr="00A5580C">
        <w:rPr>
          <w:rFonts w:ascii="Candara" w:hAnsi="Candara"/>
          <w:color w:val="000000"/>
          <w:sz w:val="20"/>
          <w:szCs w:val="20"/>
          <w:shd w:val="clear" w:color="auto" w:fill="FFFFFF"/>
          <w:lang w:val="id-ID"/>
        </w:rPr>
        <w:t xml:space="preserve">(day 3 of LMWH), 0.63 </w:t>
      </w:r>
      <w:r w:rsidR="00C40B56" w:rsidRPr="00C40B56">
        <w:rPr>
          <w:rFonts w:ascii="Candara" w:hAnsi="Candara"/>
          <w:color w:val="000000"/>
          <w:sz w:val="20"/>
          <w:szCs w:val="20"/>
          <w:shd w:val="clear" w:color="auto" w:fill="FFFFFF"/>
          <w:lang w:val="id-ID"/>
        </w:rPr>
        <w:t xml:space="preserve">µg/dl </w:t>
      </w:r>
      <w:r w:rsidRPr="00A5580C">
        <w:rPr>
          <w:rFonts w:ascii="Candara" w:hAnsi="Candara"/>
          <w:color w:val="000000"/>
          <w:sz w:val="20"/>
          <w:szCs w:val="20"/>
          <w:shd w:val="clear" w:color="auto" w:fill="FFFFFF"/>
          <w:lang w:val="id-ID"/>
        </w:rPr>
        <w:t xml:space="preserve">(day 4 of LMWH), 0.61 </w:t>
      </w:r>
      <w:r w:rsidR="00C40B56" w:rsidRPr="00C40B56">
        <w:rPr>
          <w:rFonts w:ascii="Candara" w:hAnsi="Candara"/>
          <w:color w:val="000000"/>
          <w:sz w:val="20"/>
          <w:szCs w:val="20"/>
          <w:shd w:val="clear" w:color="auto" w:fill="FFFFFF"/>
          <w:lang w:val="id-ID"/>
        </w:rPr>
        <w:t xml:space="preserve">µg/dl </w:t>
      </w:r>
      <w:r w:rsidRPr="00A5580C">
        <w:rPr>
          <w:rFonts w:ascii="Candara" w:hAnsi="Candara"/>
          <w:color w:val="000000"/>
          <w:sz w:val="20"/>
          <w:szCs w:val="20"/>
          <w:shd w:val="clear" w:color="auto" w:fill="FFFFFF"/>
          <w:lang w:val="id-ID"/>
        </w:rPr>
        <w:t xml:space="preserve">(day of 6 LMWH), 0.38 </w:t>
      </w:r>
      <w:r w:rsidR="00C40B56" w:rsidRPr="00C40B56">
        <w:rPr>
          <w:rFonts w:ascii="Candara" w:hAnsi="Candara"/>
          <w:color w:val="000000"/>
          <w:sz w:val="20"/>
          <w:szCs w:val="20"/>
          <w:shd w:val="clear" w:color="auto" w:fill="FFFFFF"/>
          <w:lang w:val="id-ID"/>
        </w:rPr>
        <w:t xml:space="preserve">µg/dl </w:t>
      </w:r>
      <w:r w:rsidRPr="00A5580C">
        <w:rPr>
          <w:rFonts w:ascii="Candara" w:hAnsi="Candara"/>
          <w:color w:val="000000"/>
          <w:sz w:val="20"/>
          <w:szCs w:val="20"/>
          <w:shd w:val="clear" w:color="auto" w:fill="FFFFFF"/>
          <w:lang w:val="id-ID"/>
        </w:rPr>
        <w:t>(</w:t>
      </w:r>
      <w:r w:rsidR="00C40B56">
        <w:rPr>
          <w:rFonts w:ascii="Candara" w:hAnsi="Candara"/>
          <w:color w:val="000000"/>
          <w:sz w:val="20"/>
          <w:szCs w:val="20"/>
          <w:shd w:val="clear" w:color="auto" w:fill="FFFFFF"/>
          <w:lang w:val="id-ID"/>
        </w:rPr>
        <w:t>day 9</w:t>
      </w:r>
      <w:r w:rsidRPr="00A5580C">
        <w:rPr>
          <w:rFonts w:ascii="Candara" w:hAnsi="Candara"/>
          <w:color w:val="000000"/>
          <w:sz w:val="20"/>
          <w:szCs w:val="20"/>
          <w:shd w:val="clear" w:color="auto" w:fill="FFFFFF"/>
          <w:lang w:val="id-ID"/>
        </w:rPr>
        <w:t xml:space="preserve"> of LMWH), then stop LMWH therapy</w:t>
      </w:r>
      <w:r w:rsidR="009A60B4">
        <w:rPr>
          <w:rFonts w:ascii="Candara" w:hAnsi="Candara"/>
          <w:color w:val="000000"/>
          <w:sz w:val="20"/>
          <w:szCs w:val="20"/>
          <w:shd w:val="clear" w:color="auto" w:fill="FFFFFF"/>
          <w:lang w:val="id-ID"/>
        </w:rPr>
        <w:t xml:space="preserve">. </w:t>
      </w:r>
      <w:r w:rsidRPr="00A5580C">
        <w:rPr>
          <w:rFonts w:ascii="Candara" w:hAnsi="Candara"/>
          <w:color w:val="000000"/>
          <w:sz w:val="20"/>
          <w:szCs w:val="20"/>
          <w:shd w:val="clear" w:color="auto" w:fill="FFFFFF"/>
          <w:lang w:val="id-ID"/>
        </w:rPr>
        <w:t>There was no bleeding during LMWH administration even in combination with aspilet. The patient went home with clinical and radiological improvement and a negative swab evaluation.</w:t>
      </w:r>
      <w:r w:rsidR="00C40B56">
        <w:rPr>
          <w:rFonts w:ascii="Candara" w:hAnsi="Candara"/>
          <w:color w:val="000000"/>
          <w:sz w:val="20"/>
          <w:szCs w:val="20"/>
          <w:shd w:val="clear" w:color="auto" w:fill="FFFFFF"/>
          <w:lang w:val="id-ID"/>
        </w:rPr>
        <w:t xml:space="preserve"> </w:t>
      </w:r>
    </w:p>
    <w:p w14:paraId="42A0E04E" w14:textId="77777777" w:rsidR="009609D2" w:rsidRDefault="009609D2" w:rsidP="009609D2">
      <w:pPr>
        <w:jc w:val="both"/>
        <w:rPr>
          <w:rFonts w:ascii="Candara" w:hAnsi="Candara"/>
          <w:color w:val="000000"/>
          <w:sz w:val="20"/>
          <w:szCs w:val="20"/>
          <w:shd w:val="clear" w:color="auto" w:fill="FFFFFF"/>
          <w:lang w:val="id-ID"/>
        </w:rPr>
      </w:pPr>
    </w:p>
    <w:p w14:paraId="30C9E874" w14:textId="179CFF9B" w:rsidR="009609D2" w:rsidRPr="009609D2" w:rsidRDefault="009609D2" w:rsidP="009609D2">
      <w:pPr>
        <w:rPr>
          <w:rFonts w:ascii="Goudy Old Style" w:hAnsi="Goudy Old Style"/>
          <w:color w:val="000000"/>
          <w:sz w:val="18"/>
          <w:szCs w:val="18"/>
          <w:shd w:val="clear" w:color="auto" w:fill="FFFFFF"/>
        </w:rPr>
      </w:pPr>
      <w:r w:rsidRPr="009609D2">
        <w:rPr>
          <w:rFonts w:ascii="Goudy Old Style" w:hAnsi="Goudy Old Style"/>
          <w:b/>
          <w:color w:val="000000"/>
          <w:sz w:val="18"/>
          <w:szCs w:val="18"/>
          <w:shd w:val="clear" w:color="auto" w:fill="FFFFFF"/>
        </w:rPr>
        <w:t>Table 1</w:t>
      </w:r>
      <w:r w:rsidRPr="009609D2">
        <w:rPr>
          <w:rFonts w:ascii="Goudy Old Style" w:hAnsi="Goudy Old Style"/>
          <w:color w:val="000000"/>
          <w:sz w:val="18"/>
          <w:szCs w:val="18"/>
          <w:shd w:val="clear" w:color="auto" w:fill="FFFFFF"/>
        </w:rPr>
        <w:t xml:space="preserve">. </w:t>
      </w:r>
      <w:r w:rsidRPr="009609D2">
        <w:rPr>
          <w:rFonts w:ascii="Goudy Old Style" w:hAnsi="Goudy Old Style"/>
          <w:bCs/>
          <w:color w:val="000000"/>
          <w:sz w:val="18"/>
          <w:szCs w:val="18"/>
          <w:shd w:val="clear" w:color="auto" w:fill="FFFFFF"/>
        </w:rPr>
        <w:t>Case-1 d-dimer progression after used enoxaparin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480"/>
        <w:gridCol w:w="1506"/>
        <w:gridCol w:w="1506"/>
        <w:gridCol w:w="1577"/>
        <w:gridCol w:w="1346"/>
      </w:tblGrid>
      <w:tr w:rsidR="00DE7DBC" w:rsidRPr="009609D2" w14:paraId="5F236678" w14:textId="77777777" w:rsidTr="00DE7DBC">
        <w:tc>
          <w:tcPr>
            <w:tcW w:w="1656" w:type="dxa"/>
            <w:tcBorders>
              <w:top w:val="single" w:sz="4" w:space="0" w:color="auto"/>
            </w:tcBorders>
          </w:tcPr>
          <w:p w14:paraId="70217B00" w14:textId="77777777" w:rsidR="00DE7DBC" w:rsidRPr="009609D2" w:rsidRDefault="00DE7DBC" w:rsidP="00DE7DBC">
            <w:pPr>
              <w:ind w:firstLine="426"/>
              <w:jc w:val="both"/>
              <w:rPr>
                <w:rFonts w:ascii="Goudy Old Style" w:hAnsi="Goudy Old Style"/>
                <w:bCs/>
                <w:color w:val="000000"/>
                <w:sz w:val="18"/>
                <w:szCs w:val="18"/>
                <w:shd w:val="clear" w:color="auto" w:fill="FFFFFF"/>
              </w:rPr>
            </w:pPr>
          </w:p>
        </w:tc>
        <w:tc>
          <w:tcPr>
            <w:tcW w:w="7415" w:type="dxa"/>
            <w:gridSpan w:val="5"/>
            <w:tcBorders>
              <w:top w:val="single" w:sz="4" w:space="0" w:color="auto"/>
            </w:tcBorders>
          </w:tcPr>
          <w:p w14:paraId="4F788F6F" w14:textId="23811F73" w:rsidR="00DE7DBC" w:rsidRPr="009609D2" w:rsidRDefault="00DE7DBC" w:rsidP="00DE7DBC">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 xml:space="preserve">Day </w:t>
            </w:r>
            <w:r w:rsidR="009609D2" w:rsidRPr="009609D2">
              <w:rPr>
                <w:rFonts w:ascii="Goudy Old Style" w:hAnsi="Goudy Old Style"/>
                <w:b/>
                <w:bCs/>
                <w:color w:val="000000"/>
                <w:sz w:val="18"/>
                <w:szCs w:val="18"/>
                <w:shd w:val="clear" w:color="auto" w:fill="FFFFFF"/>
              </w:rPr>
              <w:t>Used Enoxaparin</w:t>
            </w:r>
          </w:p>
        </w:tc>
      </w:tr>
      <w:tr w:rsidR="00DE7DBC" w:rsidRPr="009609D2" w14:paraId="5B42581A" w14:textId="77777777" w:rsidTr="00DE7DBC">
        <w:tc>
          <w:tcPr>
            <w:tcW w:w="1656" w:type="dxa"/>
            <w:tcBorders>
              <w:bottom w:val="single" w:sz="4" w:space="0" w:color="auto"/>
            </w:tcBorders>
          </w:tcPr>
          <w:p w14:paraId="6C1EFEEE" w14:textId="77777777" w:rsidR="00DE7DBC" w:rsidRPr="009609D2" w:rsidRDefault="00DE7DBC" w:rsidP="00DE7DBC">
            <w:pPr>
              <w:ind w:firstLine="426"/>
              <w:jc w:val="both"/>
              <w:rPr>
                <w:rFonts w:ascii="Goudy Old Style" w:hAnsi="Goudy Old Style"/>
                <w:bCs/>
                <w:color w:val="000000"/>
                <w:sz w:val="18"/>
                <w:szCs w:val="18"/>
                <w:shd w:val="clear" w:color="auto" w:fill="FFFFFF"/>
              </w:rPr>
            </w:pPr>
          </w:p>
        </w:tc>
        <w:tc>
          <w:tcPr>
            <w:tcW w:w="1480" w:type="dxa"/>
            <w:tcBorders>
              <w:bottom w:val="single" w:sz="4" w:space="0" w:color="auto"/>
            </w:tcBorders>
          </w:tcPr>
          <w:p w14:paraId="7C26DB88" w14:textId="77777777" w:rsidR="00DE7DBC" w:rsidRPr="009609D2" w:rsidRDefault="00DE7DBC" w:rsidP="000E1B0A">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Day-1</w:t>
            </w:r>
          </w:p>
        </w:tc>
        <w:tc>
          <w:tcPr>
            <w:tcW w:w="1506" w:type="dxa"/>
            <w:tcBorders>
              <w:bottom w:val="single" w:sz="4" w:space="0" w:color="auto"/>
            </w:tcBorders>
          </w:tcPr>
          <w:p w14:paraId="79C0DFF9" w14:textId="77777777" w:rsidR="00DE7DBC" w:rsidRPr="009609D2" w:rsidRDefault="00DE7DBC" w:rsidP="000E1B0A">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Day-3</w:t>
            </w:r>
          </w:p>
        </w:tc>
        <w:tc>
          <w:tcPr>
            <w:tcW w:w="1506" w:type="dxa"/>
            <w:tcBorders>
              <w:bottom w:val="single" w:sz="4" w:space="0" w:color="auto"/>
            </w:tcBorders>
          </w:tcPr>
          <w:p w14:paraId="775D3F20" w14:textId="77777777" w:rsidR="00DE7DBC" w:rsidRPr="009609D2" w:rsidRDefault="00DE7DBC" w:rsidP="000E1B0A">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Day-4</w:t>
            </w:r>
          </w:p>
        </w:tc>
        <w:tc>
          <w:tcPr>
            <w:tcW w:w="1577" w:type="dxa"/>
            <w:tcBorders>
              <w:bottom w:val="single" w:sz="4" w:space="0" w:color="auto"/>
            </w:tcBorders>
          </w:tcPr>
          <w:p w14:paraId="4F4BAF93" w14:textId="77777777" w:rsidR="00DE7DBC" w:rsidRPr="009609D2" w:rsidRDefault="00DE7DBC" w:rsidP="000E1B0A">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Day-6</w:t>
            </w:r>
          </w:p>
        </w:tc>
        <w:tc>
          <w:tcPr>
            <w:tcW w:w="1346" w:type="dxa"/>
            <w:tcBorders>
              <w:bottom w:val="single" w:sz="4" w:space="0" w:color="auto"/>
            </w:tcBorders>
          </w:tcPr>
          <w:p w14:paraId="259B8B79" w14:textId="77777777" w:rsidR="00DE7DBC" w:rsidRPr="009609D2" w:rsidRDefault="00DE7DBC" w:rsidP="000E1B0A">
            <w:pPr>
              <w:ind w:firstLine="426"/>
              <w:jc w:val="cente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Day-9</w:t>
            </w:r>
          </w:p>
        </w:tc>
      </w:tr>
      <w:tr w:rsidR="00DE7DBC" w:rsidRPr="009609D2" w14:paraId="2AEF74E5" w14:textId="77777777" w:rsidTr="00DE7DBC">
        <w:tc>
          <w:tcPr>
            <w:tcW w:w="1656" w:type="dxa"/>
            <w:tcBorders>
              <w:top w:val="single" w:sz="4" w:space="0" w:color="auto"/>
            </w:tcBorders>
          </w:tcPr>
          <w:p w14:paraId="1B3AD1A9" w14:textId="77777777" w:rsidR="00DE7DBC" w:rsidRPr="009609D2" w:rsidRDefault="00DE7DBC" w:rsidP="009609D2">
            <w:pPr>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D-dimer (</w:t>
            </w:r>
            <w:bookmarkStart w:id="1" w:name="_Hlk57539390"/>
            <w:r w:rsidRPr="009609D2">
              <w:rPr>
                <w:rFonts w:ascii="Goudy Old Style" w:hAnsi="Goudy Old Style"/>
                <w:b/>
                <w:bCs/>
                <w:color w:val="000000"/>
                <w:sz w:val="18"/>
                <w:szCs w:val="18"/>
                <w:shd w:val="clear" w:color="auto" w:fill="FFFFFF"/>
              </w:rPr>
              <w:t>µg/dl</w:t>
            </w:r>
            <w:bookmarkEnd w:id="1"/>
            <w:r w:rsidRPr="009609D2">
              <w:rPr>
                <w:rFonts w:ascii="Goudy Old Style" w:hAnsi="Goudy Old Style"/>
                <w:b/>
                <w:bCs/>
                <w:color w:val="000000"/>
                <w:sz w:val="18"/>
                <w:szCs w:val="18"/>
                <w:shd w:val="clear" w:color="auto" w:fill="FFFFFF"/>
              </w:rPr>
              <w:t>)</w:t>
            </w:r>
          </w:p>
        </w:tc>
        <w:tc>
          <w:tcPr>
            <w:tcW w:w="1480" w:type="dxa"/>
            <w:tcBorders>
              <w:top w:val="single" w:sz="4" w:space="0" w:color="auto"/>
            </w:tcBorders>
          </w:tcPr>
          <w:p w14:paraId="3A8A0FAB"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1.08</w:t>
            </w:r>
          </w:p>
        </w:tc>
        <w:tc>
          <w:tcPr>
            <w:tcW w:w="1506" w:type="dxa"/>
            <w:tcBorders>
              <w:top w:val="single" w:sz="4" w:space="0" w:color="auto"/>
            </w:tcBorders>
          </w:tcPr>
          <w:p w14:paraId="5D87F3B4"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0.91</w:t>
            </w:r>
          </w:p>
        </w:tc>
        <w:tc>
          <w:tcPr>
            <w:tcW w:w="1506" w:type="dxa"/>
            <w:tcBorders>
              <w:top w:val="single" w:sz="4" w:space="0" w:color="auto"/>
            </w:tcBorders>
          </w:tcPr>
          <w:p w14:paraId="439D1F66"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0.63</w:t>
            </w:r>
          </w:p>
        </w:tc>
        <w:tc>
          <w:tcPr>
            <w:tcW w:w="1577" w:type="dxa"/>
            <w:tcBorders>
              <w:top w:val="single" w:sz="4" w:space="0" w:color="auto"/>
            </w:tcBorders>
          </w:tcPr>
          <w:p w14:paraId="7DCA722E"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0.61</w:t>
            </w:r>
          </w:p>
        </w:tc>
        <w:tc>
          <w:tcPr>
            <w:tcW w:w="1346" w:type="dxa"/>
            <w:tcBorders>
              <w:top w:val="single" w:sz="4" w:space="0" w:color="auto"/>
            </w:tcBorders>
          </w:tcPr>
          <w:p w14:paraId="5A8B3EA7"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0.38</w:t>
            </w:r>
          </w:p>
        </w:tc>
      </w:tr>
      <w:tr w:rsidR="00DE7DBC" w:rsidRPr="009609D2" w14:paraId="1EF7654F" w14:textId="77777777" w:rsidTr="00DE7DBC">
        <w:tc>
          <w:tcPr>
            <w:tcW w:w="1656" w:type="dxa"/>
            <w:tcBorders>
              <w:bottom w:val="single" w:sz="4" w:space="0" w:color="auto"/>
            </w:tcBorders>
          </w:tcPr>
          <w:p w14:paraId="3F644211" w14:textId="77777777" w:rsidR="00DE7DBC" w:rsidRPr="009609D2" w:rsidRDefault="00DE7DBC" w:rsidP="009609D2">
            <w:pPr>
              <w:ind w:firstLine="426"/>
              <w:rPr>
                <w:rFonts w:ascii="Goudy Old Style" w:hAnsi="Goudy Old Style"/>
                <w:b/>
                <w:bCs/>
                <w:color w:val="000000"/>
                <w:sz w:val="18"/>
                <w:szCs w:val="18"/>
                <w:shd w:val="clear" w:color="auto" w:fill="FFFFFF"/>
              </w:rPr>
            </w:pPr>
            <w:r w:rsidRPr="009609D2">
              <w:rPr>
                <w:rFonts w:ascii="Goudy Old Style" w:hAnsi="Goudy Old Style"/>
                <w:b/>
                <w:bCs/>
                <w:color w:val="000000"/>
                <w:sz w:val="18"/>
                <w:szCs w:val="18"/>
                <w:shd w:val="clear" w:color="auto" w:fill="FFFFFF"/>
              </w:rPr>
              <w:t>Dosage</w:t>
            </w:r>
          </w:p>
        </w:tc>
        <w:tc>
          <w:tcPr>
            <w:tcW w:w="1480" w:type="dxa"/>
            <w:tcBorders>
              <w:bottom w:val="single" w:sz="4" w:space="0" w:color="auto"/>
            </w:tcBorders>
          </w:tcPr>
          <w:p w14:paraId="04476DF5"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0.4ml/24h</w:t>
            </w:r>
          </w:p>
        </w:tc>
        <w:tc>
          <w:tcPr>
            <w:tcW w:w="1506" w:type="dxa"/>
            <w:tcBorders>
              <w:bottom w:val="single" w:sz="4" w:space="0" w:color="auto"/>
            </w:tcBorders>
          </w:tcPr>
          <w:p w14:paraId="4351F312"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0.4ml/24h</w:t>
            </w:r>
          </w:p>
        </w:tc>
        <w:tc>
          <w:tcPr>
            <w:tcW w:w="1506" w:type="dxa"/>
            <w:tcBorders>
              <w:bottom w:val="single" w:sz="4" w:space="0" w:color="auto"/>
            </w:tcBorders>
          </w:tcPr>
          <w:p w14:paraId="39E6D3AE"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0.4ml/24h</w:t>
            </w:r>
          </w:p>
        </w:tc>
        <w:tc>
          <w:tcPr>
            <w:tcW w:w="1577" w:type="dxa"/>
            <w:tcBorders>
              <w:bottom w:val="single" w:sz="4" w:space="0" w:color="auto"/>
            </w:tcBorders>
          </w:tcPr>
          <w:p w14:paraId="67538164" w14:textId="77777777" w:rsidR="00DE7DBC" w:rsidRPr="009609D2" w:rsidRDefault="00DE7DBC"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0.4ml/24h</w:t>
            </w:r>
          </w:p>
        </w:tc>
        <w:tc>
          <w:tcPr>
            <w:tcW w:w="1346" w:type="dxa"/>
            <w:tcBorders>
              <w:bottom w:val="single" w:sz="4" w:space="0" w:color="auto"/>
            </w:tcBorders>
          </w:tcPr>
          <w:p w14:paraId="0997C89A" w14:textId="21646756" w:rsidR="00DE7DBC" w:rsidRPr="009609D2" w:rsidRDefault="00554522" w:rsidP="000E1B0A">
            <w:pPr>
              <w:ind w:firstLine="426"/>
              <w:jc w:val="center"/>
              <w:rPr>
                <w:rFonts w:ascii="Goudy Old Style" w:hAnsi="Goudy Old Style"/>
                <w:bCs/>
                <w:color w:val="000000"/>
                <w:sz w:val="18"/>
                <w:szCs w:val="18"/>
                <w:shd w:val="clear" w:color="auto" w:fill="FFFFFF"/>
              </w:rPr>
            </w:pPr>
            <w:r w:rsidRPr="009609D2">
              <w:rPr>
                <w:rFonts w:ascii="Goudy Old Style" w:hAnsi="Goudy Old Style"/>
                <w:bCs/>
                <w:color w:val="000000"/>
                <w:sz w:val="18"/>
                <w:szCs w:val="18"/>
                <w:shd w:val="clear" w:color="auto" w:fill="FFFFFF"/>
              </w:rPr>
              <w:t>S</w:t>
            </w:r>
            <w:r w:rsidR="00DE7DBC" w:rsidRPr="009609D2">
              <w:rPr>
                <w:rFonts w:ascii="Goudy Old Style" w:hAnsi="Goudy Old Style"/>
                <w:bCs/>
                <w:color w:val="000000"/>
                <w:sz w:val="18"/>
                <w:szCs w:val="18"/>
                <w:shd w:val="clear" w:color="auto" w:fill="FFFFFF"/>
              </w:rPr>
              <w:t>top</w:t>
            </w:r>
          </w:p>
        </w:tc>
      </w:tr>
    </w:tbl>
    <w:p w14:paraId="69CFED6E" w14:textId="77777777" w:rsidR="000115DA" w:rsidRDefault="000115DA" w:rsidP="007058FC">
      <w:pPr>
        <w:jc w:val="both"/>
        <w:rPr>
          <w:rFonts w:ascii="Candara" w:hAnsi="Candara"/>
          <w:b/>
          <w:bCs/>
          <w:sz w:val="20"/>
          <w:szCs w:val="20"/>
        </w:rPr>
      </w:pPr>
    </w:p>
    <w:p w14:paraId="68D47D55" w14:textId="1387F033" w:rsidR="00991555" w:rsidRPr="00991555" w:rsidRDefault="00991555" w:rsidP="00991555">
      <w:pPr>
        <w:jc w:val="both"/>
        <w:rPr>
          <w:rFonts w:ascii="Candara" w:hAnsi="Candara"/>
          <w:b/>
          <w:bCs/>
          <w:sz w:val="20"/>
          <w:szCs w:val="20"/>
        </w:rPr>
      </w:pPr>
      <w:r w:rsidRPr="00991555">
        <w:rPr>
          <w:rFonts w:ascii="Candara" w:hAnsi="Candara"/>
          <w:b/>
          <w:bCs/>
          <w:sz w:val="20"/>
          <w:szCs w:val="20"/>
          <w:lang w:val="id-ID"/>
        </w:rPr>
        <w:t>CASE</w:t>
      </w:r>
      <w:r>
        <w:rPr>
          <w:rFonts w:ascii="Candara" w:hAnsi="Candara"/>
          <w:b/>
          <w:bCs/>
          <w:sz w:val="20"/>
          <w:szCs w:val="20"/>
        </w:rPr>
        <w:t xml:space="preserve"> 2</w:t>
      </w:r>
    </w:p>
    <w:p w14:paraId="3AD9270E" w14:textId="77777777" w:rsidR="00991555" w:rsidRPr="00991555" w:rsidRDefault="00991555" w:rsidP="00991555">
      <w:pPr>
        <w:jc w:val="both"/>
        <w:rPr>
          <w:rFonts w:ascii="Candara" w:hAnsi="Candara"/>
          <w:b/>
          <w:bCs/>
          <w:sz w:val="20"/>
          <w:szCs w:val="20"/>
        </w:rPr>
      </w:pPr>
    </w:p>
    <w:p w14:paraId="47AF54F1" w14:textId="75A1A5C9" w:rsidR="00991555" w:rsidRPr="009E0050" w:rsidRDefault="00991555" w:rsidP="007058FC">
      <w:pPr>
        <w:jc w:val="both"/>
        <w:rPr>
          <w:rFonts w:ascii="Candara" w:hAnsi="Candara"/>
          <w:bCs/>
          <w:sz w:val="20"/>
          <w:szCs w:val="20"/>
        </w:rPr>
      </w:pPr>
      <w:r>
        <w:rPr>
          <w:rFonts w:ascii="Candara" w:hAnsi="Candara"/>
          <w:bCs/>
          <w:sz w:val="20"/>
          <w:szCs w:val="20"/>
        </w:rPr>
        <w:t xml:space="preserve">       </w:t>
      </w:r>
      <w:r w:rsidR="00046522" w:rsidRPr="00046522">
        <w:rPr>
          <w:rFonts w:ascii="Candara" w:hAnsi="Candara"/>
          <w:bCs/>
          <w:sz w:val="20"/>
          <w:szCs w:val="20"/>
        </w:rPr>
        <w:t>Mr. B, 35 years, complain</w:t>
      </w:r>
      <w:r w:rsidR="005A18BE">
        <w:rPr>
          <w:rFonts w:ascii="Candara" w:hAnsi="Candara"/>
          <w:bCs/>
          <w:sz w:val="20"/>
          <w:szCs w:val="20"/>
        </w:rPr>
        <w:t>ed</w:t>
      </w:r>
      <w:r w:rsidR="00046522" w:rsidRPr="00046522">
        <w:rPr>
          <w:rFonts w:ascii="Candara" w:hAnsi="Candara"/>
          <w:bCs/>
          <w:sz w:val="20"/>
          <w:szCs w:val="20"/>
        </w:rPr>
        <w:t xml:space="preserve"> of shortness of breath </w:t>
      </w:r>
      <w:r w:rsidR="005A18BE">
        <w:rPr>
          <w:rFonts w:ascii="Candara" w:hAnsi="Candara"/>
          <w:bCs/>
          <w:sz w:val="20"/>
          <w:szCs w:val="20"/>
        </w:rPr>
        <w:t>for</w:t>
      </w:r>
      <w:r w:rsidR="00046522" w:rsidRPr="00046522">
        <w:rPr>
          <w:rFonts w:ascii="Candara" w:hAnsi="Candara"/>
          <w:bCs/>
          <w:sz w:val="20"/>
          <w:szCs w:val="20"/>
        </w:rPr>
        <w:t xml:space="preserve"> 3 days preceded by cough and fever. There is no previous history of other diseases. </w:t>
      </w:r>
      <w:r w:rsidR="00046522">
        <w:rPr>
          <w:rFonts w:ascii="Candara" w:hAnsi="Candara"/>
          <w:bCs/>
          <w:sz w:val="20"/>
          <w:szCs w:val="20"/>
          <w:lang w:val="id-ID"/>
        </w:rPr>
        <w:t xml:space="preserve">Mr. B confirmed </w:t>
      </w:r>
      <w:r w:rsidR="00E30904">
        <w:rPr>
          <w:rFonts w:ascii="Candara" w:hAnsi="Candara"/>
          <w:bCs/>
          <w:sz w:val="20"/>
          <w:szCs w:val="20"/>
        </w:rPr>
        <w:t>COVID-19</w:t>
      </w:r>
      <w:r w:rsidR="00046522" w:rsidRPr="00046522">
        <w:rPr>
          <w:rFonts w:ascii="Candara" w:hAnsi="Candara"/>
          <w:bCs/>
          <w:sz w:val="20"/>
          <w:szCs w:val="20"/>
        </w:rPr>
        <w:t xml:space="preserve"> from </w:t>
      </w:r>
      <w:r w:rsidR="009A60B4">
        <w:rPr>
          <w:rFonts w:ascii="Candara" w:hAnsi="Candara"/>
          <w:bCs/>
          <w:sz w:val="20"/>
          <w:szCs w:val="20"/>
          <w:lang w:val="id-ID"/>
        </w:rPr>
        <w:t xml:space="preserve">positive </w:t>
      </w:r>
      <w:r w:rsidR="00E77974">
        <w:rPr>
          <w:rFonts w:ascii="Candara" w:hAnsi="Candara"/>
          <w:bCs/>
          <w:sz w:val="20"/>
          <w:szCs w:val="20"/>
          <w:lang w:val="id-ID"/>
        </w:rPr>
        <w:t>RT-</w:t>
      </w:r>
      <w:r w:rsidR="00046522" w:rsidRPr="00046522">
        <w:rPr>
          <w:rFonts w:ascii="Candara" w:hAnsi="Candara"/>
          <w:bCs/>
          <w:sz w:val="20"/>
          <w:szCs w:val="20"/>
        </w:rPr>
        <w:t xml:space="preserve">PCR </w:t>
      </w:r>
      <w:r w:rsidR="009A60B4">
        <w:rPr>
          <w:rFonts w:ascii="Candara" w:hAnsi="Candara"/>
          <w:bCs/>
          <w:sz w:val="20"/>
          <w:szCs w:val="20"/>
          <w:lang w:val="id-ID"/>
        </w:rPr>
        <w:t xml:space="preserve">nasopharyngeal swab </w:t>
      </w:r>
      <w:r w:rsidR="00046522">
        <w:rPr>
          <w:rFonts w:ascii="Candara" w:hAnsi="Candara"/>
          <w:bCs/>
          <w:sz w:val="20"/>
          <w:szCs w:val="20"/>
          <w:lang w:val="id-ID"/>
        </w:rPr>
        <w:t xml:space="preserve">with </w:t>
      </w:r>
      <w:r w:rsidR="00046522" w:rsidRPr="00046522">
        <w:rPr>
          <w:rFonts w:ascii="Candara" w:hAnsi="Candara"/>
          <w:bCs/>
          <w:sz w:val="20"/>
          <w:szCs w:val="20"/>
        </w:rPr>
        <w:t xml:space="preserve">chest X-ray </w:t>
      </w:r>
      <w:r w:rsidR="00046522">
        <w:rPr>
          <w:rFonts w:ascii="Candara" w:hAnsi="Candara"/>
          <w:bCs/>
          <w:sz w:val="20"/>
          <w:szCs w:val="20"/>
          <w:lang w:val="id-ID"/>
        </w:rPr>
        <w:t xml:space="preserve">bilateral </w:t>
      </w:r>
      <w:r w:rsidR="00046522" w:rsidRPr="00046522">
        <w:rPr>
          <w:rFonts w:ascii="Candara" w:hAnsi="Candara"/>
          <w:bCs/>
          <w:sz w:val="20"/>
          <w:szCs w:val="20"/>
        </w:rPr>
        <w:t>pneumonia especially right. The clinical symptom</w:t>
      </w:r>
      <w:r w:rsidR="00046522">
        <w:rPr>
          <w:rFonts w:ascii="Candara" w:hAnsi="Candara"/>
          <w:bCs/>
          <w:sz w:val="20"/>
          <w:szCs w:val="20"/>
          <w:lang w:val="id-ID"/>
        </w:rPr>
        <w:t xml:space="preserve">s </w:t>
      </w:r>
      <w:r w:rsidR="00046522" w:rsidRPr="00046522">
        <w:rPr>
          <w:rFonts w:ascii="Candara" w:hAnsi="Candara"/>
          <w:bCs/>
          <w:sz w:val="20"/>
          <w:szCs w:val="20"/>
        </w:rPr>
        <w:t xml:space="preserve">were moderate severity with </w:t>
      </w:r>
      <w:r w:rsidR="005A18BE">
        <w:rPr>
          <w:rFonts w:ascii="Candara" w:hAnsi="Candara"/>
          <w:bCs/>
          <w:sz w:val="20"/>
          <w:szCs w:val="20"/>
        </w:rPr>
        <w:t xml:space="preserve">a </w:t>
      </w:r>
      <w:r w:rsidR="00046522" w:rsidRPr="00046522">
        <w:rPr>
          <w:rFonts w:ascii="Candara" w:hAnsi="Candara"/>
          <w:bCs/>
          <w:sz w:val="20"/>
          <w:szCs w:val="20"/>
        </w:rPr>
        <w:t xml:space="preserve">d-dimer result </w:t>
      </w:r>
      <w:r w:rsidR="005A18BE">
        <w:rPr>
          <w:rFonts w:ascii="Candara" w:hAnsi="Candara"/>
          <w:bCs/>
          <w:sz w:val="20"/>
          <w:szCs w:val="20"/>
        </w:rPr>
        <w:t xml:space="preserve">of </w:t>
      </w:r>
      <w:r w:rsidR="00046522" w:rsidRPr="00046522">
        <w:rPr>
          <w:rFonts w:ascii="Candara" w:hAnsi="Candara"/>
          <w:bCs/>
          <w:sz w:val="20"/>
          <w:szCs w:val="20"/>
        </w:rPr>
        <w:t>1.29</w:t>
      </w:r>
      <w:r w:rsidR="00046522" w:rsidRPr="00046522">
        <w:t xml:space="preserve"> </w:t>
      </w:r>
      <w:r w:rsidR="00046522" w:rsidRPr="00046522">
        <w:rPr>
          <w:rFonts w:ascii="Candara" w:hAnsi="Candara"/>
          <w:bCs/>
          <w:sz w:val="20"/>
          <w:szCs w:val="20"/>
        </w:rPr>
        <w:t>µg/dl</w:t>
      </w:r>
      <w:r w:rsidR="009A60B4">
        <w:rPr>
          <w:rFonts w:ascii="Candara" w:hAnsi="Candara"/>
          <w:bCs/>
          <w:sz w:val="20"/>
          <w:szCs w:val="20"/>
          <w:lang w:val="id-ID"/>
        </w:rPr>
        <w:t xml:space="preserve"> </w:t>
      </w:r>
      <w:r w:rsidR="00046522" w:rsidRPr="00046522">
        <w:rPr>
          <w:rFonts w:ascii="Candara" w:hAnsi="Candara"/>
          <w:bCs/>
          <w:sz w:val="20"/>
          <w:szCs w:val="20"/>
        </w:rPr>
        <w:t xml:space="preserve">(4.3 times the normal value). </w:t>
      </w:r>
      <w:r w:rsidR="00F01FD2">
        <w:rPr>
          <w:rFonts w:ascii="Candara" w:hAnsi="Candara"/>
          <w:bCs/>
          <w:sz w:val="20"/>
          <w:szCs w:val="20"/>
        </w:rPr>
        <w:t>The p</w:t>
      </w:r>
      <w:r w:rsidR="00046522" w:rsidRPr="00046522">
        <w:rPr>
          <w:rFonts w:ascii="Candara" w:hAnsi="Candara"/>
          <w:bCs/>
          <w:sz w:val="20"/>
          <w:szCs w:val="20"/>
        </w:rPr>
        <w:t xml:space="preserve">atient </w:t>
      </w:r>
      <w:r w:rsidR="00F01FD2">
        <w:rPr>
          <w:rFonts w:ascii="Candara" w:hAnsi="Candara"/>
          <w:bCs/>
          <w:sz w:val="20"/>
          <w:szCs w:val="20"/>
        </w:rPr>
        <w:t>has</w:t>
      </w:r>
      <w:r w:rsidR="00046522" w:rsidRPr="00046522">
        <w:rPr>
          <w:rFonts w:ascii="Candara" w:hAnsi="Candara"/>
          <w:bCs/>
          <w:sz w:val="20"/>
          <w:szCs w:val="20"/>
        </w:rPr>
        <w:t xml:space="preserve"> given enoxaparin 0.4 ml per 24 hours. </w:t>
      </w:r>
      <w:r w:rsidR="00F01FD2">
        <w:rPr>
          <w:rFonts w:ascii="Candara" w:hAnsi="Candara"/>
          <w:bCs/>
          <w:sz w:val="20"/>
          <w:szCs w:val="20"/>
        </w:rPr>
        <w:t>The e</w:t>
      </w:r>
      <w:r w:rsidR="00046522" w:rsidRPr="00046522">
        <w:rPr>
          <w:rFonts w:ascii="Candara" w:hAnsi="Candara"/>
          <w:bCs/>
          <w:sz w:val="20"/>
          <w:szCs w:val="20"/>
        </w:rPr>
        <w:t>valuation result of d</w:t>
      </w:r>
      <w:r w:rsidR="00046522">
        <w:rPr>
          <w:rFonts w:ascii="Candara" w:hAnsi="Candara"/>
          <w:bCs/>
          <w:sz w:val="20"/>
          <w:szCs w:val="20"/>
          <w:lang w:val="id-ID"/>
        </w:rPr>
        <w:t>-</w:t>
      </w:r>
      <w:r w:rsidR="00046522" w:rsidRPr="00046522">
        <w:rPr>
          <w:rFonts w:ascii="Candara" w:hAnsi="Candara"/>
          <w:bCs/>
          <w:sz w:val="20"/>
          <w:szCs w:val="20"/>
        </w:rPr>
        <w:t>dimer 2.16</w:t>
      </w:r>
      <w:r w:rsidR="00046522">
        <w:rPr>
          <w:rFonts w:ascii="Candara" w:hAnsi="Candara"/>
          <w:bCs/>
          <w:sz w:val="20"/>
          <w:szCs w:val="20"/>
          <w:lang w:val="id-ID"/>
        </w:rPr>
        <w:t xml:space="preserve"> </w:t>
      </w:r>
      <w:r w:rsidR="00046522" w:rsidRPr="00046522">
        <w:rPr>
          <w:rFonts w:ascii="Candara" w:hAnsi="Candara"/>
          <w:bCs/>
          <w:sz w:val="20"/>
          <w:szCs w:val="20"/>
          <w:lang w:val="id-ID"/>
        </w:rPr>
        <w:t>µg/dl</w:t>
      </w:r>
      <w:r w:rsidR="00046522" w:rsidRPr="00046522">
        <w:rPr>
          <w:rFonts w:ascii="Candara" w:hAnsi="Candara"/>
          <w:bCs/>
          <w:sz w:val="20"/>
          <w:szCs w:val="20"/>
        </w:rPr>
        <w:t xml:space="preserve"> (day 3 of LMWH) then the dose was increased to 0.4 ml per 12 hours. </w:t>
      </w:r>
      <w:bookmarkStart w:id="2" w:name="_Hlk57548269"/>
      <w:r w:rsidR="00F01FD2">
        <w:rPr>
          <w:rFonts w:ascii="Candara" w:hAnsi="Candara"/>
          <w:bCs/>
          <w:sz w:val="20"/>
          <w:szCs w:val="20"/>
        </w:rPr>
        <w:t xml:space="preserve">The </w:t>
      </w:r>
      <w:proofErr w:type="spellStart"/>
      <w:r w:rsidR="00F01FD2">
        <w:rPr>
          <w:rFonts w:ascii="Candara" w:hAnsi="Candara"/>
          <w:bCs/>
          <w:sz w:val="20"/>
          <w:szCs w:val="20"/>
        </w:rPr>
        <w:t>e</w:t>
      </w:r>
      <w:r w:rsidR="00046522" w:rsidRPr="00046522">
        <w:rPr>
          <w:rFonts w:ascii="Candara" w:hAnsi="Candara"/>
          <w:bCs/>
          <w:sz w:val="20"/>
          <w:szCs w:val="20"/>
        </w:rPr>
        <w:t>valuat</w:t>
      </w:r>
      <w:proofErr w:type="spellEnd"/>
      <w:r w:rsidR="00554522">
        <w:rPr>
          <w:rFonts w:ascii="Candara" w:hAnsi="Candara"/>
          <w:bCs/>
          <w:sz w:val="20"/>
          <w:szCs w:val="20"/>
          <w:lang w:val="id-ID"/>
        </w:rPr>
        <w:t>ion result</w:t>
      </w:r>
      <w:r w:rsidR="00E20143">
        <w:rPr>
          <w:rFonts w:ascii="Candara" w:hAnsi="Candara"/>
          <w:bCs/>
          <w:sz w:val="20"/>
          <w:szCs w:val="20"/>
          <w:lang w:val="id-ID"/>
        </w:rPr>
        <w:t xml:space="preserve"> </w:t>
      </w:r>
      <w:r w:rsidR="00554522">
        <w:rPr>
          <w:rFonts w:ascii="Candara" w:hAnsi="Candara"/>
          <w:bCs/>
          <w:sz w:val="20"/>
          <w:szCs w:val="20"/>
          <w:lang w:val="id-ID"/>
        </w:rPr>
        <w:t>of</w:t>
      </w:r>
      <w:r w:rsidR="00046522" w:rsidRPr="00046522">
        <w:rPr>
          <w:rFonts w:ascii="Candara" w:hAnsi="Candara"/>
          <w:bCs/>
          <w:sz w:val="20"/>
          <w:szCs w:val="20"/>
        </w:rPr>
        <w:t xml:space="preserve"> d</w:t>
      </w:r>
      <w:r w:rsidR="00450F25">
        <w:rPr>
          <w:rFonts w:ascii="Candara" w:hAnsi="Candara"/>
          <w:bCs/>
          <w:sz w:val="20"/>
          <w:szCs w:val="20"/>
          <w:lang w:val="id-ID"/>
        </w:rPr>
        <w:t>-</w:t>
      </w:r>
      <w:r w:rsidR="00046522" w:rsidRPr="00046522">
        <w:rPr>
          <w:rFonts w:ascii="Candara" w:hAnsi="Candara"/>
          <w:bCs/>
          <w:sz w:val="20"/>
          <w:szCs w:val="20"/>
        </w:rPr>
        <w:t xml:space="preserve">dimer 0.86 </w:t>
      </w:r>
      <w:r w:rsidR="00554522" w:rsidRPr="00554522">
        <w:rPr>
          <w:rFonts w:ascii="Candara" w:hAnsi="Candara"/>
          <w:bCs/>
          <w:sz w:val="20"/>
          <w:szCs w:val="20"/>
        </w:rPr>
        <w:t xml:space="preserve">µg/dl </w:t>
      </w:r>
      <w:r w:rsidR="00046522" w:rsidRPr="00046522">
        <w:rPr>
          <w:rFonts w:ascii="Candara" w:hAnsi="Candara"/>
          <w:bCs/>
          <w:sz w:val="20"/>
          <w:szCs w:val="20"/>
        </w:rPr>
        <w:t xml:space="preserve">(day 5 of LMWH) </w:t>
      </w:r>
      <w:bookmarkEnd w:id="2"/>
      <w:r w:rsidR="00046522" w:rsidRPr="00046522">
        <w:rPr>
          <w:rFonts w:ascii="Candara" w:hAnsi="Candara"/>
          <w:bCs/>
          <w:sz w:val="20"/>
          <w:szCs w:val="20"/>
        </w:rPr>
        <w:t>then reduce</w:t>
      </w:r>
      <w:r w:rsidR="00F01FD2">
        <w:rPr>
          <w:rFonts w:ascii="Candara" w:hAnsi="Candara"/>
          <w:bCs/>
          <w:sz w:val="20"/>
          <w:szCs w:val="20"/>
        </w:rPr>
        <w:t>s</w:t>
      </w:r>
      <w:r w:rsidR="00046522" w:rsidRPr="00046522">
        <w:rPr>
          <w:rFonts w:ascii="Candara" w:hAnsi="Candara"/>
          <w:bCs/>
          <w:sz w:val="20"/>
          <w:szCs w:val="20"/>
        </w:rPr>
        <w:t xml:space="preserve"> the dose to 0.4 ml per 24 hours. </w:t>
      </w:r>
      <w:proofErr w:type="spellStart"/>
      <w:r w:rsidR="00046522" w:rsidRPr="00046522">
        <w:rPr>
          <w:rFonts w:ascii="Candara" w:hAnsi="Candara"/>
          <w:bCs/>
          <w:sz w:val="20"/>
          <w:szCs w:val="20"/>
        </w:rPr>
        <w:t>Evaluat</w:t>
      </w:r>
      <w:proofErr w:type="spellEnd"/>
      <w:r w:rsidR="00554522">
        <w:rPr>
          <w:rFonts w:ascii="Candara" w:hAnsi="Candara"/>
          <w:bCs/>
          <w:sz w:val="20"/>
          <w:szCs w:val="20"/>
          <w:lang w:val="id-ID"/>
        </w:rPr>
        <w:t>ion result</w:t>
      </w:r>
      <w:r w:rsidR="00046522" w:rsidRPr="00046522">
        <w:rPr>
          <w:rFonts w:ascii="Candara" w:hAnsi="Candara"/>
          <w:bCs/>
          <w:sz w:val="20"/>
          <w:szCs w:val="20"/>
        </w:rPr>
        <w:t xml:space="preserve"> d-dimer on day 7 LMWH 0.3 </w:t>
      </w:r>
      <w:r w:rsidR="00554522" w:rsidRPr="00554522">
        <w:rPr>
          <w:rFonts w:ascii="Candara" w:hAnsi="Candara"/>
          <w:bCs/>
          <w:sz w:val="20"/>
          <w:szCs w:val="20"/>
        </w:rPr>
        <w:t xml:space="preserve">µg/dl </w:t>
      </w:r>
      <w:r w:rsidR="00046522" w:rsidRPr="00046522">
        <w:rPr>
          <w:rFonts w:ascii="Candara" w:hAnsi="Candara"/>
          <w:bCs/>
          <w:sz w:val="20"/>
          <w:szCs w:val="20"/>
        </w:rPr>
        <w:t>then stop. The clinical and radiological evaluation results improved</w:t>
      </w:r>
      <w:r w:rsidR="009A60B4">
        <w:rPr>
          <w:rFonts w:ascii="Candara" w:hAnsi="Candara"/>
          <w:bCs/>
          <w:sz w:val="20"/>
          <w:szCs w:val="20"/>
          <w:lang w:val="id-ID"/>
        </w:rPr>
        <w:t>.</w:t>
      </w:r>
      <w:r w:rsidR="00046522" w:rsidRPr="00046522">
        <w:rPr>
          <w:rFonts w:ascii="Candara" w:hAnsi="Candara"/>
          <w:bCs/>
          <w:sz w:val="20"/>
          <w:szCs w:val="20"/>
        </w:rPr>
        <w:t xml:space="preserve"> </w:t>
      </w:r>
    </w:p>
    <w:p w14:paraId="2F2F3EAC" w14:textId="77777777" w:rsidR="00E77974" w:rsidRDefault="00E77974" w:rsidP="007058FC">
      <w:pPr>
        <w:jc w:val="both"/>
        <w:rPr>
          <w:rFonts w:ascii="Candara" w:hAnsi="Candara"/>
          <w:bCs/>
          <w:sz w:val="20"/>
          <w:szCs w:val="20"/>
          <w:lang w:val="id-ID"/>
        </w:rPr>
      </w:pPr>
    </w:p>
    <w:p w14:paraId="2E113EF3" w14:textId="65FA6393" w:rsidR="009609D2" w:rsidRPr="009609D2" w:rsidRDefault="009609D2" w:rsidP="007058FC">
      <w:pPr>
        <w:jc w:val="both"/>
        <w:rPr>
          <w:rFonts w:ascii="Candara" w:hAnsi="Candara"/>
          <w:bCs/>
          <w:sz w:val="20"/>
          <w:szCs w:val="20"/>
          <w:lang w:val="id-ID"/>
        </w:rPr>
      </w:pPr>
      <w:r w:rsidRPr="009609D2">
        <w:rPr>
          <w:rFonts w:ascii="Goudy Old Style" w:hAnsi="Goudy Old Style"/>
          <w:b/>
          <w:color w:val="000000"/>
          <w:sz w:val="18"/>
          <w:szCs w:val="18"/>
          <w:shd w:val="clear" w:color="auto" w:fill="FFFFFF"/>
        </w:rPr>
        <w:t>Table 2</w:t>
      </w:r>
      <w:r w:rsidRPr="009609D2">
        <w:rPr>
          <w:rFonts w:ascii="Goudy Old Style" w:hAnsi="Goudy Old Style"/>
          <w:color w:val="000000"/>
          <w:sz w:val="18"/>
          <w:szCs w:val="18"/>
          <w:shd w:val="clear" w:color="auto" w:fill="FFFFFF"/>
        </w:rPr>
        <w:t xml:space="preserve">. </w:t>
      </w:r>
      <w:r w:rsidRPr="009609D2">
        <w:rPr>
          <w:rFonts w:ascii="Goudy Old Style" w:hAnsi="Goudy Old Style"/>
          <w:bCs/>
          <w:color w:val="000000"/>
          <w:sz w:val="18"/>
          <w:szCs w:val="18"/>
          <w:shd w:val="clear" w:color="auto" w:fill="FFFFFF"/>
        </w:rPr>
        <w:t>Case-2 d-dimer progression after used enoxaparin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991555" w:rsidRPr="00991555" w14:paraId="34D3083B" w14:textId="77777777" w:rsidTr="00A243EB">
        <w:tc>
          <w:tcPr>
            <w:tcW w:w="1803" w:type="dxa"/>
            <w:tcBorders>
              <w:top w:val="single" w:sz="4" w:space="0" w:color="auto"/>
            </w:tcBorders>
          </w:tcPr>
          <w:p w14:paraId="2C5A74A6" w14:textId="77777777" w:rsidR="00991555" w:rsidRPr="009609D2" w:rsidRDefault="00991555" w:rsidP="00991555">
            <w:pPr>
              <w:jc w:val="both"/>
              <w:rPr>
                <w:rFonts w:ascii="Goudy Old Style" w:hAnsi="Goudy Old Style"/>
                <w:bCs/>
                <w:sz w:val="18"/>
                <w:szCs w:val="18"/>
              </w:rPr>
            </w:pPr>
          </w:p>
        </w:tc>
        <w:tc>
          <w:tcPr>
            <w:tcW w:w="7213" w:type="dxa"/>
            <w:gridSpan w:val="4"/>
            <w:tcBorders>
              <w:top w:val="single" w:sz="4" w:space="0" w:color="auto"/>
            </w:tcBorders>
            <w:vAlign w:val="center"/>
          </w:tcPr>
          <w:p w14:paraId="2539C8A4" w14:textId="72E095F2" w:rsidR="00991555" w:rsidRPr="009609D2" w:rsidRDefault="00991555" w:rsidP="00991555">
            <w:pPr>
              <w:jc w:val="center"/>
              <w:rPr>
                <w:rFonts w:ascii="Goudy Old Style" w:hAnsi="Goudy Old Style"/>
                <w:b/>
                <w:bCs/>
                <w:sz w:val="18"/>
                <w:szCs w:val="18"/>
              </w:rPr>
            </w:pPr>
            <w:r w:rsidRPr="009609D2">
              <w:rPr>
                <w:rFonts w:ascii="Goudy Old Style" w:hAnsi="Goudy Old Style"/>
                <w:b/>
                <w:bCs/>
                <w:sz w:val="18"/>
                <w:szCs w:val="18"/>
              </w:rPr>
              <w:t xml:space="preserve">Day </w:t>
            </w:r>
            <w:r w:rsidR="009609D2" w:rsidRPr="009609D2">
              <w:rPr>
                <w:rFonts w:ascii="Goudy Old Style" w:hAnsi="Goudy Old Style"/>
                <w:b/>
                <w:bCs/>
                <w:sz w:val="18"/>
                <w:szCs w:val="18"/>
              </w:rPr>
              <w:t>Used Enoxaparin</w:t>
            </w:r>
          </w:p>
        </w:tc>
      </w:tr>
      <w:tr w:rsidR="00991555" w:rsidRPr="00991555" w14:paraId="1C29F483" w14:textId="77777777" w:rsidTr="00A243EB">
        <w:tc>
          <w:tcPr>
            <w:tcW w:w="1803" w:type="dxa"/>
            <w:tcBorders>
              <w:bottom w:val="single" w:sz="4" w:space="0" w:color="auto"/>
            </w:tcBorders>
          </w:tcPr>
          <w:p w14:paraId="1EEF924E" w14:textId="77777777" w:rsidR="00991555" w:rsidRPr="009609D2" w:rsidRDefault="00991555" w:rsidP="00991555">
            <w:pPr>
              <w:jc w:val="both"/>
              <w:rPr>
                <w:rFonts w:ascii="Goudy Old Style" w:hAnsi="Goudy Old Style"/>
                <w:bCs/>
                <w:sz w:val="18"/>
                <w:szCs w:val="18"/>
              </w:rPr>
            </w:pPr>
          </w:p>
        </w:tc>
        <w:tc>
          <w:tcPr>
            <w:tcW w:w="1803" w:type="dxa"/>
            <w:tcBorders>
              <w:bottom w:val="single" w:sz="4" w:space="0" w:color="auto"/>
            </w:tcBorders>
          </w:tcPr>
          <w:p w14:paraId="67CC9020"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Day-1</w:t>
            </w:r>
          </w:p>
        </w:tc>
        <w:tc>
          <w:tcPr>
            <w:tcW w:w="1803" w:type="dxa"/>
            <w:tcBorders>
              <w:bottom w:val="single" w:sz="4" w:space="0" w:color="auto"/>
            </w:tcBorders>
          </w:tcPr>
          <w:p w14:paraId="2DC21B01"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Day-3</w:t>
            </w:r>
          </w:p>
        </w:tc>
        <w:tc>
          <w:tcPr>
            <w:tcW w:w="1803" w:type="dxa"/>
            <w:tcBorders>
              <w:bottom w:val="single" w:sz="4" w:space="0" w:color="auto"/>
            </w:tcBorders>
          </w:tcPr>
          <w:p w14:paraId="0A92C71D"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Day-5</w:t>
            </w:r>
          </w:p>
        </w:tc>
        <w:tc>
          <w:tcPr>
            <w:tcW w:w="1804" w:type="dxa"/>
            <w:tcBorders>
              <w:bottom w:val="single" w:sz="4" w:space="0" w:color="auto"/>
            </w:tcBorders>
          </w:tcPr>
          <w:p w14:paraId="3BED5D88"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Day-7</w:t>
            </w:r>
          </w:p>
        </w:tc>
      </w:tr>
      <w:tr w:rsidR="00991555" w:rsidRPr="00991555" w14:paraId="0118E1D6" w14:textId="77777777" w:rsidTr="00A243EB">
        <w:tc>
          <w:tcPr>
            <w:tcW w:w="1803" w:type="dxa"/>
            <w:tcBorders>
              <w:top w:val="single" w:sz="4" w:space="0" w:color="auto"/>
            </w:tcBorders>
          </w:tcPr>
          <w:p w14:paraId="109611B8" w14:textId="77777777" w:rsidR="00991555" w:rsidRPr="009609D2" w:rsidRDefault="00991555" w:rsidP="00991555">
            <w:pPr>
              <w:jc w:val="both"/>
              <w:rPr>
                <w:rFonts w:ascii="Goudy Old Style" w:hAnsi="Goudy Old Style"/>
                <w:b/>
                <w:bCs/>
                <w:sz w:val="18"/>
                <w:szCs w:val="18"/>
              </w:rPr>
            </w:pPr>
            <w:r w:rsidRPr="009609D2">
              <w:rPr>
                <w:rFonts w:ascii="Goudy Old Style" w:hAnsi="Goudy Old Style"/>
                <w:b/>
                <w:bCs/>
                <w:sz w:val="18"/>
                <w:szCs w:val="18"/>
              </w:rPr>
              <w:t>D-dimer (</w:t>
            </w:r>
            <w:bookmarkStart w:id="3" w:name="_Hlk57547531"/>
            <w:r w:rsidRPr="009609D2">
              <w:rPr>
                <w:rFonts w:ascii="Goudy Old Style" w:hAnsi="Goudy Old Style"/>
                <w:b/>
                <w:bCs/>
                <w:sz w:val="18"/>
                <w:szCs w:val="18"/>
              </w:rPr>
              <w:t>µg/dl</w:t>
            </w:r>
            <w:bookmarkEnd w:id="3"/>
            <w:r w:rsidRPr="009609D2">
              <w:rPr>
                <w:rFonts w:ascii="Goudy Old Style" w:hAnsi="Goudy Old Style"/>
                <w:b/>
                <w:bCs/>
                <w:sz w:val="18"/>
                <w:szCs w:val="18"/>
              </w:rPr>
              <w:t>)</w:t>
            </w:r>
          </w:p>
        </w:tc>
        <w:tc>
          <w:tcPr>
            <w:tcW w:w="1803" w:type="dxa"/>
            <w:tcBorders>
              <w:top w:val="single" w:sz="4" w:space="0" w:color="auto"/>
            </w:tcBorders>
          </w:tcPr>
          <w:p w14:paraId="6832884C"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1.29</w:t>
            </w:r>
          </w:p>
        </w:tc>
        <w:tc>
          <w:tcPr>
            <w:tcW w:w="1803" w:type="dxa"/>
            <w:tcBorders>
              <w:top w:val="single" w:sz="4" w:space="0" w:color="auto"/>
            </w:tcBorders>
          </w:tcPr>
          <w:p w14:paraId="75A3BE3F"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2.16</w:t>
            </w:r>
          </w:p>
        </w:tc>
        <w:tc>
          <w:tcPr>
            <w:tcW w:w="1803" w:type="dxa"/>
            <w:tcBorders>
              <w:top w:val="single" w:sz="4" w:space="0" w:color="auto"/>
            </w:tcBorders>
          </w:tcPr>
          <w:p w14:paraId="25C673A5"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0.86</w:t>
            </w:r>
          </w:p>
        </w:tc>
        <w:tc>
          <w:tcPr>
            <w:tcW w:w="1804" w:type="dxa"/>
            <w:tcBorders>
              <w:top w:val="single" w:sz="4" w:space="0" w:color="auto"/>
            </w:tcBorders>
          </w:tcPr>
          <w:p w14:paraId="494F450D"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0.3</w:t>
            </w:r>
          </w:p>
        </w:tc>
      </w:tr>
      <w:tr w:rsidR="00991555" w:rsidRPr="00991555" w14:paraId="3019C042" w14:textId="77777777" w:rsidTr="00A243EB">
        <w:tc>
          <w:tcPr>
            <w:tcW w:w="1803" w:type="dxa"/>
            <w:tcBorders>
              <w:bottom w:val="single" w:sz="4" w:space="0" w:color="auto"/>
            </w:tcBorders>
          </w:tcPr>
          <w:p w14:paraId="329C879D" w14:textId="77777777" w:rsidR="00991555" w:rsidRPr="009609D2" w:rsidRDefault="00991555" w:rsidP="00991555">
            <w:pPr>
              <w:jc w:val="both"/>
              <w:rPr>
                <w:rFonts w:ascii="Goudy Old Style" w:hAnsi="Goudy Old Style"/>
                <w:b/>
                <w:bCs/>
                <w:sz w:val="18"/>
                <w:szCs w:val="18"/>
              </w:rPr>
            </w:pPr>
            <w:r w:rsidRPr="009609D2">
              <w:rPr>
                <w:rFonts w:ascii="Goudy Old Style" w:hAnsi="Goudy Old Style"/>
                <w:b/>
                <w:bCs/>
                <w:sz w:val="18"/>
                <w:szCs w:val="18"/>
              </w:rPr>
              <w:t>Dosage</w:t>
            </w:r>
          </w:p>
        </w:tc>
        <w:tc>
          <w:tcPr>
            <w:tcW w:w="1803" w:type="dxa"/>
            <w:tcBorders>
              <w:bottom w:val="single" w:sz="4" w:space="0" w:color="auto"/>
            </w:tcBorders>
          </w:tcPr>
          <w:p w14:paraId="3A0B66B5"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0.4ml/24h</w:t>
            </w:r>
          </w:p>
        </w:tc>
        <w:tc>
          <w:tcPr>
            <w:tcW w:w="1803" w:type="dxa"/>
            <w:tcBorders>
              <w:bottom w:val="single" w:sz="4" w:space="0" w:color="auto"/>
            </w:tcBorders>
          </w:tcPr>
          <w:p w14:paraId="626FF678"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0.4ml/12h</w:t>
            </w:r>
          </w:p>
        </w:tc>
        <w:tc>
          <w:tcPr>
            <w:tcW w:w="1803" w:type="dxa"/>
            <w:tcBorders>
              <w:bottom w:val="single" w:sz="4" w:space="0" w:color="auto"/>
            </w:tcBorders>
          </w:tcPr>
          <w:p w14:paraId="7C4F517A"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0.4ml/24h</w:t>
            </w:r>
          </w:p>
        </w:tc>
        <w:tc>
          <w:tcPr>
            <w:tcW w:w="1804" w:type="dxa"/>
            <w:tcBorders>
              <w:bottom w:val="single" w:sz="4" w:space="0" w:color="auto"/>
            </w:tcBorders>
          </w:tcPr>
          <w:p w14:paraId="09F5A724" w14:textId="6E46F477" w:rsidR="00991555" w:rsidRPr="009609D2" w:rsidRDefault="00E77974" w:rsidP="000E1B0A">
            <w:pPr>
              <w:jc w:val="center"/>
              <w:rPr>
                <w:rFonts w:ascii="Goudy Old Style" w:hAnsi="Goudy Old Style"/>
                <w:bCs/>
                <w:sz w:val="18"/>
                <w:szCs w:val="18"/>
              </w:rPr>
            </w:pPr>
            <w:r w:rsidRPr="009609D2">
              <w:rPr>
                <w:rFonts w:ascii="Goudy Old Style" w:hAnsi="Goudy Old Style"/>
                <w:bCs/>
                <w:sz w:val="18"/>
                <w:szCs w:val="18"/>
              </w:rPr>
              <w:t>S</w:t>
            </w:r>
            <w:r w:rsidR="00991555" w:rsidRPr="009609D2">
              <w:rPr>
                <w:rFonts w:ascii="Goudy Old Style" w:hAnsi="Goudy Old Style"/>
                <w:bCs/>
                <w:sz w:val="18"/>
                <w:szCs w:val="18"/>
              </w:rPr>
              <w:t>top</w:t>
            </w:r>
          </w:p>
        </w:tc>
      </w:tr>
    </w:tbl>
    <w:p w14:paraId="5846BA2D" w14:textId="77777777" w:rsidR="00991555" w:rsidRDefault="00991555" w:rsidP="007058FC">
      <w:pPr>
        <w:jc w:val="both"/>
        <w:rPr>
          <w:rFonts w:ascii="Candara" w:hAnsi="Candara"/>
          <w:b/>
          <w:bCs/>
          <w:sz w:val="20"/>
          <w:szCs w:val="20"/>
        </w:rPr>
      </w:pPr>
    </w:p>
    <w:p w14:paraId="4A1FCF16" w14:textId="77777777" w:rsidR="009A60B4" w:rsidRDefault="009A60B4" w:rsidP="00991555">
      <w:pPr>
        <w:jc w:val="both"/>
        <w:rPr>
          <w:rFonts w:ascii="Candara" w:hAnsi="Candara"/>
          <w:b/>
          <w:bCs/>
          <w:sz w:val="20"/>
          <w:szCs w:val="20"/>
          <w:lang w:val="id-ID"/>
        </w:rPr>
      </w:pPr>
      <w:bookmarkStart w:id="4" w:name="_Hlk57551839"/>
    </w:p>
    <w:p w14:paraId="3800BE2D" w14:textId="089152BD" w:rsidR="00991555" w:rsidRPr="009A60B4" w:rsidRDefault="00991555" w:rsidP="00991555">
      <w:pPr>
        <w:jc w:val="both"/>
        <w:rPr>
          <w:rFonts w:ascii="Candara" w:hAnsi="Candara"/>
          <w:b/>
          <w:bCs/>
          <w:sz w:val="20"/>
          <w:szCs w:val="20"/>
          <w:lang w:val="id-ID"/>
        </w:rPr>
      </w:pPr>
      <w:r w:rsidRPr="00991555">
        <w:rPr>
          <w:rFonts w:ascii="Candara" w:hAnsi="Candara"/>
          <w:b/>
          <w:bCs/>
          <w:sz w:val="20"/>
          <w:szCs w:val="20"/>
          <w:lang w:val="id-ID"/>
        </w:rPr>
        <w:t>CASE</w:t>
      </w:r>
      <w:r>
        <w:rPr>
          <w:rFonts w:ascii="Candara" w:hAnsi="Candara"/>
          <w:b/>
          <w:bCs/>
          <w:sz w:val="20"/>
          <w:szCs w:val="20"/>
        </w:rPr>
        <w:t xml:space="preserve"> </w:t>
      </w:r>
      <w:r w:rsidR="009A60B4">
        <w:rPr>
          <w:rFonts w:ascii="Candara" w:hAnsi="Candara"/>
          <w:b/>
          <w:bCs/>
          <w:sz w:val="20"/>
          <w:szCs w:val="20"/>
          <w:lang w:val="id-ID"/>
        </w:rPr>
        <w:t>3</w:t>
      </w:r>
    </w:p>
    <w:p w14:paraId="0F8C9AF8" w14:textId="77777777" w:rsidR="00991555" w:rsidRPr="00991555" w:rsidRDefault="00991555" w:rsidP="00991555">
      <w:pPr>
        <w:jc w:val="both"/>
        <w:rPr>
          <w:rFonts w:ascii="Candara" w:hAnsi="Candara"/>
          <w:b/>
          <w:bCs/>
          <w:sz w:val="20"/>
          <w:szCs w:val="20"/>
        </w:rPr>
      </w:pPr>
    </w:p>
    <w:p w14:paraId="2021CEAC" w14:textId="351106D0" w:rsidR="00991555" w:rsidRPr="008B19E4" w:rsidRDefault="00991555" w:rsidP="008B19E4">
      <w:pPr>
        <w:jc w:val="both"/>
        <w:rPr>
          <w:rFonts w:ascii="Candara" w:hAnsi="Candara"/>
          <w:b/>
          <w:bCs/>
          <w:sz w:val="20"/>
          <w:szCs w:val="20"/>
          <w:lang w:val="id-ID"/>
        </w:rPr>
      </w:pPr>
      <w:r w:rsidRPr="00991555">
        <w:rPr>
          <w:rFonts w:ascii="Candara" w:hAnsi="Candara"/>
          <w:b/>
          <w:bCs/>
          <w:sz w:val="20"/>
          <w:szCs w:val="20"/>
        </w:rPr>
        <w:t xml:space="preserve">       </w:t>
      </w:r>
      <w:r w:rsidR="00E4036F">
        <w:rPr>
          <w:rFonts w:ascii="Candara" w:hAnsi="Candara"/>
          <w:sz w:val="20"/>
          <w:szCs w:val="20"/>
          <w:lang w:val="id-ID"/>
        </w:rPr>
        <w:t>Mr</w:t>
      </w:r>
      <w:r w:rsidR="00E4036F" w:rsidRPr="00E4036F">
        <w:rPr>
          <w:rFonts w:ascii="Candara" w:hAnsi="Candara"/>
          <w:sz w:val="20"/>
          <w:szCs w:val="20"/>
        </w:rPr>
        <w:t>.</w:t>
      </w:r>
      <w:r w:rsidR="00E4036F">
        <w:rPr>
          <w:rFonts w:ascii="Candara" w:hAnsi="Candara"/>
          <w:sz w:val="20"/>
          <w:szCs w:val="20"/>
          <w:lang w:val="id-ID"/>
        </w:rPr>
        <w:t xml:space="preserve"> D</w:t>
      </w:r>
      <w:r w:rsidR="00E4036F" w:rsidRPr="00E4036F">
        <w:rPr>
          <w:rFonts w:ascii="Candara" w:hAnsi="Candara"/>
          <w:sz w:val="20"/>
          <w:szCs w:val="20"/>
        </w:rPr>
        <w:t xml:space="preserve">, 45 years old, </w:t>
      </w:r>
      <w:r w:rsidR="00012FAA">
        <w:rPr>
          <w:rFonts w:ascii="Candara" w:hAnsi="Candara"/>
          <w:sz w:val="20"/>
          <w:szCs w:val="20"/>
          <w:lang w:val="id-ID"/>
        </w:rPr>
        <w:t>complained of</w:t>
      </w:r>
      <w:r w:rsidR="00012FAA">
        <w:rPr>
          <w:rFonts w:ascii="Candara" w:hAnsi="Candara"/>
          <w:sz w:val="20"/>
          <w:szCs w:val="20"/>
        </w:rPr>
        <w:t xml:space="preserve"> </w:t>
      </w:r>
      <w:r w:rsidR="00E4036F" w:rsidRPr="00E4036F">
        <w:rPr>
          <w:rFonts w:ascii="Candara" w:hAnsi="Candara"/>
          <w:sz w:val="20"/>
          <w:szCs w:val="20"/>
        </w:rPr>
        <w:t xml:space="preserve">shortness of breath </w:t>
      </w:r>
      <w:r w:rsidR="00012FAA">
        <w:rPr>
          <w:rFonts w:ascii="Candara" w:hAnsi="Candara"/>
          <w:sz w:val="20"/>
          <w:szCs w:val="20"/>
        </w:rPr>
        <w:t xml:space="preserve">and cough </w:t>
      </w:r>
      <w:r w:rsidR="00E4036F" w:rsidRPr="00E4036F">
        <w:rPr>
          <w:rFonts w:ascii="Candara" w:hAnsi="Candara"/>
          <w:sz w:val="20"/>
          <w:szCs w:val="20"/>
        </w:rPr>
        <w:t xml:space="preserve">for 3 days. Comorbidities </w:t>
      </w:r>
      <w:r w:rsidR="00E4036F">
        <w:rPr>
          <w:rFonts w:ascii="Candara" w:hAnsi="Candara"/>
          <w:sz w:val="20"/>
          <w:szCs w:val="20"/>
          <w:lang w:val="id-ID"/>
        </w:rPr>
        <w:t>h</w:t>
      </w:r>
      <w:proofErr w:type="spellStart"/>
      <w:r w:rsidR="00E4036F" w:rsidRPr="00E4036F">
        <w:rPr>
          <w:rFonts w:ascii="Candara" w:hAnsi="Candara"/>
          <w:sz w:val="20"/>
          <w:szCs w:val="20"/>
        </w:rPr>
        <w:t>ypertension</w:t>
      </w:r>
      <w:proofErr w:type="spellEnd"/>
      <w:r w:rsidR="000A0177">
        <w:rPr>
          <w:rFonts w:ascii="Candara" w:hAnsi="Candara"/>
          <w:sz w:val="20"/>
          <w:szCs w:val="20"/>
          <w:lang w:val="id-ID"/>
        </w:rPr>
        <w:t xml:space="preserve"> and diabetic ketoacidosis</w:t>
      </w:r>
      <w:r w:rsidR="00E4036F" w:rsidRPr="00E4036F">
        <w:rPr>
          <w:rFonts w:ascii="Candara" w:hAnsi="Candara"/>
          <w:sz w:val="20"/>
          <w:szCs w:val="20"/>
        </w:rPr>
        <w:t xml:space="preserve">. The diagnosis of </w:t>
      </w:r>
      <w:r w:rsidR="00E30904">
        <w:rPr>
          <w:rFonts w:ascii="Candara" w:hAnsi="Candara"/>
          <w:sz w:val="20"/>
          <w:szCs w:val="20"/>
        </w:rPr>
        <w:t>COVID-19</w:t>
      </w:r>
      <w:r w:rsidR="00E4036F" w:rsidRPr="00E4036F">
        <w:rPr>
          <w:rFonts w:ascii="Candara" w:hAnsi="Candara"/>
          <w:sz w:val="20"/>
          <w:szCs w:val="20"/>
        </w:rPr>
        <w:t xml:space="preserve"> was confirmed by </w:t>
      </w:r>
      <w:r w:rsidR="005835A1">
        <w:rPr>
          <w:rFonts w:ascii="Candara" w:hAnsi="Candara"/>
          <w:sz w:val="20"/>
          <w:szCs w:val="20"/>
        </w:rPr>
        <w:t xml:space="preserve">a </w:t>
      </w:r>
      <w:r w:rsidR="009A60B4">
        <w:rPr>
          <w:rFonts w:ascii="Candara" w:hAnsi="Candara"/>
          <w:sz w:val="20"/>
          <w:szCs w:val="20"/>
          <w:lang w:val="id-ID"/>
        </w:rPr>
        <w:t xml:space="preserve">positive </w:t>
      </w:r>
      <w:r w:rsidR="00E4036F" w:rsidRPr="00E4036F">
        <w:rPr>
          <w:rFonts w:ascii="Candara" w:hAnsi="Candara"/>
          <w:sz w:val="20"/>
          <w:szCs w:val="20"/>
        </w:rPr>
        <w:t>RT-PCR nasopharyngeal swab</w:t>
      </w:r>
      <w:r w:rsidR="009A60B4">
        <w:rPr>
          <w:rFonts w:ascii="Candara" w:hAnsi="Candara"/>
          <w:sz w:val="20"/>
          <w:szCs w:val="20"/>
          <w:lang w:val="id-ID"/>
        </w:rPr>
        <w:t xml:space="preserve"> </w:t>
      </w:r>
      <w:r w:rsidR="000A0177">
        <w:rPr>
          <w:rFonts w:ascii="Candara" w:hAnsi="Candara"/>
          <w:sz w:val="20"/>
          <w:szCs w:val="20"/>
          <w:lang w:val="id-ID"/>
        </w:rPr>
        <w:t xml:space="preserve">with chest </w:t>
      </w:r>
      <w:r w:rsidR="00E4036F" w:rsidRPr="00E4036F">
        <w:rPr>
          <w:rFonts w:ascii="Candara" w:hAnsi="Candara"/>
          <w:sz w:val="20"/>
          <w:szCs w:val="20"/>
        </w:rPr>
        <w:t xml:space="preserve">X-ray bronchopneumonia. </w:t>
      </w:r>
      <w:r w:rsidR="00F01FD2">
        <w:rPr>
          <w:rFonts w:ascii="Candara" w:hAnsi="Candara"/>
          <w:sz w:val="20"/>
          <w:szCs w:val="20"/>
        </w:rPr>
        <w:t>The p</w:t>
      </w:r>
      <w:r w:rsidR="00E4036F" w:rsidRPr="00E4036F">
        <w:rPr>
          <w:rFonts w:ascii="Candara" w:hAnsi="Candara"/>
          <w:sz w:val="20"/>
          <w:szCs w:val="20"/>
        </w:rPr>
        <w:t>atient</w:t>
      </w:r>
      <w:r w:rsidR="000A0177">
        <w:rPr>
          <w:rFonts w:ascii="Candara" w:hAnsi="Candara"/>
          <w:sz w:val="20"/>
          <w:szCs w:val="20"/>
          <w:lang w:val="id-ID"/>
        </w:rPr>
        <w:t xml:space="preserve"> had</w:t>
      </w:r>
      <w:r w:rsidR="00E4036F" w:rsidRPr="00E4036F">
        <w:rPr>
          <w:rFonts w:ascii="Candara" w:hAnsi="Candara"/>
          <w:sz w:val="20"/>
          <w:szCs w:val="20"/>
        </w:rPr>
        <w:t xml:space="preserve"> severe clinical symptoms with </w:t>
      </w:r>
      <w:r w:rsidR="005835A1">
        <w:rPr>
          <w:rFonts w:ascii="Candara" w:hAnsi="Candara"/>
          <w:sz w:val="20"/>
          <w:szCs w:val="20"/>
        </w:rPr>
        <w:t xml:space="preserve">a </w:t>
      </w:r>
      <w:r w:rsidR="00E4036F" w:rsidRPr="00E4036F">
        <w:rPr>
          <w:rFonts w:ascii="Candara" w:hAnsi="Candara"/>
          <w:sz w:val="20"/>
          <w:szCs w:val="20"/>
        </w:rPr>
        <w:t>d-dimer result</w:t>
      </w:r>
      <w:r w:rsidR="000A0177">
        <w:rPr>
          <w:rFonts w:ascii="Candara" w:hAnsi="Candara"/>
          <w:sz w:val="20"/>
          <w:szCs w:val="20"/>
          <w:lang w:val="id-ID"/>
        </w:rPr>
        <w:t xml:space="preserve"> </w:t>
      </w:r>
      <w:r w:rsidR="00E4036F" w:rsidRPr="00E4036F">
        <w:rPr>
          <w:rFonts w:ascii="Candara" w:hAnsi="Candara"/>
          <w:sz w:val="20"/>
          <w:szCs w:val="20"/>
        </w:rPr>
        <w:t>&gt; 4.00</w:t>
      </w:r>
      <w:r w:rsidR="000A0177" w:rsidRPr="000A0177">
        <w:t xml:space="preserve"> </w:t>
      </w:r>
      <w:r w:rsidR="000A0177" w:rsidRPr="000A0177">
        <w:rPr>
          <w:rFonts w:ascii="Candara" w:hAnsi="Candara"/>
          <w:sz w:val="20"/>
          <w:szCs w:val="20"/>
        </w:rPr>
        <w:t>µg/dl</w:t>
      </w:r>
      <w:r w:rsidR="00873D69">
        <w:rPr>
          <w:rFonts w:ascii="Candara" w:hAnsi="Candara"/>
          <w:sz w:val="20"/>
          <w:szCs w:val="20"/>
          <w:lang w:val="id-ID"/>
        </w:rPr>
        <w:t xml:space="preserve"> (&gt;13.3 times the normal value)</w:t>
      </w:r>
      <w:r w:rsidR="00E4036F" w:rsidRPr="00E4036F">
        <w:rPr>
          <w:rFonts w:ascii="Candara" w:hAnsi="Candara"/>
          <w:sz w:val="20"/>
          <w:szCs w:val="20"/>
        </w:rPr>
        <w:t xml:space="preserve">. The patient </w:t>
      </w:r>
      <w:r w:rsidR="00F01FD2">
        <w:rPr>
          <w:rFonts w:ascii="Candara" w:hAnsi="Candara"/>
          <w:sz w:val="20"/>
          <w:szCs w:val="20"/>
        </w:rPr>
        <w:t>h</w:t>
      </w:r>
      <w:r w:rsidR="00E4036F" w:rsidRPr="00E4036F">
        <w:rPr>
          <w:rFonts w:ascii="Candara" w:hAnsi="Candara"/>
          <w:sz w:val="20"/>
          <w:szCs w:val="20"/>
        </w:rPr>
        <w:t xml:space="preserve">as given enoxaparin 0.4 ml per 24 hours. </w:t>
      </w:r>
      <w:r w:rsidR="00F01FD2">
        <w:rPr>
          <w:rFonts w:ascii="Candara" w:hAnsi="Candara"/>
          <w:sz w:val="20"/>
          <w:szCs w:val="20"/>
        </w:rPr>
        <w:t>The e</w:t>
      </w:r>
      <w:r w:rsidR="00E4036F" w:rsidRPr="00E4036F">
        <w:rPr>
          <w:rFonts w:ascii="Candara" w:hAnsi="Candara"/>
          <w:sz w:val="20"/>
          <w:szCs w:val="20"/>
        </w:rPr>
        <w:t xml:space="preserve">valuation result of d dimer 3.36 </w:t>
      </w:r>
      <w:r w:rsidR="008B19E4" w:rsidRPr="008B19E4">
        <w:rPr>
          <w:rFonts w:ascii="Candara" w:hAnsi="Candara"/>
          <w:sz w:val="20"/>
          <w:szCs w:val="20"/>
        </w:rPr>
        <w:t xml:space="preserve">µg/dl </w:t>
      </w:r>
      <w:r w:rsidR="00E4036F" w:rsidRPr="00E4036F">
        <w:rPr>
          <w:rFonts w:ascii="Candara" w:hAnsi="Candara"/>
          <w:sz w:val="20"/>
          <w:szCs w:val="20"/>
        </w:rPr>
        <w:t xml:space="preserve">(day 2 of LMWH) then the dose was increased to 0.4 ml per 12 hours. </w:t>
      </w:r>
      <w:bookmarkStart w:id="5" w:name="_Hlk57551742"/>
      <w:r w:rsidR="00F01FD2">
        <w:rPr>
          <w:rFonts w:ascii="Candara" w:hAnsi="Candara"/>
          <w:sz w:val="20"/>
          <w:szCs w:val="20"/>
        </w:rPr>
        <w:t>The e</w:t>
      </w:r>
      <w:r w:rsidR="00E4036F" w:rsidRPr="00E4036F">
        <w:rPr>
          <w:rFonts w:ascii="Candara" w:hAnsi="Candara"/>
          <w:sz w:val="20"/>
          <w:szCs w:val="20"/>
        </w:rPr>
        <w:t>valuation result of d dimer 2.48</w:t>
      </w:r>
      <w:r w:rsidR="008B19E4" w:rsidRPr="008B19E4">
        <w:t xml:space="preserve"> </w:t>
      </w:r>
      <w:r w:rsidR="008B19E4" w:rsidRPr="008B19E4">
        <w:rPr>
          <w:rFonts w:ascii="Candara" w:hAnsi="Candara"/>
          <w:sz w:val="20"/>
          <w:szCs w:val="20"/>
        </w:rPr>
        <w:t>µg/dl</w:t>
      </w:r>
      <w:r w:rsidR="00E4036F" w:rsidRPr="00E4036F">
        <w:rPr>
          <w:rFonts w:ascii="Candara" w:hAnsi="Candara"/>
          <w:sz w:val="20"/>
          <w:szCs w:val="20"/>
        </w:rPr>
        <w:t xml:space="preserve"> (day 1</w:t>
      </w:r>
      <w:r w:rsidR="008B19E4">
        <w:rPr>
          <w:rFonts w:ascii="Candara" w:hAnsi="Candara"/>
          <w:sz w:val="20"/>
          <w:szCs w:val="20"/>
          <w:lang w:val="id-ID"/>
        </w:rPr>
        <w:t>0</w:t>
      </w:r>
      <w:r w:rsidR="00E4036F" w:rsidRPr="00E4036F">
        <w:rPr>
          <w:rFonts w:ascii="Candara" w:hAnsi="Candara"/>
          <w:sz w:val="20"/>
          <w:szCs w:val="20"/>
        </w:rPr>
        <w:t xml:space="preserve"> LMWH</w:t>
      </w:r>
      <w:r w:rsidR="008B19E4">
        <w:rPr>
          <w:rFonts w:ascii="Candara" w:hAnsi="Candara"/>
          <w:sz w:val="20"/>
          <w:szCs w:val="20"/>
          <w:lang w:val="id-ID"/>
        </w:rPr>
        <w:t xml:space="preserve">) </w:t>
      </w:r>
      <w:bookmarkEnd w:id="5"/>
      <w:r w:rsidR="008B19E4">
        <w:rPr>
          <w:rFonts w:ascii="Candara" w:hAnsi="Candara"/>
          <w:sz w:val="20"/>
          <w:szCs w:val="20"/>
          <w:lang w:val="id-ID"/>
        </w:rPr>
        <w:t xml:space="preserve">then the dose was decreased to 0.4 ml per 24 </w:t>
      </w:r>
      <w:r w:rsidR="008B19E4">
        <w:rPr>
          <w:rFonts w:ascii="Candara" w:hAnsi="Candara"/>
          <w:sz w:val="20"/>
          <w:szCs w:val="20"/>
          <w:lang w:val="id-ID"/>
        </w:rPr>
        <w:lastRenderedPageBreak/>
        <w:t>hours. T</w:t>
      </w:r>
      <w:r w:rsidR="008B19E4" w:rsidRPr="008B19E4">
        <w:rPr>
          <w:rFonts w:ascii="Candara" w:hAnsi="Candara"/>
          <w:sz w:val="20"/>
          <w:szCs w:val="20"/>
          <w:lang w:val="id-ID"/>
        </w:rPr>
        <w:t xml:space="preserve">he patient </w:t>
      </w:r>
      <w:r w:rsidR="008B19E4">
        <w:rPr>
          <w:rFonts w:ascii="Candara" w:hAnsi="Candara"/>
          <w:sz w:val="20"/>
          <w:szCs w:val="20"/>
          <w:lang w:val="id-ID"/>
        </w:rPr>
        <w:t>was</w:t>
      </w:r>
      <w:r w:rsidR="008B19E4" w:rsidRPr="008B19E4">
        <w:rPr>
          <w:rFonts w:ascii="Candara" w:hAnsi="Candara"/>
          <w:sz w:val="20"/>
          <w:szCs w:val="20"/>
          <w:lang w:val="id-ID"/>
        </w:rPr>
        <w:t xml:space="preserve"> clinically improving and can be active mobilization</w:t>
      </w:r>
      <w:r w:rsidR="008B19E4">
        <w:rPr>
          <w:rFonts w:ascii="Candara" w:hAnsi="Candara"/>
          <w:sz w:val="20"/>
          <w:szCs w:val="20"/>
          <w:lang w:val="id-ID"/>
        </w:rPr>
        <w:t xml:space="preserve">. </w:t>
      </w:r>
      <w:r w:rsidR="00F01FD2">
        <w:rPr>
          <w:rFonts w:ascii="Candara" w:hAnsi="Candara"/>
          <w:sz w:val="20"/>
          <w:szCs w:val="20"/>
          <w:lang w:val="id-ID"/>
        </w:rPr>
        <w:t>The e</w:t>
      </w:r>
      <w:r w:rsidR="008B19E4" w:rsidRPr="008B19E4">
        <w:rPr>
          <w:rFonts w:ascii="Candara" w:hAnsi="Candara"/>
          <w:sz w:val="20"/>
          <w:szCs w:val="20"/>
          <w:lang w:val="id-ID"/>
        </w:rPr>
        <w:t xml:space="preserve">valuation result of d dimer </w:t>
      </w:r>
      <w:r w:rsidR="008B19E4">
        <w:rPr>
          <w:rFonts w:ascii="Candara" w:hAnsi="Candara"/>
          <w:sz w:val="20"/>
          <w:szCs w:val="20"/>
          <w:lang w:val="id-ID"/>
        </w:rPr>
        <w:t>1</w:t>
      </w:r>
      <w:r w:rsidR="008B19E4" w:rsidRPr="008B19E4">
        <w:rPr>
          <w:rFonts w:ascii="Candara" w:hAnsi="Candara"/>
          <w:sz w:val="20"/>
          <w:szCs w:val="20"/>
          <w:lang w:val="id-ID"/>
        </w:rPr>
        <w:t>.</w:t>
      </w:r>
      <w:r w:rsidR="008B19E4">
        <w:rPr>
          <w:rFonts w:ascii="Candara" w:hAnsi="Candara"/>
          <w:sz w:val="20"/>
          <w:szCs w:val="20"/>
          <w:lang w:val="id-ID"/>
        </w:rPr>
        <w:t>7</w:t>
      </w:r>
      <w:r w:rsidR="008B19E4" w:rsidRPr="008B19E4">
        <w:rPr>
          <w:rFonts w:ascii="Candara" w:hAnsi="Candara"/>
          <w:sz w:val="20"/>
          <w:szCs w:val="20"/>
          <w:lang w:val="id-ID"/>
        </w:rPr>
        <w:t>8 µg/dl (day 1</w:t>
      </w:r>
      <w:r w:rsidR="008B19E4">
        <w:rPr>
          <w:rFonts w:ascii="Candara" w:hAnsi="Candara"/>
          <w:sz w:val="20"/>
          <w:szCs w:val="20"/>
          <w:lang w:val="id-ID"/>
        </w:rPr>
        <w:t>3</w:t>
      </w:r>
      <w:r w:rsidR="008B19E4" w:rsidRPr="008B19E4">
        <w:rPr>
          <w:rFonts w:ascii="Candara" w:hAnsi="Candara"/>
          <w:sz w:val="20"/>
          <w:szCs w:val="20"/>
          <w:lang w:val="id-ID"/>
        </w:rPr>
        <w:t xml:space="preserve"> LMWH)</w:t>
      </w:r>
      <w:r w:rsidR="008B19E4">
        <w:rPr>
          <w:rFonts w:ascii="Candara" w:hAnsi="Candara"/>
          <w:sz w:val="20"/>
          <w:szCs w:val="20"/>
          <w:lang w:val="id-ID"/>
        </w:rPr>
        <w:t xml:space="preserve"> then enoxaparin stop.</w:t>
      </w:r>
    </w:p>
    <w:p w14:paraId="4C026743" w14:textId="77777777" w:rsidR="00991555" w:rsidRDefault="00991555" w:rsidP="00991555">
      <w:pPr>
        <w:jc w:val="both"/>
        <w:rPr>
          <w:rFonts w:ascii="Candara" w:hAnsi="Candara"/>
          <w:b/>
          <w:bCs/>
          <w:sz w:val="20"/>
          <w:szCs w:val="20"/>
        </w:rPr>
      </w:pPr>
    </w:p>
    <w:p w14:paraId="14B9A1BD" w14:textId="6A1EE772" w:rsidR="009609D2" w:rsidRPr="009609D2" w:rsidRDefault="009609D2" w:rsidP="00991555">
      <w:pPr>
        <w:jc w:val="both"/>
        <w:rPr>
          <w:rFonts w:ascii="Candara" w:hAnsi="Candara"/>
          <w:bCs/>
          <w:sz w:val="20"/>
          <w:szCs w:val="20"/>
        </w:rPr>
      </w:pPr>
      <w:r w:rsidRPr="009609D2">
        <w:rPr>
          <w:rFonts w:ascii="Goudy Old Style" w:hAnsi="Goudy Old Style"/>
          <w:b/>
          <w:color w:val="000000"/>
          <w:sz w:val="18"/>
          <w:szCs w:val="18"/>
          <w:shd w:val="clear" w:color="auto" w:fill="FFFFFF"/>
        </w:rPr>
        <w:t xml:space="preserve">Table </w:t>
      </w:r>
      <w:r w:rsidR="00873D69">
        <w:rPr>
          <w:rFonts w:ascii="Goudy Old Style" w:hAnsi="Goudy Old Style"/>
          <w:b/>
          <w:color w:val="000000"/>
          <w:sz w:val="18"/>
          <w:szCs w:val="18"/>
          <w:shd w:val="clear" w:color="auto" w:fill="FFFFFF"/>
          <w:lang w:val="id-ID"/>
        </w:rPr>
        <w:t>3</w:t>
      </w:r>
      <w:r w:rsidRPr="009609D2">
        <w:rPr>
          <w:rFonts w:ascii="Goudy Old Style" w:hAnsi="Goudy Old Style"/>
          <w:color w:val="000000"/>
          <w:sz w:val="18"/>
          <w:szCs w:val="18"/>
          <w:shd w:val="clear" w:color="auto" w:fill="FFFFFF"/>
        </w:rPr>
        <w:t xml:space="preserve">. </w:t>
      </w:r>
      <w:r w:rsidRPr="009609D2">
        <w:rPr>
          <w:rFonts w:ascii="Goudy Old Style" w:hAnsi="Goudy Old Style"/>
          <w:bCs/>
          <w:color w:val="000000"/>
          <w:sz w:val="18"/>
          <w:szCs w:val="18"/>
          <w:shd w:val="clear" w:color="auto" w:fill="FFFFFF"/>
        </w:rPr>
        <w:t>Case-</w:t>
      </w:r>
      <w:r w:rsidR="00873D69">
        <w:rPr>
          <w:rFonts w:ascii="Goudy Old Style" w:hAnsi="Goudy Old Style"/>
          <w:bCs/>
          <w:color w:val="000000"/>
          <w:sz w:val="18"/>
          <w:szCs w:val="18"/>
          <w:shd w:val="clear" w:color="auto" w:fill="FFFFFF"/>
          <w:lang w:val="id-ID"/>
        </w:rPr>
        <w:t>3</w:t>
      </w:r>
      <w:r w:rsidRPr="009609D2">
        <w:rPr>
          <w:rFonts w:ascii="Goudy Old Style" w:hAnsi="Goudy Old Style"/>
          <w:bCs/>
          <w:color w:val="000000"/>
          <w:sz w:val="18"/>
          <w:szCs w:val="18"/>
          <w:shd w:val="clear" w:color="auto" w:fill="FFFFFF"/>
        </w:rPr>
        <w:t xml:space="preserve"> d-dimer progression after used enoxaparin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991555" w:rsidRPr="00991555" w14:paraId="12286A78" w14:textId="77777777" w:rsidTr="00A243EB">
        <w:tc>
          <w:tcPr>
            <w:tcW w:w="1803" w:type="dxa"/>
            <w:tcBorders>
              <w:top w:val="single" w:sz="4" w:space="0" w:color="auto"/>
            </w:tcBorders>
          </w:tcPr>
          <w:p w14:paraId="134059D2" w14:textId="77777777" w:rsidR="00991555" w:rsidRPr="009609D2" w:rsidRDefault="00991555" w:rsidP="00991555">
            <w:pPr>
              <w:jc w:val="both"/>
              <w:rPr>
                <w:rFonts w:ascii="Goudy Old Style" w:hAnsi="Goudy Old Style"/>
                <w:bCs/>
                <w:sz w:val="18"/>
                <w:szCs w:val="18"/>
              </w:rPr>
            </w:pPr>
          </w:p>
        </w:tc>
        <w:tc>
          <w:tcPr>
            <w:tcW w:w="7213" w:type="dxa"/>
            <w:gridSpan w:val="4"/>
            <w:tcBorders>
              <w:top w:val="single" w:sz="4" w:space="0" w:color="auto"/>
            </w:tcBorders>
            <w:vAlign w:val="center"/>
          </w:tcPr>
          <w:p w14:paraId="26C29705" w14:textId="4FFE08F8" w:rsidR="00991555" w:rsidRPr="009609D2" w:rsidRDefault="00991555" w:rsidP="00991555">
            <w:pPr>
              <w:jc w:val="center"/>
              <w:rPr>
                <w:rFonts w:ascii="Goudy Old Style" w:hAnsi="Goudy Old Style"/>
                <w:b/>
                <w:bCs/>
                <w:sz w:val="18"/>
                <w:szCs w:val="18"/>
              </w:rPr>
            </w:pPr>
            <w:r w:rsidRPr="009609D2">
              <w:rPr>
                <w:rFonts w:ascii="Goudy Old Style" w:hAnsi="Goudy Old Style"/>
                <w:b/>
                <w:bCs/>
                <w:sz w:val="18"/>
                <w:szCs w:val="18"/>
              </w:rPr>
              <w:t xml:space="preserve">Day </w:t>
            </w:r>
            <w:r w:rsidR="009609D2" w:rsidRPr="009609D2">
              <w:rPr>
                <w:rFonts w:ascii="Goudy Old Style" w:hAnsi="Goudy Old Style"/>
                <w:b/>
                <w:bCs/>
                <w:sz w:val="18"/>
                <w:szCs w:val="18"/>
              </w:rPr>
              <w:t>Used Enoxaparin</w:t>
            </w:r>
          </w:p>
        </w:tc>
      </w:tr>
      <w:tr w:rsidR="00991555" w:rsidRPr="00991555" w14:paraId="68D0D7A5" w14:textId="77777777" w:rsidTr="00A243EB">
        <w:tc>
          <w:tcPr>
            <w:tcW w:w="1803" w:type="dxa"/>
            <w:tcBorders>
              <w:bottom w:val="single" w:sz="4" w:space="0" w:color="auto"/>
            </w:tcBorders>
          </w:tcPr>
          <w:p w14:paraId="3389344B" w14:textId="77777777" w:rsidR="00991555" w:rsidRPr="009609D2" w:rsidRDefault="00991555" w:rsidP="00991555">
            <w:pPr>
              <w:jc w:val="both"/>
              <w:rPr>
                <w:rFonts w:ascii="Goudy Old Style" w:hAnsi="Goudy Old Style"/>
                <w:bCs/>
                <w:sz w:val="18"/>
                <w:szCs w:val="18"/>
              </w:rPr>
            </w:pPr>
          </w:p>
        </w:tc>
        <w:tc>
          <w:tcPr>
            <w:tcW w:w="1803" w:type="dxa"/>
            <w:tcBorders>
              <w:bottom w:val="single" w:sz="4" w:space="0" w:color="auto"/>
            </w:tcBorders>
          </w:tcPr>
          <w:p w14:paraId="31A7EBA7"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Day-1</w:t>
            </w:r>
          </w:p>
        </w:tc>
        <w:tc>
          <w:tcPr>
            <w:tcW w:w="1803" w:type="dxa"/>
            <w:tcBorders>
              <w:bottom w:val="single" w:sz="4" w:space="0" w:color="auto"/>
            </w:tcBorders>
          </w:tcPr>
          <w:p w14:paraId="1208274F" w14:textId="77777777" w:rsidR="00991555" w:rsidRPr="009609D2" w:rsidRDefault="00991555" w:rsidP="000E1B0A">
            <w:pPr>
              <w:jc w:val="center"/>
              <w:rPr>
                <w:rFonts w:ascii="Goudy Old Style" w:hAnsi="Goudy Old Style"/>
                <w:b/>
                <w:bCs/>
                <w:sz w:val="18"/>
                <w:szCs w:val="18"/>
              </w:rPr>
            </w:pPr>
            <w:r w:rsidRPr="009609D2">
              <w:rPr>
                <w:rFonts w:ascii="Goudy Old Style" w:hAnsi="Goudy Old Style"/>
                <w:b/>
                <w:bCs/>
                <w:sz w:val="18"/>
                <w:szCs w:val="18"/>
              </w:rPr>
              <w:t>Day-2</w:t>
            </w:r>
          </w:p>
        </w:tc>
        <w:tc>
          <w:tcPr>
            <w:tcW w:w="1803" w:type="dxa"/>
            <w:tcBorders>
              <w:bottom w:val="single" w:sz="4" w:space="0" w:color="auto"/>
            </w:tcBorders>
          </w:tcPr>
          <w:p w14:paraId="5DD8B9AB" w14:textId="1207E95C" w:rsidR="00991555" w:rsidRPr="009609D2" w:rsidRDefault="00991555" w:rsidP="000E1B0A">
            <w:pPr>
              <w:jc w:val="center"/>
              <w:rPr>
                <w:rFonts w:ascii="Goudy Old Style" w:hAnsi="Goudy Old Style"/>
                <w:b/>
                <w:bCs/>
                <w:sz w:val="18"/>
                <w:szCs w:val="18"/>
                <w:lang w:val="id-ID"/>
              </w:rPr>
            </w:pPr>
            <w:r w:rsidRPr="009609D2">
              <w:rPr>
                <w:rFonts w:ascii="Goudy Old Style" w:hAnsi="Goudy Old Style"/>
                <w:b/>
                <w:bCs/>
                <w:sz w:val="18"/>
                <w:szCs w:val="18"/>
              </w:rPr>
              <w:t>Day-1</w:t>
            </w:r>
            <w:r w:rsidR="000A0177" w:rsidRPr="009609D2">
              <w:rPr>
                <w:rFonts w:ascii="Goudy Old Style" w:hAnsi="Goudy Old Style"/>
                <w:b/>
                <w:bCs/>
                <w:sz w:val="18"/>
                <w:szCs w:val="18"/>
                <w:lang w:val="id-ID"/>
              </w:rPr>
              <w:t>0</w:t>
            </w:r>
          </w:p>
        </w:tc>
        <w:tc>
          <w:tcPr>
            <w:tcW w:w="1804" w:type="dxa"/>
            <w:tcBorders>
              <w:bottom w:val="single" w:sz="4" w:space="0" w:color="auto"/>
            </w:tcBorders>
          </w:tcPr>
          <w:p w14:paraId="5E57C942" w14:textId="42493717" w:rsidR="00991555" w:rsidRPr="009609D2" w:rsidRDefault="00991555" w:rsidP="000E1B0A">
            <w:pPr>
              <w:jc w:val="center"/>
              <w:rPr>
                <w:rFonts w:ascii="Goudy Old Style" w:hAnsi="Goudy Old Style"/>
                <w:b/>
                <w:bCs/>
                <w:sz w:val="18"/>
                <w:szCs w:val="18"/>
                <w:lang w:val="id-ID"/>
              </w:rPr>
            </w:pPr>
            <w:r w:rsidRPr="009609D2">
              <w:rPr>
                <w:rFonts w:ascii="Goudy Old Style" w:hAnsi="Goudy Old Style"/>
                <w:b/>
                <w:bCs/>
                <w:sz w:val="18"/>
                <w:szCs w:val="18"/>
              </w:rPr>
              <w:t>Day-</w:t>
            </w:r>
            <w:r w:rsidR="000A0177" w:rsidRPr="009609D2">
              <w:rPr>
                <w:rFonts w:ascii="Goudy Old Style" w:hAnsi="Goudy Old Style"/>
                <w:b/>
                <w:bCs/>
                <w:sz w:val="18"/>
                <w:szCs w:val="18"/>
                <w:lang w:val="id-ID"/>
              </w:rPr>
              <w:t>13</w:t>
            </w:r>
          </w:p>
        </w:tc>
      </w:tr>
      <w:tr w:rsidR="00991555" w:rsidRPr="00991555" w14:paraId="4E2D3D3F" w14:textId="77777777" w:rsidTr="00A243EB">
        <w:tc>
          <w:tcPr>
            <w:tcW w:w="1803" w:type="dxa"/>
            <w:tcBorders>
              <w:top w:val="single" w:sz="4" w:space="0" w:color="auto"/>
            </w:tcBorders>
          </w:tcPr>
          <w:p w14:paraId="2EEDB9A5" w14:textId="77777777" w:rsidR="00991555" w:rsidRPr="009609D2" w:rsidRDefault="00991555" w:rsidP="00991555">
            <w:pPr>
              <w:jc w:val="both"/>
              <w:rPr>
                <w:rFonts w:ascii="Goudy Old Style" w:hAnsi="Goudy Old Style"/>
                <w:b/>
                <w:bCs/>
                <w:sz w:val="18"/>
                <w:szCs w:val="18"/>
              </w:rPr>
            </w:pPr>
            <w:r w:rsidRPr="009609D2">
              <w:rPr>
                <w:rFonts w:ascii="Goudy Old Style" w:hAnsi="Goudy Old Style"/>
                <w:b/>
                <w:bCs/>
                <w:sz w:val="18"/>
                <w:szCs w:val="18"/>
              </w:rPr>
              <w:t>D-dimer (</w:t>
            </w:r>
            <w:bookmarkStart w:id="6" w:name="_Hlk57551354"/>
            <w:r w:rsidRPr="009609D2">
              <w:rPr>
                <w:rFonts w:ascii="Goudy Old Style" w:hAnsi="Goudy Old Style"/>
                <w:b/>
                <w:bCs/>
                <w:sz w:val="18"/>
                <w:szCs w:val="18"/>
              </w:rPr>
              <w:t>µg/dl</w:t>
            </w:r>
            <w:bookmarkEnd w:id="6"/>
            <w:r w:rsidRPr="009609D2">
              <w:rPr>
                <w:rFonts w:ascii="Goudy Old Style" w:hAnsi="Goudy Old Style"/>
                <w:b/>
                <w:bCs/>
                <w:sz w:val="18"/>
                <w:szCs w:val="18"/>
              </w:rPr>
              <w:t>)</w:t>
            </w:r>
          </w:p>
        </w:tc>
        <w:tc>
          <w:tcPr>
            <w:tcW w:w="1803" w:type="dxa"/>
            <w:tcBorders>
              <w:top w:val="single" w:sz="4" w:space="0" w:color="auto"/>
            </w:tcBorders>
          </w:tcPr>
          <w:p w14:paraId="70F7CD93"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&gt; 4.00</w:t>
            </w:r>
          </w:p>
        </w:tc>
        <w:tc>
          <w:tcPr>
            <w:tcW w:w="1803" w:type="dxa"/>
            <w:tcBorders>
              <w:top w:val="single" w:sz="4" w:space="0" w:color="auto"/>
            </w:tcBorders>
          </w:tcPr>
          <w:p w14:paraId="6D966A0C"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3.36</w:t>
            </w:r>
          </w:p>
        </w:tc>
        <w:tc>
          <w:tcPr>
            <w:tcW w:w="1803" w:type="dxa"/>
            <w:tcBorders>
              <w:top w:val="single" w:sz="4" w:space="0" w:color="auto"/>
            </w:tcBorders>
          </w:tcPr>
          <w:p w14:paraId="3E6F530F"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2.48</w:t>
            </w:r>
          </w:p>
        </w:tc>
        <w:tc>
          <w:tcPr>
            <w:tcW w:w="1804" w:type="dxa"/>
            <w:tcBorders>
              <w:top w:val="single" w:sz="4" w:space="0" w:color="auto"/>
            </w:tcBorders>
          </w:tcPr>
          <w:p w14:paraId="4FD2344D" w14:textId="5A8428FD" w:rsidR="00991555" w:rsidRPr="009609D2" w:rsidRDefault="000A0177" w:rsidP="000E1B0A">
            <w:pPr>
              <w:jc w:val="center"/>
              <w:rPr>
                <w:rFonts w:ascii="Goudy Old Style" w:hAnsi="Goudy Old Style"/>
                <w:bCs/>
                <w:sz w:val="18"/>
                <w:szCs w:val="18"/>
                <w:lang w:val="id-ID"/>
              </w:rPr>
            </w:pPr>
            <w:r w:rsidRPr="009609D2">
              <w:rPr>
                <w:rFonts w:ascii="Goudy Old Style" w:hAnsi="Goudy Old Style"/>
                <w:bCs/>
                <w:sz w:val="18"/>
                <w:szCs w:val="18"/>
                <w:lang w:val="id-ID"/>
              </w:rPr>
              <w:t>1.78</w:t>
            </w:r>
          </w:p>
        </w:tc>
      </w:tr>
      <w:tr w:rsidR="00991555" w:rsidRPr="00991555" w14:paraId="5D3A35C7" w14:textId="77777777" w:rsidTr="00A243EB">
        <w:tc>
          <w:tcPr>
            <w:tcW w:w="1803" w:type="dxa"/>
            <w:tcBorders>
              <w:bottom w:val="single" w:sz="4" w:space="0" w:color="auto"/>
            </w:tcBorders>
          </w:tcPr>
          <w:p w14:paraId="38937A78" w14:textId="77777777" w:rsidR="00991555" w:rsidRPr="009609D2" w:rsidRDefault="00991555" w:rsidP="00991555">
            <w:pPr>
              <w:jc w:val="both"/>
              <w:rPr>
                <w:rFonts w:ascii="Goudy Old Style" w:hAnsi="Goudy Old Style"/>
                <w:b/>
                <w:bCs/>
                <w:sz w:val="18"/>
                <w:szCs w:val="18"/>
              </w:rPr>
            </w:pPr>
            <w:r w:rsidRPr="009609D2">
              <w:rPr>
                <w:rFonts w:ascii="Goudy Old Style" w:hAnsi="Goudy Old Style"/>
                <w:b/>
                <w:bCs/>
                <w:sz w:val="18"/>
                <w:szCs w:val="18"/>
              </w:rPr>
              <w:t>Dosage</w:t>
            </w:r>
          </w:p>
        </w:tc>
        <w:tc>
          <w:tcPr>
            <w:tcW w:w="1803" w:type="dxa"/>
            <w:tcBorders>
              <w:bottom w:val="single" w:sz="4" w:space="0" w:color="auto"/>
            </w:tcBorders>
          </w:tcPr>
          <w:p w14:paraId="0CCE2C9B"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0.4ml/24h</w:t>
            </w:r>
          </w:p>
        </w:tc>
        <w:tc>
          <w:tcPr>
            <w:tcW w:w="1803" w:type="dxa"/>
            <w:tcBorders>
              <w:bottom w:val="single" w:sz="4" w:space="0" w:color="auto"/>
            </w:tcBorders>
          </w:tcPr>
          <w:p w14:paraId="5C91F612"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0.4ml/12h</w:t>
            </w:r>
          </w:p>
        </w:tc>
        <w:tc>
          <w:tcPr>
            <w:tcW w:w="1803" w:type="dxa"/>
            <w:tcBorders>
              <w:bottom w:val="single" w:sz="4" w:space="0" w:color="auto"/>
            </w:tcBorders>
          </w:tcPr>
          <w:p w14:paraId="669A007B" w14:textId="7EA962D3" w:rsidR="00991555" w:rsidRPr="009609D2" w:rsidRDefault="000A0177" w:rsidP="000E1B0A">
            <w:pPr>
              <w:jc w:val="center"/>
              <w:rPr>
                <w:rFonts w:ascii="Goudy Old Style" w:hAnsi="Goudy Old Style"/>
                <w:bCs/>
                <w:sz w:val="18"/>
                <w:szCs w:val="18"/>
                <w:lang w:val="id-ID"/>
              </w:rPr>
            </w:pPr>
            <w:r w:rsidRPr="009609D2">
              <w:rPr>
                <w:rFonts w:ascii="Goudy Old Style" w:hAnsi="Goudy Old Style"/>
                <w:bCs/>
                <w:sz w:val="18"/>
                <w:szCs w:val="18"/>
                <w:lang w:val="id-ID"/>
              </w:rPr>
              <w:t>0.4mi/24h</w:t>
            </w:r>
          </w:p>
        </w:tc>
        <w:tc>
          <w:tcPr>
            <w:tcW w:w="1804" w:type="dxa"/>
            <w:tcBorders>
              <w:bottom w:val="single" w:sz="4" w:space="0" w:color="auto"/>
            </w:tcBorders>
          </w:tcPr>
          <w:p w14:paraId="3D1156C2" w14:textId="77777777" w:rsidR="00991555" w:rsidRPr="009609D2" w:rsidRDefault="00991555" w:rsidP="000E1B0A">
            <w:pPr>
              <w:jc w:val="center"/>
              <w:rPr>
                <w:rFonts w:ascii="Goudy Old Style" w:hAnsi="Goudy Old Style"/>
                <w:bCs/>
                <w:sz w:val="18"/>
                <w:szCs w:val="18"/>
              </w:rPr>
            </w:pPr>
            <w:r w:rsidRPr="009609D2">
              <w:rPr>
                <w:rFonts w:ascii="Goudy Old Style" w:hAnsi="Goudy Old Style"/>
                <w:bCs/>
                <w:sz w:val="18"/>
                <w:szCs w:val="18"/>
              </w:rPr>
              <w:t>Stop</w:t>
            </w:r>
          </w:p>
        </w:tc>
      </w:tr>
      <w:bookmarkEnd w:id="4"/>
    </w:tbl>
    <w:p w14:paraId="0941DCBF" w14:textId="77777777" w:rsidR="00991555" w:rsidRPr="00991555" w:rsidRDefault="00991555" w:rsidP="00991555">
      <w:pPr>
        <w:jc w:val="both"/>
        <w:rPr>
          <w:rFonts w:ascii="Candara" w:hAnsi="Candara"/>
          <w:bCs/>
          <w:sz w:val="20"/>
          <w:szCs w:val="20"/>
        </w:rPr>
      </w:pPr>
    </w:p>
    <w:p w14:paraId="1AE77D24" w14:textId="76BC04E2" w:rsidR="008B19E4" w:rsidRPr="008B19E4" w:rsidRDefault="008B19E4" w:rsidP="008B19E4">
      <w:pPr>
        <w:jc w:val="both"/>
        <w:rPr>
          <w:rFonts w:ascii="Candara" w:hAnsi="Candara"/>
          <w:b/>
          <w:bCs/>
          <w:sz w:val="20"/>
          <w:szCs w:val="20"/>
          <w:lang w:val="id-ID"/>
        </w:rPr>
      </w:pPr>
      <w:r w:rsidRPr="00991555">
        <w:rPr>
          <w:rFonts w:ascii="Candara" w:hAnsi="Candara"/>
          <w:b/>
          <w:bCs/>
          <w:sz w:val="20"/>
          <w:szCs w:val="20"/>
          <w:lang w:val="id-ID"/>
        </w:rPr>
        <w:t>CASE</w:t>
      </w:r>
      <w:r>
        <w:rPr>
          <w:rFonts w:ascii="Candara" w:hAnsi="Candara"/>
          <w:b/>
          <w:bCs/>
          <w:sz w:val="20"/>
          <w:szCs w:val="20"/>
        </w:rPr>
        <w:t xml:space="preserve"> </w:t>
      </w:r>
      <w:r w:rsidR="009A60B4">
        <w:rPr>
          <w:rFonts w:ascii="Candara" w:hAnsi="Candara"/>
          <w:b/>
          <w:bCs/>
          <w:sz w:val="20"/>
          <w:szCs w:val="20"/>
          <w:lang w:val="id-ID"/>
        </w:rPr>
        <w:t>4</w:t>
      </w:r>
    </w:p>
    <w:p w14:paraId="3DB87E42" w14:textId="5B3B9B5F" w:rsidR="008B19E4" w:rsidRPr="008B19E4" w:rsidRDefault="008B19E4" w:rsidP="008B19E4">
      <w:pPr>
        <w:jc w:val="both"/>
        <w:rPr>
          <w:rFonts w:ascii="Candara" w:hAnsi="Candara"/>
          <w:b/>
          <w:bCs/>
          <w:sz w:val="20"/>
          <w:szCs w:val="20"/>
          <w:lang w:val="id-ID"/>
        </w:rPr>
      </w:pPr>
      <w:r w:rsidRPr="00991555">
        <w:rPr>
          <w:rFonts w:ascii="Candara" w:hAnsi="Candara"/>
          <w:b/>
          <w:bCs/>
          <w:sz w:val="20"/>
          <w:szCs w:val="20"/>
        </w:rPr>
        <w:t xml:space="preserve">       </w:t>
      </w:r>
      <w:r>
        <w:rPr>
          <w:rFonts w:ascii="Candara" w:hAnsi="Candara"/>
          <w:sz w:val="20"/>
          <w:szCs w:val="20"/>
          <w:lang w:val="id-ID"/>
        </w:rPr>
        <w:t>Mr</w:t>
      </w:r>
      <w:r w:rsidRPr="00E4036F">
        <w:rPr>
          <w:rFonts w:ascii="Candara" w:hAnsi="Candara"/>
          <w:sz w:val="20"/>
          <w:szCs w:val="20"/>
        </w:rPr>
        <w:t>.</w:t>
      </w:r>
      <w:r>
        <w:rPr>
          <w:rFonts w:ascii="Candara" w:hAnsi="Candara"/>
          <w:sz w:val="20"/>
          <w:szCs w:val="20"/>
          <w:lang w:val="id-ID"/>
        </w:rPr>
        <w:t xml:space="preserve"> </w:t>
      </w:r>
      <w:r w:rsidR="00A243EB">
        <w:rPr>
          <w:rFonts w:ascii="Candara" w:hAnsi="Candara"/>
          <w:sz w:val="20"/>
          <w:szCs w:val="20"/>
          <w:lang w:val="id-ID"/>
        </w:rPr>
        <w:t>E</w:t>
      </w:r>
      <w:r w:rsidRPr="00E4036F">
        <w:rPr>
          <w:rFonts w:ascii="Candara" w:hAnsi="Candara"/>
          <w:sz w:val="20"/>
          <w:szCs w:val="20"/>
        </w:rPr>
        <w:t xml:space="preserve">, </w:t>
      </w:r>
      <w:r w:rsidR="00A243EB">
        <w:rPr>
          <w:rFonts w:ascii="Candara" w:hAnsi="Candara"/>
          <w:sz w:val="20"/>
          <w:szCs w:val="20"/>
          <w:lang w:val="id-ID"/>
        </w:rPr>
        <w:t>77</w:t>
      </w:r>
      <w:r w:rsidRPr="00E4036F">
        <w:rPr>
          <w:rFonts w:ascii="Candara" w:hAnsi="Candara"/>
          <w:sz w:val="20"/>
          <w:szCs w:val="20"/>
        </w:rPr>
        <w:t xml:space="preserve"> years old, </w:t>
      </w:r>
      <w:r w:rsidR="00012FAA">
        <w:rPr>
          <w:rFonts w:ascii="Candara" w:hAnsi="Candara"/>
          <w:sz w:val="20"/>
          <w:szCs w:val="20"/>
          <w:lang w:val="id-ID"/>
        </w:rPr>
        <w:t>complained of</w:t>
      </w:r>
      <w:r w:rsidR="003E4111">
        <w:rPr>
          <w:rFonts w:ascii="Candara" w:hAnsi="Candara"/>
          <w:sz w:val="20"/>
          <w:szCs w:val="20"/>
          <w:lang w:val="id-ID"/>
        </w:rPr>
        <w:t xml:space="preserve"> </w:t>
      </w:r>
      <w:r w:rsidRPr="00E4036F">
        <w:rPr>
          <w:rFonts w:ascii="Candara" w:hAnsi="Candara"/>
          <w:sz w:val="20"/>
          <w:szCs w:val="20"/>
        </w:rPr>
        <w:t xml:space="preserve">shortness of breath for </w:t>
      </w:r>
      <w:r w:rsidR="003E4111">
        <w:rPr>
          <w:rFonts w:ascii="Candara" w:hAnsi="Candara"/>
          <w:sz w:val="20"/>
          <w:szCs w:val="20"/>
          <w:lang w:val="id-ID"/>
        </w:rPr>
        <w:t>1</w:t>
      </w:r>
      <w:r w:rsidRPr="00E4036F">
        <w:rPr>
          <w:rFonts w:ascii="Candara" w:hAnsi="Candara"/>
          <w:sz w:val="20"/>
          <w:szCs w:val="20"/>
        </w:rPr>
        <w:t xml:space="preserve"> day. Comorbidities </w:t>
      </w:r>
      <w:r w:rsidR="003E4111">
        <w:rPr>
          <w:rFonts w:ascii="Candara" w:hAnsi="Candara"/>
          <w:sz w:val="20"/>
          <w:szCs w:val="20"/>
          <w:lang w:val="id-ID"/>
        </w:rPr>
        <w:t>chronic heart failure NYHA 3, hypergl</w:t>
      </w:r>
      <w:r w:rsidR="00F01FD2">
        <w:rPr>
          <w:rFonts w:ascii="Candara" w:hAnsi="Candara"/>
          <w:sz w:val="20"/>
          <w:szCs w:val="20"/>
          <w:lang w:val="id-ID"/>
        </w:rPr>
        <w:t>y</w:t>
      </w:r>
      <w:r w:rsidR="003E4111">
        <w:rPr>
          <w:rFonts w:ascii="Candara" w:hAnsi="Candara"/>
          <w:sz w:val="20"/>
          <w:szCs w:val="20"/>
          <w:lang w:val="id-ID"/>
        </w:rPr>
        <w:t xml:space="preserve">cemia, </w:t>
      </w:r>
      <w:r w:rsidR="009A60B4">
        <w:rPr>
          <w:rFonts w:ascii="Candara" w:hAnsi="Candara"/>
          <w:sz w:val="20"/>
          <w:szCs w:val="20"/>
          <w:lang w:val="id-ID"/>
        </w:rPr>
        <w:t>acute kidney injury</w:t>
      </w:r>
      <w:r w:rsidR="003E4111">
        <w:rPr>
          <w:rFonts w:ascii="Candara" w:hAnsi="Candara"/>
          <w:sz w:val="20"/>
          <w:szCs w:val="20"/>
          <w:lang w:val="id-ID"/>
        </w:rPr>
        <w:t xml:space="preserve">. </w:t>
      </w:r>
      <w:r w:rsidRPr="00E4036F">
        <w:rPr>
          <w:rFonts w:ascii="Candara" w:hAnsi="Candara"/>
          <w:sz w:val="20"/>
          <w:szCs w:val="20"/>
        </w:rPr>
        <w:t xml:space="preserve">The diagnosis of </w:t>
      </w:r>
      <w:r w:rsidR="00E30904">
        <w:rPr>
          <w:rFonts w:ascii="Candara" w:hAnsi="Candara"/>
          <w:sz w:val="20"/>
          <w:szCs w:val="20"/>
        </w:rPr>
        <w:t>COVID-19</w:t>
      </w:r>
      <w:r w:rsidRPr="00E4036F">
        <w:rPr>
          <w:rFonts w:ascii="Candara" w:hAnsi="Candara"/>
          <w:sz w:val="20"/>
          <w:szCs w:val="20"/>
        </w:rPr>
        <w:t xml:space="preserve"> was confirmed by </w:t>
      </w:r>
      <w:r w:rsidR="005835A1">
        <w:rPr>
          <w:rFonts w:ascii="Candara" w:hAnsi="Candara"/>
          <w:sz w:val="20"/>
          <w:szCs w:val="20"/>
        </w:rPr>
        <w:t xml:space="preserve">a </w:t>
      </w:r>
      <w:r w:rsidR="00873D69">
        <w:rPr>
          <w:rFonts w:ascii="Candara" w:hAnsi="Candara"/>
          <w:sz w:val="20"/>
          <w:szCs w:val="20"/>
          <w:lang w:val="id-ID"/>
        </w:rPr>
        <w:t xml:space="preserve">positive </w:t>
      </w:r>
      <w:r w:rsidRPr="00E4036F">
        <w:rPr>
          <w:rFonts w:ascii="Candara" w:hAnsi="Candara"/>
          <w:sz w:val="20"/>
          <w:szCs w:val="20"/>
        </w:rPr>
        <w:t>RT-PCR nasopharyngeal swab</w:t>
      </w:r>
      <w:r>
        <w:rPr>
          <w:rFonts w:ascii="Candara" w:hAnsi="Candara"/>
          <w:sz w:val="20"/>
          <w:szCs w:val="20"/>
          <w:lang w:val="id-ID"/>
        </w:rPr>
        <w:t xml:space="preserve"> with chest </w:t>
      </w:r>
      <w:r w:rsidRPr="00E4036F">
        <w:rPr>
          <w:rFonts w:ascii="Candara" w:hAnsi="Candara"/>
          <w:sz w:val="20"/>
          <w:szCs w:val="20"/>
        </w:rPr>
        <w:t xml:space="preserve">X-ray </w:t>
      </w:r>
      <w:r w:rsidR="003E4111">
        <w:rPr>
          <w:rFonts w:ascii="Candara" w:hAnsi="Candara"/>
          <w:sz w:val="20"/>
          <w:szCs w:val="20"/>
          <w:lang w:val="id-ID"/>
        </w:rPr>
        <w:t>pulmonary edema mixed pneumonia</w:t>
      </w:r>
      <w:r w:rsidR="00012FAA">
        <w:rPr>
          <w:rFonts w:ascii="Candara" w:hAnsi="Candara"/>
          <w:sz w:val="20"/>
          <w:szCs w:val="20"/>
        </w:rPr>
        <w:t xml:space="preserve"> and cardiomegaly</w:t>
      </w:r>
      <w:r w:rsidR="003E4111">
        <w:rPr>
          <w:rFonts w:ascii="Candara" w:hAnsi="Candara"/>
          <w:sz w:val="20"/>
          <w:szCs w:val="20"/>
          <w:lang w:val="id-ID"/>
        </w:rPr>
        <w:t>. Creatinin</w:t>
      </w:r>
      <w:r w:rsidR="00F01FD2">
        <w:rPr>
          <w:rFonts w:ascii="Candara" w:hAnsi="Candara"/>
          <w:sz w:val="20"/>
          <w:szCs w:val="20"/>
          <w:lang w:val="id-ID"/>
        </w:rPr>
        <w:t>e</w:t>
      </w:r>
      <w:r w:rsidR="003E4111">
        <w:rPr>
          <w:rFonts w:ascii="Candara" w:hAnsi="Candara"/>
          <w:sz w:val="20"/>
          <w:szCs w:val="20"/>
          <w:lang w:val="id-ID"/>
        </w:rPr>
        <w:t xml:space="preserve"> serum was 2.61 mg/dL</w:t>
      </w:r>
      <w:r w:rsidR="00873D69">
        <w:rPr>
          <w:rFonts w:ascii="Candara" w:hAnsi="Candara"/>
          <w:sz w:val="20"/>
          <w:szCs w:val="20"/>
          <w:lang w:val="id-ID"/>
        </w:rPr>
        <w:t xml:space="preserve"> then improved to 1.64 mg/dL</w:t>
      </w:r>
      <w:r w:rsidR="003E4111">
        <w:rPr>
          <w:rFonts w:ascii="Candara" w:hAnsi="Candara"/>
          <w:sz w:val="20"/>
          <w:szCs w:val="20"/>
          <w:lang w:val="id-ID"/>
        </w:rPr>
        <w:t xml:space="preserve">. </w:t>
      </w:r>
      <w:r w:rsidR="00F01FD2">
        <w:rPr>
          <w:rFonts w:ascii="Candara" w:hAnsi="Candara"/>
          <w:sz w:val="20"/>
          <w:szCs w:val="20"/>
        </w:rPr>
        <w:t>The p</w:t>
      </w:r>
      <w:r w:rsidRPr="00E4036F">
        <w:rPr>
          <w:rFonts w:ascii="Candara" w:hAnsi="Candara"/>
          <w:sz w:val="20"/>
          <w:szCs w:val="20"/>
        </w:rPr>
        <w:t>atient</w:t>
      </w:r>
      <w:r>
        <w:rPr>
          <w:rFonts w:ascii="Candara" w:hAnsi="Candara"/>
          <w:sz w:val="20"/>
          <w:szCs w:val="20"/>
          <w:lang w:val="id-ID"/>
        </w:rPr>
        <w:t xml:space="preserve"> had</w:t>
      </w:r>
      <w:r w:rsidRPr="00E4036F">
        <w:rPr>
          <w:rFonts w:ascii="Candara" w:hAnsi="Candara"/>
          <w:sz w:val="20"/>
          <w:szCs w:val="20"/>
        </w:rPr>
        <w:t xml:space="preserve"> severe clinical symptoms with </w:t>
      </w:r>
      <w:r w:rsidR="005835A1">
        <w:rPr>
          <w:rFonts w:ascii="Candara" w:hAnsi="Candara"/>
          <w:sz w:val="20"/>
          <w:szCs w:val="20"/>
        </w:rPr>
        <w:t xml:space="preserve">a </w:t>
      </w:r>
      <w:r w:rsidRPr="00E4036F">
        <w:rPr>
          <w:rFonts w:ascii="Candara" w:hAnsi="Candara"/>
          <w:sz w:val="20"/>
          <w:szCs w:val="20"/>
        </w:rPr>
        <w:t>d-dimer result</w:t>
      </w:r>
      <w:r>
        <w:rPr>
          <w:rFonts w:ascii="Candara" w:hAnsi="Candara"/>
          <w:sz w:val="20"/>
          <w:szCs w:val="20"/>
          <w:lang w:val="id-ID"/>
        </w:rPr>
        <w:t xml:space="preserve"> </w:t>
      </w:r>
      <w:r w:rsidRPr="00E4036F">
        <w:rPr>
          <w:rFonts w:ascii="Candara" w:hAnsi="Candara"/>
          <w:sz w:val="20"/>
          <w:szCs w:val="20"/>
        </w:rPr>
        <w:t>&gt; 4.00</w:t>
      </w:r>
      <w:r w:rsidRPr="000A0177">
        <w:t xml:space="preserve"> </w:t>
      </w:r>
      <w:r w:rsidRPr="000A0177">
        <w:rPr>
          <w:rFonts w:ascii="Candara" w:hAnsi="Candara"/>
          <w:sz w:val="20"/>
          <w:szCs w:val="20"/>
        </w:rPr>
        <w:t>µg/dl</w:t>
      </w:r>
      <w:r w:rsidR="00873D69">
        <w:rPr>
          <w:rFonts w:ascii="Candara" w:hAnsi="Candara"/>
          <w:sz w:val="20"/>
          <w:szCs w:val="20"/>
          <w:lang w:val="id-ID"/>
        </w:rPr>
        <w:t xml:space="preserve"> (&gt; 13.3 times the normal value)</w:t>
      </w:r>
      <w:r w:rsidRPr="00E4036F">
        <w:rPr>
          <w:rFonts w:ascii="Candara" w:hAnsi="Candara"/>
          <w:sz w:val="20"/>
          <w:szCs w:val="20"/>
        </w:rPr>
        <w:t xml:space="preserve">. The patient </w:t>
      </w:r>
      <w:r w:rsidR="00F01FD2">
        <w:rPr>
          <w:rFonts w:ascii="Candara" w:hAnsi="Candara"/>
          <w:sz w:val="20"/>
          <w:szCs w:val="20"/>
        </w:rPr>
        <w:t>h</w:t>
      </w:r>
      <w:r w:rsidRPr="00E4036F">
        <w:rPr>
          <w:rFonts w:ascii="Candara" w:hAnsi="Candara"/>
          <w:sz w:val="20"/>
          <w:szCs w:val="20"/>
        </w:rPr>
        <w:t>as given enoxaparin 0.</w:t>
      </w:r>
      <w:r w:rsidR="003E4111">
        <w:rPr>
          <w:rFonts w:ascii="Candara" w:hAnsi="Candara"/>
          <w:sz w:val="20"/>
          <w:szCs w:val="20"/>
          <w:lang w:val="id-ID"/>
        </w:rPr>
        <w:t>6</w:t>
      </w:r>
      <w:r w:rsidRPr="00E4036F">
        <w:rPr>
          <w:rFonts w:ascii="Candara" w:hAnsi="Candara"/>
          <w:sz w:val="20"/>
          <w:szCs w:val="20"/>
        </w:rPr>
        <w:t xml:space="preserve"> ml per 24 hours. </w:t>
      </w:r>
      <w:r w:rsidR="00F01FD2">
        <w:rPr>
          <w:rFonts w:ascii="Candara" w:hAnsi="Candara"/>
          <w:sz w:val="20"/>
          <w:szCs w:val="20"/>
        </w:rPr>
        <w:t>The e</w:t>
      </w:r>
      <w:r w:rsidRPr="00E4036F">
        <w:rPr>
          <w:rFonts w:ascii="Candara" w:hAnsi="Candara"/>
          <w:sz w:val="20"/>
          <w:szCs w:val="20"/>
        </w:rPr>
        <w:t>valuation result of d dimer</w:t>
      </w:r>
      <w:r w:rsidR="003E4111">
        <w:rPr>
          <w:rFonts w:ascii="Candara" w:hAnsi="Candara"/>
          <w:sz w:val="20"/>
          <w:szCs w:val="20"/>
          <w:lang w:val="id-ID"/>
        </w:rPr>
        <w:t xml:space="preserve"> </w:t>
      </w:r>
      <w:r w:rsidR="00D25A5C">
        <w:rPr>
          <w:rFonts w:ascii="Candara" w:hAnsi="Candara"/>
          <w:sz w:val="20"/>
          <w:szCs w:val="20"/>
        </w:rPr>
        <w:t xml:space="preserve">still </w:t>
      </w:r>
      <w:r w:rsidR="003E4111">
        <w:rPr>
          <w:rFonts w:ascii="Candara" w:hAnsi="Candara"/>
          <w:sz w:val="20"/>
          <w:szCs w:val="20"/>
          <w:lang w:val="id-ID"/>
        </w:rPr>
        <w:t>&gt;</w:t>
      </w:r>
      <w:r w:rsidR="00D25A5C">
        <w:rPr>
          <w:rFonts w:ascii="Candara" w:hAnsi="Candara"/>
          <w:sz w:val="20"/>
          <w:szCs w:val="20"/>
        </w:rPr>
        <w:t xml:space="preserve"> </w:t>
      </w:r>
      <w:r w:rsidR="003E4111">
        <w:rPr>
          <w:rFonts w:ascii="Candara" w:hAnsi="Candara"/>
          <w:sz w:val="20"/>
          <w:szCs w:val="20"/>
          <w:lang w:val="id-ID"/>
        </w:rPr>
        <w:t>4.00</w:t>
      </w:r>
      <w:r w:rsidRPr="00E4036F">
        <w:rPr>
          <w:rFonts w:ascii="Candara" w:hAnsi="Candara"/>
          <w:sz w:val="20"/>
          <w:szCs w:val="20"/>
        </w:rPr>
        <w:t xml:space="preserve"> </w:t>
      </w:r>
      <w:r w:rsidRPr="008B19E4">
        <w:rPr>
          <w:rFonts w:ascii="Candara" w:hAnsi="Candara"/>
          <w:sz w:val="20"/>
          <w:szCs w:val="20"/>
        </w:rPr>
        <w:t xml:space="preserve">µg/dl </w:t>
      </w:r>
      <w:r w:rsidRPr="00E4036F">
        <w:rPr>
          <w:rFonts w:ascii="Candara" w:hAnsi="Candara"/>
          <w:sz w:val="20"/>
          <w:szCs w:val="20"/>
        </w:rPr>
        <w:t>(d</w:t>
      </w:r>
      <w:bookmarkStart w:id="7" w:name="_GoBack"/>
      <w:bookmarkEnd w:id="7"/>
      <w:r w:rsidRPr="00E4036F">
        <w:rPr>
          <w:rFonts w:ascii="Candara" w:hAnsi="Candara"/>
          <w:sz w:val="20"/>
          <w:szCs w:val="20"/>
        </w:rPr>
        <w:t xml:space="preserve">ay </w:t>
      </w:r>
      <w:r w:rsidR="003E4111">
        <w:rPr>
          <w:rFonts w:ascii="Candara" w:hAnsi="Candara"/>
          <w:sz w:val="20"/>
          <w:szCs w:val="20"/>
          <w:lang w:val="id-ID"/>
        </w:rPr>
        <w:t>5</w:t>
      </w:r>
      <w:r w:rsidRPr="00E4036F">
        <w:rPr>
          <w:rFonts w:ascii="Candara" w:hAnsi="Candara"/>
          <w:sz w:val="20"/>
          <w:szCs w:val="20"/>
        </w:rPr>
        <w:t xml:space="preserve"> of LMWH)</w:t>
      </w:r>
      <w:r w:rsidR="003E4111">
        <w:rPr>
          <w:rFonts w:ascii="Candara" w:hAnsi="Candara"/>
          <w:sz w:val="20"/>
          <w:szCs w:val="20"/>
          <w:lang w:val="id-ID"/>
        </w:rPr>
        <w:t xml:space="preserve">, enoxaparin </w:t>
      </w:r>
      <w:r w:rsidR="00F01FD2">
        <w:rPr>
          <w:rFonts w:ascii="Candara" w:hAnsi="Candara"/>
          <w:sz w:val="20"/>
          <w:szCs w:val="20"/>
          <w:lang w:val="id-ID"/>
        </w:rPr>
        <w:t xml:space="preserve">was </w:t>
      </w:r>
      <w:r w:rsidR="003E4111">
        <w:rPr>
          <w:rFonts w:ascii="Candara" w:hAnsi="Candara"/>
          <w:sz w:val="20"/>
          <w:szCs w:val="20"/>
          <w:lang w:val="id-ID"/>
        </w:rPr>
        <w:t xml:space="preserve">given with </w:t>
      </w:r>
      <w:r w:rsidR="00F01FD2">
        <w:rPr>
          <w:rFonts w:ascii="Candara" w:hAnsi="Candara"/>
          <w:sz w:val="20"/>
          <w:szCs w:val="20"/>
          <w:lang w:val="id-ID"/>
        </w:rPr>
        <w:t xml:space="preserve">the </w:t>
      </w:r>
      <w:r w:rsidR="003E4111">
        <w:rPr>
          <w:rFonts w:ascii="Candara" w:hAnsi="Candara"/>
          <w:sz w:val="20"/>
          <w:szCs w:val="20"/>
          <w:lang w:val="id-ID"/>
        </w:rPr>
        <w:t xml:space="preserve">same dose. </w:t>
      </w:r>
      <w:r w:rsidR="00F01FD2">
        <w:rPr>
          <w:rFonts w:ascii="Candara" w:hAnsi="Candara"/>
          <w:sz w:val="20"/>
          <w:szCs w:val="20"/>
        </w:rPr>
        <w:t>The e</w:t>
      </w:r>
      <w:r w:rsidR="00D25A5C">
        <w:rPr>
          <w:rFonts w:ascii="Candara" w:hAnsi="Candara"/>
          <w:sz w:val="20"/>
          <w:szCs w:val="20"/>
        </w:rPr>
        <w:t>valuation result of d-</w:t>
      </w:r>
      <w:r w:rsidRPr="00E4036F">
        <w:rPr>
          <w:rFonts w:ascii="Candara" w:hAnsi="Candara"/>
          <w:sz w:val="20"/>
          <w:szCs w:val="20"/>
        </w:rPr>
        <w:t>dimer 2.8</w:t>
      </w:r>
      <w:r w:rsidR="003E4111">
        <w:rPr>
          <w:rFonts w:ascii="Candara" w:hAnsi="Candara"/>
          <w:sz w:val="20"/>
          <w:szCs w:val="20"/>
          <w:lang w:val="id-ID"/>
        </w:rPr>
        <w:t>9</w:t>
      </w:r>
      <w:r w:rsidRPr="008B19E4">
        <w:t xml:space="preserve"> </w:t>
      </w:r>
      <w:r w:rsidRPr="008B19E4">
        <w:rPr>
          <w:rFonts w:ascii="Candara" w:hAnsi="Candara"/>
          <w:sz w:val="20"/>
          <w:szCs w:val="20"/>
        </w:rPr>
        <w:t>µg/dl</w:t>
      </w:r>
      <w:r w:rsidRPr="00E4036F">
        <w:rPr>
          <w:rFonts w:ascii="Candara" w:hAnsi="Candara"/>
          <w:sz w:val="20"/>
          <w:szCs w:val="20"/>
        </w:rPr>
        <w:t xml:space="preserve"> (day </w:t>
      </w:r>
      <w:r w:rsidR="00D25A5C">
        <w:rPr>
          <w:rFonts w:ascii="Candara" w:hAnsi="Candara"/>
          <w:sz w:val="20"/>
          <w:szCs w:val="20"/>
        </w:rPr>
        <w:t>10</w:t>
      </w:r>
      <w:r w:rsidRPr="00E4036F">
        <w:rPr>
          <w:rFonts w:ascii="Candara" w:hAnsi="Candara"/>
          <w:sz w:val="20"/>
          <w:szCs w:val="20"/>
        </w:rPr>
        <w:t xml:space="preserve"> LMWH</w:t>
      </w:r>
      <w:r>
        <w:rPr>
          <w:rFonts w:ascii="Candara" w:hAnsi="Candara"/>
          <w:sz w:val="20"/>
          <w:szCs w:val="20"/>
          <w:lang w:val="id-ID"/>
        </w:rPr>
        <w:t xml:space="preserve">) </w:t>
      </w:r>
      <w:r w:rsidR="005D6A5F">
        <w:rPr>
          <w:rFonts w:ascii="Candara" w:hAnsi="Candara"/>
          <w:sz w:val="20"/>
          <w:szCs w:val="20"/>
          <w:lang w:val="id-ID"/>
        </w:rPr>
        <w:t xml:space="preserve">and </w:t>
      </w:r>
      <w:r>
        <w:rPr>
          <w:rFonts w:ascii="Candara" w:hAnsi="Candara"/>
          <w:sz w:val="20"/>
          <w:szCs w:val="20"/>
          <w:lang w:val="id-ID"/>
        </w:rPr>
        <w:t xml:space="preserve">the dose </w:t>
      </w:r>
      <w:r w:rsidR="00F01FD2">
        <w:rPr>
          <w:rFonts w:ascii="Candara" w:hAnsi="Candara"/>
          <w:sz w:val="20"/>
          <w:szCs w:val="20"/>
          <w:lang w:val="id-ID"/>
        </w:rPr>
        <w:t xml:space="preserve">of </w:t>
      </w:r>
      <w:r w:rsidR="005D6A5F">
        <w:rPr>
          <w:rFonts w:ascii="Candara" w:hAnsi="Candara"/>
          <w:sz w:val="20"/>
          <w:szCs w:val="20"/>
          <w:lang w:val="id-ID"/>
        </w:rPr>
        <w:t xml:space="preserve">enoxaparin </w:t>
      </w:r>
      <w:r>
        <w:rPr>
          <w:rFonts w:ascii="Candara" w:hAnsi="Candara"/>
          <w:sz w:val="20"/>
          <w:szCs w:val="20"/>
          <w:lang w:val="id-ID"/>
        </w:rPr>
        <w:t>0.</w:t>
      </w:r>
      <w:r w:rsidR="00D25A5C">
        <w:rPr>
          <w:rFonts w:ascii="Candara" w:hAnsi="Candara"/>
          <w:sz w:val="20"/>
          <w:szCs w:val="20"/>
        </w:rPr>
        <w:t>4</w:t>
      </w:r>
      <w:r>
        <w:rPr>
          <w:rFonts w:ascii="Candara" w:hAnsi="Candara"/>
          <w:sz w:val="20"/>
          <w:szCs w:val="20"/>
          <w:lang w:val="id-ID"/>
        </w:rPr>
        <w:t xml:space="preserve"> ml per </w:t>
      </w:r>
      <w:r w:rsidR="00D25A5C">
        <w:rPr>
          <w:rFonts w:ascii="Candara" w:hAnsi="Candara"/>
          <w:sz w:val="20"/>
          <w:szCs w:val="20"/>
        </w:rPr>
        <w:t>12</w:t>
      </w:r>
      <w:r>
        <w:rPr>
          <w:rFonts w:ascii="Candara" w:hAnsi="Candara"/>
          <w:sz w:val="20"/>
          <w:szCs w:val="20"/>
          <w:lang w:val="id-ID"/>
        </w:rPr>
        <w:t xml:space="preserve"> hours.</w:t>
      </w:r>
      <w:r w:rsidR="00D25A5C">
        <w:rPr>
          <w:rFonts w:ascii="Candara" w:hAnsi="Candara"/>
          <w:sz w:val="20"/>
          <w:szCs w:val="20"/>
        </w:rPr>
        <w:t xml:space="preserve"> Then last evaluation result of d-dimer 1.76 </w:t>
      </w:r>
      <w:r w:rsidR="00D25A5C" w:rsidRPr="008B19E4">
        <w:rPr>
          <w:rFonts w:ascii="Candara" w:hAnsi="Candara"/>
          <w:sz w:val="20"/>
          <w:szCs w:val="20"/>
        </w:rPr>
        <w:t>µg/dl</w:t>
      </w:r>
      <w:r w:rsidR="00D25A5C">
        <w:rPr>
          <w:rFonts w:ascii="Candara" w:hAnsi="Candara"/>
          <w:sz w:val="20"/>
          <w:szCs w:val="20"/>
        </w:rPr>
        <w:t xml:space="preserve"> (day 12 LMWH). </w:t>
      </w:r>
      <w:r w:rsidR="00D25A5C" w:rsidRPr="00046522">
        <w:rPr>
          <w:rFonts w:ascii="Candara" w:hAnsi="Candara"/>
          <w:bCs/>
          <w:sz w:val="20"/>
          <w:szCs w:val="20"/>
        </w:rPr>
        <w:t>The clinical and radiological evaluation results improved, there was no bleeding during the administration of LMWH. The patient went home with clinical improvement.</w:t>
      </w:r>
    </w:p>
    <w:p w14:paraId="69D07BF2" w14:textId="77777777" w:rsidR="008B19E4" w:rsidRDefault="008B19E4" w:rsidP="008B19E4">
      <w:pPr>
        <w:jc w:val="both"/>
        <w:rPr>
          <w:rFonts w:ascii="Candara" w:hAnsi="Candara"/>
          <w:b/>
          <w:bCs/>
          <w:sz w:val="20"/>
          <w:szCs w:val="20"/>
        </w:rPr>
      </w:pPr>
    </w:p>
    <w:p w14:paraId="3C2CB5DB" w14:textId="1170BFAA" w:rsidR="009609D2" w:rsidRPr="009609D2" w:rsidRDefault="009609D2" w:rsidP="008B19E4">
      <w:pPr>
        <w:jc w:val="both"/>
        <w:rPr>
          <w:rFonts w:ascii="Candara" w:hAnsi="Candara"/>
          <w:bCs/>
          <w:sz w:val="20"/>
          <w:szCs w:val="20"/>
        </w:rPr>
      </w:pPr>
      <w:r w:rsidRPr="009609D2">
        <w:rPr>
          <w:rFonts w:ascii="Goudy Old Style" w:hAnsi="Goudy Old Style"/>
          <w:b/>
          <w:color w:val="000000"/>
          <w:sz w:val="18"/>
          <w:szCs w:val="18"/>
          <w:shd w:val="clear" w:color="auto" w:fill="FFFFFF"/>
        </w:rPr>
        <w:t xml:space="preserve">Table </w:t>
      </w:r>
      <w:r w:rsidR="00873D69">
        <w:rPr>
          <w:rFonts w:ascii="Goudy Old Style" w:hAnsi="Goudy Old Style"/>
          <w:b/>
          <w:color w:val="000000"/>
          <w:sz w:val="18"/>
          <w:szCs w:val="18"/>
          <w:shd w:val="clear" w:color="auto" w:fill="FFFFFF"/>
          <w:lang w:val="id-ID"/>
        </w:rPr>
        <w:t>4</w:t>
      </w:r>
      <w:r w:rsidRPr="009609D2">
        <w:rPr>
          <w:rFonts w:ascii="Goudy Old Style" w:hAnsi="Goudy Old Style"/>
          <w:color w:val="000000"/>
          <w:sz w:val="18"/>
          <w:szCs w:val="18"/>
          <w:shd w:val="clear" w:color="auto" w:fill="FFFFFF"/>
        </w:rPr>
        <w:t xml:space="preserve">. </w:t>
      </w:r>
      <w:r w:rsidRPr="009609D2">
        <w:rPr>
          <w:rFonts w:ascii="Goudy Old Style" w:hAnsi="Goudy Old Style"/>
          <w:bCs/>
          <w:color w:val="000000"/>
          <w:sz w:val="18"/>
          <w:szCs w:val="18"/>
          <w:shd w:val="clear" w:color="auto" w:fill="FFFFFF"/>
        </w:rPr>
        <w:t>Case-</w:t>
      </w:r>
      <w:r w:rsidR="00873D69">
        <w:rPr>
          <w:rFonts w:ascii="Goudy Old Style" w:hAnsi="Goudy Old Style"/>
          <w:bCs/>
          <w:color w:val="000000"/>
          <w:sz w:val="18"/>
          <w:szCs w:val="18"/>
          <w:shd w:val="clear" w:color="auto" w:fill="FFFFFF"/>
          <w:lang w:val="id-ID"/>
        </w:rPr>
        <w:t>4</w:t>
      </w:r>
      <w:r w:rsidRPr="009609D2">
        <w:rPr>
          <w:rFonts w:ascii="Goudy Old Style" w:hAnsi="Goudy Old Style"/>
          <w:bCs/>
          <w:color w:val="000000"/>
          <w:sz w:val="18"/>
          <w:szCs w:val="18"/>
          <w:shd w:val="clear" w:color="auto" w:fill="FFFFFF"/>
        </w:rPr>
        <w:t xml:space="preserve"> d-dimer progression after used enoxaparin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8B19E4" w:rsidRPr="00991555" w14:paraId="65313164" w14:textId="77777777" w:rsidTr="00A243EB">
        <w:tc>
          <w:tcPr>
            <w:tcW w:w="1803" w:type="dxa"/>
            <w:tcBorders>
              <w:top w:val="single" w:sz="4" w:space="0" w:color="auto"/>
            </w:tcBorders>
          </w:tcPr>
          <w:p w14:paraId="7E2FE82C" w14:textId="77777777" w:rsidR="008B19E4" w:rsidRPr="009609D2" w:rsidRDefault="008B19E4" w:rsidP="00A243EB">
            <w:pPr>
              <w:jc w:val="both"/>
              <w:rPr>
                <w:rFonts w:ascii="Goudy Old Style" w:hAnsi="Goudy Old Style"/>
                <w:bCs/>
                <w:sz w:val="18"/>
                <w:szCs w:val="18"/>
              </w:rPr>
            </w:pPr>
          </w:p>
        </w:tc>
        <w:tc>
          <w:tcPr>
            <w:tcW w:w="7213" w:type="dxa"/>
            <w:gridSpan w:val="4"/>
            <w:tcBorders>
              <w:top w:val="single" w:sz="4" w:space="0" w:color="auto"/>
            </w:tcBorders>
            <w:vAlign w:val="center"/>
          </w:tcPr>
          <w:p w14:paraId="0EEAEA75" w14:textId="46A6A7D1" w:rsidR="008B19E4" w:rsidRPr="009609D2" w:rsidRDefault="008B19E4" w:rsidP="00A243EB">
            <w:pPr>
              <w:jc w:val="center"/>
              <w:rPr>
                <w:rFonts w:ascii="Goudy Old Style" w:hAnsi="Goudy Old Style"/>
                <w:b/>
                <w:bCs/>
                <w:sz w:val="18"/>
                <w:szCs w:val="18"/>
              </w:rPr>
            </w:pPr>
            <w:r w:rsidRPr="009609D2">
              <w:rPr>
                <w:rFonts w:ascii="Goudy Old Style" w:hAnsi="Goudy Old Style"/>
                <w:b/>
                <w:bCs/>
                <w:sz w:val="18"/>
                <w:szCs w:val="18"/>
              </w:rPr>
              <w:t xml:space="preserve">Day </w:t>
            </w:r>
            <w:r w:rsidR="009609D2" w:rsidRPr="009609D2">
              <w:rPr>
                <w:rFonts w:ascii="Goudy Old Style" w:hAnsi="Goudy Old Style"/>
                <w:b/>
                <w:bCs/>
                <w:sz w:val="18"/>
                <w:szCs w:val="18"/>
              </w:rPr>
              <w:t>Used Enoxaparin</w:t>
            </w:r>
          </w:p>
        </w:tc>
      </w:tr>
      <w:tr w:rsidR="008B19E4" w:rsidRPr="00991555" w14:paraId="01C9CBC2" w14:textId="77777777" w:rsidTr="00A243EB">
        <w:tc>
          <w:tcPr>
            <w:tcW w:w="1803" w:type="dxa"/>
            <w:tcBorders>
              <w:bottom w:val="single" w:sz="4" w:space="0" w:color="auto"/>
            </w:tcBorders>
          </w:tcPr>
          <w:p w14:paraId="2B40AD95" w14:textId="77777777" w:rsidR="008B19E4" w:rsidRPr="009609D2" w:rsidRDefault="008B19E4" w:rsidP="00A243EB">
            <w:pPr>
              <w:jc w:val="both"/>
              <w:rPr>
                <w:rFonts w:ascii="Goudy Old Style" w:hAnsi="Goudy Old Style"/>
                <w:bCs/>
                <w:sz w:val="18"/>
                <w:szCs w:val="18"/>
              </w:rPr>
            </w:pPr>
          </w:p>
        </w:tc>
        <w:tc>
          <w:tcPr>
            <w:tcW w:w="1803" w:type="dxa"/>
            <w:tcBorders>
              <w:bottom w:val="single" w:sz="4" w:space="0" w:color="auto"/>
            </w:tcBorders>
          </w:tcPr>
          <w:p w14:paraId="6B500850" w14:textId="77777777" w:rsidR="008B19E4" w:rsidRPr="009609D2" w:rsidRDefault="008B19E4" w:rsidP="000E1B0A">
            <w:pPr>
              <w:jc w:val="center"/>
              <w:rPr>
                <w:rFonts w:ascii="Goudy Old Style" w:hAnsi="Goudy Old Style"/>
                <w:b/>
                <w:bCs/>
                <w:sz w:val="18"/>
                <w:szCs w:val="18"/>
              </w:rPr>
            </w:pPr>
            <w:r w:rsidRPr="009609D2">
              <w:rPr>
                <w:rFonts w:ascii="Goudy Old Style" w:hAnsi="Goudy Old Style"/>
                <w:b/>
                <w:bCs/>
                <w:sz w:val="18"/>
                <w:szCs w:val="18"/>
              </w:rPr>
              <w:t>Day-1</w:t>
            </w:r>
          </w:p>
        </w:tc>
        <w:tc>
          <w:tcPr>
            <w:tcW w:w="1803" w:type="dxa"/>
            <w:tcBorders>
              <w:bottom w:val="single" w:sz="4" w:space="0" w:color="auto"/>
            </w:tcBorders>
          </w:tcPr>
          <w:p w14:paraId="785BE76F" w14:textId="67B1B3CE" w:rsidR="008B19E4" w:rsidRPr="009609D2" w:rsidRDefault="008B19E4" w:rsidP="000E1B0A">
            <w:pPr>
              <w:jc w:val="center"/>
              <w:rPr>
                <w:rFonts w:ascii="Goudy Old Style" w:hAnsi="Goudy Old Style"/>
                <w:b/>
                <w:bCs/>
                <w:sz w:val="18"/>
                <w:szCs w:val="18"/>
                <w:lang w:val="id-ID"/>
              </w:rPr>
            </w:pPr>
            <w:r w:rsidRPr="009609D2">
              <w:rPr>
                <w:rFonts w:ascii="Goudy Old Style" w:hAnsi="Goudy Old Style"/>
                <w:b/>
                <w:bCs/>
                <w:sz w:val="18"/>
                <w:szCs w:val="18"/>
              </w:rPr>
              <w:t>Day-</w:t>
            </w:r>
            <w:r w:rsidR="00C60DC4" w:rsidRPr="009609D2">
              <w:rPr>
                <w:rFonts w:ascii="Goudy Old Style" w:hAnsi="Goudy Old Style"/>
                <w:b/>
                <w:bCs/>
                <w:sz w:val="18"/>
                <w:szCs w:val="18"/>
                <w:lang w:val="id-ID"/>
              </w:rPr>
              <w:t>5</w:t>
            </w:r>
          </w:p>
        </w:tc>
        <w:tc>
          <w:tcPr>
            <w:tcW w:w="1803" w:type="dxa"/>
            <w:tcBorders>
              <w:bottom w:val="single" w:sz="4" w:space="0" w:color="auto"/>
            </w:tcBorders>
          </w:tcPr>
          <w:p w14:paraId="78CA8F9F" w14:textId="309F0B28" w:rsidR="008B19E4" w:rsidRPr="009609D2" w:rsidRDefault="008B19E4" w:rsidP="000E1B0A">
            <w:pPr>
              <w:jc w:val="center"/>
              <w:rPr>
                <w:rFonts w:ascii="Goudy Old Style" w:hAnsi="Goudy Old Style"/>
                <w:b/>
                <w:bCs/>
                <w:sz w:val="18"/>
                <w:szCs w:val="18"/>
                <w:lang w:val="id-ID"/>
              </w:rPr>
            </w:pPr>
            <w:r w:rsidRPr="009609D2">
              <w:rPr>
                <w:rFonts w:ascii="Goudy Old Style" w:hAnsi="Goudy Old Style"/>
                <w:b/>
                <w:bCs/>
                <w:sz w:val="18"/>
                <w:szCs w:val="18"/>
              </w:rPr>
              <w:t>Day-</w:t>
            </w:r>
            <w:r w:rsidR="00D25A5C" w:rsidRPr="009609D2">
              <w:rPr>
                <w:rFonts w:ascii="Goudy Old Style" w:hAnsi="Goudy Old Style"/>
                <w:b/>
                <w:bCs/>
                <w:sz w:val="18"/>
                <w:szCs w:val="18"/>
                <w:lang w:val="id-ID"/>
              </w:rPr>
              <w:t>10</w:t>
            </w:r>
          </w:p>
        </w:tc>
        <w:tc>
          <w:tcPr>
            <w:tcW w:w="1804" w:type="dxa"/>
            <w:tcBorders>
              <w:bottom w:val="single" w:sz="4" w:space="0" w:color="auto"/>
            </w:tcBorders>
          </w:tcPr>
          <w:p w14:paraId="0DF4C22C" w14:textId="607BB8DF" w:rsidR="008B19E4" w:rsidRPr="009609D2" w:rsidRDefault="008B19E4" w:rsidP="000E1B0A">
            <w:pPr>
              <w:jc w:val="center"/>
              <w:rPr>
                <w:rFonts w:ascii="Goudy Old Style" w:hAnsi="Goudy Old Style"/>
                <w:b/>
                <w:bCs/>
                <w:sz w:val="18"/>
                <w:szCs w:val="18"/>
                <w:lang w:val="id-ID"/>
              </w:rPr>
            </w:pPr>
            <w:r w:rsidRPr="009609D2">
              <w:rPr>
                <w:rFonts w:ascii="Goudy Old Style" w:hAnsi="Goudy Old Style"/>
                <w:b/>
                <w:bCs/>
                <w:sz w:val="18"/>
                <w:szCs w:val="18"/>
              </w:rPr>
              <w:t>Day-</w:t>
            </w:r>
            <w:r w:rsidR="00D25A5C" w:rsidRPr="009609D2">
              <w:rPr>
                <w:rFonts w:ascii="Goudy Old Style" w:hAnsi="Goudy Old Style"/>
                <w:b/>
                <w:bCs/>
                <w:sz w:val="18"/>
                <w:szCs w:val="18"/>
              </w:rPr>
              <w:t>12</w:t>
            </w:r>
          </w:p>
        </w:tc>
      </w:tr>
      <w:tr w:rsidR="008B19E4" w:rsidRPr="00991555" w14:paraId="3E986C11" w14:textId="77777777" w:rsidTr="00A243EB">
        <w:tc>
          <w:tcPr>
            <w:tcW w:w="1803" w:type="dxa"/>
            <w:tcBorders>
              <w:top w:val="single" w:sz="4" w:space="0" w:color="auto"/>
            </w:tcBorders>
          </w:tcPr>
          <w:p w14:paraId="359A86AD" w14:textId="77777777" w:rsidR="008B19E4" w:rsidRPr="009609D2" w:rsidRDefault="008B19E4" w:rsidP="00A243EB">
            <w:pPr>
              <w:jc w:val="both"/>
              <w:rPr>
                <w:rFonts w:ascii="Goudy Old Style" w:hAnsi="Goudy Old Style"/>
                <w:b/>
                <w:bCs/>
                <w:sz w:val="18"/>
                <w:szCs w:val="18"/>
              </w:rPr>
            </w:pPr>
            <w:r w:rsidRPr="009609D2">
              <w:rPr>
                <w:rFonts w:ascii="Goudy Old Style" w:hAnsi="Goudy Old Style"/>
                <w:b/>
                <w:bCs/>
                <w:sz w:val="18"/>
                <w:szCs w:val="18"/>
              </w:rPr>
              <w:t>D-dimer (µg/dl)</w:t>
            </w:r>
          </w:p>
        </w:tc>
        <w:tc>
          <w:tcPr>
            <w:tcW w:w="1803" w:type="dxa"/>
            <w:tcBorders>
              <w:top w:val="single" w:sz="4" w:space="0" w:color="auto"/>
            </w:tcBorders>
          </w:tcPr>
          <w:p w14:paraId="042D7358" w14:textId="77777777" w:rsidR="008B19E4" w:rsidRPr="009609D2" w:rsidRDefault="008B19E4" w:rsidP="000E1B0A">
            <w:pPr>
              <w:jc w:val="center"/>
              <w:rPr>
                <w:rFonts w:ascii="Goudy Old Style" w:hAnsi="Goudy Old Style"/>
                <w:bCs/>
                <w:sz w:val="18"/>
                <w:szCs w:val="18"/>
              </w:rPr>
            </w:pPr>
            <w:r w:rsidRPr="009609D2">
              <w:rPr>
                <w:rFonts w:ascii="Goudy Old Style" w:hAnsi="Goudy Old Style"/>
                <w:bCs/>
                <w:sz w:val="18"/>
                <w:szCs w:val="18"/>
              </w:rPr>
              <w:t>&gt; 4.00</w:t>
            </w:r>
          </w:p>
        </w:tc>
        <w:tc>
          <w:tcPr>
            <w:tcW w:w="1803" w:type="dxa"/>
            <w:tcBorders>
              <w:top w:val="single" w:sz="4" w:space="0" w:color="auto"/>
            </w:tcBorders>
          </w:tcPr>
          <w:p w14:paraId="5EAEAEF0" w14:textId="12E2A940" w:rsidR="008B19E4" w:rsidRPr="009609D2" w:rsidRDefault="003E4111" w:rsidP="000E1B0A">
            <w:pPr>
              <w:jc w:val="center"/>
              <w:rPr>
                <w:rFonts w:ascii="Goudy Old Style" w:hAnsi="Goudy Old Style"/>
                <w:bCs/>
                <w:sz w:val="18"/>
                <w:szCs w:val="18"/>
                <w:lang w:val="id-ID"/>
              </w:rPr>
            </w:pPr>
            <w:r w:rsidRPr="009609D2">
              <w:rPr>
                <w:rFonts w:ascii="Goudy Old Style" w:hAnsi="Goudy Old Style"/>
                <w:bCs/>
                <w:sz w:val="18"/>
                <w:szCs w:val="18"/>
                <w:lang w:val="id-ID"/>
              </w:rPr>
              <w:t>&gt; 4.00</w:t>
            </w:r>
          </w:p>
        </w:tc>
        <w:tc>
          <w:tcPr>
            <w:tcW w:w="1803" w:type="dxa"/>
            <w:tcBorders>
              <w:top w:val="single" w:sz="4" w:space="0" w:color="auto"/>
            </w:tcBorders>
          </w:tcPr>
          <w:p w14:paraId="6E7A2153" w14:textId="5A3BE725" w:rsidR="008B19E4" w:rsidRPr="009609D2" w:rsidRDefault="008B19E4" w:rsidP="000E1B0A">
            <w:pPr>
              <w:jc w:val="center"/>
              <w:rPr>
                <w:rFonts w:ascii="Goudy Old Style" w:hAnsi="Goudy Old Style"/>
                <w:bCs/>
                <w:sz w:val="18"/>
                <w:szCs w:val="18"/>
                <w:lang w:val="id-ID"/>
              </w:rPr>
            </w:pPr>
            <w:r w:rsidRPr="009609D2">
              <w:rPr>
                <w:rFonts w:ascii="Goudy Old Style" w:hAnsi="Goudy Old Style"/>
                <w:bCs/>
                <w:sz w:val="18"/>
                <w:szCs w:val="18"/>
              </w:rPr>
              <w:t>2.8</w:t>
            </w:r>
            <w:r w:rsidR="00C60DC4" w:rsidRPr="009609D2">
              <w:rPr>
                <w:rFonts w:ascii="Goudy Old Style" w:hAnsi="Goudy Old Style"/>
                <w:bCs/>
                <w:sz w:val="18"/>
                <w:szCs w:val="18"/>
                <w:lang w:val="id-ID"/>
              </w:rPr>
              <w:t>9</w:t>
            </w:r>
          </w:p>
        </w:tc>
        <w:tc>
          <w:tcPr>
            <w:tcW w:w="1804" w:type="dxa"/>
            <w:tcBorders>
              <w:top w:val="single" w:sz="4" w:space="0" w:color="auto"/>
            </w:tcBorders>
          </w:tcPr>
          <w:p w14:paraId="5E5D5BD2" w14:textId="21F3C01E" w:rsidR="008B19E4" w:rsidRPr="009609D2" w:rsidRDefault="0080001D" w:rsidP="000E1B0A">
            <w:pPr>
              <w:jc w:val="center"/>
              <w:rPr>
                <w:rFonts w:ascii="Goudy Old Style" w:hAnsi="Goudy Old Style"/>
                <w:bCs/>
                <w:sz w:val="18"/>
                <w:szCs w:val="18"/>
                <w:lang w:val="id-ID"/>
              </w:rPr>
            </w:pPr>
            <w:r w:rsidRPr="009609D2">
              <w:rPr>
                <w:rFonts w:ascii="Goudy Old Style" w:hAnsi="Goudy Old Style"/>
                <w:bCs/>
                <w:sz w:val="18"/>
                <w:szCs w:val="18"/>
                <w:lang w:val="id-ID"/>
              </w:rPr>
              <w:t>1.76</w:t>
            </w:r>
          </w:p>
        </w:tc>
      </w:tr>
      <w:tr w:rsidR="008B19E4" w:rsidRPr="00991555" w14:paraId="7D2CA51C" w14:textId="77777777" w:rsidTr="00A243EB">
        <w:tc>
          <w:tcPr>
            <w:tcW w:w="1803" w:type="dxa"/>
            <w:tcBorders>
              <w:bottom w:val="single" w:sz="4" w:space="0" w:color="auto"/>
            </w:tcBorders>
          </w:tcPr>
          <w:p w14:paraId="7876ADC7" w14:textId="77777777" w:rsidR="008B19E4" w:rsidRPr="009609D2" w:rsidRDefault="008B19E4" w:rsidP="00A243EB">
            <w:pPr>
              <w:jc w:val="both"/>
              <w:rPr>
                <w:rFonts w:ascii="Goudy Old Style" w:hAnsi="Goudy Old Style"/>
                <w:b/>
                <w:bCs/>
                <w:sz w:val="18"/>
                <w:szCs w:val="18"/>
              </w:rPr>
            </w:pPr>
            <w:r w:rsidRPr="009609D2">
              <w:rPr>
                <w:rFonts w:ascii="Goudy Old Style" w:hAnsi="Goudy Old Style"/>
                <w:b/>
                <w:bCs/>
                <w:sz w:val="18"/>
                <w:szCs w:val="18"/>
              </w:rPr>
              <w:t>Dosage</w:t>
            </w:r>
          </w:p>
        </w:tc>
        <w:tc>
          <w:tcPr>
            <w:tcW w:w="1803" w:type="dxa"/>
            <w:tcBorders>
              <w:bottom w:val="single" w:sz="4" w:space="0" w:color="auto"/>
            </w:tcBorders>
          </w:tcPr>
          <w:p w14:paraId="7BF590D1" w14:textId="3A1503FE" w:rsidR="008B19E4" w:rsidRPr="009609D2" w:rsidRDefault="008B19E4" w:rsidP="000E1B0A">
            <w:pPr>
              <w:jc w:val="center"/>
              <w:rPr>
                <w:rFonts w:ascii="Goudy Old Style" w:hAnsi="Goudy Old Style"/>
                <w:bCs/>
                <w:sz w:val="18"/>
                <w:szCs w:val="18"/>
              </w:rPr>
            </w:pPr>
            <w:r w:rsidRPr="009609D2">
              <w:rPr>
                <w:rFonts w:ascii="Goudy Old Style" w:hAnsi="Goudy Old Style"/>
                <w:bCs/>
                <w:sz w:val="18"/>
                <w:szCs w:val="18"/>
              </w:rPr>
              <w:t>0</w:t>
            </w:r>
            <w:r w:rsidR="00C60DC4" w:rsidRPr="009609D2">
              <w:rPr>
                <w:rFonts w:ascii="Goudy Old Style" w:hAnsi="Goudy Old Style"/>
                <w:bCs/>
                <w:sz w:val="18"/>
                <w:szCs w:val="18"/>
                <w:lang w:val="id-ID"/>
              </w:rPr>
              <w:t xml:space="preserve">.6 </w:t>
            </w:r>
            <w:r w:rsidRPr="009609D2">
              <w:rPr>
                <w:rFonts w:ascii="Goudy Old Style" w:hAnsi="Goudy Old Style"/>
                <w:bCs/>
                <w:sz w:val="18"/>
                <w:szCs w:val="18"/>
              </w:rPr>
              <w:t>ml/24h</w:t>
            </w:r>
          </w:p>
        </w:tc>
        <w:tc>
          <w:tcPr>
            <w:tcW w:w="1803" w:type="dxa"/>
            <w:tcBorders>
              <w:bottom w:val="single" w:sz="4" w:space="0" w:color="auto"/>
            </w:tcBorders>
          </w:tcPr>
          <w:p w14:paraId="16C1A6ED" w14:textId="46CA8A40" w:rsidR="008B19E4" w:rsidRPr="009609D2" w:rsidRDefault="008B19E4" w:rsidP="000E1B0A">
            <w:pPr>
              <w:jc w:val="center"/>
              <w:rPr>
                <w:rFonts w:ascii="Goudy Old Style" w:hAnsi="Goudy Old Style"/>
                <w:bCs/>
                <w:sz w:val="18"/>
                <w:szCs w:val="18"/>
              </w:rPr>
            </w:pPr>
            <w:r w:rsidRPr="009609D2">
              <w:rPr>
                <w:rFonts w:ascii="Goudy Old Style" w:hAnsi="Goudy Old Style"/>
                <w:bCs/>
                <w:sz w:val="18"/>
                <w:szCs w:val="18"/>
              </w:rPr>
              <w:t>0.</w:t>
            </w:r>
            <w:r w:rsidR="00C60DC4" w:rsidRPr="009609D2">
              <w:rPr>
                <w:rFonts w:ascii="Goudy Old Style" w:hAnsi="Goudy Old Style"/>
                <w:bCs/>
                <w:sz w:val="18"/>
                <w:szCs w:val="18"/>
                <w:lang w:val="id-ID"/>
              </w:rPr>
              <w:t>6</w:t>
            </w:r>
            <w:r w:rsidRPr="009609D2">
              <w:rPr>
                <w:rFonts w:ascii="Goudy Old Style" w:hAnsi="Goudy Old Style"/>
                <w:bCs/>
                <w:sz w:val="18"/>
                <w:szCs w:val="18"/>
              </w:rPr>
              <w:t>ml/</w:t>
            </w:r>
            <w:r w:rsidR="00C60DC4" w:rsidRPr="009609D2">
              <w:rPr>
                <w:rFonts w:ascii="Goudy Old Style" w:hAnsi="Goudy Old Style"/>
                <w:bCs/>
                <w:sz w:val="18"/>
                <w:szCs w:val="18"/>
                <w:lang w:val="id-ID"/>
              </w:rPr>
              <w:t>24</w:t>
            </w:r>
            <w:r w:rsidRPr="009609D2">
              <w:rPr>
                <w:rFonts w:ascii="Goudy Old Style" w:hAnsi="Goudy Old Style"/>
                <w:bCs/>
                <w:sz w:val="18"/>
                <w:szCs w:val="18"/>
              </w:rPr>
              <w:t>h</w:t>
            </w:r>
          </w:p>
        </w:tc>
        <w:tc>
          <w:tcPr>
            <w:tcW w:w="1803" w:type="dxa"/>
            <w:tcBorders>
              <w:bottom w:val="single" w:sz="4" w:space="0" w:color="auto"/>
            </w:tcBorders>
          </w:tcPr>
          <w:p w14:paraId="1E2D9576" w14:textId="2A016799" w:rsidR="008B19E4" w:rsidRPr="009609D2" w:rsidRDefault="008B19E4" w:rsidP="000E1B0A">
            <w:pPr>
              <w:jc w:val="center"/>
              <w:rPr>
                <w:rFonts w:ascii="Goudy Old Style" w:hAnsi="Goudy Old Style"/>
                <w:bCs/>
                <w:sz w:val="18"/>
                <w:szCs w:val="18"/>
                <w:lang w:val="id-ID"/>
              </w:rPr>
            </w:pPr>
            <w:r w:rsidRPr="009609D2">
              <w:rPr>
                <w:rFonts w:ascii="Goudy Old Style" w:hAnsi="Goudy Old Style"/>
                <w:bCs/>
                <w:sz w:val="18"/>
                <w:szCs w:val="18"/>
                <w:lang w:val="id-ID"/>
              </w:rPr>
              <w:t>0.</w:t>
            </w:r>
            <w:r w:rsidR="0080001D" w:rsidRPr="009609D2">
              <w:rPr>
                <w:rFonts w:ascii="Goudy Old Style" w:hAnsi="Goudy Old Style"/>
                <w:bCs/>
                <w:sz w:val="18"/>
                <w:szCs w:val="18"/>
                <w:lang w:val="id-ID"/>
              </w:rPr>
              <w:t>4</w:t>
            </w:r>
            <w:r w:rsidR="00D25A5C" w:rsidRPr="009609D2">
              <w:rPr>
                <w:rFonts w:ascii="Goudy Old Style" w:hAnsi="Goudy Old Style"/>
                <w:bCs/>
                <w:sz w:val="18"/>
                <w:szCs w:val="18"/>
                <w:lang w:val="id-ID"/>
              </w:rPr>
              <w:t>ml</w:t>
            </w:r>
            <w:r w:rsidRPr="009609D2">
              <w:rPr>
                <w:rFonts w:ascii="Goudy Old Style" w:hAnsi="Goudy Old Style"/>
                <w:bCs/>
                <w:sz w:val="18"/>
                <w:szCs w:val="18"/>
                <w:lang w:val="id-ID"/>
              </w:rPr>
              <w:t>/</w:t>
            </w:r>
            <w:r w:rsidR="0080001D" w:rsidRPr="009609D2">
              <w:rPr>
                <w:rFonts w:ascii="Goudy Old Style" w:hAnsi="Goudy Old Style"/>
                <w:bCs/>
                <w:sz w:val="18"/>
                <w:szCs w:val="18"/>
              </w:rPr>
              <w:t>12</w:t>
            </w:r>
            <w:r w:rsidRPr="009609D2">
              <w:rPr>
                <w:rFonts w:ascii="Goudy Old Style" w:hAnsi="Goudy Old Style"/>
                <w:bCs/>
                <w:sz w:val="18"/>
                <w:szCs w:val="18"/>
                <w:lang w:val="id-ID"/>
              </w:rPr>
              <w:t>h</w:t>
            </w:r>
          </w:p>
        </w:tc>
        <w:tc>
          <w:tcPr>
            <w:tcW w:w="1804" w:type="dxa"/>
            <w:tcBorders>
              <w:bottom w:val="single" w:sz="4" w:space="0" w:color="auto"/>
            </w:tcBorders>
          </w:tcPr>
          <w:p w14:paraId="55CB8EA8" w14:textId="14E9649E" w:rsidR="008B19E4" w:rsidRPr="009609D2" w:rsidRDefault="0080001D" w:rsidP="000E1B0A">
            <w:pPr>
              <w:jc w:val="center"/>
              <w:rPr>
                <w:rFonts w:ascii="Goudy Old Style" w:hAnsi="Goudy Old Style"/>
                <w:bCs/>
                <w:sz w:val="18"/>
                <w:szCs w:val="18"/>
              </w:rPr>
            </w:pPr>
            <w:r w:rsidRPr="009609D2">
              <w:rPr>
                <w:rFonts w:ascii="Goudy Old Style" w:hAnsi="Goudy Old Style"/>
                <w:bCs/>
                <w:sz w:val="18"/>
                <w:szCs w:val="18"/>
              </w:rPr>
              <w:t>Stop</w:t>
            </w:r>
          </w:p>
        </w:tc>
      </w:tr>
    </w:tbl>
    <w:p w14:paraId="4F4B8649" w14:textId="77777777" w:rsidR="008B19E4" w:rsidRDefault="008B19E4" w:rsidP="007058FC">
      <w:pPr>
        <w:jc w:val="both"/>
        <w:rPr>
          <w:rFonts w:ascii="Candara" w:hAnsi="Candara"/>
          <w:b/>
          <w:bCs/>
          <w:sz w:val="20"/>
          <w:szCs w:val="20"/>
        </w:rPr>
      </w:pPr>
    </w:p>
    <w:p w14:paraId="5490AA5E" w14:textId="16109298" w:rsidR="0080001D" w:rsidRPr="00873D69" w:rsidRDefault="0080001D" w:rsidP="0080001D">
      <w:pPr>
        <w:jc w:val="both"/>
        <w:rPr>
          <w:rFonts w:ascii="Candara" w:hAnsi="Candara"/>
          <w:b/>
          <w:bCs/>
          <w:sz w:val="20"/>
          <w:szCs w:val="20"/>
          <w:lang w:val="id-ID"/>
        </w:rPr>
      </w:pPr>
      <w:r w:rsidRPr="00991555">
        <w:rPr>
          <w:rFonts w:ascii="Candara" w:hAnsi="Candara"/>
          <w:b/>
          <w:bCs/>
          <w:sz w:val="20"/>
          <w:szCs w:val="20"/>
          <w:lang w:val="id-ID"/>
        </w:rPr>
        <w:t>CASE</w:t>
      </w:r>
      <w:r>
        <w:rPr>
          <w:rFonts w:ascii="Candara" w:hAnsi="Candara"/>
          <w:b/>
          <w:bCs/>
          <w:sz w:val="20"/>
          <w:szCs w:val="20"/>
        </w:rPr>
        <w:t xml:space="preserve"> </w:t>
      </w:r>
      <w:r w:rsidR="00873D69">
        <w:rPr>
          <w:rFonts w:ascii="Candara" w:hAnsi="Candara"/>
          <w:b/>
          <w:bCs/>
          <w:sz w:val="20"/>
          <w:szCs w:val="20"/>
          <w:lang w:val="id-ID"/>
        </w:rPr>
        <w:t>5</w:t>
      </w:r>
    </w:p>
    <w:p w14:paraId="6FB62AD9" w14:textId="691682C7" w:rsidR="000E1B0A" w:rsidRPr="0019184A" w:rsidRDefault="0080001D" w:rsidP="0080001D">
      <w:pPr>
        <w:jc w:val="both"/>
        <w:rPr>
          <w:rFonts w:ascii="Candara" w:hAnsi="Candara"/>
          <w:b/>
          <w:bCs/>
          <w:sz w:val="20"/>
          <w:szCs w:val="20"/>
          <w:lang w:val="id-ID"/>
        </w:rPr>
      </w:pPr>
      <w:r w:rsidRPr="00991555">
        <w:rPr>
          <w:rFonts w:ascii="Candara" w:hAnsi="Candara"/>
          <w:b/>
          <w:bCs/>
          <w:sz w:val="20"/>
          <w:szCs w:val="20"/>
        </w:rPr>
        <w:t xml:space="preserve">       </w:t>
      </w:r>
      <w:r>
        <w:rPr>
          <w:rFonts w:ascii="Candara" w:hAnsi="Candara"/>
          <w:sz w:val="20"/>
          <w:szCs w:val="20"/>
          <w:lang w:val="id-ID"/>
        </w:rPr>
        <w:t>Mr</w:t>
      </w:r>
      <w:r>
        <w:rPr>
          <w:rFonts w:ascii="Candara" w:hAnsi="Candara"/>
          <w:sz w:val="20"/>
          <w:szCs w:val="20"/>
        </w:rPr>
        <w:t>s</w:t>
      </w:r>
      <w:r w:rsidRPr="00E4036F">
        <w:rPr>
          <w:rFonts w:ascii="Candara" w:hAnsi="Candara"/>
          <w:sz w:val="20"/>
          <w:szCs w:val="20"/>
        </w:rPr>
        <w:t>.</w:t>
      </w:r>
      <w:r>
        <w:rPr>
          <w:rFonts w:ascii="Candara" w:hAnsi="Candara"/>
          <w:sz w:val="20"/>
          <w:szCs w:val="20"/>
          <w:lang w:val="id-ID"/>
        </w:rPr>
        <w:t xml:space="preserve"> </w:t>
      </w:r>
      <w:r>
        <w:rPr>
          <w:rFonts w:ascii="Candara" w:hAnsi="Candara"/>
          <w:sz w:val="20"/>
          <w:szCs w:val="20"/>
        </w:rPr>
        <w:t>F</w:t>
      </w:r>
      <w:r w:rsidRPr="00E4036F">
        <w:rPr>
          <w:rFonts w:ascii="Candara" w:hAnsi="Candara"/>
          <w:sz w:val="20"/>
          <w:szCs w:val="20"/>
        </w:rPr>
        <w:t xml:space="preserve">, </w:t>
      </w:r>
      <w:r>
        <w:rPr>
          <w:rFonts w:ascii="Candara" w:hAnsi="Candara"/>
          <w:sz w:val="20"/>
          <w:szCs w:val="20"/>
        </w:rPr>
        <w:t>60</w:t>
      </w:r>
      <w:r w:rsidRPr="00E4036F">
        <w:rPr>
          <w:rFonts w:ascii="Candara" w:hAnsi="Candara"/>
          <w:sz w:val="20"/>
          <w:szCs w:val="20"/>
        </w:rPr>
        <w:t xml:space="preserve"> years old, </w:t>
      </w:r>
      <w:r w:rsidR="00012FAA">
        <w:rPr>
          <w:rFonts w:ascii="Candara" w:hAnsi="Candara"/>
          <w:sz w:val="20"/>
          <w:szCs w:val="20"/>
          <w:lang w:val="id-ID"/>
        </w:rPr>
        <w:t>complained of</w:t>
      </w:r>
      <w:r>
        <w:rPr>
          <w:rFonts w:ascii="Candara" w:hAnsi="Candara"/>
          <w:sz w:val="20"/>
          <w:szCs w:val="20"/>
          <w:lang w:val="id-ID"/>
        </w:rPr>
        <w:t xml:space="preserve"> </w:t>
      </w:r>
      <w:r w:rsidRPr="00E4036F">
        <w:rPr>
          <w:rFonts w:ascii="Candara" w:hAnsi="Candara"/>
          <w:sz w:val="20"/>
          <w:szCs w:val="20"/>
        </w:rPr>
        <w:t>shortness of breath</w:t>
      </w:r>
      <w:r>
        <w:rPr>
          <w:rFonts w:ascii="Candara" w:hAnsi="Candara"/>
          <w:sz w:val="20"/>
          <w:szCs w:val="20"/>
        </w:rPr>
        <w:t xml:space="preserve"> and cough</w:t>
      </w:r>
      <w:r w:rsidRPr="00E4036F">
        <w:rPr>
          <w:rFonts w:ascii="Candara" w:hAnsi="Candara"/>
          <w:sz w:val="20"/>
          <w:szCs w:val="20"/>
        </w:rPr>
        <w:t xml:space="preserve">. Comorbidities </w:t>
      </w:r>
      <w:r>
        <w:rPr>
          <w:rFonts w:ascii="Candara" w:hAnsi="Candara"/>
          <w:sz w:val="20"/>
          <w:szCs w:val="20"/>
          <w:lang w:val="id-ID"/>
        </w:rPr>
        <w:t xml:space="preserve">chronic </w:t>
      </w:r>
      <w:r>
        <w:rPr>
          <w:rFonts w:ascii="Candara" w:hAnsi="Candara"/>
          <w:sz w:val="20"/>
          <w:szCs w:val="20"/>
        </w:rPr>
        <w:t>kidney</w:t>
      </w:r>
      <w:r>
        <w:rPr>
          <w:rFonts w:ascii="Candara" w:hAnsi="Candara"/>
          <w:sz w:val="20"/>
          <w:szCs w:val="20"/>
          <w:lang w:val="id-ID"/>
        </w:rPr>
        <w:t xml:space="preserve"> </w:t>
      </w:r>
      <w:r>
        <w:rPr>
          <w:rFonts w:ascii="Candara" w:hAnsi="Candara"/>
          <w:sz w:val="20"/>
          <w:szCs w:val="20"/>
        </w:rPr>
        <w:t>disease</w:t>
      </w:r>
      <w:r>
        <w:rPr>
          <w:rFonts w:ascii="Candara" w:hAnsi="Candara"/>
          <w:sz w:val="20"/>
          <w:szCs w:val="20"/>
          <w:lang w:val="id-ID"/>
        </w:rPr>
        <w:t xml:space="preserve"> </w:t>
      </w:r>
      <w:r>
        <w:rPr>
          <w:rFonts w:ascii="Candara" w:hAnsi="Candara"/>
          <w:sz w:val="20"/>
          <w:szCs w:val="20"/>
        </w:rPr>
        <w:t>stage</w:t>
      </w:r>
      <w:r>
        <w:rPr>
          <w:rFonts w:ascii="Candara" w:hAnsi="Candara"/>
          <w:sz w:val="20"/>
          <w:szCs w:val="20"/>
          <w:lang w:val="id-ID"/>
        </w:rPr>
        <w:t xml:space="preserve"> </w:t>
      </w:r>
      <w:r>
        <w:rPr>
          <w:rFonts w:ascii="Candara" w:hAnsi="Candara"/>
          <w:sz w:val="20"/>
          <w:szCs w:val="20"/>
        </w:rPr>
        <w:t>V</w:t>
      </w:r>
      <w:r>
        <w:rPr>
          <w:rFonts w:ascii="Candara" w:hAnsi="Candara"/>
          <w:sz w:val="20"/>
          <w:szCs w:val="20"/>
          <w:lang w:val="id-ID"/>
        </w:rPr>
        <w:t xml:space="preserve">, </w:t>
      </w:r>
      <w:r w:rsidR="00873D69">
        <w:rPr>
          <w:rFonts w:ascii="Candara" w:hAnsi="Candara"/>
          <w:sz w:val="20"/>
          <w:szCs w:val="20"/>
          <w:lang w:val="id-ID"/>
        </w:rPr>
        <w:t>a</w:t>
      </w:r>
      <w:proofErr w:type="spellStart"/>
      <w:r>
        <w:rPr>
          <w:rFonts w:ascii="Candara" w:hAnsi="Candara"/>
          <w:sz w:val="20"/>
          <w:szCs w:val="20"/>
        </w:rPr>
        <w:t>nemia</w:t>
      </w:r>
      <w:proofErr w:type="spellEnd"/>
      <w:r>
        <w:rPr>
          <w:rFonts w:ascii="Candara" w:hAnsi="Candara"/>
          <w:sz w:val="20"/>
          <w:szCs w:val="20"/>
        </w:rPr>
        <w:t xml:space="preserve">, </w:t>
      </w:r>
      <w:r w:rsidR="00873D69">
        <w:rPr>
          <w:rFonts w:ascii="Candara" w:hAnsi="Candara"/>
          <w:sz w:val="20"/>
          <w:szCs w:val="20"/>
          <w:lang w:val="id-ID"/>
        </w:rPr>
        <w:t>h</w:t>
      </w:r>
      <w:proofErr w:type="spellStart"/>
      <w:r>
        <w:rPr>
          <w:rFonts w:ascii="Candara" w:hAnsi="Candara"/>
          <w:sz w:val="20"/>
          <w:szCs w:val="20"/>
        </w:rPr>
        <w:t>ypertension</w:t>
      </w:r>
      <w:proofErr w:type="spellEnd"/>
      <w:r w:rsidR="00873D69">
        <w:rPr>
          <w:rFonts w:ascii="Candara" w:hAnsi="Candara"/>
          <w:sz w:val="20"/>
          <w:szCs w:val="20"/>
          <w:lang w:val="id-ID"/>
        </w:rPr>
        <w:t xml:space="preserve">, </w:t>
      </w:r>
      <w:r>
        <w:rPr>
          <w:rFonts w:ascii="Candara" w:hAnsi="Candara"/>
          <w:sz w:val="20"/>
          <w:szCs w:val="20"/>
        </w:rPr>
        <w:t xml:space="preserve">and </w:t>
      </w:r>
      <w:r w:rsidR="00873D69">
        <w:rPr>
          <w:rFonts w:ascii="Candara" w:hAnsi="Candara"/>
          <w:sz w:val="20"/>
          <w:szCs w:val="20"/>
          <w:lang w:val="id-ID"/>
        </w:rPr>
        <w:t>d</w:t>
      </w:r>
      <w:proofErr w:type="spellStart"/>
      <w:r>
        <w:rPr>
          <w:rFonts w:ascii="Candara" w:hAnsi="Candara"/>
          <w:sz w:val="20"/>
          <w:szCs w:val="20"/>
        </w:rPr>
        <w:t>iabetes</w:t>
      </w:r>
      <w:proofErr w:type="spellEnd"/>
      <w:r>
        <w:rPr>
          <w:rFonts w:ascii="Candara" w:hAnsi="Candara"/>
          <w:sz w:val="20"/>
          <w:szCs w:val="20"/>
        </w:rPr>
        <w:t xml:space="preserve"> </w:t>
      </w:r>
      <w:r w:rsidR="00873D69">
        <w:rPr>
          <w:rFonts w:ascii="Candara" w:hAnsi="Candara"/>
          <w:sz w:val="20"/>
          <w:szCs w:val="20"/>
          <w:lang w:val="id-ID"/>
        </w:rPr>
        <w:t>m</w:t>
      </w:r>
      <w:proofErr w:type="spellStart"/>
      <w:r>
        <w:rPr>
          <w:rFonts w:ascii="Candara" w:hAnsi="Candara"/>
          <w:sz w:val="20"/>
          <w:szCs w:val="20"/>
        </w:rPr>
        <w:t>ellitus</w:t>
      </w:r>
      <w:proofErr w:type="spellEnd"/>
      <w:r>
        <w:rPr>
          <w:rFonts w:ascii="Candara" w:hAnsi="Candara"/>
          <w:sz w:val="20"/>
          <w:szCs w:val="20"/>
          <w:lang w:val="id-ID"/>
        </w:rPr>
        <w:t xml:space="preserve">. </w:t>
      </w:r>
      <w:r w:rsidRPr="00E4036F">
        <w:rPr>
          <w:rFonts w:ascii="Candara" w:hAnsi="Candara"/>
          <w:sz w:val="20"/>
          <w:szCs w:val="20"/>
        </w:rPr>
        <w:t xml:space="preserve">The diagnosis of </w:t>
      </w:r>
      <w:r w:rsidR="00E30904">
        <w:rPr>
          <w:rFonts w:ascii="Candara" w:hAnsi="Candara"/>
          <w:sz w:val="20"/>
          <w:szCs w:val="20"/>
        </w:rPr>
        <w:t>COVID-19</w:t>
      </w:r>
      <w:r w:rsidRPr="00E4036F">
        <w:rPr>
          <w:rFonts w:ascii="Candara" w:hAnsi="Candara"/>
          <w:sz w:val="20"/>
          <w:szCs w:val="20"/>
        </w:rPr>
        <w:t xml:space="preserve"> was confirme</w:t>
      </w:r>
      <w:r>
        <w:rPr>
          <w:rFonts w:ascii="Candara" w:hAnsi="Candara"/>
          <w:sz w:val="20"/>
          <w:szCs w:val="20"/>
        </w:rPr>
        <w:t xml:space="preserve">d by </w:t>
      </w:r>
      <w:r w:rsidR="005835A1">
        <w:rPr>
          <w:rFonts w:ascii="Candara" w:hAnsi="Candara"/>
          <w:sz w:val="20"/>
          <w:szCs w:val="20"/>
        </w:rPr>
        <w:t xml:space="preserve">a </w:t>
      </w:r>
      <w:r w:rsidR="00873D69">
        <w:rPr>
          <w:rFonts w:ascii="Candara" w:hAnsi="Candara"/>
          <w:sz w:val="20"/>
          <w:szCs w:val="20"/>
          <w:lang w:val="id-ID"/>
        </w:rPr>
        <w:t xml:space="preserve">positive </w:t>
      </w:r>
      <w:r>
        <w:rPr>
          <w:rFonts w:ascii="Candara" w:hAnsi="Candara"/>
          <w:sz w:val="20"/>
          <w:szCs w:val="20"/>
        </w:rPr>
        <w:t>RT-PCR nasopharyngeal swab</w:t>
      </w:r>
      <w:r>
        <w:rPr>
          <w:rFonts w:ascii="Candara" w:hAnsi="Candara"/>
          <w:sz w:val="20"/>
          <w:szCs w:val="20"/>
          <w:lang w:val="id-ID"/>
        </w:rPr>
        <w:t xml:space="preserve"> with chest </w:t>
      </w:r>
      <w:r w:rsidR="00012FAA">
        <w:rPr>
          <w:rFonts w:ascii="Candara" w:hAnsi="Candara"/>
          <w:sz w:val="20"/>
          <w:szCs w:val="20"/>
        </w:rPr>
        <w:t xml:space="preserve">X-ray </w:t>
      </w:r>
      <w:r>
        <w:rPr>
          <w:rFonts w:ascii="Candara" w:hAnsi="Candara"/>
          <w:sz w:val="20"/>
          <w:szCs w:val="20"/>
          <w:lang w:val="id-ID"/>
        </w:rPr>
        <w:t>pulmonary edema mixed pneumonia</w:t>
      </w:r>
      <w:r w:rsidR="00012FAA">
        <w:rPr>
          <w:rFonts w:ascii="Candara" w:hAnsi="Candara"/>
          <w:sz w:val="20"/>
          <w:szCs w:val="20"/>
        </w:rPr>
        <w:t xml:space="preserve"> and cardiomegaly</w:t>
      </w:r>
      <w:r>
        <w:rPr>
          <w:rFonts w:ascii="Candara" w:hAnsi="Candara"/>
          <w:sz w:val="20"/>
          <w:szCs w:val="20"/>
          <w:lang w:val="id-ID"/>
        </w:rPr>
        <w:t xml:space="preserve">. </w:t>
      </w:r>
      <w:r w:rsidR="00F01FD2">
        <w:rPr>
          <w:rFonts w:ascii="Candara" w:hAnsi="Candara"/>
          <w:sz w:val="20"/>
          <w:szCs w:val="20"/>
        </w:rPr>
        <w:t>The p</w:t>
      </w:r>
      <w:r w:rsidRPr="00E4036F">
        <w:rPr>
          <w:rFonts w:ascii="Candara" w:hAnsi="Candara"/>
          <w:sz w:val="20"/>
          <w:szCs w:val="20"/>
        </w:rPr>
        <w:t>atient</w:t>
      </w:r>
      <w:r>
        <w:rPr>
          <w:rFonts w:ascii="Candara" w:hAnsi="Candara"/>
          <w:sz w:val="20"/>
          <w:szCs w:val="20"/>
          <w:lang w:val="id-ID"/>
        </w:rPr>
        <w:t xml:space="preserve"> had</w:t>
      </w:r>
      <w:r w:rsidRPr="00E4036F">
        <w:rPr>
          <w:rFonts w:ascii="Candara" w:hAnsi="Candara"/>
          <w:sz w:val="20"/>
          <w:szCs w:val="20"/>
        </w:rPr>
        <w:t xml:space="preserve"> </w:t>
      </w:r>
      <w:r>
        <w:rPr>
          <w:rFonts w:ascii="Candara" w:hAnsi="Candara"/>
          <w:sz w:val="20"/>
          <w:szCs w:val="20"/>
        </w:rPr>
        <w:t>moderate</w:t>
      </w:r>
      <w:r w:rsidRPr="00E4036F">
        <w:rPr>
          <w:rFonts w:ascii="Candara" w:hAnsi="Candara"/>
          <w:sz w:val="20"/>
          <w:szCs w:val="20"/>
        </w:rPr>
        <w:t xml:space="preserve"> clinical symptoms with </w:t>
      </w:r>
      <w:r w:rsidR="00F01FD2">
        <w:rPr>
          <w:rFonts w:ascii="Candara" w:hAnsi="Candara"/>
          <w:sz w:val="20"/>
          <w:szCs w:val="20"/>
        </w:rPr>
        <w:t xml:space="preserve">a </w:t>
      </w:r>
      <w:r w:rsidRPr="00E4036F">
        <w:rPr>
          <w:rFonts w:ascii="Candara" w:hAnsi="Candara"/>
          <w:sz w:val="20"/>
          <w:szCs w:val="20"/>
        </w:rPr>
        <w:t>d-dimer result</w:t>
      </w:r>
      <w:r>
        <w:rPr>
          <w:rFonts w:ascii="Candara" w:hAnsi="Candara"/>
          <w:sz w:val="20"/>
          <w:szCs w:val="20"/>
          <w:lang w:val="id-ID"/>
        </w:rPr>
        <w:t xml:space="preserve"> </w:t>
      </w:r>
      <w:r w:rsidR="00F01FD2">
        <w:rPr>
          <w:rFonts w:ascii="Candara" w:hAnsi="Candara"/>
          <w:sz w:val="20"/>
          <w:szCs w:val="20"/>
          <w:lang w:val="id-ID"/>
        </w:rPr>
        <w:t xml:space="preserve">of </w:t>
      </w:r>
      <w:r>
        <w:rPr>
          <w:rFonts w:ascii="Candara" w:hAnsi="Candara"/>
          <w:sz w:val="20"/>
          <w:szCs w:val="20"/>
        </w:rPr>
        <w:t>1.39</w:t>
      </w:r>
      <w:r w:rsidRPr="000A0177">
        <w:t xml:space="preserve"> </w:t>
      </w:r>
      <w:r w:rsidRPr="000A0177">
        <w:rPr>
          <w:rFonts w:ascii="Candara" w:hAnsi="Candara"/>
          <w:sz w:val="20"/>
          <w:szCs w:val="20"/>
        </w:rPr>
        <w:t>µg/dl</w:t>
      </w:r>
      <w:r w:rsidR="00873D69">
        <w:rPr>
          <w:rFonts w:ascii="Candara" w:hAnsi="Candara"/>
          <w:sz w:val="20"/>
          <w:szCs w:val="20"/>
          <w:lang w:val="id-ID"/>
        </w:rPr>
        <w:t xml:space="preserve"> (4.6 times the normal value)</w:t>
      </w:r>
      <w:r>
        <w:rPr>
          <w:rFonts w:ascii="Candara" w:hAnsi="Candara"/>
          <w:sz w:val="20"/>
          <w:szCs w:val="20"/>
        </w:rPr>
        <w:t xml:space="preserve">. The patient </w:t>
      </w:r>
      <w:r w:rsidR="00873D69">
        <w:rPr>
          <w:rFonts w:ascii="Candara" w:hAnsi="Candara"/>
          <w:sz w:val="20"/>
          <w:szCs w:val="20"/>
          <w:lang w:val="id-ID"/>
        </w:rPr>
        <w:t>h</w:t>
      </w:r>
      <w:r>
        <w:rPr>
          <w:rFonts w:ascii="Candara" w:hAnsi="Candara"/>
          <w:sz w:val="20"/>
          <w:szCs w:val="20"/>
        </w:rPr>
        <w:t xml:space="preserve">as given </w:t>
      </w:r>
      <w:r w:rsidRPr="0080001D">
        <w:rPr>
          <w:rFonts w:ascii="Candara" w:hAnsi="Candara"/>
          <w:sz w:val="20"/>
          <w:szCs w:val="20"/>
        </w:rPr>
        <w:t>unfractionated </w:t>
      </w:r>
      <w:r w:rsidRPr="0080001D">
        <w:rPr>
          <w:rFonts w:ascii="Candara" w:hAnsi="Candara"/>
          <w:bCs/>
          <w:sz w:val="20"/>
          <w:szCs w:val="20"/>
        </w:rPr>
        <w:t>heparin</w:t>
      </w:r>
      <w:r w:rsidRPr="0080001D">
        <w:rPr>
          <w:rFonts w:ascii="Candara" w:hAnsi="Candara"/>
          <w:sz w:val="20"/>
          <w:szCs w:val="20"/>
        </w:rPr>
        <w:t> (</w:t>
      </w:r>
      <w:r w:rsidRPr="0080001D">
        <w:rPr>
          <w:rFonts w:ascii="Candara" w:hAnsi="Candara"/>
          <w:bCs/>
          <w:sz w:val="20"/>
          <w:szCs w:val="20"/>
        </w:rPr>
        <w:t>UFH</w:t>
      </w:r>
      <w:r w:rsidRPr="0080001D">
        <w:rPr>
          <w:rFonts w:ascii="Candara" w:hAnsi="Candara"/>
          <w:sz w:val="20"/>
          <w:szCs w:val="20"/>
        </w:rPr>
        <w:t>)</w:t>
      </w:r>
      <w:r>
        <w:rPr>
          <w:rFonts w:ascii="Candara" w:hAnsi="Candara"/>
          <w:sz w:val="20"/>
          <w:szCs w:val="20"/>
        </w:rPr>
        <w:t xml:space="preserve"> 5000 IU per 12 hours. </w:t>
      </w:r>
      <w:r w:rsidR="008A5865">
        <w:rPr>
          <w:rFonts w:ascii="Candara" w:hAnsi="Candara"/>
          <w:sz w:val="20"/>
          <w:szCs w:val="20"/>
        </w:rPr>
        <w:t>The e</w:t>
      </w:r>
      <w:r>
        <w:rPr>
          <w:rFonts w:ascii="Candara" w:hAnsi="Candara"/>
          <w:sz w:val="20"/>
          <w:szCs w:val="20"/>
        </w:rPr>
        <w:t>valuation result of d-</w:t>
      </w:r>
      <w:r w:rsidRPr="00E4036F">
        <w:rPr>
          <w:rFonts w:ascii="Candara" w:hAnsi="Candara"/>
          <w:sz w:val="20"/>
          <w:szCs w:val="20"/>
        </w:rPr>
        <w:t>dimer</w:t>
      </w:r>
      <w:r>
        <w:rPr>
          <w:rFonts w:ascii="Candara" w:hAnsi="Candara"/>
          <w:sz w:val="20"/>
          <w:szCs w:val="20"/>
        </w:rPr>
        <w:t xml:space="preserve"> 1.34</w:t>
      </w:r>
      <w:r w:rsidRPr="00E4036F">
        <w:rPr>
          <w:rFonts w:ascii="Candara" w:hAnsi="Candara"/>
          <w:sz w:val="20"/>
          <w:szCs w:val="20"/>
        </w:rPr>
        <w:t xml:space="preserve"> </w:t>
      </w:r>
      <w:r w:rsidRPr="008B19E4">
        <w:rPr>
          <w:rFonts w:ascii="Candara" w:hAnsi="Candara"/>
          <w:sz w:val="20"/>
          <w:szCs w:val="20"/>
        </w:rPr>
        <w:t xml:space="preserve">µg/dl </w:t>
      </w:r>
      <w:r w:rsidRPr="00E4036F">
        <w:rPr>
          <w:rFonts w:ascii="Candara" w:hAnsi="Candara"/>
          <w:sz w:val="20"/>
          <w:szCs w:val="20"/>
        </w:rPr>
        <w:t xml:space="preserve">(day </w:t>
      </w:r>
      <w:r>
        <w:rPr>
          <w:rFonts w:ascii="Candara" w:hAnsi="Candara"/>
          <w:sz w:val="20"/>
          <w:szCs w:val="20"/>
          <w:lang w:val="id-ID"/>
        </w:rPr>
        <w:t>4</w:t>
      </w:r>
      <w:r w:rsidRPr="00E4036F">
        <w:rPr>
          <w:rFonts w:ascii="Candara" w:hAnsi="Candara"/>
          <w:sz w:val="20"/>
          <w:szCs w:val="20"/>
        </w:rPr>
        <w:t xml:space="preserve"> of </w:t>
      </w:r>
      <w:r>
        <w:rPr>
          <w:rFonts w:ascii="Candara" w:hAnsi="Candara"/>
          <w:sz w:val="20"/>
          <w:szCs w:val="20"/>
        </w:rPr>
        <w:t>UFH</w:t>
      </w:r>
      <w:r w:rsidRPr="00E4036F">
        <w:rPr>
          <w:rFonts w:ascii="Candara" w:hAnsi="Candara"/>
          <w:sz w:val="20"/>
          <w:szCs w:val="20"/>
        </w:rPr>
        <w:t>)</w:t>
      </w:r>
      <w:r>
        <w:rPr>
          <w:rFonts w:ascii="Candara" w:hAnsi="Candara"/>
          <w:sz w:val="20"/>
          <w:szCs w:val="20"/>
          <w:lang w:val="id-ID"/>
        </w:rPr>
        <w:t xml:space="preserve">, </w:t>
      </w:r>
      <w:r>
        <w:rPr>
          <w:rFonts w:ascii="Candara" w:hAnsi="Candara"/>
          <w:sz w:val="20"/>
          <w:szCs w:val="20"/>
        </w:rPr>
        <w:t>then UFH</w:t>
      </w:r>
      <w:r>
        <w:rPr>
          <w:rFonts w:ascii="Candara" w:hAnsi="Candara"/>
          <w:sz w:val="20"/>
          <w:szCs w:val="20"/>
          <w:lang w:val="id-ID"/>
        </w:rPr>
        <w:t xml:space="preserve"> g</w:t>
      </w:r>
      <w:r w:rsidR="008A5865">
        <w:rPr>
          <w:rFonts w:ascii="Candara" w:hAnsi="Candara"/>
          <w:sz w:val="20"/>
          <w:szCs w:val="20"/>
          <w:lang w:val="id-ID"/>
        </w:rPr>
        <w:t>ave</w:t>
      </w:r>
      <w:r>
        <w:rPr>
          <w:rFonts w:ascii="Candara" w:hAnsi="Candara"/>
          <w:sz w:val="20"/>
          <w:szCs w:val="20"/>
          <w:lang w:val="id-ID"/>
        </w:rPr>
        <w:t xml:space="preserve"> with </w:t>
      </w:r>
      <w:r w:rsidR="008A5865">
        <w:rPr>
          <w:rFonts w:ascii="Candara" w:hAnsi="Candara"/>
          <w:sz w:val="20"/>
          <w:szCs w:val="20"/>
          <w:lang w:val="id-ID"/>
        </w:rPr>
        <w:t xml:space="preserve">the </w:t>
      </w:r>
      <w:r>
        <w:rPr>
          <w:rFonts w:ascii="Candara" w:hAnsi="Candara"/>
          <w:sz w:val="20"/>
          <w:szCs w:val="20"/>
          <w:lang w:val="id-ID"/>
        </w:rPr>
        <w:t>same dose.</w:t>
      </w:r>
      <w:r>
        <w:rPr>
          <w:rFonts w:ascii="Candara" w:hAnsi="Candara"/>
          <w:sz w:val="20"/>
          <w:szCs w:val="20"/>
        </w:rPr>
        <w:t xml:space="preserve"> Then last evaluation result of d-dimer 0.97 </w:t>
      </w:r>
      <w:r w:rsidRPr="008B19E4">
        <w:rPr>
          <w:rFonts w:ascii="Candara" w:hAnsi="Candara"/>
          <w:sz w:val="20"/>
          <w:szCs w:val="20"/>
        </w:rPr>
        <w:t>µg/dl</w:t>
      </w:r>
      <w:r>
        <w:rPr>
          <w:rFonts w:ascii="Candara" w:hAnsi="Candara"/>
          <w:sz w:val="20"/>
          <w:szCs w:val="20"/>
        </w:rPr>
        <w:t xml:space="preserve"> (day 6 UFH). </w:t>
      </w:r>
      <w:r w:rsidRPr="00046522">
        <w:rPr>
          <w:rFonts w:ascii="Candara" w:hAnsi="Candara"/>
          <w:bCs/>
          <w:sz w:val="20"/>
          <w:szCs w:val="20"/>
        </w:rPr>
        <w:t xml:space="preserve">The clinical and radiological evaluation results improved, there was no bleeding during the administration of </w:t>
      </w:r>
      <w:r>
        <w:rPr>
          <w:rFonts w:ascii="Candara" w:hAnsi="Candara"/>
          <w:bCs/>
          <w:sz w:val="20"/>
          <w:szCs w:val="20"/>
        </w:rPr>
        <w:t>UFH</w:t>
      </w:r>
      <w:r w:rsidRPr="00046522">
        <w:rPr>
          <w:rFonts w:ascii="Candara" w:hAnsi="Candara"/>
          <w:bCs/>
          <w:sz w:val="20"/>
          <w:szCs w:val="20"/>
        </w:rPr>
        <w:t>. The patient went home with clinical improvement.</w:t>
      </w:r>
    </w:p>
    <w:p w14:paraId="3A96AA56" w14:textId="77777777" w:rsidR="000E1B0A" w:rsidRDefault="000E1B0A" w:rsidP="0080001D">
      <w:pPr>
        <w:jc w:val="both"/>
        <w:rPr>
          <w:rFonts w:ascii="Candara" w:hAnsi="Candara"/>
          <w:b/>
          <w:bCs/>
          <w:sz w:val="20"/>
          <w:szCs w:val="20"/>
        </w:rPr>
      </w:pPr>
    </w:p>
    <w:p w14:paraId="0280DA97" w14:textId="318CD90C" w:rsidR="009609D2" w:rsidRPr="009609D2" w:rsidRDefault="009609D2" w:rsidP="0080001D">
      <w:pPr>
        <w:jc w:val="both"/>
        <w:rPr>
          <w:rFonts w:ascii="Candara" w:hAnsi="Candara"/>
          <w:bCs/>
          <w:sz w:val="20"/>
          <w:szCs w:val="20"/>
        </w:rPr>
      </w:pPr>
      <w:r w:rsidRPr="009609D2">
        <w:rPr>
          <w:rFonts w:ascii="Goudy Old Style" w:hAnsi="Goudy Old Style"/>
          <w:b/>
          <w:color w:val="000000"/>
          <w:sz w:val="18"/>
          <w:szCs w:val="18"/>
          <w:shd w:val="clear" w:color="auto" w:fill="FFFFFF"/>
        </w:rPr>
        <w:t xml:space="preserve">Table </w:t>
      </w:r>
      <w:r w:rsidR="00873D69">
        <w:rPr>
          <w:rFonts w:ascii="Goudy Old Style" w:hAnsi="Goudy Old Style"/>
          <w:b/>
          <w:color w:val="000000"/>
          <w:sz w:val="18"/>
          <w:szCs w:val="18"/>
          <w:shd w:val="clear" w:color="auto" w:fill="FFFFFF"/>
          <w:lang w:val="id-ID"/>
        </w:rPr>
        <w:t>5</w:t>
      </w:r>
      <w:r w:rsidRPr="009609D2">
        <w:rPr>
          <w:rFonts w:ascii="Goudy Old Style" w:hAnsi="Goudy Old Style"/>
          <w:color w:val="000000"/>
          <w:sz w:val="18"/>
          <w:szCs w:val="18"/>
          <w:shd w:val="clear" w:color="auto" w:fill="FFFFFF"/>
        </w:rPr>
        <w:t xml:space="preserve">. </w:t>
      </w:r>
      <w:r w:rsidRPr="009609D2">
        <w:rPr>
          <w:rFonts w:ascii="Goudy Old Style" w:hAnsi="Goudy Old Style"/>
          <w:bCs/>
          <w:color w:val="000000"/>
          <w:sz w:val="18"/>
          <w:szCs w:val="18"/>
          <w:shd w:val="clear" w:color="auto" w:fill="FFFFFF"/>
        </w:rPr>
        <w:t>Case-</w:t>
      </w:r>
      <w:r w:rsidR="00873D69">
        <w:rPr>
          <w:rFonts w:ascii="Goudy Old Style" w:hAnsi="Goudy Old Style"/>
          <w:bCs/>
          <w:color w:val="000000"/>
          <w:sz w:val="18"/>
          <w:szCs w:val="18"/>
          <w:shd w:val="clear" w:color="auto" w:fill="FFFFFF"/>
          <w:lang w:val="id-ID"/>
        </w:rPr>
        <w:t>5</w:t>
      </w:r>
      <w:r w:rsidRPr="009609D2">
        <w:rPr>
          <w:rFonts w:ascii="Goudy Old Style" w:hAnsi="Goudy Old Style"/>
          <w:bCs/>
          <w:color w:val="000000"/>
          <w:sz w:val="18"/>
          <w:szCs w:val="18"/>
          <w:shd w:val="clear" w:color="auto" w:fill="FFFFFF"/>
        </w:rPr>
        <w:t xml:space="preserve"> d-dimer progression after used enoxaparin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1843"/>
        <w:gridCol w:w="2920"/>
      </w:tblGrid>
      <w:tr w:rsidR="0080001D" w:rsidRPr="00991555" w14:paraId="6E0AF7DB" w14:textId="77777777" w:rsidTr="000E1B0A">
        <w:tc>
          <w:tcPr>
            <w:tcW w:w="1985" w:type="dxa"/>
            <w:tcBorders>
              <w:top w:val="single" w:sz="4" w:space="0" w:color="auto"/>
            </w:tcBorders>
          </w:tcPr>
          <w:p w14:paraId="261BE94D" w14:textId="77777777" w:rsidR="0080001D" w:rsidRPr="002E45D0" w:rsidRDefault="0080001D" w:rsidP="00566BB8">
            <w:pPr>
              <w:jc w:val="both"/>
              <w:rPr>
                <w:rFonts w:ascii="Goudy Old Style" w:hAnsi="Goudy Old Style"/>
                <w:bCs/>
                <w:sz w:val="18"/>
                <w:szCs w:val="18"/>
              </w:rPr>
            </w:pPr>
          </w:p>
        </w:tc>
        <w:tc>
          <w:tcPr>
            <w:tcW w:w="7031" w:type="dxa"/>
            <w:gridSpan w:val="3"/>
            <w:tcBorders>
              <w:top w:val="single" w:sz="4" w:space="0" w:color="auto"/>
            </w:tcBorders>
            <w:vAlign w:val="center"/>
          </w:tcPr>
          <w:p w14:paraId="17D1FE06" w14:textId="37F35704" w:rsidR="0080001D" w:rsidRPr="002E45D0" w:rsidRDefault="0080001D" w:rsidP="00566BB8">
            <w:pPr>
              <w:jc w:val="center"/>
              <w:rPr>
                <w:rFonts w:ascii="Goudy Old Style" w:hAnsi="Goudy Old Style"/>
                <w:b/>
                <w:bCs/>
                <w:sz w:val="18"/>
                <w:szCs w:val="18"/>
              </w:rPr>
            </w:pPr>
            <w:r w:rsidRPr="002E45D0">
              <w:rPr>
                <w:rFonts w:ascii="Goudy Old Style" w:hAnsi="Goudy Old Style"/>
                <w:b/>
                <w:bCs/>
                <w:sz w:val="18"/>
                <w:szCs w:val="18"/>
              </w:rPr>
              <w:t xml:space="preserve">Day </w:t>
            </w:r>
            <w:r w:rsidR="002E45D0" w:rsidRPr="002E45D0">
              <w:rPr>
                <w:rFonts w:ascii="Goudy Old Style" w:hAnsi="Goudy Old Style"/>
                <w:b/>
                <w:bCs/>
                <w:sz w:val="18"/>
                <w:szCs w:val="18"/>
              </w:rPr>
              <w:t>Used Unfractionated Heparin (</w:t>
            </w:r>
            <w:r w:rsidR="000E1B0A" w:rsidRPr="002E45D0">
              <w:rPr>
                <w:rFonts w:ascii="Goudy Old Style" w:hAnsi="Goudy Old Style"/>
                <w:b/>
                <w:bCs/>
                <w:sz w:val="18"/>
                <w:szCs w:val="18"/>
              </w:rPr>
              <w:t>UFH</w:t>
            </w:r>
            <w:r w:rsidR="002E45D0" w:rsidRPr="002E45D0">
              <w:rPr>
                <w:rFonts w:ascii="Goudy Old Style" w:hAnsi="Goudy Old Style"/>
                <w:b/>
                <w:bCs/>
                <w:sz w:val="18"/>
                <w:szCs w:val="18"/>
              </w:rPr>
              <w:t xml:space="preserve">) </w:t>
            </w:r>
            <w:r w:rsidR="000E1B0A" w:rsidRPr="002E45D0">
              <w:rPr>
                <w:rFonts w:ascii="Goudy Old Style" w:hAnsi="Goudy Old Style"/>
                <w:b/>
                <w:bCs/>
                <w:sz w:val="18"/>
                <w:szCs w:val="18"/>
              </w:rPr>
              <w:t>Subcutaneously</w:t>
            </w:r>
          </w:p>
        </w:tc>
      </w:tr>
      <w:tr w:rsidR="000E1B0A" w:rsidRPr="00991555" w14:paraId="24B2A8EA" w14:textId="77777777" w:rsidTr="000E1B0A">
        <w:tc>
          <w:tcPr>
            <w:tcW w:w="1985" w:type="dxa"/>
            <w:tcBorders>
              <w:bottom w:val="single" w:sz="4" w:space="0" w:color="auto"/>
            </w:tcBorders>
          </w:tcPr>
          <w:p w14:paraId="35D377EF" w14:textId="77777777" w:rsidR="000E1B0A" w:rsidRPr="002E45D0" w:rsidRDefault="000E1B0A" w:rsidP="00566BB8">
            <w:pPr>
              <w:jc w:val="both"/>
              <w:rPr>
                <w:rFonts w:ascii="Goudy Old Style" w:hAnsi="Goudy Old Style"/>
                <w:bCs/>
                <w:sz w:val="18"/>
                <w:szCs w:val="18"/>
              </w:rPr>
            </w:pPr>
          </w:p>
        </w:tc>
        <w:tc>
          <w:tcPr>
            <w:tcW w:w="2268" w:type="dxa"/>
            <w:tcBorders>
              <w:bottom w:val="single" w:sz="4" w:space="0" w:color="auto"/>
            </w:tcBorders>
          </w:tcPr>
          <w:p w14:paraId="0CACCA8B" w14:textId="77777777" w:rsidR="000E1B0A" w:rsidRPr="002E45D0" w:rsidRDefault="000E1B0A" w:rsidP="000E1B0A">
            <w:pPr>
              <w:jc w:val="center"/>
              <w:rPr>
                <w:rFonts w:ascii="Goudy Old Style" w:hAnsi="Goudy Old Style"/>
                <w:b/>
                <w:bCs/>
                <w:sz w:val="18"/>
                <w:szCs w:val="18"/>
              </w:rPr>
            </w:pPr>
            <w:r w:rsidRPr="002E45D0">
              <w:rPr>
                <w:rFonts w:ascii="Goudy Old Style" w:hAnsi="Goudy Old Style"/>
                <w:b/>
                <w:bCs/>
                <w:sz w:val="18"/>
                <w:szCs w:val="18"/>
              </w:rPr>
              <w:t>Day-1</w:t>
            </w:r>
          </w:p>
        </w:tc>
        <w:tc>
          <w:tcPr>
            <w:tcW w:w="1843" w:type="dxa"/>
            <w:tcBorders>
              <w:bottom w:val="single" w:sz="4" w:space="0" w:color="auto"/>
            </w:tcBorders>
          </w:tcPr>
          <w:p w14:paraId="5BE2EB3F" w14:textId="066C17EE" w:rsidR="000E1B0A" w:rsidRPr="002E45D0" w:rsidRDefault="000E1B0A" w:rsidP="000E1B0A">
            <w:pPr>
              <w:jc w:val="center"/>
              <w:rPr>
                <w:rFonts w:ascii="Goudy Old Style" w:hAnsi="Goudy Old Style"/>
                <w:b/>
                <w:bCs/>
                <w:sz w:val="18"/>
                <w:szCs w:val="18"/>
              </w:rPr>
            </w:pPr>
            <w:r w:rsidRPr="002E45D0">
              <w:rPr>
                <w:rFonts w:ascii="Goudy Old Style" w:hAnsi="Goudy Old Style"/>
                <w:b/>
                <w:bCs/>
                <w:sz w:val="18"/>
                <w:szCs w:val="18"/>
              </w:rPr>
              <w:t>Day-4</w:t>
            </w:r>
          </w:p>
        </w:tc>
        <w:tc>
          <w:tcPr>
            <w:tcW w:w="2920" w:type="dxa"/>
            <w:tcBorders>
              <w:bottom w:val="single" w:sz="4" w:space="0" w:color="auto"/>
            </w:tcBorders>
          </w:tcPr>
          <w:p w14:paraId="2B67A4EF" w14:textId="77C31BEB" w:rsidR="000E1B0A" w:rsidRPr="002E45D0" w:rsidRDefault="000E1B0A" w:rsidP="000E1B0A">
            <w:pPr>
              <w:jc w:val="center"/>
              <w:rPr>
                <w:rFonts w:ascii="Goudy Old Style" w:hAnsi="Goudy Old Style"/>
                <w:b/>
                <w:bCs/>
                <w:sz w:val="18"/>
                <w:szCs w:val="18"/>
                <w:lang w:val="id-ID"/>
              </w:rPr>
            </w:pPr>
            <w:r w:rsidRPr="002E45D0">
              <w:rPr>
                <w:rFonts w:ascii="Goudy Old Style" w:hAnsi="Goudy Old Style"/>
                <w:b/>
                <w:bCs/>
                <w:sz w:val="18"/>
                <w:szCs w:val="18"/>
              </w:rPr>
              <w:t>Day-</w:t>
            </w:r>
            <w:r w:rsidRPr="002E45D0">
              <w:rPr>
                <w:rFonts w:ascii="Goudy Old Style" w:hAnsi="Goudy Old Style"/>
                <w:b/>
                <w:bCs/>
                <w:sz w:val="18"/>
                <w:szCs w:val="18"/>
                <w:lang w:val="id-ID"/>
              </w:rPr>
              <w:t>6</w:t>
            </w:r>
          </w:p>
        </w:tc>
      </w:tr>
      <w:tr w:rsidR="000E1B0A" w:rsidRPr="00991555" w14:paraId="252E4F8B" w14:textId="77777777" w:rsidTr="000E1B0A">
        <w:tc>
          <w:tcPr>
            <w:tcW w:w="1985" w:type="dxa"/>
            <w:tcBorders>
              <w:top w:val="single" w:sz="4" w:space="0" w:color="auto"/>
            </w:tcBorders>
          </w:tcPr>
          <w:p w14:paraId="7506CF41" w14:textId="77777777" w:rsidR="000E1B0A" w:rsidRPr="002E45D0" w:rsidRDefault="000E1B0A" w:rsidP="00566BB8">
            <w:pPr>
              <w:jc w:val="both"/>
              <w:rPr>
                <w:rFonts w:ascii="Goudy Old Style" w:hAnsi="Goudy Old Style"/>
                <w:b/>
                <w:bCs/>
                <w:sz w:val="18"/>
                <w:szCs w:val="18"/>
              </w:rPr>
            </w:pPr>
            <w:r w:rsidRPr="002E45D0">
              <w:rPr>
                <w:rFonts w:ascii="Goudy Old Style" w:hAnsi="Goudy Old Style"/>
                <w:b/>
                <w:bCs/>
                <w:sz w:val="18"/>
                <w:szCs w:val="18"/>
              </w:rPr>
              <w:t>D-dimer (µg/dl)</w:t>
            </w:r>
          </w:p>
        </w:tc>
        <w:tc>
          <w:tcPr>
            <w:tcW w:w="2268" w:type="dxa"/>
            <w:tcBorders>
              <w:top w:val="single" w:sz="4" w:space="0" w:color="auto"/>
            </w:tcBorders>
          </w:tcPr>
          <w:p w14:paraId="2149DDF0" w14:textId="7742EF21" w:rsidR="000E1B0A" w:rsidRPr="002E45D0" w:rsidRDefault="000E1B0A" w:rsidP="000E1B0A">
            <w:pPr>
              <w:jc w:val="center"/>
              <w:rPr>
                <w:rFonts w:ascii="Goudy Old Style" w:hAnsi="Goudy Old Style"/>
                <w:bCs/>
                <w:sz w:val="18"/>
                <w:szCs w:val="18"/>
              </w:rPr>
            </w:pPr>
            <w:r w:rsidRPr="002E45D0">
              <w:rPr>
                <w:rFonts w:ascii="Goudy Old Style" w:hAnsi="Goudy Old Style"/>
                <w:bCs/>
                <w:sz w:val="18"/>
                <w:szCs w:val="18"/>
              </w:rPr>
              <w:t>1.39</w:t>
            </w:r>
          </w:p>
        </w:tc>
        <w:tc>
          <w:tcPr>
            <w:tcW w:w="1843" w:type="dxa"/>
            <w:tcBorders>
              <w:top w:val="single" w:sz="4" w:space="0" w:color="auto"/>
            </w:tcBorders>
          </w:tcPr>
          <w:p w14:paraId="29D3F444" w14:textId="13503739" w:rsidR="000E1B0A" w:rsidRPr="002E45D0" w:rsidRDefault="000E1B0A" w:rsidP="000E1B0A">
            <w:pPr>
              <w:jc w:val="center"/>
              <w:rPr>
                <w:rFonts w:ascii="Goudy Old Style" w:hAnsi="Goudy Old Style"/>
                <w:bCs/>
                <w:sz w:val="18"/>
                <w:szCs w:val="18"/>
              </w:rPr>
            </w:pPr>
            <w:r w:rsidRPr="002E45D0">
              <w:rPr>
                <w:rFonts w:ascii="Goudy Old Style" w:hAnsi="Goudy Old Style"/>
                <w:bCs/>
                <w:sz w:val="18"/>
                <w:szCs w:val="18"/>
              </w:rPr>
              <w:t>1.34</w:t>
            </w:r>
          </w:p>
        </w:tc>
        <w:tc>
          <w:tcPr>
            <w:tcW w:w="2920" w:type="dxa"/>
            <w:tcBorders>
              <w:top w:val="single" w:sz="4" w:space="0" w:color="auto"/>
            </w:tcBorders>
          </w:tcPr>
          <w:p w14:paraId="434E9165" w14:textId="263EE245" w:rsidR="000E1B0A" w:rsidRPr="002E45D0" w:rsidRDefault="000E1B0A" w:rsidP="000E1B0A">
            <w:pPr>
              <w:jc w:val="center"/>
              <w:rPr>
                <w:rFonts w:ascii="Goudy Old Style" w:hAnsi="Goudy Old Style"/>
                <w:bCs/>
                <w:sz w:val="18"/>
                <w:szCs w:val="18"/>
                <w:lang w:val="id-ID"/>
              </w:rPr>
            </w:pPr>
            <w:r w:rsidRPr="002E45D0">
              <w:rPr>
                <w:rFonts w:ascii="Goudy Old Style" w:hAnsi="Goudy Old Style"/>
                <w:bCs/>
                <w:sz w:val="18"/>
                <w:szCs w:val="18"/>
              </w:rPr>
              <w:t>0.97</w:t>
            </w:r>
          </w:p>
        </w:tc>
      </w:tr>
      <w:tr w:rsidR="000E1B0A" w:rsidRPr="00991555" w14:paraId="2A8E42E5" w14:textId="77777777" w:rsidTr="000E1B0A">
        <w:tc>
          <w:tcPr>
            <w:tcW w:w="1985" w:type="dxa"/>
            <w:tcBorders>
              <w:bottom w:val="single" w:sz="4" w:space="0" w:color="auto"/>
            </w:tcBorders>
          </w:tcPr>
          <w:p w14:paraId="7CAE5D6F" w14:textId="77777777" w:rsidR="000E1B0A" w:rsidRPr="002E45D0" w:rsidRDefault="000E1B0A" w:rsidP="00566BB8">
            <w:pPr>
              <w:jc w:val="both"/>
              <w:rPr>
                <w:rFonts w:ascii="Goudy Old Style" w:hAnsi="Goudy Old Style"/>
                <w:b/>
                <w:bCs/>
                <w:sz w:val="18"/>
                <w:szCs w:val="18"/>
              </w:rPr>
            </w:pPr>
            <w:r w:rsidRPr="002E45D0">
              <w:rPr>
                <w:rFonts w:ascii="Goudy Old Style" w:hAnsi="Goudy Old Style"/>
                <w:b/>
                <w:bCs/>
                <w:sz w:val="18"/>
                <w:szCs w:val="18"/>
              </w:rPr>
              <w:t>Dosage</w:t>
            </w:r>
          </w:p>
        </w:tc>
        <w:tc>
          <w:tcPr>
            <w:tcW w:w="2268" w:type="dxa"/>
            <w:tcBorders>
              <w:bottom w:val="single" w:sz="4" w:space="0" w:color="auto"/>
            </w:tcBorders>
          </w:tcPr>
          <w:p w14:paraId="484378A4" w14:textId="2AD6B971" w:rsidR="000E1B0A" w:rsidRPr="002E45D0" w:rsidRDefault="000E1B0A" w:rsidP="000E1B0A">
            <w:pPr>
              <w:jc w:val="center"/>
              <w:rPr>
                <w:rFonts w:ascii="Goudy Old Style" w:hAnsi="Goudy Old Style"/>
                <w:bCs/>
                <w:sz w:val="18"/>
                <w:szCs w:val="18"/>
              </w:rPr>
            </w:pPr>
            <w:r w:rsidRPr="002E45D0">
              <w:rPr>
                <w:rFonts w:ascii="Goudy Old Style" w:hAnsi="Goudy Old Style"/>
                <w:bCs/>
                <w:sz w:val="18"/>
                <w:szCs w:val="18"/>
              </w:rPr>
              <w:t>5000 IU/12h</w:t>
            </w:r>
          </w:p>
        </w:tc>
        <w:tc>
          <w:tcPr>
            <w:tcW w:w="1843" w:type="dxa"/>
            <w:tcBorders>
              <w:bottom w:val="single" w:sz="4" w:space="0" w:color="auto"/>
            </w:tcBorders>
          </w:tcPr>
          <w:p w14:paraId="5F77F53B" w14:textId="50544D96" w:rsidR="000E1B0A" w:rsidRPr="002E45D0" w:rsidRDefault="000E1B0A" w:rsidP="000E1B0A">
            <w:pPr>
              <w:jc w:val="center"/>
              <w:rPr>
                <w:rFonts w:ascii="Goudy Old Style" w:hAnsi="Goudy Old Style"/>
                <w:bCs/>
                <w:sz w:val="18"/>
                <w:szCs w:val="18"/>
              </w:rPr>
            </w:pPr>
            <w:r w:rsidRPr="002E45D0">
              <w:rPr>
                <w:rFonts w:ascii="Goudy Old Style" w:hAnsi="Goudy Old Style"/>
                <w:bCs/>
                <w:sz w:val="18"/>
                <w:szCs w:val="18"/>
              </w:rPr>
              <w:t>5000 IU/12h</w:t>
            </w:r>
          </w:p>
        </w:tc>
        <w:tc>
          <w:tcPr>
            <w:tcW w:w="2920" w:type="dxa"/>
            <w:tcBorders>
              <w:bottom w:val="single" w:sz="4" w:space="0" w:color="auto"/>
            </w:tcBorders>
          </w:tcPr>
          <w:p w14:paraId="1807C77B" w14:textId="51C4822D" w:rsidR="000E1B0A" w:rsidRPr="002E45D0" w:rsidRDefault="000E1B0A" w:rsidP="000E1B0A">
            <w:pPr>
              <w:jc w:val="center"/>
              <w:rPr>
                <w:rFonts w:ascii="Goudy Old Style" w:hAnsi="Goudy Old Style"/>
                <w:bCs/>
                <w:sz w:val="18"/>
                <w:szCs w:val="18"/>
                <w:lang w:val="id-ID"/>
              </w:rPr>
            </w:pPr>
            <w:r w:rsidRPr="002E45D0">
              <w:rPr>
                <w:rFonts w:ascii="Goudy Old Style" w:hAnsi="Goudy Old Style"/>
                <w:bCs/>
                <w:sz w:val="18"/>
                <w:szCs w:val="18"/>
              </w:rPr>
              <w:t>stop</w:t>
            </w:r>
          </w:p>
        </w:tc>
      </w:tr>
    </w:tbl>
    <w:p w14:paraId="07BDFA95" w14:textId="77777777" w:rsidR="000E1B0A" w:rsidRDefault="000E1B0A" w:rsidP="007058FC">
      <w:pPr>
        <w:jc w:val="both"/>
        <w:rPr>
          <w:rFonts w:ascii="Candara" w:hAnsi="Candara"/>
          <w:b/>
          <w:bCs/>
          <w:sz w:val="20"/>
          <w:szCs w:val="20"/>
        </w:rPr>
      </w:pPr>
    </w:p>
    <w:p w14:paraId="3EBE4635" w14:textId="671943D1" w:rsidR="007058FC" w:rsidRDefault="007058FC" w:rsidP="007058FC">
      <w:pPr>
        <w:jc w:val="both"/>
        <w:rPr>
          <w:rFonts w:ascii="Candara" w:hAnsi="Candara"/>
          <w:b/>
          <w:bCs/>
          <w:sz w:val="20"/>
          <w:szCs w:val="20"/>
        </w:rPr>
      </w:pPr>
      <w:r w:rsidRPr="007058FC">
        <w:rPr>
          <w:rFonts w:ascii="Candara" w:hAnsi="Candara"/>
          <w:b/>
          <w:bCs/>
          <w:sz w:val="20"/>
          <w:szCs w:val="20"/>
        </w:rPr>
        <w:t>DISCUSSION </w:t>
      </w:r>
    </w:p>
    <w:p w14:paraId="24982949" w14:textId="77777777" w:rsidR="007058FC" w:rsidRDefault="007058FC" w:rsidP="007058FC">
      <w:pPr>
        <w:jc w:val="both"/>
        <w:rPr>
          <w:rFonts w:ascii="Candara" w:hAnsi="Candara"/>
          <w:b/>
          <w:bCs/>
          <w:sz w:val="20"/>
          <w:szCs w:val="20"/>
          <w:lang w:val="id-ID"/>
        </w:rPr>
      </w:pPr>
    </w:p>
    <w:p w14:paraId="7C749AAD" w14:textId="0BF0C0AF" w:rsidR="00991555" w:rsidRPr="00991555" w:rsidRDefault="004C2C48" w:rsidP="00991555">
      <w:pPr>
        <w:ind w:firstLine="426"/>
        <w:jc w:val="both"/>
        <w:rPr>
          <w:rFonts w:ascii="Candara" w:hAnsi="Candara"/>
          <w:color w:val="000000"/>
          <w:sz w:val="20"/>
          <w:szCs w:val="20"/>
        </w:rPr>
      </w:pPr>
      <w:r>
        <w:rPr>
          <w:rFonts w:ascii="Candara" w:hAnsi="Candara"/>
          <w:color w:val="000000"/>
          <w:sz w:val="20"/>
          <w:szCs w:val="20"/>
        </w:rPr>
        <w:t>Coagulopathy is a term that refers to any hom</w:t>
      </w:r>
      <w:r w:rsidR="008A5865">
        <w:rPr>
          <w:rFonts w:ascii="Candara" w:hAnsi="Candara"/>
          <w:color w:val="000000"/>
          <w:sz w:val="20"/>
          <w:szCs w:val="20"/>
        </w:rPr>
        <w:t>eo</w:t>
      </w:r>
      <w:r>
        <w:rPr>
          <w:rFonts w:ascii="Candara" w:hAnsi="Candara"/>
          <w:color w:val="000000"/>
          <w:sz w:val="20"/>
          <w:szCs w:val="20"/>
        </w:rPr>
        <w:t xml:space="preserve">stasis problem that results in excessive bleeding or clotting and </w:t>
      </w:r>
      <w:r w:rsidR="008A5865">
        <w:rPr>
          <w:rFonts w:ascii="Candara" w:hAnsi="Candara"/>
          <w:color w:val="000000"/>
          <w:sz w:val="20"/>
          <w:szCs w:val="20"/>
        </w:rPr>
        <w:t xml:space="preserve">is </w:t>
      </w:r>
      <w:r>
        <w:rPr>
          <w:rFonts w:ascii="Candara" w:hAnsi="Candara"/>
          <w:color w:val="000000"/>
          <w:sz w:val="20"/>
          <w:szCs w:val="20"/>
        </w:rPr>
        <w:t>commonly known as clot formation problem</w:t>
      </w:r>
      <w:r w:rsidR="00991555" w:rsidRPr="00991555">
        <w:rPr>
          <w:rFonts w:ascii="Candara" w:hAnsi="Candara"/>
          <w:color w:val="000000"/>
          <w:sz w:val="20"/>
          <w:szCs w:val="20"/>
          <w:vertAlign w:val="superscript"/>
        </w:rPr>
        <w:fldChar w:fldCharType="begin" w:fldLock="1"/>
      </w:r>
      <w:r w:rsidR="00991555" w:rsidRPr="00991555">
        <w:rPr>
          <w:rFonts w:ascii="Candara" w:hAnsi="Candara"/>
          <w:color w:val="000000"/>
          <w:sz w:val="20"/>
          <w:szCs w:val="20"/>
          <w:vertAlign w:val="superscript"/>
        </w:rPr>
        <w:instrText>ADDIN CSL_CITATION {"citationItems":[{"id":"ITEM-1","itemData":{"DOI":"10.1016/B978-0-444-63599-0.00040-5","ISBN":"9780444635990","ISSN":"22124152","PMID":"28190445","abstract":"Coagulopathy is common in intensive care units (ICUs). Many physiologic derangements lead to dysfunctional hemostasis; these may be either congenital or acquired. The most devastating outcome of coagulopathy in the critically ill is major bleeding, defined by transfusion requirement, hemodynamic instability, or intracranial hemorrhage. ICU coagulopathy often poses complex management dilemmas, as bleeding risk must be tempered with thrombotic potential. Coagulopathy associated with intracranial hemorrhage bears directly on prognosis and outcome. There is a paucity of high-quality evidence for the management of coagulopathies in neurocritical care; however, data derived from studies of patients with intraparenchymal hemorrhage may inform treatment decisions. Coagulopathy is often broadly defined as any derangement of hemostasis resulting in either excessive bleeding or clotting, although most typically it is defined as impaired clot formation. Abnormalities in coagulation testing without overt clinical bleeding may also be considered evidence of coagulopathy. This chapter will focus on acquired conditions, such as organ failure, pharmacologic therapies, and platelet dysfunction that are associated with defective clot formation and result in, or exacerbate, intracranial hemorrhage, specifically spontaneous intraparenchymal hemorrhage and traumatic brain injury.","author":[{"dropping-particle":"","family":"Vanderwerf","given":"J. D.","non-dropping-particle":"","parse-names":false,"suffix":""},{"dropping-particle":"","family":"Kumar","given":"M. A.","non-dropping-particle":"","parse-names":false,"suffix":""}],"container-title":"Handbook of Clinical Neurology","edition":"1","id":"ITEM-1","issued":{"date-parts":[["2017"]]},"number-of-pages":"743-764","publisher":"Elsevier B.V.","title":"Management of neurologic complications of coagulopathies","type":"book","volume":"141"},"uris":["http://www.mendeley.com/documents/?uuid=c5a1a138-8191-4220-b7d7-b18e183ce968"]}],"mendeley":{"formattedCitation":"(8)","plainTextFormattedCitation":"(8)","previouslyFormattedCitation":"(8)"},"properties":{"noteIndex":0},"schema":"https://github.com/citation-style-language/schema/raw/master/csl-citation.json"}</w:instrText>
      </w:r>
      <w:r w:rsidR="00991555" w:rsidRPr="00991555">
        <w:rPr>
          <w:rFonts w:ascii="Candara" w:hAnsi="Candara"/>
          <w:color w:val="000000"/>
          <w:sz w:val="20"/>
          <w:szCs w:val="20"/>
          <w:vertAlign w:val="superscript"/>
        </w:rPr>
        <w:fldChar w:fldCharType="separate"/>
      </w:r>
      <w:r w:rsidR="00991555" w:rsidRPr="00991555">
        <w:rPr>
          <w:rFonts w:ascii="Candara" w:hAnsi="Candara"/>
          <w:noProof/>
          <w:color w:val="000000"/>
          <w:sz w:val="20"/>
          <w:szCs w:val="20"/>
        </w:rPr>
        <w:t>(8)</w:t>
      </w:r>
      <w:r w:rsidR="00991555" w:rsidRPr="00991555">
        <w:rPr>
          <w:rFonts w:ascii="Candara" w:hAnsi="Candara"/>
          <w:color w:val="000000"/>
          <w:sz w:val="20"/>
          <w:szCs w:val="20"/>
        </w:rPr>
        <w:fldChar w:fldCharType="end"/>
      </w:r>
      <w:r w:rsidR="00991555" w:rsidRPr="00991555">
        <w:rPr>
          <w:rFonts w:ascii="Candara" w:hAnsi="Candara"/>
          <w:color w:val="000000"/>
          <w:sz w:val="20"/>
          <w:szCs w:val="20"/>
        </w:rPr>
        <w:t xml:space="preserve">. </w:t>
      </w:r>
      <w:r w:rsidRPr="004C2C48">
        <w:rPr>
          <w:rFonts w:ascii="Candara" w:hAnsi="Candara"/>
          <w:color w:val="000000"/>
          <w:sz w:val="20"/>
          <w:szCs w:val="20"/>
        </w:rPr>
        <w:t xml:space="preserve">The International Society of Thrombosis and </w:t>
      </w:r>
      <w:proofErr w:type="spellStart"/>
      <w:r w:rsidRPr="004C2C48">
        <w:rPr>
          <w:rFonts w:ascii="Candara" w:hAnsi="Candara"/>
          <w:color w:val="000000"/>
          <w:sz w:val="20"/>
          <w:szCs w:val="20"/>
        </w:rPr>
        <w:t>Haemostasis</w:t>
      </w:r>
      <w:proofErr w:type="spellEnd"/>
      <w:r w:rsidRPr="004C2C48">
        <w:rPr>
          <w:rFonts w:ascii="Candara" w:hAnsi="Candara"/>
          <w:color w:val="000000"/>
          <w:sz w:val="20"/>
          <w:szCs w:val="20"/>
        </w:rPr>
        <w:t xml:space="preserve"> (ISTH) has established and validated a sepsis-induced coagulopathy (SIC) score in addition to diagnostic criteria for overt DIC. </w:t>
      </w:r>
      <w:r w:rsidR="00991555" w:rsidRPr="00991555">
        <w:rPr>
          <w:rFonts w:ascii="Candara" w:hAnsi="Candara"/>
          <w:color w:val="000000"/>
          <w:sz w:val="20"/>
          <w:szCs w:val="20"/>
          <w:vertAlign w:val="superscript"/>
        </w:rPr>
        <w:fldChar w:fldCharType="begin" w:fldLock="1"/>
      </w:r>
      <w:r w:rsidR="00991555" w:rsidRPr="00991555">
        <w:rPr>
          <w:rFonts w:ascii="Candara" w:hAnsi="Candara"/>
          <w:color w:val="000000"/>
          <w:sz w:val="20"/>
          <w:szCs w:val="20"/>
          <w:vertAlign w:val="superscript"/>
        </w:rPr>
        <w:instrText>ADDIN CSL_CITATION {"citationItems":[{"id":"ITEM-1","itemData":{"DOI":"10.1111/jth.14134","ISBN":"8159231520","ISSN":"15387836","PMID":"29846034","author":[{"dropping-particle":"","family":"Suzuki","given":"K.","non-dropping-particle":"","parse-names":false,"suffix":""},{"dropping-particle":"","family":"Wada","given":"H.","non-dropping-particle":"","parse-names":false,"suffix":""},{"dropping-particle":"","family":"Imai","given":"H.","non-dropping-particle":"","parse-names":false,"suffix":""},{"dropping-particle":"","family":"Iba","given":"T.","non-dropping-particle":"","parse-names":false,"suffix":""},{"dropping-particle":"","family":"Thachil","given":"J.","non-dropping-particle":"","parse-names":false,"suffix":""},{"dropping-particle":"","family":"Toh","given":"C. H.","non-dropping-particle":"","parse-names":false,"suffix":""}],"container-title":"Journal of Thrombosis and Haemostasis","id":"ITEM-1","issue":"7","issued":{"date-parts":[["2018"]]},"page":"1442-1444","title":"A re-evaluation of the D-dimer cut-off value for making a diagnosis according to the ISTH overt-DIC diagnostic criteria: communication from the SSC of the ISTH","type":"article-journal","volume":"16"},"uris":["http://www.mendeley.com/documents/?uuid=446100b2-e535-44f4-a0cc-1dd6373dec01"]},{"id":"ITEM-2","itemData":{"DOI":"10.1111/jth.14578","ISSN":"15387836","PMID":"31410983","author":[{"dropping-particle":"","family":"Iba","given":"Toshiaki","non-dropping-particle":"","parse-names":false,"suffix":""},{"dropping-particle":"","family":"Levy","given":"Jerrold H.","non-dropping-particle":"","parse-names":false,"suffix":""},{"dropping-particle":"","family":"Warkentin","given":"Theodore E.","non-dropping-particle":"","parse-names":false,"suffix":""},{"dropping-particle":"","family":"Thachil","given":"Jecko","non-dropping-particle":"","parse-names":false,"suffix":""},{"dropping-particle":"","family":"Poll","given":"Tom","non-dropping-particle":"van der","parse-names":false,"suffix":""},{"dropping-particle":"","family":"Levi","given":"Marcel","non-dropping-particle":"","parse-names":false,"suffix":""}],"container-title":"Journal of Thrombosis and Haemostasis","id":"ITEM-2","issue":"11","issued":{"date-parts":[["2019"]]},"page":"1989-1994","title":"Diagnosis and management of sepsis-induced coagulopathy and disseminated intravascular coagulation","type":"article-journal","volume":"17"},"uris":["http://www.mendeley.com/documents/?uuid=a954a148-30ae-429b-b6fa-fb7df541b146"]},{"id":"ITEM-3","itemData":{"DOI":"10.1111/j.1538-7836.2007.02313.x","ISSN":"15387933","PMID":"17096704","author":[{"dropping-particle":"","family":"Toh","given":"Cheng H.","non-dropping-particle":"","parse-names":false,"suffix":""},{"dropping-particle":"","family":"Hoots","given":"W. K.","non-dropping-particle":"","parse-names":false,"suffix":""}],"container-title":"Journal of Thrombosis and Haemostasis","id":"ITEM-3","issue":"3","issued":{"date-parts":[["2007"]]},"page":"604-606","title":"The scoring system of the Scientific and Standardisation Committee on Disseminated Intravascular Coagulation of the International Society on Thrombosis and Haemostasis: A 5-year overview","type":"article-journal","volume":"5"},"uris":["http://www.mendeley.com/documents/?uuid=38cb72be-65b3-4d0e-8eab-f80de5b8f087"]}],"mendeley":{"formattedCitation":"(9–11)","plainTextFormattedCitation":"(9–11)","previouslyFormattedCitation":"(9–11)"},"properties":{"noteIndex":0},"schema":"https://github.com/citation-style-language/schema/raw/master/csl-citation.json"}</w:instrText>
      </w:r>
      <w:r w:rsidR="00991555" w:rsidRPr="00991555">
        <w:rPr>
          <w:rFonts w:ascii="Candara" w:hAnsi="Candara"/>
          <w:color w:val="000000"/>
          <w:sz w:val="20"/>
          <w:szCs w:val="20"/>
          <w:vertAlign w:val="superscript"/>
        </w:rPr>
        <w:fldChar w:fldCharType="separate"/>
      </w:r>
      <w:r w:rsidR="00991555" w:rsidRPr="00991555">
        <w:rPr>
          <w:rFonts w:ascii="Candara" w:hAnsi="Candara"/>
          <w:noProof/>
          <w:color w:val="000000"/>
          <w:sz w:val="20"/>
          <w:szCs w:val="20"/>
        </w:rPr>
        <w:t>(9–11)</w:t>
      </w:r>
      <w:r w:rsidR="00991555" w:rsidRPr="00991555">
        <w:rPr>
          <w:rFonts w:ascii="Candara" w:hAnsi="Candara"/>
          <w:color w:val="000000"/>
          <w:sz w:val="20"/>
          <w:szCs w:val="20"/>
        </w:rPr>
        <w:fldChar w:fldCharType="end"/>
      </w:r>
      <w:r w:rsidR="006F337B">
        <w:rPr>
          <w:rFonts w:ascii="Candara" w:hAnsi="Candara"/>
          <w:color w:val="000000"/>
          <w:sz w:val="20"/>
          <w:szCs w:val="20"/>
        </w:rPr>
        <w:t xml:space="preserve">. Chinese </w:t>
      </w:r>
      <w:r w:rsidR="00E30904">
        <w:rPr>
          <w:rFonts w:ascii="Candara" w:hAnsi="Candara"/>
          <w:color w:val="000000"/>
          <w:sz w:val="20"/>
          <w:szCs w:val="20"/>
        </w:rPr>
        <w:t>COVID-19</w:t>
      </w:r>
      <w:r w:rsidR="006F337B">
        <w:rPr>
          <w:rFonts w:ascii="Candara" w:hAnsi="Candara"/>
          <w:color w:val="000000"/>
          <w:sz w:val="20"/>
          <w:szCs w:val="20"/>
        </w:rPr>
        <w:t xml:space="preserve"> outbreak reports already used both ISTH definition</w:t>
      </w:r>
      <w:r w:rsidR="008A5865">
        <w:rPr>
          <w:rFonts w:ascii="Candara" w:hAnsi="Candara"/>
          <w:color w:val="000000"/>
          <w:sz w:val="20"/>
          <w:szCs w:val="20"/>
        </w:rPr>
        <w:t>s</w:t>
      </w:r>
      <w:r w:rsidR="006F337B" w:rsidRPr="00991555">
        <w:rPr>
          <w:rFonts w:ascii="Candara" w:hAnsi="Candara"/>
          <w:color w:val="000000"/>
          <w:sz w:val="20"/>
          <w:szCs w:val="20"/>
          <w:vertAlign w:val="superscript"/>
        </w:rPr>
        <w:t xml:space="preserve"> </w:t>
      </w:r>
      <w:r w:rsidR="00991555" w:rsidRPr="00991555">
        <w:rPr>
          <w:rFonts w:ascii="Candara" w:hAnsi="Candara"/>
          <w:color w:val="000000"/>
          <w:sz w:val="20"/>
          <w:szCs w:val="20"/>
          <w:vertAlign w:val="superscript"/>
        </w:rPr>
        <w:fldChar w:fldCharType="begin" w:fldLock="1"/>
      </w:r>
      <w:r w:rsidR="00991555" w:rsidRPr="00991555">
        <w:rPr>
          <w:rFonts w:ascii="Candara" w:hAnsi="Candara"/>
          <w:color w:val="000000"/>
          <w:sz w:val="20"/>
          <w:szCs w:val="20"/>
          <w:vertAlign w:val="superscript"/>
        </w:rPr>
        <w:instrText>ADDIN CSL_CITATION {"citationItems":[{"id":"ITEM-1","itemData":{"DOI":"10.1111/jth.14768","ISSN":"15387836","PMID":"32073213","abstract":"Background: In the recent outbreak of novel coronavirus infection in Wuhan, China, significantly abnormal coagulation parameters in severe novel coronavirus pneumonia (NCP) cases were a concern. Objectives: To describe the coagulation feature of patients with NCP. Methods: Conventional coagulation results and outcomes of 183 consecutive patients with confirmed NCP in Tongji hospital were retrospectively analyzed. Results: The overall mortality was 11.5%, the non-survivors revealed significantly higher D-dimer and fibrin degradation product (FDP) levels, longer prothrombin time and activated partial thromboplastin time compared to survivors on admission (P &lt;.05); 71.4% of non-survivors and 0.6% survivors met the criteria of disseminated intravascular coagulation during their hospital stay. Conclusions: The present study shows that abnormal coagulation results, especially markedly elevated D-dimer and FDP are common in deaths with NCP.","author":[{"dropping-particle":"","family":"Tang","given":"Ning","non-dropping-particle":"","parse-names":false,"suffix":""},{"dropping-particle":"","family":"Li","given":"Dengju","non-dropping-particle":"","parse-names":false,"suffix":""},{"dropping-particle":"","family":"Wang","given":"Xiong","non-dropping-particle":"","parse-names":false,"suffix":""},{"dropping-particle":"","family":"Sun","given":"Ziyong","non-dropping-particle":"","parse-names":false,"suffix":""}],"container-title":"Journal of Thrombosis and Haemostasis","id":"ITEM-1","issue":"4","issued":{"date-parts":[["2020"]]},"page":"844-847","title":"Abnormal coagulation parameters are associated with poor prognosis in patients with novel coronavirus pneumonia","type":"article-journal","volume":"18"},"uris":["http://www.mendeley.com/documents/?uuid=d6f58ebe-2523-4c9c-969c-26731e164edd"]},{"id":"ITEM-2","itemData":{"DOI":"10.1111/jth.14817","ISSN":"15387836","PMID":"32220112","abstract":"Background: A relatively high mortality of severe coronavirus disease 2019 (COVID-19) is worrying, and the application of heparin in COVID-19 has been recommended by some expert consensus because of the risk of disseminated intravascular coagulation and venous thromboembolism. However, its efficacy remains to be validated. Methods: Coagulation results, medications, and outcomes of consecutive patients being classified as having severe COVID-19 in Tongji hospital were retrospectively analyzed. The 28-day mortality between heparin users and nonusers were compared, as was a different risk of coagulopathy, which was stratified by the sepsis-induced coagulopathy (SIC) score or D-dimer result. Results: There were 449 patients with severe COVID-19 enrolled into the study, 99 of them received heparin (mainly with low molecular weight heparin) for 7 days or longer. D-dimer, prothrombin time, and age were positively, and platelet count was negatively, correlated with 28-day mortality in multivariate analysis. No difference in 28-day mortality was found between heparin users and nonusers (30.3% vs 29.7%, P =.910). But the 28-day mortality of heparin users was lower than nonusers in patients with SIC score ≥4 (40.0% vs 64.2%, P =.029), or D-dimer '6-fold of upper limit of normal (32.8% vs 52.4%, P =.017). Conclusions: Anticoagulant therapy mainly with low molecular weight heparin appears to be associated with better prognosis in severe COVID-19 patients meeting SIC criteria or with markedly elevated D-dimer.","author":[{"dropping-particle":"","family":"Tang","given":"Ning","non-dropping-particle":"","parse-names":false,"suffix":""},{"dropping-particle":"","family":"Bai","given":"Huan","non-dropping-particle":"","parse-names":false,"suffix":""},{"dropping-particle":"","family":"Chen","given":"Xing","non-dropping-particle":"","parse-names":false,"suffix":""},{"dropping-particle":"","family":"Gong","given":"Jiale","non-dropping-particle":"","parse-names":false,"suffix":""},{"dropping-particle":"","family":"Li","given":"Dengju","non-dropping-particle":"","parse-names":false,"suffix":""},{"dropping-particle":"","family":"Sun","given":"Ziyong","non-dropping-particle":"","parse-names":false,"suffix":""}],"container-title":"Journal of Thrombosis and Haemostasis","id":"ITEM-2","issue":"5","issued":{"date-parts":[["2020"]]},"page":"1094-1099","title":"Anticoagulant treatment is associated with decreased mortality in severe coronavirus disease 2019 patients with coagulopathy","type":"article-journal","volume":"18"},"uris":["http://www.mendeley.com/documents/?uuid=a38233c1-1fac-453e-b5b1-87c668e59c18"]}],"mendeley":{"formattedCitation":"(12,13)","plainTextFormattedCitation":"(12,13)","previouslyFormattedCitation":"(12,13)"},"properties":{"noteIndex":0},"schema":"https://github.com/citation-style-language/schema/raw/master/csl-citation.json"}</w:instrText>
      </w:r>
      <w:r w:rsidR="00991555" w:rsidRPr="00991555">
        <w:rPr>
          <w:rFonts w:ascii="Candara" w:hAnsi="Candara"/>
          <w:color w:val="000000"/>
          <w:sz w:val="20"/>
          <w:szCs w:val="20"/>
          <w:vertAlign w:val="superscript"/>
        </w:rPr>
        <w:fldChar w:fldCharType="separate"/>
      </w:r>
      <w:r w:rsidR="00991555" w:rsidRPr="00991555">
        <w:rPr>
          <w:rFonts w:ascii="Candara" w:hAnsi="Candara"/>
          <w:noProof/>
          <w:color w:val="000000"/>
          <w:sz w:val="20"/>
          <w:szCs w:val="20"/>
        </w:rPr>
        <w:t>(12,13)</w:t>
      </w:r>
      <w:r w:rsidR="00991555" w:rsidRPr="00991555">
        <w:rPr>
          <w:rFonts w:ascii="Candara" w:hAnsi="Candara"/>
          <w:color w:val="000000"/>
          <w:sz w:val="20"/>
          <w:szCs w:val="20"/>
        </w:rPr>
        <w:fldChar w:fldCharType="end"/>
      </w:r>
      <w:r w:rsidR="00991555" w:rsidRPr="00991555">
        <w:rPr>
          <w:rFonts w:ascii="Candara" w:hAnsi="Candara"/>
          <w:color w:val="000000"/>
          <w:sz w:val="20"/>
          <w:szCs w:val="20"/>
        </w:rPr>
        <w:t>.</w:t>
      </w:r>
    </w:p>
    <w:p w14:paraId="205ED1CA" w14:textId="1C320075" w:rsidR="00991555" w:rsidRPr="00991555" w:rsidRDefault="00991555" w:rsidP="00991555">
      <w:pPr>
        <w:ind w:firstLine="426"/>
        <w:jc w:val="both"/>
        <w:rPr>
          <w:rFonts w:ascii="Candara" w:hAnsi="Candara"/>
          <w:color w:val="000000"/>
          <w:sz w:val="20"/>
          <w:szCs w:val="20"/>
        </w:rPr>
      </w:pPr>
      <w:r w:rsidRPr="00991555">
        <w:rPr>
          <w:rFonts w:ascii="Candara" w:hAnsi="Candara"/>
          <w:color w:val="000000"/>
          <w:sz w:val="20"/>
          <w:szCs w:val="20"/>
        </w:rPr>
        <w:t xml:space="preserve">       </w:t>
      </w:r>
      <w:r w:rsidR="006F337B">
        <w:rPr>
          <w:rFonts w:ascii="Candara" w:hAnsi="Candara"/>
          <w:color w:val="000000"/>
          <w:sz w:val="20"/>
          <w:szCs w:val="20"/>
        </w:rPr>
        <w:t>Coagulopathy is common i</w:t>
      </w:r>
      <w:r w:rsidRPr="00991555">
        <w:rPr>
          <w:rFonts w:ascii="Candara" w:hAnsi="Candara"/>
          <w:color w:val="000000"/>
          <w:sz w:val="20"/>
          <w:szCs w:val="20"/>
        </w:rPr>
        <w:t xml:space="preserve">n </w:t>
      </w:r>
      <w:r w:rsidRPr="00991555">
        <w:rPr>
          <w:rFonts w:ascii="Candara" w:hAnsi="Candara"/>
          <w:color w:val="000000"/>
          <w:sz w:val="20"/>
          <w:szCs w:val="20"/>
          <w:lang w:val="id-ID"/>
        </w:rPr>
        <w:t>SARS-CoV-2 infection</w:t>
      </w:r>
      <w:r w:rsidR="006F337B">
        <w:rPr>
          <w:rFonts w:ascii="Candara" w:hAnsi="Candara"/>
          <w:color w:val="000000"/>
          <w:sz w:val="20"/>
          <w:szCs w:val="20"/>
        </w:rPr>
        <w:t xml:space="preserve"> and </w:t>
      </w:r>
      <w:r w:rsidR="008A5865">
        <w:rPr>
          <w:rFonts w:ascii="Candara" w:hAnsi="Candara"/>
          <w:color w:val="000000"/>
          <w:sz w:val="20"/>
          <w:szCs w:val="20"/>
        </w:rPr>
        <w:t xml:space="preserve">is </w:t>
      </w:r>
      <w:r w:rsidR="006F337B">
        <w:rPr>
          <w:rFonts w:ascii="Candara" w:hAnsi="Candara"/>
          <w:color w:val="000000"/>
          <w:sz w:val="20"/>
          <w:szCs w:val="20"/>
        </w:rPr>
        <w:t xml:space="preserve">marked by </w:t>
      </w:r>
      <w:r w:rsidR="008A5865">
        <w:rPr>
          <w:rFonts w:ascii="Candara" w:hAnsi="Candara"/>
          <w:color w:val="000000"/>
          <w:sz w:val="20"/>
          <w:szCs w:val="20"/>
        </w:rPr>
        <w:t xml:space="preserve">an </w:t>
      </w:r>
      <w:r w:rsidR="006F337B">
        <w:rPr>
          <w:rFonts w:ascii="Candara" w:hAnsi="Candara"/>
          <w:color w:val="000000"/>
          <w:sz w:val="20"/>
          <w:szCs w:val="20"/>
        </w:rPr>
        <w:t>increase of d-dimer</w:t>
      </w:r>
      <w:r w:rsidR="006F337B" w:rsidRPr="00991555">
        <w:rPr>
          <w:rFonts w:ascii="Candara" w:hAnsi="Candara"/>
          <w:color w:val="000000"/>
          <w:sz w:val="20"/>
          <w:szCs w:val="20"/>
          <w:lang w:val="id-ID"/>
        </w:rPr>
        <w:t xml:space="preserve"> </w:t>
      </w:r>
      <w:r w:rsidRPr="00991555">
        <w:rPr>
          <w:rFonts w:ascii="Candara" w:hAnsi="Candara"/>
          <w:color w:val="000000"/>
          <w:sz w:val="20"/>
          <w:szCs w:val="20"/>
          <w:lang w:val="id-ID"/>
        </w:rPr>
        <w:fldChar w:fldCharType="begin" w:fldLock="1"/>
      </w:r>
      <w:r w:rsidRPr="00991555">
        <w:rPr>
          <w:rFonts w:ascii="Candara" w:hAnsi="Candara"/>
          <w:color w:val="000000"/>
          <w:sz w:val="20"/>
          <w:szCs w:val="20"/>
          <w:lang w:val="id-ID"/>
        </w:rPr>
        <w:instrText>ADDIN CSL_CITATION {"citationItems":[{"id":"ITEM-1","itemData":{"DOI":"10.1097/CCM.0000000000004458","ISBN":"0000000000","ISSN":"15300293","PMID":"32467443","abstract":"Objectives: Recent studies have reported a high prevalence of thrombotic events in coronavirus disease 2019. However, the significance of thromboembolic complications has not been widely appreciated. The purpose of this review is to provide current knowledge of this serious problem. Design: Narrative review. Data Sources: Online search of published medical literature through PubMed using the term \"COVID-19,\" \"SARS,\" \"acute respiratory distress syndrome,\" \"coronavirus,\" \"coagulopathy,\" \"thrombus,\" and \"anticoagulants.\" Study Selection and Data Extraction: Articles were chosen for inclusion based on their relevance to coagulopathy and thrombosis in coronavirus disease 2019, and anticoagulant therapy. Reference lists were reviewed to identify additional relevant articles. Data Synthesis: Coronavirus disease 2019 is associated with a strikingly high prevalence of coagulopathy and venous thromboembolism that may contribute to respiratory deterioration. Monitoring coagulation variables is important, as abnormal coagulation tests are related to adverse outcomes and may necessitate adjuvant antithrombotic interventions. In the initial phase of the infection, d-dimer and fibrinogen levels are increased, while activated partial prothrombin time, prothrombin time, and platelet counts are often relatively normal. Increased d-dimer levels three times the upper limit of normal may trigger screening for venous thromboembolism. In all hospitalized patients, thromboprophylaxis using low-molecular-weight heparin is currently recommended. The etiology of the procoagulant responses is complex and thought to be a result of specific interactions between host defense mechanisms and the coagulation system. Although the coagulopathy is reminiscent of disseminated intravascular coagulation and thrombotic microangiopathy, it has features that are markedly distinct from these entities. Conclusions: Severe acute respiratory syndrome coronavirus 2/coronavirus disease 2019 frequently induces hypercoagulability with both microangiopathy and local thrombus formation, and a systemic coagulation defect that leads to large vessel thrombosis and major thromboembolic complications, including pulmonary embolism in critically ill hospitalized patients. d-dimers and fibrinogen levels should be monitored, and all hospitalized patients should undergo thromboembolism prophylaxis with an increase in therapeutic anticoagulation in certain clinical situations.","author":[{"dropping-particle":"","family":"Iba","given":"Toshiaki","non-dropping-particle":"","parse-names":false,"suffix":""},{"dropping-particle":"","family":"Levy","given":"Jerrold H.","non-dropping-particle":"","parse-names":false,"suffix":""},{"dropping-particle":"","family":"Levi","given":"Marcel","non-dropping-particle":"","parse-names":false,"suffix":""},{"dropping-particle":"","family":"Connors","given":"Jean Marie","non-dropping-particle":"","parse-names":false,"suffix":""},{"dropping-particle":"","family":"Thachil","given":"Jecko","non-dropping-particle":"","parse-names":false,"suffix":""}],"container-title":"Critical Care Medicine","id":"ITEM-1","issue":"9","issued":{"date-parts":[["2020"]]},"page":"1358-1364","title":"Coagulopathy of Coronavirus Disease 2019","type":"article-journal","volume":"48"},"uris":["http://www.mendeley.com/documents/?uuid=a1febc1c-1cc4-463e-a5f1-508504fd1f95"]}],"mendeley":{"formattedCitation":"(14)","plainTextFormattedCitation":"(14)","previouslyFormattedCitation":"(14)"},"properties":{"noteIndex":0},"schema":"https://github.com/citation-style-language/schema/raw/master/csl-citation.json"}</w:instrText>
      </w:r>
      <w:r w:rsidRPr="00991555">
        <w:rPr>
          <w:rFonts w:ascii="Candara" w:hAnsi="Candara"/>
          <w:color w:val="000000"/>
          <w:sz w:val="20"/>
          <w:szCs w:val="20"/>
          <w:lang w:val="id-ID"/>
        </w:rPr>
        <w:fldChar w:fldCharType="separate"/>
      </w:r>
      <w:r w:rsidRPr="00991555">
        <w:rPr>
          <w:rFonts w:ascii="Candara" w:hAnsi="Candara"/>
          <w:noProof/>
          <w:color w:val="000000"/>
          <w:sz w:val="20"/>
          <w:szCs w:val="20"/>
          <w:lang w:val="id-ID"/>
        </w:rPr>
        <w:t>(14)</w:t>
      </w:r>
      <w:r w:rsidRPr="00991555">
        <w:rPr>
          <w:rFonts w:ascii="Candara" w:hAnsi="Candara"/>
          <w:color w:val="000000"/>
          <w:sz w:val="20"/>
          <w:szCs w:val="20"/>
        </w:rPr>
        <w:fldChar w:fldCharType="end"/>
      </w:r>
      <w:r w:rsidRPr="00991555">
        <w:rPr>
          <w:rFonts w:ascii="Candara" w:hAnsi="Candara"/>
          <w:color w:val="000000"/>
          <w:sz w:val="20"/>
          <w:szCs w:val="20"/>
        </w:rPr>
        <w:t xml:space="preserve">. </w:t>
      </w:r>
      <w:r w:rsidR="0047376B">
        <w:rPr>
          <w:rFonts w:ascii="Candara" w:hAnsi="Candara"/>
          <w:color w:val="000000"/>
          <w:sz w:val="20"/>
          <w:szCs w:val="20"/>
        </w:rPr>
        <w:t>Guan et al report their large studies with 560 cases, 260 cases ha</w:t>
      </w:r>
      <w:r w:rsidR="008A5865">
        <w:rPr>
          <w:rFonts w:ascii="Candara" w:hAnsi="Candara"/>
          <w:color w:val="000000"/>
          <w:sz w:val="20"/>
          <w:szCs w:val="20"/>
        </w:rPr>
        <w:t>ve</w:t>
      </w:r>
      <w:r w:rsidR="0047376B">
        <w:rPr>
          <w:rFonts w:ascii="Candara" w:hAnsi="Candara"/>
          <w:color w:val="000000"/>
          <w:sz w:val="20"/>
          <w:szCs w:val="20"/>
        </w:rPr>
        <w:t xml:space="preserve"> i</w:t>
      </w:r>
      <w:r w:rsidR="008A5865">
        <w:rPr>
          <w:rFonts w:ascii="Candara" w:hAnsi="Candara"/>
          <w:color w:val="000000"/>
          <w:sz w:val="20"/>
          <w:szCs w:val="20"/>
        </w:rPr>
        <w:t>n</w:t>
      </w:r>
      <w:r w:rsidR="0047376B">
        <w:rPr>
          <w:rFonts w:ascii="Candara" w:hAnsi="Candara"/>
          <w:color w:val="000000"/>
          <w:sz w:val="20"/>
          <w:szCs w:val="20"/>
        </w:rPr>
        <w:t>creased</w:t>
      </w:r>
      <w:r w:rsidRPr="00991555">
        <w:rPr>
          <w:rFonts w:ascii="Candara" w:hAnsi="Candara"/>
          <w:color w:val="000000"/>
          <w:sz w:val="20"/>
          <w:szCs w:val="20"/>
          <w:lang w:val="id-ID"/>
        </w:rPr>
        <w:t> d-dimer (46.4%</w:t>
      </w:r>
      <w:r w:rsidR="0047376B">
        <w:rPr>
          <w:rFonts w:ascii="Candara" w:hAnsi="Candara"/>
          <w:color w:val="000000"/>
          <w:sz w:val="20"/>
          <w:szCs w:val="20"/>
          <w:lang w:val="id-ID"/>
        </w:rPr>
        <w:t xml:space="preserve">). </w:t>
      </w:r>
      <w:r w:rsidR="0047376B">
        <w:rPr>
          <w:rFonts w:ascii="Candara" w:hAnsi="Candara"/>
          <w:color w:val="000000"/>
          <w:sz w:val="20"/>
          <w:szCs w:val="20"/>
        </w:rPr>
        <w:t>Their studies found that condition</w:t>
      </w:r>
      <w:r w:rsidR="008A5865">
        <w:rPr>
          <w:rFonts w:ascii="Candara" w:hAnsi="Candara"/>
          <w:color w:val="000000"/>
          <w:sz w:val="20"/>
          <w:szCs w:val="20"/>
        </w:rPr>
        <w:t>s</w:t>
      </w:r>
      <w:r w:rsidR="0047376B">
        <w:rPr>
          <w:rFonts w:ascii="Candara" w:hAnsi="Candara"/>
          <w:color w:val="000000"/>
          <w:sz w:val="20"/>
          <w:szCs w:val="20"/>
        </w:rPr>
        <w:t xml:space="preserve"> happened </w:t>
      </w:r>
      <w:r w:rsidRPr="00991555">
        <w:rPr>
          <w:rFonts w:ascii="Candara" w:hAnsi="Candara"/>
          <w:color w:val="000000"/>
          <w:sz w:val="20"/>
          <w:szCs w:val="20"/>
          <w:lang w:val="id-ID"/>
        </w:rPr>
        <w:t>60% in ICU patients</w:t>
      </w:r>
      <w:r w:rsidR="00E63434">
        <w:rPr>
          <w:rFonts w:ascii="Candara" w:hAnsi="Candara"/>
          <w:color w:val="000000"/>
          <w:sz w:val="20"/>
          <w:szCs w:val="20"/>
        </w:rPr>
        <w:t xml:space="preserve"> and 43% in </w:t>
      </w:r>
      <w:proofErr w:type="spellStart"/>
      <w:r w:rsidR="00E63434">
        <w:rPr>
          <w:rFonts w:ascii="Candara" w:hAnsi="Candara"/>
          <w:color w:val="000000"/>
          <w:sz w:val="20"/>
          <w:szCs w:val="20"/>
        </w:rPr>
        <w:t>nonsevere</w:t>
      </w:r>
      <w:proofErr w:type="spellEnd"/>
      <w:r w:rsidR="00E63434">
        <w:rPr>
          <w:rFonts w:ascii="Candara" w:hAnsi="Candara"/>
          <w:color w:val="000000"/>
          <w:sz w:val="20"/>
          <w:szCs w:val="20"/>
        </w:rPr>
        <w:t xml:space="preserve"> patients</w:t>
      </w:r>
      <w:r w:rsidR="00E63434" w:rsidRPr="00E63434">
        <w:rPr>
          <w:rFonts w:ascii="Candara" w:hAnsi="Candara"/>
          <w:color w:val="000000"/>
          <w:sz w:val="20"/>
          <w:szCs w:val="20"/>
        </w:rPr>
        <w:t xml:space="preserve"> </w:t>
      </w:r>
      <w:r w:rsidRPr="00991555">
        <w:rPr>
          <w:rFonts w:ascii="Candara" w:hAnsi="Candara"/>
          <w:color w:val="000000"/>
          <w:sz w:val="20"/>
          <w:szCs w:val="20"/>
          <w:vertAlign w:val="superscript"/>
          <w:lang w:val="id-ID"/>
        </w:rPr>
        <w:fldChar w:fldCharType="begin" w:fldLock="1"/>
      </w:r>
      <w:r w:rsidRPr="00991555">
        <w:rPr>
          <w:rFonts w:ascii="Candara" w:hAnsi="Candara"/>
          <w:color w:val="000000"/>
          <w:sz w:val="20"/>
          <w:szCs w:val="20"/>
          <w:vertAlign w:val="superscript"/>
          <w:lang w:val="id-ID"/>
        </w:rPr>
        <w:instrText>ADDIN CSL_CITATION {"citationItems":[{"id":"ITEM-1","itemData":{"DOI":"10.1056/nejmoa2002032","ISSN":"0028-4793","PMID":"32109013","abstract":"BACKGROUND Since December 2019, when coronavirus disease 2019 (Covid-19) emerged in Wuhan city and rapidly spread throughout China, data have been needed on the clinical characteristics of the affected patients. METHODS We extracted data regarding 1099 patients with laboratory-confirmed Covid-19 from 552 hospitals in 30 provinces, autonomous regions, and municipalities in China through January 29, 2020. The primary composite end point was admission to an intensive care unit (ICU), the use of mechanical ventilation, or death. RESULTS The median age of the patients was 47 years; 41.9% of the patients were female. The primary composite end point occurred in 67 patients (6.1%), including 5.0% who were admitted to the ICU, 2.3% who underwent invasive mechanical ventilation, and 1.4% who died. Only 1.9% of the patients had a history of direct contact with wildlife. Among nonresidents of Wuhan, 72.3% had contact with residents of Wuhan, including 31.3% who had visited the city. The most common symptoms were fever (43.8% on admission and 88.7% during hospitalization) and cough (67.8%). Diarrhea was uncommon (3.8%). The median incubation period was 4 days (interquartile range, 2 to 7). On admission, ground-glass opacity was the most common radiologic finding on chest computed tomography (CT) (56.4%). No radiographic or CT abnormality was found in 157 of 877 patients (17.9%) with nonsevere disease and in 5 of 173 patients (2.9%) with severe disease. Lymphocytopenia was present in 83.2% of the patients on admission. CONCLUSIONS During the first 2 months of the current outbreak, Covid-19 spread rapidly throughout China and caused varying degrees of illness. Patients often presented without fever, and many did not have abnormal radiologic findings. (Funded by the National Health Commission of China and others.).","author":[{"dropping-particle":"","family":"Guan","given":"Wei-jie","non-dropping-particle":"","parse-names":false,"suffix":""},{"dropping-particle":"","family":"Ni","given":"Zheng-yi","non-dropping-particle":"","parse-names":false,"suffix":""},{"dropping-particle":"","family":"Hu","given":"Yu","non-dropping-particle":"","parse-names":false,"suffix":""},{"dropping-particle":"","family":"Liang","given":"Wen-hua","non-dropping-particle":"","parse-names":false,"suffix":""},{"dropping-particle":"","family":"Ou","given":"Chun-quan","non-dropping-particle":"","parse-names":false,"suffix":""},{"dropping-particle":"","family":"He","given":"Jian-xing","non-dropping-particle":"","parse-names":false,"suffix":""},{"dropping-particle":"","family":"Liu","given":"Lei","non-dropping-particle":"","parse-names":false,"suffix":""},{"dropping-particle":"","family":"Shan","given":"Hong","non-dropping-particle":"","parse-names":false,"suffix":""},{"dropping-particle":"","family":"Lei","given":"Chun-liang","non-dropping-particle":"","parse-names":false,"suffix":""},{"dropping-particle":"","family":"Hui","given":"David S.C.","non-dropping-particle":"","parse-names":false,"suffix":""},{"dropping-particle":"","family":"Du","given":"Bin","non-dropping-particle":"","parse-names":false,"suffix":""},{"dropping-particle":"","family":"Li","given":"Lan-juan","non-dropping-particle":"","parse-names":false,"suffix":""},{"dropping-particle":"","family":"Zeng","given":"Guang","non-dropping-particle":"","parse-names":false,"suffix":""},{"dropping-particle":"","family":"Yuen","given":"Kwok-Yung","non-dropping-particle":"","parse-names":false,"suffix":""},{"dropping-particle":"","family":"Chen","given":"Ru-chong","non-dropping-particle":"","parse-names":false,"suffix":""},{"dropping-particle":"","family":"Tang","given":"Chun-li","non-dropping-particle":"","parse-names":false,"suffix":""},{"dropping-particle":"","family":"Wang","given":"Tao","non-dropping-particle":"","parse-names":false,"suffix":""},{"dropping-particle":"","family":"Chen","given":"Ping-yan","non-dropping-particle":"","parse-names":false,"suffix":""},{"dropping-particle":"","family":"Xiang","given":"Jie","non-dropping-particle":"","parse-names":false,"suffix":""},{"dropping-particle":"","family":"Li","given":"Shi-yue","non-dropping-particle":"","parse-names":false,"suffix":""},{"dropping-particle":"","family":"Wang","given":"Jin-lin","non-dropping-particle":"","parse-names":false,"suffix":""},{"dropping-particle":"","family":"Liang","given":"Zi-jing","non-dropping-particle":"","parse-names":false,"suffix":""},{"dropping-particle":"","family":"Peng","given":"Yi-xiang","non-dropping-particle":"","parse-names":false,"suffix":""},{"dropping-particle":"","family":"Wei","given":"Li","non-dropping-particle":"","parse-names":false,"suffix":""},{"dropping-particle":"","family":"Liu","given":"Yong","non-dropping-particle":"","parse-names":false,"suffix":""},{"dropping-particle":"","family":"Hu","given":"Ya-hua","non-dropping-particle":"","parse-names":false,"suffix":""},{"dropping-particle":"","family":"Peng","given":"Peng","non-dropping-particle":"","parse-names":false,"suffix":""},{"dropping-particle":"","family":"Wang","given":"Jian-ming","non-dropping-particle":"","parse-names":false,"suffix":""},{"dropping-particle":"","family":"Liu","given":"Ji-yang","non-dropping-particle":"","parse-names":false,"suffix":""},{"dropping-particle":"","family":"Chen","given":"Zhong","non-dropping-particle":"","parse-names":false,"suffix":""},{"dropping-particle":"","family":"Li","given":"Gang","non-dropping-particle":"","parse-names":false,"suffix":""},{"dropping-particle":"","family":"Zheng","given":"Zhi-jian","non-dropping-particle":"","parse-names":false,"suffix":""},{"dropping-particle":"","family":"Qiu","given":"Shao-qin","non-dropping-particle":"","parse-names":false,"suffix":""},{"dropping-particle":"","family":"Luo","given":"Jie","non-dropping-particle":"","parse-names":false,"suffix":""},{"dropping-particle":"","family":"Ye","given":"Chang-jiang","non-dropping-particle":"","parse-names":false,"suffix":""},{"dropping-particle":"","family":"Zhu","given":"Shao-yong","non-dropping-particle":"","parse-names":false,"suffix":""},{"dropping-particle":"","family":"Zhong","given":"Nan-shan","non-dropping-particle":"","parse-names":false,"suffix":""}],"container-title":"New England Journal of Medicine","id":"ITEM-1","issue":"18","issued":{"date-parts":[["2020"]]},"page":"1708-1720","title":"Clinical Characteristics of Coronavirus Disease 2019 in China","type":"article-journal","volume":"382"},"uris":["http://www.mendeley.com/documents/?uuid=afef573c-57fb-4fee-ad41-585af8776312"]}],"mendeley":{"formattedCitation":"(5)","plainTextFormattedCitation":"(5)","previouslyFormattedCitation":"(5)"},"properties":{"noteIndex":0},"schema":"https://github.com/citation-style-language/schema/raw/master/csl-citation.json"}</w:instrText>
      </w:r>
      <w:r w:rsidRPr="00991555">
        <w:rPr>
          <w:rFonts w:ascii="Candara" w:hAnsi="Candara"/>
          <w:color w:val="000000"/>
          <w:sz w:val="20"/>
          <w:szCs w:val="20"/>
          <w:vertAlign w:val="superscript"/>
          <w:lang w:val="id-ID"/>
        </w:rPr>
        <w:fldChar w:fldCharType="separate"/>
      </w:r>
      <w:r w:rsidRPr="00991555">
        <w:rPr>
          <w:rFonts w:ascii="Candara" w:hAnsi="Candara"/>
          <w:noProof/>
          <w:color w:val="000000"/>
          <w:sz w:val="20"/>
          <w:szCs w:val="20"/>
          <w:lang w:val="id-ID"/>
        </w:rPr>
        <w:t>(5)</w:t>
      </w:r>
      <w:r w:rsidRPr="00991555">
        <w:rPr>
          <w:rFonts w:ascii="Candara" w:hAnsi="Candara"/>
          <w:color w:val="000000"/>
          <w:sz w:val="20"/>
          <w:szCs w:val="20"/>
        </w:rPr>
        <w:fldChar w:fldCharType="end"/>
      </w:r>
      <w:r w:rsidRPr="00991555">
        <w:rPr>
          <w:rFonts w:ascii="Candara" w:hAnsi="Candara"/>
          <w:color w:val="000000"/>
          <w:sz w:val="20"/>
          <w:szCs w:val="20"/>
        </w:rPr>
        <w:t xml:space="preserve">. </w:t>
      </w:r>
      <w:r w:rsidR="008B5383" w:rsidRPr="008B5383">
        <w:rPr>
          <w:rFonts w:ascii="Candara" w:hAnsi="Candara"/>
          <w:color w:val="000000"/>
          <w:sz w:val="20"/>
          <w:szCs w:val="20"/>
        </w:rPr>
        <w:t xml:space="preserve">Increased D-dimer levels are possibly due to inflammation caused by </w:t>
      </w:r>
      <w:r w:rsidR="00E30904">
        <w:rPr>
          <w:rFonts w:ascii="Candara" w:hAnsi="Candara"/>
          <w:color w:val="000000"/>
          <w:sz w:val="20"/>
          <w:szCs w:val="20"/>
        </w:rPr>
        <w:t>COVID-19</w:t>
      </w:r>
      <w:r w:rsidR="008B5383" w:rsidRPr="008B5383">
        <w:rPr>
          <w:rFonts w:ascii="Candara" w:hAnsi="Candara"/>
          <w:color w:val="000000"/>
          <w:sz w:val="20"/>
          <w:szCs w:val="20"/>
        </w:rPr>
        <w:t xml:space="preserve"> and subsequent activation of coagulation, as elevated levels have been related to </w:t>
      </w:r>
      <w:r w:rsidR="008A5865">
        <w:rPr>
          <w:rFonts w:ascii="Candara" w:hAnsi="Candara"/>
          <w:color w:val="000000"/>
          <w:sz w:val="20"/>
          <w:szCs w:val="20"/>
        </w:rPr>
        <w:t>several</w:t>
      </w:r>
      <w:r w:rsidR="008B5383" w:rsidRPr="008B5383">
        <w:rPr>
          <w:rFonts w:ascii="Candara" w:hAnsi="Candara"/>
          <w:color w:val="000000"/>
          <w:sz w:val="20"/>
          <w:szCs w:val="20"/>
        </w:rPr>
        <w:t xml:space="preserve"> conditions other than thromboembolism, with infe</w:t>
      </w:r>
      <w:r w:rsidR="008B5383">
        <w:rPr>
          <w:rFonts w:ascii="Candara" w:hAnsi="Candara"/>
          <w:color w:val="000000"/>
          <w:sz w:val="20"/>
          <w:szCs w:val="20"/>
        </w:rPr>
        <w:t xml:space="preserve">ction being </w:t>
      </w:r>
      <w:r w:rsidR="008A5865">
        <w:rPr>
          <w:rFonts w:ascii="Candara" w:hAnsi="Candara"/>
          <w:color w:val="000000"/>
          <w:sz w:val="20"/>
          <w:szCs w:val="20"/>
        </w:rPr>
        <w:t>the</w:t>
      </w:r>
      <w:r w:rsidR="008B5383">
        <w:rPr>
          <w:rFonts w:ascii="Candara" w:hAnsi="Candara"/>
          <w:color w:val="000000"/>
          <w:sz w:val="20"/>
          <w:szCs w:val="20"/>
        </w:rPr>
        <w:t xml:space="preserve"> main cause</w:t>
      </w:r>
      <w:r w:rsidRPr="00991555">
        <w:rPr>
          <w:rFonts w:ascii="Candara" w:hAnsi="Candara"/>
          <w:color w:val="000000"/>
          <w:sz w:val="20"/>
          <w:szCs w:val="20"/>
        </w:rPr>
        <w:fldChar w:fldCharType="begin" w:fldLock="1"/>
      </w:r>
      <w:r w:rsidRPr="00991555">
        <w:rPr>
          <w:rFonts w:ascii="Candara" w:hAnsi="Candara"/>
          <w:color w:val="000000"/>
          <w:sz w:val="20"/>
          <w:szCs w:val="20"/>
        </w:rPr>
        <w:instrText>ADDIN CSL_CITATION {"citationItems":[{"id":"ITEM-1","itemData":{"DOI":"10.1111/jth.14354","ISSN":"1538-7933","author":[{"dropping-particle":"","family":"Iba","given":"T.","non-dropping-particle":"","parse-names":false,"suffix":""},{"dropping-particle":"","family":"Levy","given":"J. H.","non-dropping-particle":"","parse-names":false,"suffix":""},{"dropping-particle":"","family":"Wada","given":"H.","non-dropping-particle":"","parse-names":false,"suffix":""},{"dropping-particle":"","family":"Thachil","given":"J.","non-dropping-particle":"","parse-names":false,"suffix":""},{"dropping-particle":"","family":"Warkentin","given":"T. E.","non-dropping-particle":"","parse-names":false,"suffix":""},{"dropping-particle":"","family":"Levi","given":"M.","non-dropping-particle":"","parse-names":false,"suffix":""}],"container-title":"Journal of Thrombosis and Haemostasis","id":"ITEM-1","issue":"2","issued":{"date-parts":[["2019","2","7"]]},"page":"415-419","title":"Differential diagnoses for sepsis‐induced disseminated intravascular coagulation: communication from the &lt;scp&gt;SSC&lt;/scp&gt; of the &lt;scp&gt;ISTH&lt;/scp&gt;","type":"article-journal","volume":"17"},"uris":["http://www.mendeley.com/documents/?uuid=ffaf8245-602e-4cdf-9ee1-25cdc9abe2b5"]},{"id":"ITEM-2","itemData":{"DOI":"10.1182/blood-2017-10-804096","ISSN":"15280020","PMID":"29255070","abstract":"Disseminated intravascular coagulation (DIC) is a condition characterized by systemic activation of coagulation, potentially leading to thrombotic obstruction of small and midsize vessels, thereby contributing to organ dysfunction. At the same time, ongoing consumption of platelets and coagulation proteins results in thrombocytopenia and low concentrations of clotting factors, which may cause profuse hemorrhagic complications. DIC is always secondary to an underlying condition, such as severe infections, solid or hematologic malignancies, trauma, or obstetric calamities. A reliable diagnosis of DIC can be made through simple scoring algorithms based on readily available routine hemostatic parameters. The cornerstone of supportive treatment of this coagulopathy is management of the underlying condition. Additionally, administration of heparin may be useful, and restoration of physiological anticoagulants has been suggested, but has not been proven successful in improving clinically relevant outcomes so far. In patients with major bleeding or at risk for hemorrhagic complications, administration of platelet concentrates, plasma, or coagulation factor concentrates should be considered.","author":[{"dropping-particle":"","family":"Levi","given":"Marcel","non-dropping-particle":"","parse-names":false,"suffix":""},{"dropping-particle":"","family":"Scully","given":"Marie","non-dropping-particle":"","parse-names":false,"suffix":""}],"container-title":"Blood","id":"ITEM-2","issue":"8","issued":{"date-parts":[["2018"]]},"page":"845-854","title":"How I treat disseminated intravascular coagulation","type":"article-journal","volume":"131"},"uris":["http://www.mendeley.com/documents/?uuid=81b8d4be-b023-408d-a794-a3642786cb48"]},{"id":"ITEM-3","itemData":{"DOI":"10.1016/j.ejim.2013.07.012","ISSN":"09536205","PMID":"23948628","abstract":"Background: Although the request for D-dimer is widespread in emergency departments (EDs), the causes of elevation and their relationship with D-dimer levels in patients with diagnostic values are uncertain. Methods: In this retrospective investigation, the study population consisted of all patients who visited our large urban ED in the year 2012, for whom a D-dimer test was requested for excluding or diagnosing venous thromboembolism (VTE). Only patients with D-dimer values &gt; 243 ng/mL were included, regardless of their pre-test clinical probability for VTE. Results: The final study population consisted of 1647 patients. A significant positive correlation was found between age and D-dimer. Infection was the most frequent diagnosis (15.6%), followed by VTE (12.1%), syncope (9.4%), heart failure (8.9%), trauma (8.2%) and cancer (5.8%). D-dimer was higher in patients with VTE than in those with other diagnoses (2541 ng/mL vs 1030 ng/mL; p &lt; 0.001). The frequency of VTE gradually increased from patients with values &lt; 1000 ng/mL to those with D-dimer &gt; 3000 ng/mL (4.1 vs 26.7%; p &lt; 0.001). As compared with D-dimer values &lt; 1000 ng/mL, the Odds Ratio for VTE was 8.5 for values &gt; 3000 ng/mL. Conclusions: These results show that D-dimer lacks specificity for diagnosing VTE, especially in elderly patients admitted to the ED with significant co-morbidities. In older patients, elevated values (&gt; 1000 ng/mL) are more frequently associated with VTE, so the use of higher cut-offs may be advantageous. © 2013 European Federation of Internal Medicine. Published by Elsevier B.V. All rights reserved.","author":[{"dropping-particle":"","family":"Lippi","given":"Giuseppe","non-dropping-particle":"","parse-names":false,"suffix":""},{"dropping-particle":"","family":"Bonfanti","given":"Laura","non-dropping-particle":"","parse-names":false,"suffix":""},{"dropping-particle":"","family":"Saccenti","given":"Carlotta","non-dropping-particle":"","parse-names":false,"suffix":""},{"dropping-particle":"","family":"Cervellin","given":"Gianfranco","non-dropping-particle":"","parse-names":false,"suffix":""}],"container-title":"European Journal of Internal Medicine","id":"ITEM-3","issue":"1","issued":{"date-parts":[["2014"]]},"page":"45-48","publisher":"European Federation of Internal Medicine.","title":"Causes of elevated D-dimer in patients admitted to a large urban emergency department","type":"article-journal","volume":"25"},"uris":["http://www.mendeley.com/documents/?uuid=9bd3891b-8598-472f-8789-1ac9a59bce49"]}],"mendeley":{"formattedCitation":"(15–17)","plainTextFormattedCitation":"(15–17)","previouslyFormattedCitation":"(15–17)"},"properties":{"noteIndex":0},"schema":"https://github.com/citation-style-language/schema/raw/master/csl-citation.json"}</w:instrText>
      </w:r>
      <w:r w:rsidRPr="00991555">
        <w:rPr>
          <w:rFonts w:ascii="Candara" w:hAnsi="Candara"/>
          <w:color w:val="000000"/>
          <w:sz w:val="20"/>
          <w:szCs w:val="20"/>
        </w:rPr>
        <w:fldChar w:fldCharType="separate"/>
      </w:r>
      <w:r w:rsidRPr="00991555">
        <w:rPr>
          <w:rFonts w:ascii="Candara" w:hAnsi="Candara"/>
          <w:noProof/>
          <w:color w:val="000000"/>
          <w:sz w:val="20"/>
          <w:szCs w:val="20"/>
        </w:rPr>
        <w:t>(15–17)</w:t>
      </w:r>
      <w:r w:rsidRPr="00991555">
        <w:rPr>
          <w:rFonts w:ascii="Candara" w:hAnsi="Candara"/>
          <w:color w:val="000000"/>
          <w:sz w:val="20"/>
          <w:szCs w:val="20"/>
        </w:rPr>
        <w:fldChar w:fldCharType="end"/>
      </w:r>
      <w:r w:rsidRPr="00991555">
        <w:rPr>
          <w:rFonts w:ascii="Candara" w:hAnsi="Candara"/>
          <w:color w:val="000000"/>
          <w:sz w:val="20"/>
          <w:szCs w:val="20"/>
        </w:rPr>
        <w:t>.</w:t>
      </w:r>
    </w:p>
    <w:p w14:paraId="70A2FE6F" w14:textId="1197D67B" w:rsidR="00991555" w:rsidRPr="00991555" w:rsidRDefault="00991555" w:rsidP="00991555">
      <w:pPr>
        <w:ind w:firstLine="426"/>
        <w:jc w:val="both"/>
        <w:rPr>
          <w:rFonts w:ascii="Candara" w:hAnsi="Candara"/>
          <w:bCs/>
          <w:color w:val="000000"/>
          <w:sz w:val="20"/>
          <w:szCs w:val="20"/>
        </w:rPr>
      </w:pPr>
      <w:r w:rsidRPr="00991555">
        <w:rPr>
          <w:rFonts w:ascii="Candara" w:hAnsi="Candara"/>
          <w:color w:val="000000"/>
          <w:sz w:val="20"/>
          <w:szCs w:val="20"/>
        </w:rPr>
        <w:lastRenderedPageBreak/>
        <w:t xml:space="preserve">       In th</w:t>
      </w:r>
      <w:r w:rsidR="008A5865">
        <w:rPr>
          <w:rFonts w:ascii="Candara" w:hAnsi="Candara"/>
          <w:color w:val="000000"/>
          <w:sz w:val="20"/>
          <w:szCs w:val="20"/>
        </w:rPr>
        <w:t>ese</w:t>
      </w:r>
      <w:r w:rsidRPr="00991555">
        <w:rPr>
          <w:rFonts w:ascii="Candara" w:hAnsi="Candara"/>
          <w:color w:val="000000"/>
          <w:sz w:val="20"/>
          <w:szCs w:val="20"/>
        </w:rPr>
        <w:t xml:space="preserve"> cases, we found all of the patients have high d-dimer above the normal levels. Zhou et al</w:t>
      </w:r>
      <w:r w:rsidRPr="00991555">
        <w:rPr>
          <w:rFonts w:ascii="Candara" w:hAnsi="Candara"/>
          <w:color w:val="000000"/>
          <w:sz w:val="20"/>
          <w:szCs w:val="20"/>
          <w:vertAlign w:val="superscript"/>
          <w:lang w:val="id-ID"/>
        </w:rPr>
        <w:fldChar w:fldCharType="begin" w:fldLock="1"/>
      </w:r>
      <w:r w:rsidRPr="00991555">
        <w:rPr>
          <w:rFonts w:ascii="Candara" w:hAnsi="Candara"/>
          <w:color w:val="000000"/>
          <w:sz w:val="20"/>
          <w:szCs w:val="20"/>
          <w:vertAlign w:val="superscript"/>
          <w:lang w:val="id-ID"/>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Lancet","id":"ITEM-1","issue":"10229","issued":{"date-parts":[["2020"]]},"page":"1054-1062","publisher":"Elsevier Ltd","title":"Clinical course and risk factors for mortality of adult inpatients with COVID-19 in Wuhan, China: a retrospective cohort study","type":"article-journal","volume":"395"},"uris":["http://www.mendeley.com/documents/?uuid=d6d4a90a-5e32-45aa-8a14-a3c5b4b69009"]}],"mendeley":{"formattedCitation":"(4)","plainTextFormattedCitation":"(4)","previouslyFormattedCitation":"(4)"},"properties":{"noteIndex":0},"schema":"https://github.com/citation-style-language/schema/raw/master/csl-citation.json"}</w:instrText>
      </w:r>
      <w:r w:rsidRPr="00991555">
        <w:rPr>
          <w:rFonts w:ascii="Candara" w:hAnsi="Candara"/>
          <w:color w:val="000000"/>
          <w:sz w:val="20"/>
          <w:szCs w:val="20"/>
          <w:vertAlign w:val="superscript"/>
          <w:lang w:val="id-ID"/>
        </w:rPr>
        <w:fldChar w:fldCharType="separate"/>
      </w:r>
      <w:r w:rsidRPr="00991555">
        <w:rPr>
          <w:rFonts w:ascii="Candara" w:hAnsi="Candara"/>
          <w:noProof/>
          <w:color w:val="000000"/>
          <w:sz w:val="20"/>
          <w:szCs w:val="20"/>
          <w:lang w:val="id-ID"/>
        </w:rPr>
        <w:t>(4)</w:t>
      </w:r>
      <w:r w:rsidRPr="00991555">
        <w:rPr>
          <w:rFonts w:ascii="Candara" w:hAnsi="Candara"/>
          <w:color w:val="000000"/>
          <w:sz w:val="20"/>
          <w:szCs w:val="20"/>
        </w:rPr>
        <w:fldChar w:fldCharType="end"/>
      </w:r>
      <w:r w:rsidRPr="00991555">
        <w:rPr>
          <w:rFonts w:ascii="Candara" w:hAnsi="Candara"/>
          <w:color w:val="000000"/>
          <w:sz w:val="20"/>
          <w:szCs w:val="20"/>
        </w:rPr>
        <w:t xml:space="preserve"> found that </w:t>
      </w:r>
      <w:r w:rsidRPr="00991555">
        <w:rPr>
          <w:rFonts w:ascii="Candara" w:hAnsi="Candara"/>
          <w:color w:val="000000"/>
          <w:sz w:val="20"/>
          <w:szCs w:val="20"/>
          <w:lang w:val="id-ID"/>
        </w:rPr>
        <w:t>poor prognosis</w:t>
      </w:r>
      <w:r w:rsidRPr="00991555">
        <w:rPr>
          <w:rFonts w:ascii="Candara" w:hAnsi="Candara"/>
          <w:color w:val="000000"/>
          <w:sz w:val="20"/>
          <w:szCs w:val="20"/>
        </w:rPr>
        <w:t xml:space="preserve"> and increase</w:t>
      </w:r>
      <w:r w:rsidR="00063EC9">
        <w:rPr>
          <w:rFonts w:ascii="Candara" w:hAnsi="Candara"/>
          <w:color w:val="000000"/>
          <w:sz w:val="20"/>
          <w:szCs w:val="20"/>
        </w:rPr>
        <w:t>d</w:t>
      </w:r>
      <w:r w:rsidRPr="00991555">
        <w:rPr>
          <w:rFonts w:ascii="Candara" w:hAnsi="Candara"/>
          <w:color w:val="000000"/>
          <w:sz w:val="20"/>
          <w:szCs w:val="20"/>
        </w:rPr>
        <w:t xml:space="preserve"> mortality </w:t>
      </w:r>
      <w:r w:rsidR="00E63434">
        <w:rPr>
          <w:rFonts w:ascii="Candara" w:hAnsi="Candara"/>
          <w:color w:val="000000"/>
          <w:sz w:val="20"/>
          <w:szCs w:val="20"/>
        </w:rPr>
        <w:t xml:space="preserve">were related to elevated d-dimer. </w:t>
      </w:r>
      <w:r w:rsidRPr="00991555">
        <w:rPr>
          <w:rFonts w:ascii="Candara" w:hAnsi="Candara"/>
          <w:color w:val="000000"/>
          <w:sz w:val="20"/>
          <w:szCs w:val="20"/>
          <w:lang w:val="id-ID"/>
        </w:rPr>
        <w:t>Zhang et al</w:t>
      </w:r>
      <w:r w:rsidRPr="00991555">
        <w:rPr>
          <w:rFonts w:ascii="Candara" w:hAnsi="Candara"/>
          <w:color w:val="000000"/>
          <w:sz w:val="20"/>
          <w:szCs w:val="20"/>
          <w:vertAlign w:val="superscript"/>
          <w:lang w:val="id-ID"/>
        </w:rPr>
        <w:fldChar w:fldCharType="begin" w:fldLock="1"/>
      </w:r>
      <w:r w:rsidRPr="00991555">
        <w:rPr>
          <w:rFonts w:ascii="Candara" w:hAnsi="Candara"/>
          <w:color w:val="000000"/>
          <w:sz w:val="20"/>
          <w:szCs w:val="20"/>
          <w:vertAlign w:val="superscript"/>
          <w:lang w:val="id-ID"/>
        </w:rPr>
        <w:instrText>ADDIN CSL_CITATION {"citationItems":[{"id":"ITEM-1","itemData":{"DOI":"10.1111/jth.14859","ISSN":"15387836","PMID":"32306492","abstract":"Background: The outbreak of the coronavirus disease 2019 (Covid-19) has shown a global spreading trend. Early and effective predictors of clinical outcomes are urgently needed to improve management of Covid-19 patients. Objective: The aim of the present study was to evaluate whether elevated D-dimer levels could predict mortality in patients with Covid-19. Methods: Patients with laboratory confirmed Covid-19 were retrospective enrolled in Wuhan Asia General Hospital from January 12, 2020, to March 15, 2020. D-dimer levels on admission and death events were collected to calculate the optimum cutoff using receiver operating characteristic curves. According to the cutoff, the subjects were divided into two groups. Then the in-hospital mortality between two groups were compared to assess the predictive value of D-dimer level. Results: A total of 343 eligible patients were enrolled in the study. The optimum cutoff value of D-dimer to predict in-hospital mortality was 2.0 µg/mL with a sensitivity of 92.3% and a specificity of 83.3%. There were 67 patients with D-dimer ≥2.0 µg/mL, and 267 patients with D-dimer &lt;2.0 µg/mL on admission. 13 deaths occurred during hospitalization. Patients with D-dimer levels ≥2.0 µg/mL had a higher incidence of mortality when comparing with those who with D-dimer levels &lt;2.0 µg/mL (12/67 vs 1/267, P &lt;.001; hazard ratio, 51.5; 95% confidence interval, 12.9-206.7). Conclusions: D-dimer on admission greater than 2.0 µg/mL (fourfold increase) could effectively predict in-hospital mortality in patients with Covid-19, which indicated D-dimer could be an early and helpful marker to improve management of Covid-19 patients. (Chinese Clinical Trial Registry: ChiCTR2000031428).","author":[{"dropping-particle":"","family":"Zhang","given":"Litao","non-dropping-particle":"","parse-names":false,"suffix":""},{"dropping-particle":"","family":"Yan","given":"Xinsheng","non-dropping-particle":"","parse-names":false,"suffix":""},{"dropping-particle":"","family":"Fan","given":"Qingkun","non-dropping-particle":"","parse-names":false,"suffix":""},{"dropping-particle":"","family":"Liu","given":"Haiyan","non-dropping-particle":"","parse-names":false,"suffix":""},{"dropping-particle":"","family":"Liu","given":"Xintian","non-dropping-particle":"","parse-names":false,"suffix":""},{"dropping-particle":"","family":"Liu","given":"Zejin","non-dropping-particle":"","parse-names":false,"suffix":""},{"dropping-particle":"","family":"Zhang","given":"Zhenlu","non-dropping-particle":"","parse-names":false,"suffix":""}],"container-title":"Journal of Thrombosis and Haemostasis","id":"ITEM-1","issue":"6","issued":{"date-parts":[["2020"]]},"page":"1324-1329","title":"D-dimer levels on admission to predict in-hospital mortality in patients with Covid-19","type":"article-journal","volume":"18"},"uris":["http://www.mendeley.com/documents/?uuid=484c84b5-4425-4c68-ac1d-9d5cafad2d23"]}],"mendeley":{"formattedCitation":"(18)","plainTextFormattedCitation":"(18)","previouslyFormattedCitation":"(18)"},"properties":{"noteIndex":0},"schema":"https://github.com/citation-style-language/schema/raw/master/csl-citation.json"}</w:instrText>
      </w:r>
      <w:r w:rsidRPr="00991555">
        <w:rPr>
          <w:rFonts w:ascii="Candara" w:hAnsi="Candara"/>
          <w:color w:val="000000"/>
          <w:sz w:val="20"/>
          <w:szCs w:val="20"/>
          <w:vertAlign w:val="superscript"/>
          <w:lang w:val="id-ID"/>
        </w:rPr>
        <w:fldChar w:fldCharType="separate"/>
      </w:r>
      <w:r w:rsidRPr="00991555">
        <w:rPr>
          <w:rFonts w:ascii="Candara" w:hAnsi="Candara"/>
          <w:noProof/>
          <w:color w:val="000000"/>
          <w:sz w:val="20"/>
          <w:szCs w:val="20"/>
          <w:lang w:val="id-ID"/>
        </w:rPr>
        <w:t>(18)</w:t>
      </w:r>
      <w:r w:rsidRPr="00991555">
        <w:rPr>
          <w:rFonts w:ascii="Candara" w:hAnsi="Candara"/>
          <w:color w:val="000000"/>
          <w:sz w:val="20"/>
          <w:szCs w:val="20"/>
        </w:rPr>
        <w:fldChar w:fldCharType="end"/>
      </w:r>
      <w:r w:rsidRPr="00991555">
        <w:rPr>
          <w:rFonts w:ascii="Candara" w:hAnsi="Candara"/>
          <w:color w:val="000000"/>
          <w:sz w:val="20"/>
          <w:szCs w:val="20"/>
        </w:rPr>
        <w:t xml:space="preserve"> </w:t>
      </w:r>
      <w:r w:rsidR="00E63434">
        <w:rPr>
          <w:rFonts w:ascii="Candara" w:hAnsi="Candara"/>
          <w:color w:val="000000"/>
          <w:sz w:val="20"/>
          <w:szCs w:val="20"/>
          <w:lang w:val="id-ID"/>
        </w:rPr>
        <w:t>examined 343 cases and foun</w:t>
      </w:r>
      <w:r w:rsidR="00E63434">
        <w:rPr>
          <w:rFonts w:ascii="Candara" w:hAnsi="Candara"/>
          <w:color w:val="000000"/>
          <w:sz w:val="20"/>
          <w:szCs w:val="20"/>
        </w:rPr>
        <w:t>d</w:t>
      </w:r>
      <w:r w:rsidR="009911EC">
        <w:rPr>
          <w:rFonts w:ascii="Candara" w:hAnsi="Candara"/>
          <w:color w:val="000000"/>
          <w:sz w:val="20"/>
          <w:szCs w:val="20"/>
        </w:rPr>
        <w:t xml:space="preserve"> </w:t>
      </w:r>
      <w:r w:rsidRPr="00991555">
        <w:rPr>
          <w:rFonts w:ascii="Candara" w:hAnsi="Candara"/>
          <w:color w:val="000000"/>
          <w:sz w:val="20"/>
          <w:szCs w:val="20"/>
          <w:lang w:val="id-ID"/>
        </w:rPr>
        <w:t>that d-dimer levels of over 2.0</w:t>
      </w:r>
      <w:r w:rsidRPr="00991555">
        <w:rPr>
          <w:rFonts w:ascii="Arial" w:hAnsi="Arial"/>
          <w:color w:val="000000"/>
          <w:sz w:val="20"/>
          <w:szCs w:val="20"/>
          <w:lang w:val="id-ID"/>
        </w:rPr>
        <w:t> </w:t>
      </w:r>
      <w:r w:rsidRPr="00991555">
        <w:rPr>
          <w:rFonts w:ascii="Candara" w:hAnsi="Candara"/>
          <w:color w:val="000000"/>
          <w:sz w:val="20"/>
          <w:szCs w:val="20"/>
          <w:lang w:val="id-ID"/>
        </w:rPr>
        <w:t>mg/L could predict mortality with a sensitivity of 92.3% and a specificity of 83.3%.</w:t>
      </w:r>
      <w:r w:rsidRPr="00991555">
        <w:rPr>
          <w:rFonts w:ascii="Candara" w:hAnsi="Candara"/>
          <w:color w:val="000000"/>
          <w:sz w:val="20"/>
          <w:szCs w:val="20"/>
        </w:rPr>
        <w:t xml:space="preserve"> </w:t>
      </w:r>
      <w:r w:rsidR="006C1FE3" w:rsidRPr="006C1FE3">
        <w:rPr>
          <w:rFonts w:ascii="Candara" w:hAnsi="Candara"/>
          <w:color w:val="000000"/>
          <w:sz w:val="20"/>
          <w:szCs w:val="20"/>
        </w:rPr>
        <w:t xml:space="preserve">As a consequence, based on the disease's progression, maximizing </w:t>
      </w:r>
      <w:r w:rsidR="008A5865">
        <w:rPr>
          <w:rFonts w:ascii="Candara" w:hAnsi="Candara"/>
          <w:color w:val="000000"/>
          <w:sz w:val="20"/>
          <w:szCs w:val="20"/>
        </w:rPr>
        <w:t xml:space="preserve">a </w:t>
      </w:r>
      <w:r w:rsidR="006C1FE3" w:rsidRPr="006C1FE3">
        <w:rPr>
          <w:rFonts w:ascii="Candara" w:hAnsi="Candara"/>
          <w:color w:val="000000"/>
          <w:sz w:val="20"/>
          <w:szCs w:val="20"/>
        </w:rPr>
        <w:t xml:space="preserve">particular treatment </w:t>
      </w:r>
      <w:r w:rsidR="006C1FE3">
        <w:rPr>
          <w:rFonts w:ascii="Candara" w:hAnsi="Candara"/>
          <w:color w:val="000000"/>
          <w:sz w:val="20"/>
          <w:szCs w:val="20"/>
        </w:rPr>
        <w:t>may be the best choice</w:t>
      </w:r>
      <w:r w:rsidRPr="00991555">
        <w:rPr>
          <w:rFonts w:ascii="Candara" w:hAnsi="Candara"/>
          <w:color w:val="000000"/>
          <w:sz w:val="20"/>
          <w:szCs w:val="20"/>
        </w:rPr>
        <w:fldChar w:fldCharType="begin" w:fldLock="1"/>
      </w:r>
      <w:r w:rsidRPr="00991555">
        <w:rPr>
          <w:rFonts w:ascii="Candara" w:hAnsi="Candara"/>
          <w:color w:val="000000"/>
          <w:sz w:val="20"/>
          <w:szCs w:val="20"/>
        </w:rPr>
        <w:instrText>ADDIN CSL_CITATION {"citationItems":[{"id":"ITEM-1","itemData":{"DOI":"10.1016/j.thromres.2019.04.030","ISSN":"18792472","PMID":"31059996","author":[{"dropping-particle":"","family":"Iba","given":"Toshiaki","non-dropping-particle":"","parse-names":false,"suffix":""},{"dropping-particle":"","family":"Levy","given":"Jerrold H.","non-dropping-particle":"","parse-names":false,"suffix":""},{"dropping-particle":"","family":"Thachil","given":"Jecko","non-dropping-particle":"","parse-names":false,"suffix":""},{"dropping-particle":"","family":"Wada","given":"Hideo","non-dropping-particle":"","parse-names":false,"suffix":""},{"dropping-particle":"","family":"Levi","given":"Marcel","non-dropping-particle":"","parse-names":false,"suffix":""}],"container-title":"Thrombosis Research","id":"ITEM-1","issue":"January","issued":{"date-parts":[["2019"]]},"page":"11-14","title":"The progression from coagulopathy to disseminated intravascular coagulation in representative underlying diseases","type":"article-journal","volume":"179"},"uris":["http://www.mendeley.com/documents/?uuid=52d9a10a-abbf-4c79-9825-3b20204050fe"]},{"id":"ITEM-2","itemData":{"DOI":"10.1186/s13613-017-0339-5","ISSN":"21105820","abstract":"Host infection by a micro-organism triggers systemic inflammation, innate immunity and complement pathways, but also haemostasis activation. The role of thrombin and fibrin generation in host defence is now recognised, and thrombin has become a partner for survival, while it was seen only as one of the “principal suspects” of multiple organ failure and death during septic shock. This review is first focused on pathophysiology. The role of contact activation system, polyphosphates and neutrophil extracellular traps has emerged, offering new potential therapeutic targets. Interestingly, newly recognised host defence peptides (HDPs), derived from thrombin and other “coagulation” factors, are potent inhibitors of bacterial growth. Inhibition of thrombin generation could promote bacterial growth, while HDPs could become novel therapeutic agents against pathogens when resistance to conventional therapies grows. In a second part, we focused on sepsis-induced coagulopathy diagnostic challenge and stratification from “adaptive” haemostasis to “noxious” disseminated intravascular coagulation (DIC) either thrombotic or haemorrhagic. Besides usual coagulation tests, we discussed cellular haemostasis assessment including neutrophil, platelet and endothelial cell activation. Then, we examined therapeutic opportunities to prevent or to reduce “excess” thrombin generation, while preserving “adaptive” haemostasis. The fail of international randomised trials involving anticoagulants during septic shock may modify the hypothesis considering the end of haemostasis as a target to improve survival. On the one hand, patients at low risk of mortality may not be treated to preserve “immunothrombosis” as a defence when, on the other hand, patients at high risk with patent excess thrombin and fibrin generation could benefit from available (antithrombin, soluble thrombomodulin) or ongoing (FXI and FXII inhibitors) therapies. We propose to better assess coagulation response during infection by an improved knowledge of pathophysiology and systematic testing including determination of DIC scores. This is one of the clues to allocate the right treatment for the right patient at the right moment.","author":[{"dropping-particle":"","family":"Delabranche","given":"Xavier","non-dropping-particle":"","parse-names":false,"suffix":""},{"dropping-particle":"","family":"Helms","given":"Julie","non-dropping-particle":"","parse-names":false,"suffix":""},{"dropping-particle":"","family":"Meziani","given":"Ferhat","non-dropping-particle":"","parse-names":false,"suffix":""}],"container-title":"Annals of Intensive Care","id":"ITEM-2","issue":"1","issued":{"date-parts":[["2017"]]},"page":"1-14","publisher":"Springer International Publishing","title":"Immunohaemostasis: a new view on haemostasis during sepsis","type":"article-journal","volume":"7"},"uris":["http://www.mendeley.com/documents/?uuid=68778b80-4a41-45b8-9152-fe42666f4e48"]}],"mendeley":{"formattedCitation":"(19,20)","plainTextFormattedCitation":"(19,20)","previouslyFormattedCitation":"(19,20)"},"properties":{"noteIndex":0},"schema":"https://github.com/citation-style-language/schema/raw/master/csl-citation.json"}</w:instrText>
      </w:r>
      <w:r w:rsidRPr="00991555">
        <w:rPr>
          <w:rFonts w:ascii="Candara" w:hAnsi="Candara"/>
          <w:color w:val="000000"/>
          <w:sz w:val="20"/>
          <w:szCs w:val="20"/>
        </w:rPr>
        <w:fldChar w:fldCharType="separate"/>
      </w:r>
      <w:r w:rsidRPr="00991555">
        <w:rPr>
          <w:rFonts w:ascii="Candara" w:hAnsi="Candara"/>
          <w:noProof/>
          <w:color w:val="000000"/>
          <w:sz w:val="20"/>
          <w:szCs w:val="20"/>
        </w:rPr>
        <w:t>(19,20)</w:t>
      </w:r>
      <w:r w:rsidRPr="00991555">
        <w:rPr>
          <w:rFonts w:ascii="Candara" w:hAnsi="Candara"/>
          <w:color w:val="000000"/>
          <w:sz w:val="20"/>
          <w:szCs w:val="20"/>
        </w:rPr>
        <w:fldChar w:fldCharType="end"/>
      </w:r>
      <w:r w:rsidRPr="00991555">
        <w:rPr>
          <w:rFonts w:ascii="Candara" w:hAnsi="Candara"/>
          <w:color w:val="000000"/>
          <w:sz w:val="20"/>
          <w:szCs w:val="20"/>
        </w:rPr>
        <w:t xml:space="preserve">. </w:t>
      </w:r>
      <w:r w:rsidR="006C1FE3" w:rsidRPr="006C1FE3">
        <w:rPr>
          <w:rFonts w:ascii="Candara" w:hAnsi="Candara"/>
          <w:bCs/>
          <w:color w:val="000000"/>
          <w:sz w:val="20"/>
          <w:szCs w:val="20"/>
          <w:lang w:val="id-ID"/>
        </w:rPr>
        <w:t xml:space="preserve">In mild to serious </w:t>
      </w:r>
      <w:r w:rsidR="00E30904">
        <w:rPr>
          <w:rFonts w:ascii="Candara" w:hAnsi="Candara"/>
          <w:bCs/>
          <w:color w:val="000000"/>
          <w:sz w:val="20"/>
          <w:szCs w:val="20"/>
          <w:lang w:val="id-ID"/>
        </w:rPr>
        <w:t>COVID-19</w:t>
      </w:r>
      <w:r w:rsidR="006C1FE3" w:rsidRPr="006C1FE3">
        <w:rPr>
          <w:rFonts w:ascii="Candara" w:hAnsi="Candara"/>
          <w:bCs/>
          <w:color w:val="000000"/>
          <w:sz w:val="20"/>
          <w:szCs w:val="20"/>
          <w:lang w:val="id-ID"/>
        </w:rPr>
        <w:t xml:space="preserve"> patients, interim advice from the International Society on Thrombosis and Haemostasis (ISTH) suggests prophylactic low-molecul</w:t>
      </w:r>
      <w:r w:rsidR="006C1FE3">
        <w:rPr>
          <w:rFonts w:ascii="Candara" w:hAnsi="Candara"/>
          <w:bCs/>
          <w:color w:val="000000"/>
          <w:sz w:val="20"/>
          <w:szCs w:val="20"/>
          <w:lang w:val="id-ID"/>
        </w:rPr>
        <w:t>ar-weight heparin (LMWH)</w:t>
      </w:r>
      <w:r w:rsidRPr="00991555">
        <w:rPr>
          <w:rFonts w:ascii="Candara" w:hAnsi="Candara"/>
          <w:bCs/>
          <w:color w:val="000000"/>
          <w:sz w:val="20"/>
          <w:szCs w:val="20"/>
        </w:rPr>
        <w:fldChar w:fldCharType="begin" w:fldLock="1"/>
      </w:r>
      <w:r w:rsidRPr="00991555">
        <w:rPr>
          <w:rFonts w:ascii="Candara" w:hAnsi="Candara"/>
          <w:bCs/>
          <w:color w:val="000000"/>
          <w:sz w:val="20"/>
          <w:szCs w:val="20"/>
        </w:rPr>
        <w:instrText>ADDIN CSL_CITATION {"citationItems":[{"id":"ITEM-1","itemData":{"author":[{"dropping-particle":"","family":"Clark","given":"Cary","non-dropping-particle":"","parse-names":false,"suffix":""}],"id":"ITEM-1","issued":{"date-parts":[["0"]]},"page":"0-2","title":"Recommendations and Guidelines ISTH interim guidance on recognition and management of coagulopathy in COVID-19 Recommendations and Guidelines","type":"article"},"uris":["http://www.mendeley.com/documents/?uuid=cefbb0c1-5c49-432e-8134-656cd9e2f476"]},{"id":"ITEM-2","itemData":{"DOI":"10.1016/j.ijcard.2020.09.064","ISSN":"18741754","abstract":"In patients with severe or critical Coronavirus disease 2019 (COVID-19) manifestations, a thromboinflammatory syndrome, with diffuse microvascular thrombosis, is increasingly evident as the final step of pro-inflammatory cytokines storm. Actually, no proven effective therapies for novel severe acute respiratory syndrome coronavirus 2 (SARS-CoV-2) infection exist. Preliminary observations on anticoagulant therapy appear to be associated with better outcomes in moderate and severe COVID-19 patients with signs of coagulopathy and in those requiring mechanical ventilation. The pathophysiology underlying the prothrombotic state elicited by SARS-CoV-2 outlines possible protective mechanisms of antithrombotic therapy (in primis anticoagulants) for this viral illness. The indications for antiplatelet/anticoagulant use (prevention, prophylaxis, therapy) are guided by the clinical context and the COVID-19 severity. We provide a practical approach on antithrombotic therapy management for COVID-19 patients from a multidisciplinary point of view.","author":[{"dropping-particle":"","family":"Godino","given":"Cosmo","non-dropping-particle":"","parse-names":false,"suffix":""},{"dropping-particle":"","family":"Scotti","given":"Andrea","non-dropping-particle":"","parse-names":false,"suffix":""},{"dropping-particle":"","family":"Maugeri","given":"Norma","non-dropping-particle":"","parse-names":false,"suffix":""},{"dropping-particle":"","family":"Mancini","given":"Nicasio","non-dropping-particle":"","parse-names":false,"suffix":""},{"dropping-particle":"","family":"Fominskiy","given":"Evgeny","non-dropping-particle":"","parse-names":false,"suffix":""},{"dropping-particle":"","family":"Margonato","given":"Alberto","non-dropping-particle":"","parse-names":false,"suffix":""},{"dropping-particle":"","family":"Landoni","given":"Giovanni","non-dropping-particle":"","parse-names":false,"suffix":""}],"container-title":"International Journal of Cardiology","id":"ITEM-2","issued":{"date-parts":[["2020"]]},"publisher":"Elsevier B.V.","title":"Antithrombotic therapy in patients with COVID-19? -Rationale and Evidence-","type":"article-journal"},"uris":["http://www.mendeley.com/documents/?uuid=fe0d6073-d04a-4977-b315-1cd21c626f99"]}],"mendeley":{"formattedCitation":"(21,22)","plainTextFormattedCitation":"(21,22)","previouslyFormattedCitation":"(21,22)"},"properties":{"noteIndex":0},"schema":"https://github.com/citation-style-language/schema/raw/master/csl-citation.json"}</w:instrText>
      </w:r>
      <w:r w:rsidRPr="00991555">
        <w:rPr>
          <w:rFonts w:ascii="Candara" w:hAnsi="Candara"/>
          <w:bCs/>
          <w:color w:val="000000"/>
          <w:sz w:val="20"/>
          <w:szCs w:val="20"/>
        </w:rPr>
        <w:fldChar w:fldCharType="separate"/>
      </w:r>
      <w:r w:rsidRPr="00991555">
        <w:rPr>
          <w:rFonts w:ascii="Candara" w:hAnsi="Candara"/>
          <w:bCs/>
          <w:noProof/>
          <w:color w:val="000000"/>
          <w:sz w:val="20"/>
          <w:szCs w:val="20"/>
        </w:rPr>
        <w:t>(21,22)</w:t>
      </w:r>
      <w:r w:rsidRPr="00991555">
        <w:rPr>
          <w:rFonts w:ascii="Candara" w:hAnsi="Candara"/>
          <w:color w:val="000000"/>
          <w:sz w:val="20"/>
          <w:szCs w:val="20"/>
        </w:rPr>
        <w:fldChar w:fldCharType="end"/>
      </w:r>
      <w:r w:rsidRPr="00991555">
        <w:rPr>
          <w:rFonts w:ascii="Candara" w:hAnsi="Candara"/>
          <w:bCs/>
          <w:color w:val="000000"/>
          <w:sz w:val="20"/>
          <w:szCs w:val="20"/>
        </w:rPr>
        <w:t>.</w:t>
      </w:r>
    </w:p>
    <w:p w14:paraId="3807D02D" w14:textId="018D06C2" w:rsidR="00991555" w:rsidRPr="00991555" w:rsidRDefault="00991555" w:rsidP="00991555">
      <w:pPr>
        <w:ind w:firstLine="426"/>
        <w:jc w:val="both"/>
        <w:rPr>
          <w:rFonts w:ascii="Candara" w:hAnsi="Candara"/>
          <w:b/>
          <w:bCs/>
          <w:color w:val="000000"/>
          <w:sz w:val="20"/>
          <w:szCs w:val="20"/>
        </w:rPr>
      </w:pPr>
      <w:r w:rsidRPr="00991555">
        <w:rPr>
          <w:rFonts w:ascii="Candara" w:hAnsi="Candara"/>
          <w:bCs/>
          <w:color w:val="000000"/>
          <w:sz w:val="20"/>
          <w:szCs w:val="20"/>
        </w:rPr>
        <w:t xml:space="preserve">       </w:t>
      </w:r>
      <w:r w:rsidR="006C1FE3" w:rsidRPr="006C1FE3">
        <w:rPr>
          <w:rFonts w:ascii="Candara" w:hAnsi="Candara"/>
          <w:bCs/>
          <w:color w:val="000000"/>
          <w:sz w:val="20"/>
          <w:szCs w:val="20"/>
          <w:lang w:val="id-ID"/>
        </w:rPr>
        <w:t>Low-molecular-weight heparins (LMWHs) are a new class of anticoagulants made from unfractionated heparin (UFH) and depolymerized chemically or enzymatically to yield fragments aroun</w:t>
      </w:r>
      <w:r w:rsidR="006C1FE3">
        <w:rPr>
          <w:rFonts w:ascii="Candara" w:hAnsi="Candara"/>
          <w:bCs/>
          <w:color w:val="000000"/>
          <w:sz w:val="20"/>
          <w:szCs w:val="20"/>
          <w:lang w:val="id-ID"/>
        </w:rPr>
        <w:t>d one-third the size of heparin</w:t>
      </w:r>
      <w:r w:rsidRPr="00991555">
        <w:rPr>
          <w:rFonts w:ascii="Candara" w:hAnsi="Candara"/>
          <w:bCs/>
          <w:color w:val="000000"/>
          <w:sz w:val="20"/>
          <w:szCs w:val="20"/>
          <w:lang w:val="id-ID"/>
        </w:rPr>
        <w:fldChar w:fldCharType="begin" w:fldLock="1"/>
      </w:r>
      <w:r w:rsidRPr="00991555">
        <w:rPr>
          <w:rFonts w:ascii="Candara" w:hAnsi="Candara"/>
          <w:bCs/>
          <w:color w:val="000000"/>
          <w:sz w:val="20"/>
          <w:szCs w:val="20"/>
          <w:lang w:val="id-ID"/>
        </w:rPr>
        <w:instrText>ADDIN CSL_CITATION {"citationItems":[{"id":"ITEM-1","itemData":{"DOI":"10.1161/01.CIR.98.15.1575","ISSN":"0009-7322","abstract":"Low-molecular-weight heparins (LMWHs) are a new class of anticoagulants derived from unfractionated heparin (UFH). They have a number of advantages over UFH that have led to their increasing use for a number of thromboembolic indications.1 This article will review the limitations of UFH and the mechanisms by which LMWHs overcome these limitations and discuss the results of recent clinical trials evaluating LMWHs for the treatment of venous thrombosis, pulmonary embolism, and unstable angina.","author":[{"dropping-particle":"","family":"Hirsh","given":"Jack","non-dropping-particle":"","parse-names":false,"suffix":""}],"container-title":"Circulation","id":"ITEM-1","issue":"15","issued":{"date-parts":[["1998","10","13"]]},"page":"1575-1582","title":"Low-Molecular-Weight Heparin: A Review of the Results of Recent Studies of the Treatment of Venous Thromboembolism and Unstable Angina","type":"article-journal","volume":"98"},"uris":["http://www.mendeley.com/documents/?uuid=c3b632e5-9ffe-4bca-8dbe-081f6cbf091a"]}],"mendeley":{"formattedCitation":"(23)","plainTextFormattedCitation":"(23)","previouslyFormattedCitation":"(23)"},"properties":{"noteIndex":0},"schema":"https://github.com/citation-style-language/schema/raw/master/csl-citation.json"}</w:instrText>
      </w:r>
      <w:r w:rsidRPr="00991555">
        <w:rPr>
          <w:rFonts w:ascii="Candara" w:hAnsi="Candara"/>
          <w:bCs/>
          <w:color w:val="000000"/>
          <w:sz w:val="20"/>
          <w:szCs w:val="20"/>
          <w:lang w:val="id-ID"/>
        </w:rPr>
        <w:fldChar w:fldCharType="separate"/>
      </w:r>
      <w:r w:rsidRPr="00991555">
        <w:rPr>
          <w:rFonts w:ascii="Candara" w:hAnsi="Candara"/>
          <w:bCs/>
          <w:noProof/>
          <w:color w:val="000000"/>
          <w:sz w:val="20"/>
          <w:szCs w:val="20"/>
          <w:lang w:val="id-ID"/>
        </w:rPr>
        <w:t>(23)</w:t>
      </w:r>
      <w:r w:rsidRPr="00991555">
        <w:rPr>
          <w:rFonts w:ascii="Candara" w:hAnsi="Candara"/>
          <w:color w:val="000000"/>
          <w:sz w:val="20"/>
          <w:szCs w:val="20"/>
        </w:rPr>
        <w:fldChar w:fldCharType="end"/>
      </w:r>
      <w:r w:rsidRPr="00991555">
        <w:rPr>
          <w:rFonts w:ascii="Candara" w:hAnsi="Candara"/>
          <w:bCs/>
          <w:color w:val="000000"/>
          <w:sz w:val="20"/>
          <w:szCs w:val="20"/>
          <w:lang w:val="id-ID"/>
        </w:rPr>
        <w:t>. </w:t>
      </w:r>
      <w:r w:rsidR="00B772E9" w:rsidRPr="00B772E9">
        <w:rPr>
          <w:rFonts w:ascii="Candara" w:hAnsi="Candara"/>
          <w:bCs/>
          <w:color w:val="000000"/>
          <w:sz w:val="20"/>
          <w:szCs w:val="20"/>
          <w:lang w:val="id-ID"/>
        </w:rPr>
        <w:t>They have some benefits over UFH, which has led to increased use for a range of thromboembolic indications</w:t>
      </w:r>
      <w:r w:rsidRPr="00991555">
        <w:rPr>
          <w:rFonts w:ascii="Candara" w:hAnsi="Candara"/>
          <w:bCs/>
          <w:color w:val="000000"/>
          <w:sz w:val="20"/>
          <w:szCs w:val="20"/>
          <w:lang w:val="id-ID"/>
        </w:rPr>
        <w:fldChar w:fldCharType="begin" w:fldLock="1"/>
      </w:r>
      <w:r w:rsidRPr="00991555">
        <w:rPr>
          <w:rFonts w:ascii="Candara" w:hAnsi="Candara"/>
          <w:bCs/>
          <w:color w:val="000000"/>
          <w:sz w:val="20"/>
          <w:szCs w:val="20"/>
          <w:lang w:val="id-ID"/>
        </w:rPr>
        <w:instrText>ADDIN CSL_CITATION {"citationItems":[{"id":"ITEM-1","itemData":{"author":[{"dropping-particle":"","family":"Weitz","given":"JI","non-dropping-particle":"","parse-names":false,"suffix":""}],"container-title":"The New England Journal of Medicine","id":"ITEM-1","issued":{"date-parts":[["1997"]]},"page":"688-698","title":"Low-Molecular-Weight Heparin","type":"article-journal"},"uris":["http://www.mendeley.com/documents/?uuid=574b0cca-53be-4de6-81b8-e15b5c50842d"]}],"mendeley":{"formattedCitation":"(24)","plainTextFormattedCitation":"(24)","previouslyFormattedCitation":"(24)"},"properties":{"noteIndex":0},"schema":"https://github.com/citation-style-language/schema/raw/master/csl-citation.json"}</w:instrText>
      </w:r>
      <w:r w:rsidRPr="00991555">
        <w:rPr>
          <w:rFonts w:ascii="Candara" w:hAnsi="Candara"/>
          <w:bCs/>
          <w:color w:val="000000"/>
          <w:sz w:val="20"/>
          <w:szCs w:val="20"/>
          <w:lang w:val="id-ID"/>
        </w:rPr>
        <w:fldChar w:fldCharType="separate"/>
      </w:r>
      <w:r w:rsidRPr="00991555">
        <w:rPr>
          <w:rFonts w:ascii="Candara" w:hAnsi="Candara"/>
          <w:bCs/>
          <w:noProof/>
          <w:color w:val="000000"/>
          <w:sz w:val="20"/>
          <w:szCs w:val="20"/>
          <w:lang w:val="id-ID"/>
        </w:rPr>
        <w:t>(24)</w:t>
      </w:r>
      <w:r w:rsidRPr="00991555">
        <w:rPr>
          <w:rFonts w:ascii="Candara" w:hAnsi="Candara"/>
          <w:color w:val="000000"/>
          <w:sz w:val="20"/>
          <w:szCs w:val="20"/>
        </w:rPr>
        <w:fldChar w:fldCharType="end"/>
      </w:r>
      <w:r w:rsidRPr="00991555">
        <w:rPr>
          <w:rFonts w:ascii="Candara" w:hAnsi="Candara"/>
          <w:bCs/>
          <w:color w:val="000000"/>
          <w:sz w:val="20"/>
          <w:szCs w:val="20"/>
          <w:lang w:val="id-ID"/>
        </w:rPr>
        <w:t>.</w:t>
      </w:r>
      <w:r w:rsidRPr="00991555">
        <w:rPr>
          <w:rFonts w:ascii="Candara" w:hAnsi="Candara"/>
          <w:bCs/>
          <w:color w:val="000000"/>
          <w:sz w:val="20"/>
          <w:szCs w:val="20"/>
        </w:rPr>
        <w:t xml:space="preserve"> </w:t>
      </w:r>
      <w:r w:rsidR="00B772E9">
        <w:rPr>
          <w:rFonts w:ascii="Candara" w:hAnsi="Candara"/>
          <w:bCs/>
          <w:color w:val="000000"/>
          <w:sz w:val="20"/>
          <w:szCs w:val="20"/>
          <w:lang w:val="id-ID"/>
        </w:rPr>
        <w:t xml:space="preserve">(24). LMWHs, </w:t>
      </w:r>
      <w:r w:rsidR="00B772E9" w:rsidRPr="00B772E9">
        <w:rPr>
          <w:rFonts w:ascii="Candara" w:hAnsi="Candara"/>
          <w:bCs/>
          <w:color w:val="000000"/>
          <w:sz w:val="20"/>
          <w:szCs w:val="20"/>
          <w:lang w:val="id-ID"/>
        </w:rPr>
        <w:t>activate antithrombin (AT)</w:t>
      </w:r>
      <w:r w:rsidR="00B772E9">
        <w:rPr>
          <w:rFonts w:ascii="Candara" w:hAnsi="Candara"/>
          <w:bCs/>
          <w:color w:val="000000"/>
          <w:sz w:val="20"/>
          <w:szCs w:val="20"/>
        </w:rPr>
        <w:t xml:space="preserve"> like UFH</w:t>
      </w:r>
      <w:r w:rsidR="00B772E9" w:rsidRPr="00B772E9">
        <w:rPr>
          <w:rFonts w:ascii="Candara" w:hAnsi="Candara"/>
          <w:bCs/>
          <w:color w:val="000000"/>
          <w:sz w:val="20"/>
          <w:szCs w:val="20"/>
          <w:lang w:val="id-ID"/>
        </w:rPr>
        <w:t xml:space="preserve"> to create the</w:t>
      </w:r>
      <w:r w:rsidR="00B772E9">
        <w:rPr>
          <w:rFonts w:ascii="Candara" w:hAnsi="Candara"/>
          <w:bCs/>
          <w:color w:val="000000"/>
          <w:sz w:val="20"/>
          <w:szCs w:val="20"/>
          <w:lang w:val="id-ID"/>
        </w:rPr>
        <w:t>ir key anticoagulant effect</w:t>
      </w:r>
      <w:r w:rsidRPr="00991555">
        <w:rPr>
          <w:rFonts w:ascii="Candara" w:hAnsi="Candara"/>
          <w:bCs/>
          <w:color w:val="000000"/>
          <w:sz w:val="20"/>
          <w:szCs w:val="20"/>
          <w:lang w:val="id-ID"/>
        </w:rPr>
        <w:fldChar w:fldCharType="begin" w:fldLock="1"/>
      </w:r>
      <w:r w:rsidRPr="00991555">
        <w:rPr>
          <w:rFonts w:ascii="Candara" w:hAnsi="Candara"/>
          <w:bCs/>
          <w:color w:val="000000"/>
          <w:sz w:val="20"/>
          <w:szCs w:val="20"/>
          <w:lang w:val="id-ID"/>
        </w:rPr>
        <w:instrText>ADDIN CSL_CITATION {"citationItems":[{"id":"ITEM-1","itemData":{"DOI":"10.1161/01.CIR.98.15.1575","ISSN":"0009-7322","abstract":"Low-molecular-weight heparins (LMWHs) are a new class of anticoagulants derived from unfractionated heparin (UFH). They have a number of advantages over UFH that have led to their increasing use for a number of thromboembolic indications.1 This article will review the limitations of UFH and the mechanisms by which LMWHs overcome these limitations and discuss the results of recent clinical trials evaluating LMWHs for the treatment of venous thrombosis, pulmonary embolism, and unstable angina.","author":[{"dropping-particle":"","family":"Hirsh","given":"Jack","non-dropping-particle":"","parse-names":false,"suffix":""}],"container-title":"Circulation","id":"ITEM-1","issue":"15","issued":{"date-parts":[["1998","10","13"]]},"page":"1575-1582","title":"Low-Molecular-Weight Heparin: A Review of the Results of Recent Studies of the Treatment of Venous Thromboembolism and Unstable Angina","type":"article-journal","volume":"98"},"uris":["http://www.mendeley.com/documents/?uuid=c3b632e5-9ffe-4bca-8dbe-081f6cbf091a"]}],"mendeley":{"formattedCitation":"(23)","plainTextFormattedCitation":"(23)","previouslyFormattedCitation":"(23)"},"properties":{"noteIndex":0},"schema":"https://github.com/citation-style-language/schema/raw/master/csl-citation.json"}</w:instrText>
      </w:r>
      <w:r w:rsidRPr="00991555">
        <w:rPr>
          <w:rFonts w:ascii="Candara" w:hAnsi="Candara"/>
          <w:bCs/>
          <w:color w:val="000000"/>
          <w:sz w:val="20"/>
          <w:szCs w:val="20"/>
          <w:lang w:val="id-ID"/>
        </w:rPr>
        <w:fldChar w:fldCharType="separate"/>
      </w:r>
      <w:r w:rsidRPr="00991555">
        <w:rPr>
          <w:rFonts w:ascii="Candara" w:hAnsi="Candara"/>
          <w:bCs/>
          <w:noProof/>
          <w:color w:val="000000"/>
          <w:sz w:val="20"/>
          <w:szCs w:val="20"/>
          <w:lang w:val="id-ID"/>
        </w:rPr>
        <w:t>(23)</w:t>
      </w:r>
      <w:r w:rsidRPr="00991555">
        <w:rPr>
          <w:rFonts w:ascii="Candara" w:hAnsi="Candara"/>
          <w:color w:val="000000"/>
          <w:sz w:val="20"/>
          <w:szCs w:val="20"/>
        </w:rPr>
        <w:fldChar w:fldCharType="end"/>
      </w:r>
      <w:r w:rsidRPr="00991555">
        <w:rPr>
          <w:rFonts w:ascii="Candara" w:hAnsi="Candara"/>
          <w:bCs/>
          <w:color w:val="000000"/>
          <w:sz w:val="20"/>
          <w:szCs w:val="20"/>
          <w:lang w:val="id-ID"/>
        </w:rPr>
        <w:t>.</w:t>
      </w:r>
      <w:r w:rsidRPr="00991555">
        <w:rPr>
          <w:rFonts w:ascii="Candara" w:hAnsi="Candara"/>
          <w:bCs/>
          <w:color w:val="000000"/>
          <w:sz w:val="20"/>
          <w:szCs w:val="20"/>
        </w:rPr>
        <w:t xml:space="preserve"> </w:t>
      </w:r>
      <w:r w:rsidR="00B772E9" w:rsidRPr="00B772E9">
        <w:rPr>
          <w:rFonts w:ascii="Candara" w:hAnsi="Candara"/>
          <w:bCs/>
          <w:color w:val="000000"/>
          <w:sz w:val="20"/>
          <w:szCs w:val="20"/>
        </w:rPr>
        <w:t xml:space="preserve">Anticoagulants are low-molecular-weight heparins (LMWHs), such as </w:t>
      </w:r>
      <w:proofErr w:type="spellStart"/>
      <w:r w:rsidR="00B772E9" w:rsidRPr="00B772E9">
        <w:rPr>
          <w:rFonts w:ascii="Candara" w:hAnsi="Candara"/>
          <w:bCs/>
          <w:color w:val="000000"/>
          <w:sz w:val="20"/>
          <w:szCs w:val="20"/>
        </w:rPr>
        <w:t>dalteparin</w:t>
      </w:r>
      <w:proofErr w:type="spellEnd"/>
      <w:r w:rsidR="00B772E9" w:rsidRPr="00B772E9">
        <w:rPr>
          <w:rFonts w:ascii="Candara" w:hAnsi="Candara"/>
          <w:bCs/>
          <w:color w:val="000000"/>
          <w:sz w:val="20"/>
          <w:szCs w:val="20"/>
        </w:rPr>
        <w:t xml:space="preserve"> and enoxaparin. These medications are used to prevent venous thromboembolic disease (VTE) during an acute or elective hospital stay, to treat deep vein </w:t>
      </w:r>
      <w:proofErr w:type="spellStart"/>
      <w:r w:rsidR="00B772E9" w:rsidRPr="00B772E9">
        <w:rPr>
          <w:rFonts w:ascii="Candara" w:hAnsi="Candara"/>
          <w:bCs/>
          <w:color w:val="000000"/>
          <w:sz w:val="20"/>
          <w:szCs w:val="20"/>
        </w:rPr>
        <w:t>thromboses</w:t>
      </w:r>
      <w:proofErr w:type="spellEnd"/>
      <w:r w:rsidR="00B772E9" w:rsidRPr="00B772E9">
        <w:rPr>
          <w:rFonts w:ascii="Candara" w:hAnsi="Candara"/>
          <w:bCs/>
          <w:color w:val="000000"/>
          <w:sz w:val="20"/>
          <w:szCs w:val="20"/>
        </w:rPr>
        <w:t xml:space="preserve"> (DVT), pulmonary embolism (PE), and </w:t>
      </w:r>
      <w:r w:rsidR="00B46D72">
        <w:rPr>
          <w:rFonts w:ascii="Candara" w:hAnsi="Candara"/>
          <w:bCs/>
          <w:color w:val="000000"/>
          <w:sz w:val="20"/>
          <w:szCs w:val="20"/>
          <w:lang w:val="id-ID"/>
        </w:rPr>
        <w:t>u</w:t>
      </w:r>
      <w:proofErr w:type="spellStart"/>
      <w:r w:rsidR="00B772E9" w:rsidRPr="00B772E9">
        <w:rPr>
          <w:rFonts w:ascii="Candara" w:hAnsi="Candara"/>
          <w:bCs/>
          <w:color w:val="000000"/>
          <w:sz w:val="20"/>
          <w:szCs w:val="20"/>
        </w:rPr>
        <w:t>nstable</w:t>
      </w:r>
      <w:proofErr w:type="spellEnd"/>
      <w:r w:rsidR="00B772E9" w:rsidRPr="00B772E9">
        <w:rPr>
          <w:rFonts w:ascii="Candara" w:hAnsi="Candara"/>
          <w:bCs/>
          <w:color w:val="000000"/>
          <w:sz w:val="20"/>
          <w:szCs w:val="20"/>
        </w:rPr>
        <w:t xml:space="preserve"> </w:t>
      </w:r>
      <w:r w:rsidR="00B46D72">
        <w:rPr>
          <w:rFonts w:ascii="Candara" w:hAnsi="Candara"/>
          <w:bCs/>
          <w:color w:val="000000"/>
          <w:sz w:val="20"/>
          <w:szCs w:val="20"/>
          <w:lang w:val="id-ID"/>
        </w:rPr>
        <w:t>a</w:t>
      </w:r>
      <w:proofErr w:type="spellStart"/>
      <w:r w:rsidR="00B772E9" w:rsidRPr="00B772E9">
        <w:rPr>
          <w:rFonts w:ascii="Candara" w:hAnsi="Candara"/>
          <w:bCs/>
          <w:color w:val="000000"/>
          <w:sz w:val="20"/>
          <w:szCs w:val="20"/>
        </w:rPr>
        <w:t>ngina</w:t>
      </w:r>
      <w:proofErr w:type="spellEnd"/>
      <w:r w:rsidR="00B772E9" w:rsidRPr="00B772E9">
        <w:rPr>
          <w:rFonts w:ascii="Candara" w:hAnsi="Candara"/>
          <w:bCs/>
          <w:color w:val="000000"/>
          <w:sz w:val="20"/>
          <w:szCs w:val="20"/>
        </w:rPr>
        <w:t xml:space="preserve">, and are now prescribed in mild to serious </w:t>
      </w:r>
      <w:r w:rsidR="00E30904">
        <w:rPr>
          <w:rFonts w:ascii="Candara" w:hAnsi="Candara"/>
          <w:bCs/>
          <w:color w:val="000000"/>
          <w:sz w:val="20"/>
          <w:szCs w:val="20"/>
        </w:rPr>
        <w:t>COVID-19</w:t>
      </w:r>
      <w:r w:rsidR="00B772E9">
        <w:rPr>
          <w:rFonts w:ascii="Candara" w:hAnsi="Candara"/>
          <w:bCs/>
          <w:color w:val="000000"/>
          <w:sz w:val="20"/>
          <w:szCs w:val="20"/>
        </w:rPr>
        <w:t xml:space="preserve"> with symptoms of coagulopathy</w:t>
      </w:r>
      <w:r w:rsidRPr="00991555">
        <w:rPr>
          <w:rFonts w:ascii="Candara" w:hAnsi="Candara"/>
          <w:bCs/>
          <w:color w:val="000000"/>
          <w:sz w:val="20"/>
          <w:szCs w:val="20"/>
        </w:rPr>
        <w:fldChar w:fldCharType="begin" w:fldLock="1"/>
      </w:r>
      <w:r w:rsidRPr="00991555">
        <w:rPr>
          <w:rFonts w:ascii="Candara" w:hAnsi="Candara"/>
          <w:bCs/>
          <w:color w:val="000000"/>
          <w:sz w:val="20"/>
          <w:szCs w:val="20"/>
        </w:rPr>
        <w:instrText>ADDIN CSL_CITATION {"citationItems":[{"id":"ITEM-1","itemData":{"DOI":"10.1002/14651858.CD005134.pub3","ISSN":"1469493X","PMID":"27797404","abstract":"Background: Venous thromboembolism (VTE) is a common condition with potentially serious and life-threatening consequences. The standard method of thromboprophylaxis uses an anticoagulant such as low molecular weight heparin (LMWH) or warfarin. In recent years, another type of anticoagulant, pentasaccharide, an indirect factor Xa inhibitor, has shown good anticoagulative effect in clinical trials. Three types of pentasaccharides are available: short-acting fondaparinux, long-acting idraparinux and idrabiotaparinux. Pentasaccharides cause little heparin-induced thrombocytopenia and are better tolerated than unfractionated heparin, LMWH and warfarin. However, no consensus has been reached on whether pentasaccharides are superior or inferior to other anticoagulative methods. Objectives: To assess effects of pentasaccharides versus other methods of thromboembolic prevention (thromboprophylaxis) in people who require anticoagulant treatment to prevent venous thromboembolism. Search methods: The Cochrane Vascular Information Specialist (CIS) searched the Specialised Register (last searched March 2016) and the Cochrane Central Register of Controlled Trials (CENTRAL; 2016, Issue 2). The CIS searched trial databases for details of ongoing and unpublished studies. Review authors searched LILACS (Latin American and Caribbean Health Sciences) and the reference lists of relevant studies and reviews identified by electronic searches. Selection criteria: We included randomised controlled trials on any type of pentasaccharide versus other anticoagulation methods (pharmaceutical or mechanical) for VTE prevention. Data collection and analysis: Two review authors independently selected trials, assessed methodological quality and extracted data in predesigned tables. Main results: We included in this review 25 studies with a total of 21,004 participants. All investigated fondaparinux for VTE prevention; none investigated idraparinux or idrabiotaparinux. Studies included participants undergoing abdominal surgery, thoracic surgery, bariatric surgery or coronary bypass surgery; acutely ill hospitalised medical patients; people requiring rigid or semirigid immobilisation; and those with superficial venous thrombosis. Most studies focused on orthopaedic patients. We lowered the quality of the evidence because of heterogeneity between studies and a small number of events causing imprecision. When comparing fondaparinux with placebo, we found less total VTE (risk ratio (RR) 0.24, …","author":[{"dropping-particle":"","family":"Dong","given":"Kezhou","non-dropping-particle":"","parse-names":false,"suffix":""},{"dropping-particle":"","family":"Song","given":"Yanzhi","non-dropping-particle":"","parse-names":false,"suffix":""},{"dropping-particle":"","family":"Li","given":"Xiaodong","non-dropping-particle":"","parse-names":false,"suffix":""},{"dropping-particle":"","family":"Ding","given":"Jie","non-dropping-particle":"","parse-names":false,"suffix":""},{"dropping-particle":"","family":"Gao","given":"Zhiyong","non-dropping-particle":"","parse-names":false,"suffix":""},{"dropping-particle":"","family":"Lu","given":"Daopei","non-dropping-particle":"","parse-names":false,"suffix":""},{"dropping-particle":"","family":"Zhu","given":"Yimin","non-dropping-particle":"","parse-names":false,"suffix":""}],"container-title":"Cochrane Database of Systematic Reviews","id":"ITEM-1","issue":"10","issued":{"date-parts":[["2016"]]},"title":"Pentasaccharides for the prevention of venous thromboembolism","type":"article-journal","volume":"2016"},"uris":["http://www.mendeley.com/documents/?uuid=9a1d37f1-7c15-449d-872e-06e15786baa3"]},{"id":"ITEM-2","itemData":{"DOI":"10.1161/01.CIR.98.15.1575","ISSN":"0009-7322","abstract":"Low-molecular-weight heparins (LMWHs) are a new class of anticoagulants derived from unfractionated heparin (UFH). They have a number of advantages over UFH that have led to their increasing use for a number of thromboembolic indications.1 This article will review the limitations of UFH and the mechanisms by which LMWHs overcome these limitations and discuss the results of recent clinical trials evaluating LMWHs for the treatment of venous thrombosis, pulmonary embolism, and unstable angina.","author":[{"dropping-particle":"","family":"Hirsh","given":"Jack","non-dropping-particle":"","parse-names":false,"suffix":""}],"container-title":"Circulation","id":"ITEM-2","issue":"15","issued":{"date-parts":[["1998","10","13"]]},"page":"1575-1582","title":"Low-Molecular-Weight Heparin: A Review of the Results of Recent Studies of the Treatment of Venous Thromboembolism and Unstable Angina","type":"article-journal","volume":"98"},"uris":["http://www.mendeley.com/documents/?uuid=c3b632e5-9ffe-4bca-8dbe-081f6cbf091a"]},{"id":"ITEM-3","itemData":{"DOI":"10.1016/j.ijcard.2020.09.064","ISSN":"18741754","abstract":"In patients with severe or critical Coronavirus disease 2019 (COVID-19) manifestations, a thromboinflammatory syndrome, with diffuse microvascular thrombosis, is increasingly evident as the final step of pro-inflammatory cytokines storm. Actually, no proven effective therapies for novel severe acute respiratory syndrome coronavirus 2 (SARS-CoV-2) infection exist. Preliminary observations on anticoagulant therapy appear to be associated with better outcomes in moderate and severe COVID-19 patients with signs of coagulopathy and in those requiring mechanical ventilation. The pathophysiology underlying the prothrombotic state elicited by SARS-CoV-2 outlines possible protective mechanisms of antithrombotic therapy (in primis anticoagulants) for this viral illness. The indications for antiplatelet/anticoagulant use (prevention, prophylaxis, therapy) are guided by the clinical context and the COVID-19 severity. We provide a practical approach on antithrombotic therapy management for COVID-19 patients from a multidisciplinary point of view.","author":[{"dropping-particle":"","family":"Godino","given":"Cosmo","non-dropping-particle":"","parse-names":false,"suffix":""},{"dropping-particle":"","family":"Scotti","given":"Andrea","non-dropping-particle":"","parse-names":false,"suffix":""},{"dropping-particle":"","family":"Maugeri","given":"Norma","non-dropping-particle":"","parse-names":false,"suffix":""},{"dropping-particle":"","family":"Mancini","given":"Nicasio","non-dropping-particle":"","parse-names":false,"suffix":""},{"dropping-particle":"","family":"Fominskiy","given":"Evgeny","non-dropping-particle":"","parse-names":false,"suffix":""},{"dropping-particle":"","family":"Margonato","given":"Alberto","non-dropping-particle":"","parse-names":false,"suffix":""},{"dropping-particle":"","family":"Landoni","given":"Giovanni","non-dropping-particle":"","parse-names":false,"suffix":""}],"container-title":"International Journal of Cardiology","id":"ITEM-3","issued":{"date-parts":[["2020"]]},"publisher":"Elsevier B.V.","title":"Antithrombotic therapy in patients with COVID-19? -Rationale and Evidence-","type":"article-journal"},"uris":["http://www.mendeley.com/documents/?uuid=fe0d6073-d04a-4977-b315-1cd21c626f99"]}],"mendeley":{"formattedCitation":"(22,23,25)","plainTextFormattedCitation":"(22,23,25)","previouslyFormattedCitation":"(22,23,25)"},"properties":{"noteIndex":0},"schema":"https://github.com/citation-style-language/schema/raw/master/csl-citation.json"}</w:instrText>
      </w:r>
      <w:r w:rsidRPr="00991555">
        <w:rPr>
          <w:rFonts w:ascii="Candara" w:hAnsi="Candara"/>
          <w:bCs/>
          <w:color w:val="000000"/>
          <w:sz w:val="20"/>
          <w:szCs w:val="20"/>
        </w:rPr>
        <w:fldChar w:fldCharType="separate"/>
      </w:r>
      <w:r w:rsidRPr="00991555">
        <w:rPr>
          <w:rFonts w:ascii="Candara" w:hAnsi="Candara"/>
          <w:bCs/>
          <w:noProof/>
          <w:color w:val="000000"/>
          <w:sz w:val="20"/>
          <w:szCs w:val="20"/>
        </w:rPr>
        <w:t>(22,23,25)</w:t>
      </w:r>
      <w:r w:rsidRPr="00991555">
        <w:rPr>
          <w:rFonts w:ascii="Candara" w:hAnsi="Candara"/>
          <w:color w:val="000000"/>
          <w:sz w:val="20"/>
          <w:szCs w:val="20"/>
        </w:rPr>
        <w:fldChar w:fldCharType="end"/>
      </w:r>
      <w:r w:rsidRPr="00991555">
        <w:rPr>
          <w:rFonts w:ascii="Candara" w:hAnsi="Candara"/>
          <w:bCs/>
          <w:color w:val="000000"/>
          <w:sz w:val="20"/>
          <w:szCs w:val="20"/>
        </w:rPr>
        <w:t>. We used enoxaparin with prophylaxis dose to treated our patients in this case report</w:t>
      </w:r>
      <w:r w:rsidR="0019184A">
        <w:rPr>
          <w:rFonts w:ascii="Candara" w:hAnsi="Candara"/>
          <w:bCs/>
          <w:color w:val="000000"/>
          <w:sz w:val="20"/>
          <w:szCs w:val="20"/>
        </w:rPr>
        <w:t xml:space="preserve"> and </w:t>
      </w:r>
      <w:r w:rsidR="0019184A" w:rsidRPr="0019184A">
        <w:rPr>
          <w:rFonts w:ascii="Candara" w:hAnsi="Candara"/>
          <w:bCs/>
          <w:color w:val="000000"/>
          <w:sz w:val="20"/>
          <w:szCs w:val="20"/>
        </w:rPr>
        <w:t>unfractionated heparin</w:t>
      </w:r>
      <w:r w:rsidR="0019184A">
        <w:rPr>
          <w:rFonts w:ascii="Candara" w:hAnsi="Candara"/>
          <w:bCs/>
          <w:color w:val="000000"/>
          <w:sz w:val="20"/>
          <w:szCs w:val="20"/>
        </w:rPr>
        <w:t xml:space="preserve"> used in one case</w:t>
      </w:r>
      <w:r w:rsidRPr="00991555">
        <w:rPr>
          <w:rFonts w:ascii="Candara" w:hAnsi="Candara"/>
          <w:bCs/>
          <w:color w:val="000000"/>
          <w:sz w:val="20"/>
          <w:szCs w:val="20"/>
        </w:rPr>
        <w:t xml:space="preserve">. </w:t>
      </w:r>
    </w:p>
    <w:p w14:paraId="74A8D562" w14:textId="0D87F8F4" w:rsidR="00077860" w:rsidRDefault="00991555" w:rsidP="00991555">
      <w:pPr>
        <w:ind w:firstLine="426"/>
        <w:jc w:val="both"/>
        <w:rPr>
          <w:rFonts w:ascii="Candara" w:hAnsi="Candara"/>
          <w:bCs/>
          <w:color w:val="000000"/>
          <w:sz w:val="20"/>
          <w:szCs w:val="20"/>
        </w:rPr>
      </w:pPr>
      <w:r w:rsidRPr="00991555">
        <w:rPr>
          <w:rFonts w:ascii="Candara" w:hAnsi="Candara"/>
          <w:bCs/>
          <w:color w:val="000000"/>
          <w:sz w:val="20"/>
          <w:szCs w:val="20"/>
        </w:rPr>
        <w:t xml:space="preserve">       </w:t>
      </w:r>
      <w:r w:rsidR="00B772E9">
        <w:rPr>
          <w:rFonts w:ascii="Candara" w:hAnsi="Candara"/>
          <w:bCs/>
          <w:color w:val="000000"/>
          <w:sz w:val="20"/>
          <w:szCs w:val="20"/>
        </w:rPr>
        <w:t>If there is no contraindication such as platelet less than 25</w:t>
      </w:r>
      <w:r w:rsidR="00E72D58">
        <w:rPr>
          <w:rFonts w:ascii="Candara" w:hAnsi="Candara"/>
          <w:bCs/>
          <w:color w:val="000000"/>
          <w:sz w:val="20"/>
          <w:szCs w:val="20"/>
        </w:rPr>
        <w:t xml:space="preserve"> x </w:t>
      </w:r>
      <w:r w:rsidR="00E72D58" w:rsidRPr="00E72D58">
        <w:rPr>
          <w:rFonts w:ascii="Candara" w:hAnsi="Candara"/>
          <w:bCs/>
          <w:color w:val="000000"/>
          <w:sz w:val="20"/>
          <w:szCs w:val="20"/>
        </w:rPr>
        <w:t>10</w:t>
      </w:r>
      <w:r w:rsidR="00E72D58" w:rsidRPr="00E72D58">
        <w:rPr>
          <w:rFonts w:ascii="Candara" w:hAnsi="Candara"/>
          <w:bCs/>
          <w:color w:val="000000"/>
          <w:sz w:val="20"/>
          <w:szCs w:val="20"/>
          <w:vertAlign w:val="superscript"/>
        </w:rPr>
        <w:t>9</w:t>
      </w:r>
      <w:r w:rsidR="00E72D58">
        <w:rPr>
          <w:rFonts w:ascii="Candara" w:hAnsi="Candara"/>
          <w:bCs/>
          <w:color w:val="000000"/>
          <w:sz w:val="20"/>
          <w:szCs w:val="20"/>
        </w:rPr>
        <w:t>/</w:t>
      </w:r>
      <w:r w:rsidR="00E72D58" w:rsidRPr="00E72D58">
        <w:rPr>
          <w:rFonts w:ascii="Candara" w:hAnsi="Candara"/>
          <w:bCs/>
          <w:color w:val="000000"/>
          <w:sz w:val="20"/>
          <w:szCs w:val="20"/>
        </w:rPr>
        <w:t>L</w:t>
      </w:r>
      <w:r w:rsidR="00E72D58">
        <w:rPr>
          <w:rFonts w:ascii="Candara" w:hAnsi="Candara"/>
          <w:bCs/>
          <w:color w:val="000000"/>
          <w:sz w:val="20"/>
          <w:szCs w:val="20"/>
        </w:rPr>
        <w:t xml:space="preserve">, ISTH suggested </w:t>
      </w:r>
      <w:r w:rsidR="008A5865">
        <w:rPr>
          <w:rFonts w:ascii="Candara" w:hAnsi="Candara"/>
          <w:bCs/>
          <w:color w:val="000000"/>
          <w:sz w:val="20"/>
          <w:szCs w:val="20"/>
        </w:rPr>
        <w:t>giving</w:t>
      </w:r>
      <w:r w:rsidR="00E72D58">
        <w:rPr>
          <w:rFonts w:ascii="Candara" w:hAnsi="Candara"/>
          <w:bCs/>
          <w:color w:val="000000"/>
          <w:sz w:val="20"/>
          <w:szCs w:val="20"/>
        </w:rPr>
        <w:t xml:space="preserve"> </w:t>
      </w:r>
      <w:r w:rsidR="008A5865">
        <w:rPr>
          <w:rFonts w:ascii="Candara" w:hAnsi="Candara"/>
          <w:bCs/>
          <w:color w:val="000000"/>
          <w:sz w:val="20"/>
          <w:szCs w:val="20"/>
        </w:rPr>
        <w:t xml:space="preserve">a </w:t>
      </w:r>
      <w:r w:rsidR="00E72D58">
        <w:rPr>
          <w:rFonts w:ascii="Candara" w:hAnsi="Candara"/>
          <w:bCs/>
          <w:color w:val="000000"/>
          <w:sz w:val="20"/>
          <w:szCs w:val="20"/>
        </w:rPr>
        <w:t>prophyla</w:t>
      </w:r>
      <w:r w:rsidR="008A5865">
        <w:rPr>
          <w:rFonts w:ascii="Candara" w:hAnsi="Candara"/>
          <w:bCs/>
          <w:color w:val="000000"/>
          <w:sz w:val="20"/>
          <w:szCs w:val="20"/>
        </w:rPr>
        <w:t>c</w:t>
      </w:r>
      <w:r w:rsidR="00E72D58">
        <w:rPr>
          <w:rFonts w:ascii="Candara" w:hAnsi="Candara"/>
          <w:bCs/>
          <w:color w:val="000000"/>
          <w:sz w:val="20"/>
          <w:szCs w:val="20"/>
        </w:rPr>
        <w:t xml:space="preserve">tic dosage of LMWH to all </w:t>
      </w:r>
      <w:r w:rsidR="00E30904">
        <w:rPr>
          <w:rFonts w:ascii="Candara" w:hAnsi="Candara"/>
          <w:bCs/>
          <w:color w:val="000000"/>
          <w:sz w:val="20"/>
          <w:szCs w:val="20"/>
        </w:rPr>
        <w:t>COVID-19</w:t>
      </w:r>
      <w:r w:rsidR="00E72D58">
        <w:rPr>
          <w:rFonts w:ascii="Candara" w:hAnsi="Candara"/>
          <w:bCs/>
          <w:color w:val="000000"/>
          <w:sz w:val="20"/>
          <w:szCs w:val="20"/>
        </w:rPr>
        <w:t xml:space="preserve"> who needed to hospitalize</w:t>
      </w:r>
      <w:r w:rsidRPr="00991555">
        <w:rPr>
          <w:rFonts w:ascii="Candara" w:hAnsi="Candara"/>
          <w:bCs/>
          <w:color w:val="000000"/>
          <w:sz w:val="20"/>
          <w:szCs w:val="20"/>
        </w:rPr>
        <w:fldChar w:fldCharType="begin" w:fldLock="1"/>
      </w:r>
      <w:r w:rsidRPr="00991555">
        <w:rPr>
          <w:rFonts w:ascii="Candara" w:hAnsi="Candara"/>
          <w:bCs/>
          <w:color w:val="000000"/>
          <w:sz w:val="20"/>
          <w:szCs w:val="20"/>
        </w:rPr>
        <w:instrText>ADDIN CSL_CITATION {"citationItems":[{"id":"ITEM-1","itemData":{"DOI":"10.1111/jth.14810","ISSN":"15387836","PMID":"32338827","author":[{"dropping-particle":"","family":"Thachil","given":"Jecko","non-dropping-particle":"","parse-names":false,"suffix":""},{"dropping-particle":"","family":"Tang","given":"Ning","non-dropping-particle":"","parse-names":false,"suffix":""},{"dropping-particle":"","family":"Gando","given":"Satoshi","non-dropping-particle":"","parse-names":false,"suffix":""},{"dropping-particle":"","family":"Falanga","given":"Anna","non-dropping-particle":"","parse-names":false,"suffix":""},{"dropping-particle":"","family":"Cattaneo","given":"Marco","non-dropping-particle":"","parse-names":false,"suffix":""},{"dropping-particle":"","family":"Levi","given":"Marcel","non-dropping-particle":"","parse-names":false,"suffix":""},{"dropping-particle":"","family":"Clark","given":"Cary","non-dropping-particle":"","parse-names":false,"suffix":""},{"dropping-particle":"","family":"Iba","given":"Toshiaki","non-dropping-particle":"","parse-names":false,"suffix":""}],"container-title":"Journal of Thrombosis and Haemostasis","id":"ITEM-1","issue":"5","issued":{"date-parts":[["2020"]]},"page":"1023-1026","title":"ISTH interim guidance on recognition and management of coagulopathy in COVID-19","type":"article-journal","volume":"18"},"uris":["http://www.mendeley.com/documents/?uuid=b965b0df-648c-4377-9b81-4811e9b3e529"]}],"mendeley":{"formattedCitation":"(26)","plainTextFormattedCitation":"(26)","previouslyFormattedCitation":"(26)"},"properties":{"noteIndex":0},"schema":"https://github.com/citation-style-language/schema/raw/master/csl-citation.json"}</w:instrText>
      </w:r>
      <w:r w:rsidRPr="00991555">
        <w:rPr>
          <w:rFonts w:ascii="Candara" w:hAnsi="Candara"/>
          <w:bCs/>
          <w:color w:val="000000"/>
          <w:sz w:val="20"/>
          <w:szCs w:val="20"/>
        </w:rPr>
        <w:fldChar w:fldCharType="separate"/>
      </w:r>
      <w:r w:rsidRPr="00991555">
        <w:rPr>
          <w:rFonts w:ascii="Candara" w:hAnsi="Candara"/>
          <w:bCs/>
          <w:noProof/>
          <w:color w:val="000000"/>
          <w:sz w:val="20"/>
          <w:szCs w:val="20"/>
        </w:rPr>
        <w:t>(26)</w:t>
      </w:r>
      <w:r w:rsidRPr="00991555">
        <w:rPr>
          <w:rFonts w:ascii="Candara" w:hAnsi="Candara"/>
          <w:color w:val="000000"/>
          <w:sz w:val="20"/>
          <w:szCs w:val="20"/>
        </w:rPr>
        <w:fldChar w:fldCharType="end"/>
      </w:r>
      <w:r w:rsidRPr="00991555">
        <w:rPr>
          <w:rFonts w:ascii="Candara" w:hAnsi="Candara"/>
          <w:bCs/>
          <w:color w:val="000000"/>
          <w:sz w:val="20"/>
          <w:szCs w:val="20"/>
        </w:rPr>
        <w:t xml:space="preserve">. </w:t>
      </w:r>
      <w:r w:rsidR="00077860">
        <w:rPr>
          <w:rFonts w:ascii="Candara" w:hAnsi="Candara"/>
          <w:bCs/>
          <w:color w:val="000000"/>
          <w:sz w:val="20"/>
          <w:szCs w:val="20"/>
        </w:rPr>
        <w:t>In another systematic r</w:t>
      </w:r>
      <w:r w:rsidR="008A5865">
        <w:rPr>
          <w:rFonts w:ascii="Candara" w:hAnsi="Candara"/>
          <w:bCs/>
          <w:color w:val="000000"/>
          <w:sz w:val="20"/>
          <w:szCs w:val="20"/>
        </w:rPr>
        <w:t>evi</w:t>
      </w:r>
      <w:r w:rsidR="00077860">
        <w:rPr>
          <w:rFonts w:ascii="Candara" w:hAnsi="Candara"/>
          <w:bCs/>
          <w:color w:val="000000"/>
          <w:sz w:val="20"/>
          <w:szCs w:val="20"/>
        </w:rPr>
        <w:t xml:space="preserve">ew and meta-analysis showed that LMWH </w:t>
      </w:r>
      <w:r w:rsidR="00077860" w:rsidRPr="00077860">
        <w:rPr>
          <w:rFonts w:ascii="Candara" w:hAnsi="Candara"/>
          <w:bCs/>
          <w:color w:val="000000"/>
          <w:sz w:val="20"/>
          <w:szCs w:val="20"/>
        </w:rPr>
        <w:t>as safe as UFH</w:t>
      </w:r>
      <w:r w:rsidR="00077860">
        <w:rPr>
          <w:rFonts w:ascii="Candara" w:hAnsi="Candara"/>
          <w:bCs/>
          <w:color w:val="000000"/>
          <w:sz w:val="20"/>
          <w:szCs w:val="20"/>
        </w:rPr>
        <w:t xml:space="preserve">. </w:t>
      </w:r>
      <w:r w:rsidR="00E72D58" w:rsidRPr="00E72D58">
        <w:rPr>
          <w:rFonts w:ascii="Candara" w:hAnsi="Candara"/>
          <w:bCs/>
          <w:color w:val="000000"/>
          <w:sz w:val="20"/>
          <w:szCs w:val="20"/>
        </w:rPr>
        <w:t>As a result, their efficacy is also debatable, owing to the possibility of bioaccumulation in</w:t>
      </w:r>
      <w:r w:rsidR="00E72D58">
        <w:rPr>
          <w:rFonts w:ascii="Candara" w:hAnsi="Candara"/>
          <w:bCs/>
          <w:color w:val="000000"/>
          <w:sz w:val="20"/>
          <w:szCs w:val="20"/>
        </w:rPr>
        <w:t xml:space="preserve"> patients with renal problems</w:t>
      </w:r>
      <w:r w:rsidR="00077860">
        <w:rPr>
          <w:rFonts w:ascii="Candara" w:hAnsi="Candara"/>
          <w:bCs/>
          <w:color w:val="000000"/>
          <w:sz w:val="20"/>
          <w:szCs w:val="20"/>
        </w:rPr>
        <w:fldChar w:fldCharType="begin" w:fldLock="1"/>
      </w:r>
      <w:r w:rsidR="00077860">
        <w:rPr>
          <w:rFonts w:ascii="Candara" w:hAnsi="Candara"/>
          <w:bCs/>
          <w:color w:val="000000"/>
          <w:sz w:val="20"/>
          <w:szCs w:val="20"/>
        </w:rPr>
        <w:instrText>ADDIN CSL_CITATION {"citationItems":[{"id":"ITEM-1","itemData":{"DOI":"10.1186/s12882-017-0596-4","ISSN":"14712369","PMID":"28592259","abstract":"Background: Low molecular weight heparins (LMWH) have been extensively studied and became the treatment of choice for several indications including pulmonary embolism. While their efficacy in hemodialysis is considered similar to unfractionated heparin (UFH), their safety remains controversial mainly due to a risk of bioaccumulation in patients with renal impairment. The aim of this systematic review was to evaluate the safety of LMWH when compared to UFH for extracorporeal circuit (ECC) anticoagulation. Methods: We used Pubmed, Embase, Cochrane central register of controlled trials, Trip database and NICE to retrieve relevant studies with no language restriction. We looked for controlled experimental trials comparing LMWH to UFH for ECC anticoagulation among end-stage renal disease patients undergoing chronic hemodialysis. Studies were kept if they reported at least one of the following outcomes: bleeding, lipid profile, cardiovascular events, osteoporosis or heparin-induced thrombocytopenia. Two independent reviewers conducted studies selection, quality assessment and data extraction with discrepancies solved by a third reviewer. Relative risk and 95% CI was calculated for dichotomous outcomes and mean weighted difference (MWD) with 95% CI was used to pool continuous variables. Results: Seventeen studies were selected as part of the systematic. The relative risk for total bleeding was 0.76 (95% CI 0.26-2.22). The WMD calculated for total cholesterol was −28.70 mg/dl (95% CI-51.43 to −5.98), a WMD for triglycerides of −55.57 mg/dl (95% CI-94.49 to −16.66) was estimated, and finally LDL-cholesterol had a WMD of −14.88 mg/dl (95% CI-36.27 to 6.51). Conclusions: LMWH showed to be at least as safe as UFH for ECC anticoagulation in chronic hemodialysis. The limited number of studies reporting on osteoporosis and HIT does not allow any conclusion for these outcomes. Larger studies are needed to evaluate properly the safety of LMWH in chronic hemodialysis.","author":[{"dropping-particle":"","family":"Lazrak","given":"Hind Harrak","non-dropping-particle":"","parse-names":false,"suffix":""},{"dropping-particle":"","family":"René","given":"Émilie","non-dropping-particle":"","parse-names":false,"suffix":""},{"dropping-particle":"","family":"Elftouh","given":"Naoual","non-dropping-particle":"","parse-names":false,"suffix":""},{"dropping-particle":"","family":"Leblanc","given":"Martine","non-dropping-particle":"","parse-names":false,"suffix":""},{"dropping-particle":"","family":"Lafrance","given":"Jean Philippe","non-dropping-particle":"","parse-names":false,"suffix":""}],"container-title":"BMC Nephrology","id":"ITEM-1","issue":"1","issued":{"date-parts":[["2017"]]},"page":"1-12","publisher":"BMC Nephrology","title":"Safety of low-molecular-weight heparin compared to unfractionated heparin in hemodialysis: a systematic review and meta-analysis","type":"article-journal","volume":"18"},"uris":["http://www.mendeley.com/documents/?uuid=768a6229-154c-48b5-b498-1b4e1dcbef2b"]}],"mendeley":{"formattedCitation":"(27)","plainTextFormattedCitation":"(27)"},"properties":{"noteIndex":0},"schema":"https://github.com/citation-style-language/schema/raw/master/csl-citation.json"}</w:instrText>
      </w:r>
      <w:r w:rsidR="00077860">
        <w:rPr>
          <w:rFonts w:ascii="Candara" w:hAnsi="Candara"/>
          <w:bCs/>
          <w:color w:val="000000"/>
          <w:sz w:val="20"/>
          <w:szCs w:val="20"/>
        </w:rPr>
        <w:fldChar w:fldCharType="separate"/>
      </w:r>
      <w:r w:rsidR="00077860" w:rsidRPr="00077860">
        <w:rPr>
          <w:rFonts w:ascii="Candara" w:hAnsi="Candara"/>
          <w:bCs/>
          <w:noProof/>
          <w:color w:val="000000"/>
          <w:sz w:val="20"/>
          <w:szCs w:val="20"/>
        </w:rPr>
        <w:t>(27)</w:t>
      </w:r>
      <w:r w:rsidR="00077860">
        <w:rPr>
          <w:rFonts w:ascii="Candara" w:hAnsi="Candara"/>
          <w:bCs/>
          <w:color w:val="000000"/>
          <w:sz w:val="20"/>
          <w:szCs w:val="20"/>
        </w:rPr>
        <w:fldChar w:fldCharType="end"/>
      </w:r>
      <w:r w:rsidR="00077860" w:rsidRPr="00077860">
        <w:rPr>
          <w:rFonts w:ascii="Candara" w:hAnsi="Candara"/>
          <w:bCs/>
          <w:color w:val="000000"/>
          <w:sz w:val="20"/>
          <w:szCs w:val="20"/>
        </w:rPr>
        <w:t>.</w:t>
      </w:r>
      <w:r w:rsidR="00566BB8">
        <w:rPr>
          <w:rFonts w:ascii="Candara" w:hAnsi="Candara"/>
          <w:bCs/>
          <w:color w:val="000000"/>
          <w:sz w:val="20"/>
          <w:szCs w:val="20"/>
        </w:rPr>
        <w:t xml:space="preserve"> Our </w:t>
      </w:r>
      <w:r w:rsidR="00E30904">
        <w:rPr>
          <w:rFonts w:ascii="Candara" w:hAnsi="Candara"/>
          <w:bCs/>
          <w:color w:val="000000"/>
          <w:sz w:val="20"/>
          <w:szCs w:val="20"/>
          <w:lang w:val="id-ID"/>
        </w:rPr>
        <w:t>C</w:t>
      </w:r>
      <w:proofErr w:type="spellStart"/>
      <w:r w:rsidR="00566BB8">
        <w:rPr>
          <w:rFonts w:ascii="Candara" w:hAnsi="Candara"/>
          <w:bCs/>
          <w:color w:val="000000"/>
          <w:sz w:val="20"/>
          <w:szCs w:val="20"/>
        </w:rPr>
        <w:t>ase</w:t>
      </w:r>
      <w:proofErr w:type="spellEnd"/>
      <w:r w:rsidR="00566BB8">
        <w:rPr>
          <w:rFonts w:ascii="Candara" w:hAnsi="Candara"/>
          <w:bCs/>
          <w:color w:val="000000"/>
          <w:sz w:val="20"/>
          <w:szCs w:val="20"/>
        </w:rPr>
        <w:t>-</w:t>
      </w:r>
      <w:r w:rsidR="00C626C0">
        <w:rPr>
          <w:rFonts w:ascii="Candara" w:hAnsi="Candara"/>
          <w:bCs/>
          <w:color w:val="000000"/>
          <w:sz w:val="20"/>
          <w:szCs w:val="20"/>
          <w:lang w:val="id-ID"/>
        </w:rPr>
        <w:t>5</w:t>
      </w:r>
      <w:r w:rsidR="00566BB8">
        <w:rPr>
          <w:rFonts w:ascii="Candara" w:hAnsi="Candara"/>
          <w:bCs/>
          <w:color w:val="000000"/>
          <w:sz w:val="20"/>
          <w:szCs w:val="20"/>
        </w:rPr>
        <w:t xml:space="preserve"> showed the use of unfractionated heparin (UFH) in chronic kidney disease patient</w:t>
      </w:r>
      <w:r w:rsidR="008A5865">
        <w:rPr>
          <w:rFonts w:ascii="Candara" w:hAnsi="Candara"/>
          <w:bCs/>
          <w:color w:val="000000"/>
          <w:sz w:val="20"/>
          <w:szCs w:val="20"/>
        </w:rPr>
        <w:t>s</w:t>
      </w:r>
      <w:r w:rsidR="00566BB8">
        <w:rPr>
          <w:rFonts w:ascii="Candara" w:hAnsi="Candara"/>
          <w:bCs/>
          <w:color w:val="000000"/>
          <w:sz w:val="20"/>
          <w:szCs w:val="20"/>
        </w:rPr>
        <w:t>, then gave good result</w:t>
      </w:r>
      <w:r w:rsidR="008A5865">
        <w:rPr>
          <w:rFonts w:ascii="Candara" w:hAnsi="Candara"/>
          <w:bCs/>
          <w:color w:val="000000"/>
          <w:sz w:val="20"/>
          <w:szCs w:val="20"/>
        </w:rPr>
        <w:t>s</w:t>
      </w:r>
      <w:r w:rsidR="00566BB8">
        <w:rPr>
          <w:rFonts w:ascii="Candara" w:hAnsi="Candara"/>
          <w:bCs/>
          <w:color w:val="000000"/>
          <w:sz w:val="20"/>
          <w:szCs w:val="20"/>
        </w:rPr>
        <w:t xml:space="preserve"> from d-dimer level respon</w:t>
      </w:r>
      <w:r w:rsidR="008A5865">
        <w:rPr>
          <w:rFonts w:ascii="Candara" w:hAnsi="Candara"/>
          <w:bCs/>
          <w:color w:val="000000"/>
          <w:sz w:val="20"/>
          <w:szCs w:val="20"/>
        </w:rPr>
        <w:t>se</w:t>
      </w:r>
      <w:r w:rsidR="00566BB8">
        <w:rPr>
          <w:rFonts w:ascii="Candara" w:hAnsi="Candara"/>
          <w:bCs/>
          <w:color w:val="000000"/>
          <w:sz w:val="20"/>
          <w:szCs w:val="20"/>
        </w:rPr>
        <w:t xml:space="preserve"> became normal level without any complication happened.  </w:t>
      </w:r>
    </w:p>
    <w:p w14:paraId="1ECA1EE6" w14:textId="3B5E3466" w:rsidR="00D601E0" w:rsidRDefault="00E72D58" w:rsidP="00991555">
      <w:pPr>
        <w:ind w:firstLine="426"/>
        <w:jc w:val="both"/>
        <w:rPr>
          <w:rFonts w:ascii="Candara" w:hAnsi="Candara"/>
          <w:bCs/>
          <w:color w:val="FF0000"/>
          <w:sz w:val="20"/>
          <w:szCs w:val="20"/>
        </w:rPr>
      </w:pPr>
      <w:r w:rsidRPr="00E72D58">
        <w:rPr>
          <w:rFonts w:ascii="Candara" w:hAnsi="Candara"/>
          <w:bCs/>
          <w:color w:val="000000"/>
          <w:sz w:val="20"/>
          <w:szCs w:val="20"/>
        </w:rPr>
        <w:t>Ning Tang et al. recently investigated the advantage of LMWH use in sepsis-induced coagulopathy and discovered that LMWH tends to be correlated with an improved progno</w:t>
      </w:r>
      <w:r>
        <w:rPr>
          <w:rFonts w:ascii="Candara" w:hAnsi="Candara"/>
          <w:bCs/>
          <w:color w:val="000000"/>
          <w:sz w:val="20"/>
          <w:szCs w:val="20"/>
        </w:rPr>
        <w:t>sis in terms of mortality (40.0% vs 64.2%</w:t>
      </w:r>
      <w:r w:rsidRPr="00E72D58">
        <w:rPr>
          <w:rFonts w:ascii="Candara" w:hAnsi="Candara"/>
          <w:bCs/>
          <w:color w:val="000000"/>
          <w:sz w:val="20"/>
          <w:szCs w:val="20"/>
        </w:rPr>
        <w:t xml:space="preserve">, p=0.029). Those with D-dimer &gt;6-fold of </w:t>
      </w:r>
      <w:r w:rsidR="008A5865">
        <w:rPr>
          <w:rFonts w:ascii="Candara" w:hAnsi="Candara"/>
          <w:bCs/>
          <w:color w:val="000000"/>
          <w:sz w:val="20"/>
          <w:szCs w:val="20"/>
        </w:rPr>
        <w:t xml:space="preserve">the </w:t>
      </w:r>
      <w:r w:rsidRPr="00E72D58">
        <w:rPr>
          <w:rFonts w:ascii="Candara" w:hAnsi="Candara"/>
          <w:bCs/>
          <w:color w:val="000000"/>
          <w:sz w:val="20"/>
          <w:szCs w:val="20"/>
        </w:rPr>
        <w:t xml:space="preserve">upper limit of average had a comparable gain (32.8 </w:t>
      </w:r>
      <w:r>
        <w:rPr>
          <w:rFonts w:ascii="Candara" w:hAnsi="Candara"/>
          <w:bCs/>
          <w:color w:val="000000"/>
          <w:sz w:val="20"/>
          <w:szCs w:val="20"/>
        </w:rPr>
        <w:t>% vs 52.4%, P =.017)</w:t>
      </w:r>
      <w:r w:rsidR="00991555" w:rsidRPr="00991555">
        <w:rPr>
          <w:rFonts w:ascii="Candara" w:hAnsi="Candara"/>
          <w:bCs/>
          <w:color w:val="000000"/>
          <w:sz w:val="20"/>
          <w:szCs w:val="20"/>
        </w:rPr>
        <w:fldChar w:fldCharType="begin" w:fldLock="1"/>
      </w:r>
      <w:r w:rsidR="00991555" w:rsidRPr="00991555">
        <w:rPr>
          <w:rFonts w:ascii="Candara" w:hAnsi="Candara"/>
          <w:bCs/>
          <w:color w:val="000000"/>
          <w:sz w:val="20"/>
          <w:szCs w:val="20"/>
        </w:rPr>
        <w:instrText>ADDIN CSL_CITATION {"citationItems":[{"id":"ITEM-1","itemData":{"DOI":"10.1111/jth.14817","ISSN":"15387836","PMID":"32220112","abstract":"Background: A relatively high mortality of severe coronavirus disease 2019 (COVID-19) is worrying, and the application of heparin in COVID-19 has been recommended by some expert consensus because of the risk of disseminated intravascular coagulation and venous thromboembolism. However, its efficacy remains to be validated. Methods: Coagulation results, medications, and outcomes of consecutive patients being classified as having severe COVID-19 in Tongji hospital were retrospectively analyzed. The 28-day mortality between heparin users and nonusers were compared, as was a different risk of coagulopathy, which was stratified by the sepsis-induced coagulopathy (SIC) score or D-dimer result. Results: There were 449 patients with severe COVID-19 enrolled into the study, 99 of them received heparin (mainly with low molecular weight heparin) for 7 days or longer. D-dimer, prothrombin time, and age were positively, and platelet count was negatively, correlated with 28-day mortality in multivariate analysis. No difference in 28-day mortality was found between heparin users and nonusers (30.3% vs 29.7%, P =.910). But the 28-day mortality of heparin users was lower than nonusers in patients with SIC score ≥4 (40.0% vs 64.2%, P =.029), or D-dimer '6-fold of upper limit of normal (32.8% vs 52.4%, P =.017). Conclusions: Anticoagulant therapy mainly with low molecular weight heparin appears to be associated with better prognosis in severe COVID-19 patients meeting SIC criteria or with markedly elevated D-dimer.","author":[{"dropping-particle":"","family":"Tang","given":"Ning","non-dropping-particle":"","parse-names":false,"suffix":""},{"dropping-particle":"","family":"Bai","given":"Huan","non-dropping-particle":"","parse-names":false,"suffix":""},{"dropping-particle":"","family":"Chen","given":"Xing","non-dropping-particle":"","parse-names":false,"suffix":""},{"dropping-particle":"","family":"Gong","given":"Jiale","non-dropping-particle":"","parse-names":false,"suffix":""},{"dropping-particle":"","family":"Li","given":"Dengju","non-dropping-particle":"","parse-names":false,"suffix":""},{"dropping-particle":"","family":"Sun","given":"Ziyong","non-dropping-particle":"","parse-names":false,"suffix":""}],"container-title":"Journal of Thrombosis and Haemostasis","id":"ITEM-1","issue":"5","issued":{"date-parts":[["2020"]]},"page":"1094-1099","title":"Anticoagulant treatment is associated with decreased mortality in severe coronavirus disease 2019 patients with coagulopathy","type":"article-journal","volume":"18"},"uris":["http://www.mendeley.com/documents/?uuid=a38233c1-1fac-453e-b5b1-87c668e59c18"]}],"mendeley":{"formattedCitation":"(13)","plainTextFormattedCitation":"(13)","previouslyFormattedCitation":"(13)"},"properties":{"noteIndex":0},"schema":"https://github.com/citation-style-language/schema/raw/master/csl-citation.json"}</w:instrText>
      </w:r>
      <w:r w:rsidR="00991555" w:rsidRPr="00991555">
        <w:rPr>
          <w:rFonts w:ascii="Candara" w:hAnsi="Candara"/>
          <w:bCs/>
          <w:color w:val="000000"/>
          <w:sz w:val="20"/>
          <w:szCs w:val="20"/>
        </w:rPr>
        <w:fldChar w:fldCharType="separate"/>
      </w:r>
      <w:r w:rsidR="00991555" w:rsidRPr="00991555">
        <w:rPr>
          <w:rFonts w:ascii="Candara" w:hAnsi="Candara"/>
          <w:bCs/>
          <w:noProof/>
          <w:color w:val="000000"/>
          <w:sz w:val="20"/>
          <w:szCs w:val="20"/>
        </w:rPr>
        <w:t>(13)</w:t>
      </w:r>
      <w:r w:rsidR="00991555" w:rsidRPr="00991555">
        <w:rPr>
          <w:rFonts w:ascii="Candara" w:hAnsi="Candara"/>
          <w:color w:val="000000"/>
          <w:sz w:val="20"/>
          <w:szCs w:val="20"/>
        </w:rPr>
        <w:fldChar w:fldCharType="end"/>
      </w:r>
      <w:r w:rsidR="009E0050">
        <w:rPr>
          <w:rFonts w:ascii="Candara" w:hAnsi="Candara"/>
          <w:bCs/>
          <w:color w:val="000000"/>
          <w:sz w:val="20"/>
          <w:szCs w:val="20"/>
        </w:rPr>
        <w:t>.</w:t>
      </w:r>
    </w:p>
    <w:p w14:paraId="4B101B25" w14:textId="221B06E0" w:rsidR="00991555" w:rsidRPr="00991555" w:rsidRDefault="00E72D58" w:rsidP="00991555">
      <w:pPr>
        <w:ind w:firstLine="426"/>
        <w:jc w:val="both"/>
        <w:rPr>
          <w:rFonts w:ascii="Candara" w:hAnsi="Candara"/>
          <w:bCs/>
          <w:sz w:val="20"/>
          <w:szCs w:val="20"/>
        </w:rPr>
      </w:pPr>
      <w:r w:rsidRPr="00E72D58">
        <w:rPr>
          <w:rFonts w:ascii="Candara" w:hAnsi="Candara"/>
          <w:bCs/>
          <w:sz w:val="20"/>
          <w:szCs w:val="20"/>
        </w:rPr>
        <w:t xml:space="preserve">Since </w:t>
      </w:r>
      <w:r w:rsidR="008A5865">
        <w:rPr>
          <w:rFonts w:ascii="Candara" w:hAnsi="Candara"/>
          <w:bCs/>
          <w:sz w:val="20"/>
          <w:szCs w:val="20"/>
        </w:rPr>
        <w:t xml:space="preserve">the </w:t>
      </w:r>
      <w:r w:rsidRPr="00E72D58">
        <w:rPr>
          <w:rFonts w:ascii="Candara" w:hAnsi="Candara"/>
          <w:bCs/>
          <w:sz w:val="20"/>
          <w:szCs w:val="20"/>
        </w:rPr>
        <w:t xml:space="preserve">evidence indicates that genetic risk factors </w:t>
      </w:r>
      <w:r w:rsidR="009911EC">
        <w:rPr>
          <w:rFonts w:ascii="Candara" w:hAnsi="Candara"/>
          <w:bCs/>
          <w:sz w:val="20"/>
          <w:szCs w:val="20"/>
        </w:rPr>
        <w:t xml:space="preserve">and </w:t>
      </w:r>
      <w:r w:rsidR="009911EC" w:rsidRPr="009911EC">
        <w:rPr>
          <w:rFonts w:ascii="Candara" w:hAnsi="Candara"/>
          <w:bCs/>
          <w:sz w:val="20"/>
          <w:szCs w:val="20"/>
        </w:rPr>
        <w:t xml:space="preserve">VTE prevalence </w:t>
      </w:r>
      <w:r w:rsidRPr="00E72D58">
        <w:rPr>
          <w:rFonts w:ascii="Candara" w:hAnsi="Candara"/>
          <w:bCs/>
          <w:sz w:val="20"/>
          <w:szCs w:val="20"/>
        </w:rPr>
        <w:t>differ significantly among ethnic groups, and since the incidence of VTE in Asian populations is low</w:t>
      </w:r>
      <w:r w:rsidR="00991555"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{"citationItems":[{"id":"ITEM-1","itemData":{"DOI":"10.1016/j.amjmed.2003.11.020","ISSN":"00029343","PMID":"15047032","abstract":"Purpose To assess the rate of diagnosis of deep venous thrombosis, pulmonary embolism, and venous thromboembolism; the incidence in hospitalized patients; and mortality from pulmonary embolism among Asians/Pacific Islanders in the United States. Methods The number of patients discharged from hospitals with a diagnostic code for pulmonary embolism or deep venous thrombosis from 1990 through 1999 was obtained from the National Hospital Discharge Survey. Population estimates and deaths from pulmonary embolism from 1990 through 1998 were obtained from the United States Bureau of the Census. Results Rate ratios of 10-year age-adjusted rates of diagnosis of deep venous thrombosis, pulmonary embolism, and venous thromboembolism comparing Asians/Pacific Islanders with whites and African Americans ranged from 0.16 to 0.21. Rate ratios comparing incidences in hospitalized patients ranged from 0.32 to 0.42. The age-adjusted rate ratio of mortality in \"others\" (which included Asians/Pacific Islanders) was 0.29 (95% confidence interval [CI]: 0.01 to 0.87) compared with whites and 0.14 (95% CI: 0.0 to 0.58) compared with African Americans. Conclusion Rates of deep venous thrombosis, pulmonary embolism, and venous thromboembolism; incidences in hospitalized patients; and the mortality rate from pulmonary embolism were markedly lower in Asians/Pacific Islanders than in whites and African Americans. Clinical assessment of the prior probability of venous thromboembolic disease at the bedside should probably be adjusted based on these ethnic differences. © 2004 by Excerpta Medica Inc.","author":[{"dropping-particle":"","family":"Stein","given":"Paul D.","non-dropping-particle":"","parse-names":false,"suffix":""},{"dropping-particle":"","family":"Kayali","given":"Fadi","non-dropping-particle":"","parse-names":false,"suffix":""},{"dropping-particle":"","family":"Olson","given":"Ronald E.","non-dropping-particle":"","parse-names":false,"suffix":""},{"dropping-particle":"","family":"Milford","given":"Creagh E.","non-dropping-particle":"","parse-names":false,"suffix":""}],"container-title":"American Journal of Medicine","id":"ITEM-1","issue":"7","issued":{"date-parts":[["2004"]]},"page":"435-442","title":"Pulmonary thromboembolism in Asians/Pacific Islanders in the United States: Analysis of data from the National Hospital Discharge Survey and the United States Bureau of the Census","type":"article-journal","volume":"116"},"uris":["http://www.mendeley.com/documents/?uuid=b32d8487-6216-44d8-8a6f-71555b08933a"]},{"id":"ITEM-2","itemData":{"DOI":"10.1111/j.1538-7836.2011.04443.x","ISSN":"15387933","PMID":"21797965","abstract":"The incidence of venous thrombosis (VTE) varies by race, with African-Americans having over 5-fold greater incidence than Asian-ancestry populations, and an intermediate risk for European and Hispanic populations. Known racial differences in genetic polymorphisms associated with thrombosis do not account for this gradient of risk, nor do known racial variations in environmental risk factors. Data on the incidence of and risk factors for VTE outside of Europe and North America and in non-European ancestry populations are sparse. Common genetic polymorphisms in European-Ancestry populations, such as factor V Leiden and prothrombin G20210A, and environmental risk factors, such as obesity, may account for some of the increased risk in European populations, and high factor VIII, high von Willebrand factor and low protein C levels and increased prevalence of obesity may explain some of the increased risk in African-Americans. The low rates in Asian populations may be partially explained by low clinical suspicion in a perceived low-risk population and lack of access to healthcare in other populations. As risk factors for thrombosis, such as surgery and treatment for cancer, are applicable to more people, as obesity increases in prevalence in the developing world, and as surveillance systems for VTE improve, VTE may increase in previously low-risk populations. While differences in VTE by race due to genetic predisposition will probably always be present, understanding the reasons for racial differences in VTE will help providers develop strategies to minimize VTE in all populations. © 2011 International Society on Thrombosis and Haemostasis.","author":[{"dropping-particle":"","family":"Zakai","given":"N. A.","non-dropping-particle":"","parse-names":false,"suffix":""},{"dropping-particle":"","family":"Mcclure","given":"L. A.","non-dropping-particle":"","parse-names":false,"suffix":""}],"container-title":"Journal of Thrombosis and Haemostasis","id":"ITEM-2","issue":"10","issued":{"date-parts":[["2011"]]},"page":"1877-1882","title":"Racial differences in venous thromboembolism","type":"article-journal","volume":"9"},"uris":["http://www.mendeley.com/documents/?uuid=4a47283b-14ff-475b-8f75-6455073b7337"]}],"mendeley":{"formattedCitation":"(28,29)","plainTextFormattedCitation":"(28,29)","previouslyFormattedCitation":"(27,28)"},"properties":{"noteIndex":0},"schema":"https://github.com/citation-style-language/schema/raw/master/csl-citation.json"}</w:instrText>
      </w:r>
      <w:r w:rsidR="00991555" w:rsidRPr="00991555">
        <w:rPr>
          <w:rFonts w:ascii="Candara" w:hAnsi="Candara"/>
          <w:bCs/>
          <w:sz w:val="20"/>
          <w:szCs w:val="20"/>
        </w:rPr>
        <w:fldChar w:fldCharType="separate"/>
      </w:r>
      <w:r w:rsidR="00077860" w:rsidRPr="00077860">
        <w:rPr>
          <w:rFonts w:ascii="Candara" w:hAnsi="Candara"/>
          <w:bCs/>
          <w:noProof/>
          <w:sz w:val="20"/>
          <w:szCs w:val="20"/>
        </w:rPr>
        <w:t>(28,29)</w:t>
      </w:r>
      <w:r w:rsidR="00991555" w:rsidRPr="00991555">
        <w:rPr>
          <w:rFonts w:ascii="Candara" w:hAnsi="Candara"/>
          <w:sz w:val="20"/>
          <w:szCs w:val="20"/>
        </w:rPr>
        <w:fldChar w:fldCharType="end"/>
      </w:r>
      <w:r w:rsidRPr="00E72D58">
        <w:rPr>
          <w:rFonts w:ascii="Candara" w:hAnsi="Candara"/>
          <w:bCs/>
          <w:sz w:val="20"/>
          <w:szCs w:val="20"/>
        </w:rPr>
        <w:t>, a higher dose of LMWH may be r</w:t>
      </w:r>
      <w:r w:rsidR="009911EC">
        <w:rPr>
          <w:rFonts w:ascii="Candara" w:hAnsi="Candara"/>
          <w:bCs/>
          <w:sz w:val="20"/>
          <w:szCs w:val="20"/>
        </w:rPr>
        <w:t>ecommended in non-Asian population</w:t>
      </w:r>
      <w:r w:rsidRPr="00E72D58">
        <w:rPr>
          <w:rFonts w:ascii="Candara" w:hAnsi="Candara"/>
          <w:bCs/>
          <w:sz w:val="20"/>
          <w:szCs w:val="20"/>
        </w:rPr>
        <w:t xml:space="preserve"> with </w:t>
      </w:r>
      <w:r>
        <w:rPr>
          <w:rFonts w:ascii="Candara" w:hAnsi="Candara"/>
          <w:bCs/>
          <w:sz w:val="20"/>
          <w:szCs w:val="20"/>
        </w:rPr>
        <w:t>severe</w:t>
      </w:r>
      <w:r w:rsidRPr="00E72D58">
        <w:rPr>
          <w:rFonts w:ascii="Candara" w:hAnsi="Candara"/>
          <w:bCs/>
          <w:sz w:val="20"/>
          <w:szCs w:val="20"/>
        </w:rPr>
        <w:t xml:space="preserve"> </w:t>
      </w:r>
      <w:r w:rsidR="00E30904">
        <w:rPr>
          <w:rFonts w:ascii="Candara" w:hAnsi="Candara"/>
          <w:bCs/>
          <w:sz w:val="20"/>
          <w:szCs w:val="20"/>
        </w:rPr>
        <w:t>COVID-19</w:t>
      </w:r>
      <w:r w:rsidRPr="00E72D58">
        <w:rPr>
          <w:rFonts w:ascii="Candara" w:hAnsi="Candara"/>
          <w:bCs/>
          <w:sz w:val="20"/>
          <w:szCs w:val="20"/>
        </w:rPr>
        <w:t>.</w:t>
      </w:r>
      <w:r w:rsidR="00991555" w:rsidRPr="00991555">
        <w:rPr>
          <w:rFonts w:ascii="Candara" w:hAnsi="Candara"/>
          <w:bCs/>
          <w:sz w:val="20"/>
          <w:szCs w:val="20"/>
        </w:rPr>
        <w:t xml:space="preserve"> </w:t>
      </w:r>
      <w:r>
        <w:rPr>
          <w:rFonts w:ascii="Candara" w:hAnsi="Candara"/>
          <w:bCs/>
          <w:sz w:val="20"/>
          <w:szCs w:val="20"/>
        </w:rPr>
        <w:t xml:space="preserve">On the other hand, </w:t>
      </w:r>
      <w:r w:rsidR="00B46D72">
        <w:rPr>
          <w:rFonts w:ascii="Candara" w:hAnsi="Candara"/>
          <w:bCs/>
          <w:sz w:val="20"/>
          <w:szCs w:val="20"/>
          <w:lang w:val="id-ID"/>
        </w:rPr>
        <w:t>a</w:t>
      </w:r>
      <w:proofErr w:type="spellStart"/>
      <w:r w:rsidRPr="00E72D58">
        <w:rPr>
          <w:rFonts w:ascii="Candara" w:hAnsi="Candara"/>
          <w:bCs/>
          <w:sz w:val="20"/>
          <w:szCs w:val="20"/>
        </w:rPr>
        <w:t>nticoagulant</w:t>
      </w:r>
      <w:proofErr w:type="spellEnd"/>
      <w:r w:rsidRPr="00E72D58">
        <w:rPr>
          <w:rFonts w:ascii="Candara" w:hAnsi="Candara"/>
          <w:bCs/>
          <w:sz w:val="20"/>
          <w:szCs w:val="20"/>
        </w:rPr>
        <w:t xml:space="preserve"> trea</w:t>
      </w:r>
      <w:r>
        <w:rPr>
          <w:rFonts w:ascii="Candara" w:hAnsi="Candara"/>
          <w:bCs/>
          <w:sz w:val="20"/>
          <w:szCs w:val="20"/>
        </w:rPr>
        <w:t>tment for sepsis-associated DIC is still debatable</w:t>
      </w:r>
      <w:r w:rsidR="00991555"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{"citationItems":[{"id":"ITEM-1","itemData":{"DOI":"10.1097/SHK.0b013e318204c019","ISSN":"10732322","PMID":"21068698","abstract":"To investigate treatment effects of thrombomodulin alfa (TM-α) in patients with disseminated intravascular coagulation (DIC) having infection as the underlying disease, retrospective subanalysis of a double-blind, randomized controlled phase 3 trial was conducted. In the phase 3 trial, 227 DIC patients (full-analysis set) having infection and/or hematologic malignancy as the underlying disease received either TM-α (0.06 mg·kg-1 for 30 min once daily) or heparin (8 U·kg-1·h -1 for 24 h) for 6 days using the double-dummy method. Among these patients, 147 patients with noninfectious comorbidity leading to severe thrombocytopenia (e.g., hematologic malignancy, or aplastic anemia) were excluded from the present analysis, and 80 patients with infectious disease and DIC were extracted and subjected to the present retrospective subanalysis. Disseminated intravascular coagulation resolution rates were determined using the DIC diagnostic criteria for critically ill patients at 7 days, and mortality rates were evaluated at 28 days. In the TM-α and heparin groups, DIC resolution rates were 67.5% (27/40) and 55.6% (20/36), and 28-day mortality rates were 21.4% (9/42) and 31.6% (12/38), respectively. Mortality rates of patients who recovered from DIC were 3.7% (1/27) in the TM-α group and 15% (3/20) in the heparin group. These results suggest TM-α may be valuable in the treatment of DIC associated with infection. Copyright © 2011 by the Shock Society.","author":[{"dropping-particle":"","family":"Aikawa","given":"Naoki","non-dropping-particle":"","parse-names":false,"suffix":""},{"dropping-particle":"","family":"Shimazaki","given":"Shuji","non-dropping-particle":"","parse-names":false,"suffix":""},{"dropping-particle":"","family":"Yamamoto","given":"Yasuhiro","non-dropping-particle":"","parse-names":false,"suffix":""},{"dropping-particle":"","family":"Saito","given":"Hidehiko","non-dropping-particle":"","parse-names":false,"suffix":""},{"dropping-particle":"","family":"Maruyama","given":"Ikuro","non-dropping-particle":"","parse-names":false,"suffix":""},{"dropping-particle":"","family":"Ohno","given":"Ryuzo","non-dropping-particle":"","parse-names":false,"suffix":""},{"dropping-particle":"","family":"Hirayama","given":"Akio","non-dropping-particle":"","parse-names":false,"suffix":""},{"dropping-particle":"","family":"Aoki","given":"Yoshikazu","non-dropping-particle":"","parse-names":false,"suffix":""},{"dropping-particle":"","family":"Aoki","given":"Nobuo","non-dropping-particle":"","parse-names":false,"suffix":""}],"container-title":"Shock","id":"ITEM-1","issue":"4","issued":{"date-parts":[["2011"]]},"page":"349-354","title":"Thrombomodulin alfa in the treatment of infectious patients complicated by disseminated intravascular coagulation: Subanalysis from the phase 3 trial","type":"article-journal","volume":"35"},"uris":["http://www.mendeley.com/documents/?uuid=e1b3afed-3e90-49e7-bbeb-90e0fd3a2dcc"]},{"id":"ITEM-2","itemData":{"DOI":"10.3892/etm.2013.1466","ISSN":"17920981","abstract":"The present study aimed to investigate whether low-dose heparin improves the condition of patients suffering from early disseminated intravascular coagulation (pre-DIC) during sepsis. In total, 37 patients were randomly divided into low-dose heparin intervention and control groups. The heparin group received a low-dose of heparin for 5-7 days, while the other group received only saline. The two groups were treated for sepsis. Blood samples were collected at various times and acute physiology and chronic health evaluation (APACHE)-II scores were recorded at day 1 and 7. In addition, the number of days applying mechanical ventilation and in the intensive care unit (ICU) were recorded, as well as the 28-day mortality rate. APACHE-II scores in the two groups decreased following treatment, however, scores in the heparin group decreased more significantly. Prothrombin fragment and thrombin-antithrombin complex levels in the heparin group were significantly decreased. In addition, the number of days applying a ventilator was fewer and the total stay in ICU was significantly shorter compared with the control group. Significantly fewer complications were observed in the heparin group, however, there was no significant difference in the 28-day mortality rate. In conclusion, low-dose heparin improves the hypercoagulable state of sepsis, which subsequently reduces the incidence of DIC or multiple organ dysfunction syndrome, decreasing the number of days of mechanical ventilation and hospitalization.","author":[{"dropping-particle":"","family":"Liu","given":"Xiao Li","non-dropping-particle":"","parse-names":false,"suffix":""},{"dropping-particle":"","family":"Wang","given":"Xiao Zhi","non-dropping-particle":"","parse-names":false,"suffix":""},{"dropping-particle":"","family":"Liu","given":"Xiu Xiang","non-dropping-particle":"","parse-names":false,"suffix":""},{"dropping-particle":"","family":"Hao","given":"Dong","non-dropping-particle":"","parse-names":false,"suffix":""},{"dropping-particle":"","family":"Jaladat","given":"Yasaman","non-dropping-particle":"","parse-names":false,"suffix":""},{"dropping-particle":"","family":"Lu","given":"Feng","non-dropping-particle":"","parse-names":false,"suffix":""},{"dropping-particle":"","family":"Sun","given":"Ting","non-dropping-particle":"","parse-names":false,"suffix":""},{"dropping-particle":"","family":"Lv","given":"Chang Jun","non-dropping-particle":"","parse-names":false,"suffix":""}],"container-title":"Experimental and Therapeutic Medicine","id":"ITEM-2","issue":"3","issued":{"date-parts":[["2014"]]},"page":"604-608","title":"Low-dose heparin as treatment for early disseminated intravascular coagulation during sepsis: A prospective clinical study","type":"article-journal","volume":"7"},"uris":["http://www.mendeley.com/documents/?uuid=a2e0faf2-971b-4456-bc2f-62e64b8ce3b4"]}],"mendeley":{"formattedCitation":"(30,31)","plainTextFormattedCitation":"(30,31)","previouslyFormattedCitation":"(29,30)"},"properties":{"noteIndex":0},"schema":"https://github.com/citation-style-language/schema/raw/master/csl-citation.json"}</w:instrText>
      </w:r>
      <w:r w:rsidR="00991555" w:rsidRPr="00991555">
        <w:rPr>
          <w:rFonts w:ascii="Candara" w:hAnsi="Candara"/>
          <w:bCs/>
          <w:sz w:val="20"/>
          <w:szCs w:val="20"/>
        </w:rPr>
        <w:fldChar w:fldCharType="separate"/>
      </w:r>
      <w:r w:rsidR="00077860" w:rsidRPr="00077860">
        <w:rPr>
          <w:rFonts w:ascii="Candara" w:hAnsi="Candara"/>
          <w:bCs/>
          <w:noProof/>
          <w:sz w:val="20"/>
          <w:szCs w:val="20"/>
        </w:rPr>
        <w:t>(30,31)</w:t>
      </w:r>
      <w:r w:rsidR="00991555" w:rsidRPr="00991555">
        <w:rPr>
          <w:rFonts w:ascii="Candara" w:hAnsi="Candara"/>
          <w:sz w:val="20"/>
          <w:szCs w:val="20"/>
        </w:rPr>
        <w:fldChar w:fldCharType="end"/>
      </w:r>
      <w:r w:rsidR="00991555" w:rsidRPr="00991555">
        <w:rPr>
          <w:rFonts w:ascii="Candara" w:hAnsi="Candara"/>
          <w:bCs/>
          <w:sz w:val="20"/>
          <w:szCs w:val="20"/>
        </w:rPr>
        <w:t xml:space="preserve">. </w:t>
      </w:r>
      <w:r w:rsidR="000D70F9" w:rsidRPr="000D70F9">
        <w:rPr>
          <w:rFonts w:ascii="Candara" w:hAnsi="Candara"/>
          <w:bCs/>
          <w:sz w:val="20"/>
          <w:szCs w:val="20"/>
        </w:rPr>
        <w:t xml:space="preserve">The ISTH created the SIC guidelines to direct anticoagulant therapy because platelet counts decrease and </w:t>
      </w:r>
      <w:r w:rsidR="009911EC">
        <w:rPr>
          <w:rFonts w:ascii="Candara" w:hAnsi="Candara"/>
          <w:bCs/>
          <w:sz w:val="20"/>
          <w:szCs w:val="20"/>
          <w:lang w:val="id-ID"/>
        </w:rPr>
        <w:t>prothrombin time</w:t>
      </w:r>
      <w:r w:rsidR="000D70F9" w:rsidRPr="000D70F9">
        <w:rPr>
          <w:rFonts w:ascii="Candara" w:hAnsi="Candara"/>
          <w:bCs/>
          <w:sz w:val="20"/>
          <w:szCs w:val="20"/>
        </w:rPr>
        <w:t xml:space="preserve"> prolongation is connected to increased mortality, and </w:t>
      </w:r>
      <w:proofErr w:type="spellStart"/>
      <w:r w:rsidR="000D70F9" w:rsidRPr="000D70F9">
        <w:rPr>
          <w:rFonts w:ascii="Candara" w:hAnsi="Candara"/>
          <w:bCs/>
          <w:sz w:val="20"/>
          <w:szCs w:val="20"/>
        </w:rPr>
        <w:t>hypofibrinogenemia</w:t>
      </w:r>
      <w:proofErr w:type="spellEnd"/>
      <w:r w:rsidR="000D70F9" w:rsidRPr="000D70F9">
        <w:rPr>
          <w:rFonts w:ascii="Candara" w:hAnsi="Candara"/>
          <w:bCs/>
          <w:sz w:val="20"/>
          <w:szCs w:val="20"/>
        </w:rPr>
        <w:t xml:space="preserve"> is rare in sepsis</w:t>
      </w:r>
      <w:r w:rsidR="00C626C0">
        <w:rPr>
          <w:rFonts w:ascii="Candara" w:hAnsi="Candara"/>
          <w:bCs/>
          <w:sz w:val="20"/>
          <w:szCs w:val="20"/>
          <w:lang w:val="id-ID"/>
        </w:rPr>
        <w:t xml:space="preserve">. </w:t>
      </w:r>
      <w:r w:rsidR="00C626C0" w:rsidRPr="00C626C0">
        <w:rPr>
          <w:rFonts w:ascii="Candara" w:hAnsi="Candara"/>
          <w:bCs/>
          <w:sz w:val="20"/>
          <w:szCs w:val="20"/>
          <w:lang w:val="id-ID"/>
        </w:rPr>
        <w:t xml:space="preserve">The utility of this simple score has already been shown </w:t>
      </w:r>
      <w:r w:rsidR="00991555"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{"citationItems":[{"id":"ITEM-1","itemData":{"DOI":"10.1136/bmjopen-2017-017046","ISSN":"20446055","PMID":"28963294","abstract":"Objective Recent clinical studies have shown that anticoagulant therapy might be effective only in specific at-risk subgroups of patients with sepsis and coagulation dysfunction. The definition of sepsis was recently modified, and as such, old scoring systems may no longer be appropriate for the diagnosis of sepsis-associated coagulopathy. The aim of this study was to evaluate prognostic factors in patients diagnosed with sepsis and coagulopathy according to the new sepsis definition and assess their accuracy in comparison with existing models. Design Retrospective analysis of the nationwide survey for recombinant human soluble thrombomodulin. Setting General emergency and critical care centres in secondary and tertiary care hospitals. Participants We evaluated the prognostic value of the newly proposed diagnostic criteria for sepsis-induced coagulopathy (SIC). A total of 1498 Japanese patients with sepsis and coagulopathy complications who were treated with recombinant thrombomodulin were analysed in this study. Main outcome measures The platelet count, prothrombin time (PT) ratio, fibrinogen/fibrin degradation products, systemic inflammatory response syndrome score and Sequential Organ Failure Assessment (SOFA) score obtained just before the start of treatment were examined in relation to the 28-day mortality rate. Results The platelet count, PT ratio and total SOFA were independent predictors of a fatal outcome in a logistic regression model. A SIC score was defined using the three above-mentioned variables with a positivity threshold of 4 points or more. The SIC score predicted higher 28- day mortality rate compared with the current Japanese Association for Acute Medicine-disseminated intravascular coagulation score (38.4%vs34.7%). Conclusion The SIC score is based on readily available parameters, is easy to calculate and has a high predictive value for 28-day mortality. Future studies are warranted to evaluate whether the SIC score may guide the decision to initiate anticoagulant therapy.","author":[{"dropping-particle":"","family":"Iba","given":"Toshiaki","non-dropping-particle":"","parse-names":false,"suffix":""},{"dropping-particle":"","family":"Nisio","given":"Marcello","non-dropping-particle":"Di","parse-names":false,"suffix":""},{"dropping-particle":"","family":"Levy","given":"Jerrold H.","non-dropping-particle":"","parse-names":false,"suffix":""},{"dropping-particle":"","family":"Kitamura","given":"Naoya","non-dropping-particle":"","parse-names":false,"suffix":""},{"dropping-particle":"","family":"Thachil","given":"Jecko","non-dropping-particle":"","parse-names":false,"suffix":""}],"container-title":"BMJ Open","id":"ITEM-1","issue":"9","issued":{"date-parts":[["2017"]]},"page":"1-7","title":"New criteria for sepsis-induced coagulopathy (SIC) following the revised sepsis definition: A retrospective analysis of a nationwide survey","type":"article-journal","volume":"7"},"uris":["http://www.mendeley.com/documents/?uuid=75d5269e-2263-4921-a5c8-2862ff3e8700"]}],"mendeley":{"formattedCitation":"(32)","plainTextFormattedCitation":"(32)","previouslyFormattedCitation":"(31)"},"properties":{"noteIndex":0},"schema":"https://github.com/citation-style-language/schema/raw/master/csl-citation.json"}</w:instrText>
      </w:r>
      <w:r w:rsidR="00991555" w:rsidRPr="00991555">
        <w:rPr>
          <w:rFonts w:ascii="Candara" w:hAnsi="Candara"/>
          <w:bCs/>
          <w:sz w:val="20"/>
          <w:szCs w:val="20"/>
        </w:rPr>
        <w:fldChar w:fldCharType="separate"/>
      </w:r>
      <w:r w:rsidR="00077860" w:rsidRPr="00077860">
        <w:rPr>
          <w:rFonts w:ascii="Candara" w:hAnsi="Candara"/>
          <w:bCs/>
          <w:noProof/>
          <w:sz w:val="20"/>
          <w:szCs w:val="20"/>
        </w:rPr>
        <w:t>(32)</w:t>
      </w:r>
      <w:r w:rsidR="00991555" w:rsidRPr="00991555">
        <w:rPr>
          <w:rFonts w:ascii="Candara" w:hAnsi="Candara"/>
          <w:sz w:val="20"/>
          <w:szCs w:val="20"/>
        </w:rPr>
        <w:fldChar w:fldCharType="end"/>
      </w:r>
      <w:r w:rsidR="00991555" w:rsidRPr="00991555">
        <w:rPr>
          <w:rFonts w:ascii="Candara" w:hAnsi="Candara"/>
          <w:bCs/>
          <w:sz w:val="20"/>
          <w:szCs w:val="20"/>
        </w:rPr>
        <w:t xml:space="preserve">. </w:t>
      </w:r>
    </w:p>
    <w:p w14:paraId="261EAB66" w14:textId="329B3C6E" w:rsidR="00991555" w:rsidRPr="00446AFB" w:rsidRDefault="00991555" w:rsidP="009E0050">
      <w:pPr>
        <w:ind w:firstLine="426"/>
        <w:jc w:val="both"/>
        <w:rPr>
          <w:rFonts w:ascii="Candara" w:hAnsi="Candara"/>
          <w:bCs/>
          <w:sz w:val="20"/>
          <w:szCs w:val="20"/>
          <w:lang w:val="id-ID"/>
        </w:rPr>
      </w:pPr>
      <w:r w:rsidRPr="00991555">
        <w:rPr>
          <w:rFonts w:ascii="Candara" w:hAnsi="Candara"/>
          <w:bCs/>
          <w:sz w:val="20"/>
          <w:szCs w:val="20"/>
        </w:rPr>
        <w:t xml:space="preserve">       </w:t>
      </w:r>
      <w:r w:rsidR="000D70F9" w:rsidRPr="000D70F9">
        <w:rPr>
          <w:rFonts w:ascii="Candara" w:hAnsi="Candara"/>
          <w:bCs/>
          <w:sz w:val="20"/>
          <w:szCs w:val="20"/>
        </w:rPr>
        <w:t>The three most serious drug-related complications associated with heparin and LMWH treatment are thrombocytopenia, bleedin</w:t>
      </w:r>
      <w:r w:rsidR="000D70F9">
        <w:rPr>
          <w:rFonts w:ascii="Candara" w:hAnsi="Candara"/>
          <w:bCs/>
          <w:sz w:val="20"/>
          <w:szCs w:val="20"/>
        </w:rPr>
        <w:t>g, and osteopenia</w:t>
      </w:r>
      <w:r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author":[{"dropping-particle":"","family":"Mahesh","given":"Krishnamurthy","non-dropping-particle":"","parse-names":false,"suffix":""},{"dropping-particle":"","family":"L.F.","given":"Michael","non-dropping-particle":"","parse-names":false,"suffix":""}],"id":"ITEM-1","issue":"7","issued":{"date-parts":[["2011"]]},"page":"494-498","title":"Complications of Anticoagulation with Heparin","type":"article-journal","volume":"13"},"uris":["http://www.mendeley.com/documents/?uuid=52ec2db5-d246-4ba9-8788-7e4d0fcaeb72"]}],"mendeley":{"formattedCitation":"(33)","plainTextFormattedCitation":"(33)","previouslyFormattedCitation":"(32)"},"properties":{"noteIndex":0},"schema":"https://github.com/citation-style-language/schema/raw/master/csl-citation.json"}</w:instrText>
      </w:r>
      <w:r w:rsidRPr="00991555">
        <w:rPr>
          <w:rFonts w:ascii="Candara" w:hAnsi="Candara"/>
          <w:bCs/>
          <w:sz w:val="20"/>
          <w:szCs w:val="20"/>
        </w:rPr>
        <w:fldChar w:fldCharType="separate"/>
      </w:r>
      <w:r w:rsidR="00077860" w:rsidRPr="00077860">
        <w:rPr>
          <w:rFonts w:ascii="Candara" w:hAnsi="Candara"/>
          <w:bCs/>
          <w:noProof/>
          <w:sz w:val="20"/>
          <w:szCs w:val="20"/>
        </w:rPr>
        <w:t>(33)</w:t>
      </w:r>
      <w:r w:rsidRPr="00991555">
        <w:rPr>
          <w:rFonts w:ascii="Candara" w:hAnsi="Candara"/>
          <w:sz w:val="20"/>
          <w:szCs w:val="20"/>
        </w:rPr>
        <w:fldChar w:fldCharType="end"/>
      </w:r>
      <w:r w:rsidRPr="00991555">
        <w:rPr>
          <w:rFonts w:ascii="Candara" w:hAnsi="Candara"/>
          <w:bCs/>
          <w:sz w:val="20"/>
          <w:szCs w:val="20"/>
        </w:rPr>
        <w:t xml:space="preserve">. </w:t>
      </w:r>
      <w:r w:rsidR="000D70F9" w:rsidRPr="000D70F9">
        <w:rPr>
          <w:rFonts w:ascii="Candara" w:hAnsi="Candara"/>
          <w:bCs/>
          <w:sz w:val="20"/>
          <w:szCs w:val="20"/>
        </w:rPr>
        <w:t>Heparin-induced thrombocytopenia (HIT) affects 3 to 5% of pati</w:t>
      </w:r>
      <w:r w:rsidR="009911EC">
        <w:rPr>
          <w:rFonts w:ascii="Candara" w:hAnsi="Candara"/>
          <w:bCs/>
          <w:sz w:val="20"/>
          <w:szCs w:val="20"/>
        </w:rPr>
        <w:t xml:space="preserve">ents who administer </w:t>
      </w:r>
      <w:r w:rsidR="000D70F9" w:rsidRPr="000D70F9">
        <w:rPr>
          <w:rFonts w:ascii="Candara" w:hAnsi="Candara"/>
          <w:bCs/>
          <w:sz w:val="20"/>
          <w:szCs w:val="20"/>
        </w:rPr>
        <w:t>unfractionated heparin</w:t>
      </w:r>
      <w:r w:rsidR="009911EC">
        <w:rPr>
          <w:rFonts w:ascii="Candara" w:hAnsi="Candara"/>
          <w:bCs/>
          <w:sz w:val="20"/>
          <w:szCs w:val="20"/>
        </w:rPr>
        <w:t xml:space="preserve"> intravenously</w:t>
      </w:r>
      <w:r w:rsidR="000D70F9" w:rsidRPr="000D70F9">
        <w:rPr>
          <w:rFonts w:ascii="Candara" w:hAnsi="Candara"/>
          <w:bCs/>
          <w:sz w:val="20"/>
          <w:szCs w:val="20"/>
        </w:rPr>
        <w:t>, compared to 0.5 percent of patients that receive subcutaneous LMWH</w:t>
      </w:r>
      <w:r w:rsidR="009911EC">
        <w:rPr>
          <w:rFonts w:ascii="Candara" w:hAnsi="Candara"/>
          <w:bCs/>
          <w:sz w:val="20"/>
          <w:szCs w:val="20"/>
        </w:rPr>
        <w:t>, catheter flushes, or even small</w:t>
      </w:r>
      <w:r w:rsidR="000D70F9" w:rsidRPr="000D70F9">
        <w:rPr>
          <w:rFonts w:ascii="Candara" w:hAnsi="Candara"/>
          <w:bCs/>
          <w:sz w:val="20"/>
          <w:szCs w:val="20"/>
        </w:rPr>
        <w:t xml:space="preserve"> levels of heparin that leach from coated catheters.</w:t>
      </w:r>
      <w:r w:rsidR="000D70F9">
        <w:rPr>
          <w:rFonts w:ascii="Candara" w:hAnsi="Candara"/>
          <w:bCs/>
          <w:sz w:val="20"/>
          <w:szCs w:val="20"/>
          <w:lang w:val="id-ID"/>
        </w:rPr>
        <w:t xml:space="preserve"> </w:t>
      </w:r>
      <w:r w:rsidR="000D70F9" w:rsidRPr="000D70F9">
        <w:rPr>
          <w:rFonts w:ascii="Candara" w:hAnsi="Candara"/>
          <w:bCs/>
          <w:sz w:val="20"/>
          <w:szCs w:val="20"/>
          <w:lang w:val="id-ID"/>
        </w:rPr>
        <w:t>Heparin-induced Thrombocytopenia with Thrombosis (HITT) is a severe prothrombotic diathesis that can result in venous or arterial thromboemboli</w:t>
      </w:r>
      <w:r w:rsidR="008A5865">
        <w:rPr>
          <w:rFonts w:ascii="Candara" w:hAnsi="Candara"/>
          <w:bCs/>
          <w:sz w:val="20"/>
          <w:szCs w:val="20"/>
          <w:lang w:val="id-ID"/>
        </w:rPr>
        <w:t>sm</w:t>
      </w:r>
      <w:r w:rsidR="000D70F9" w:rsidRPr="000D70F9">
        <w:rPr>
          <w:rFonts w:ascii="Candara" w:hAnsi="Candara"/>
          <w:bCs/>
          <w:sz w:val="20"/>
          <w:szCs w:val="20"/>
          <w:lang w:val="id-ID"/>
        </w:rPr>
        <w:t xml:space="preserve"> in 50% of cases.</w:t>
      </w:r>
      <w:r w:rsidRPr="00991555">
        <w:rPr>
          <w:rFonts w:ascii="Candara" w:hAnsi="Candara"/>
          <w:bCs/>
          <w:sz w:val="20"/>
          <w:szCs w:val="20"/>
          <w:lang w:val="id-ID"/>
        </w:rPr>
        <w:t xml:space="preserve"> </w:t>
      </w:r>
      <w:r w:rsidR="000D70F9" w:rsidRPr="000D70F9">
        <w:rPr>
          <w:rFonts w:ascii="Candara" w:hAnsi="Candara"/>
          <w:bCs/>
          <w:sz w:val="20"/>
          <w:szCs w:val="20"/>
          <w:lang w:val="id-ID"/>
        </w:rPr>
        <w:t xml:space="preserve">Under timely and successful care, </w:t>
      </w:r>
      <w:r w:rsidR="008A5865">
        <w:rPr>
          <w:rFonts w:ascii="Candara" w:hAnsi="Candara"/>
          <w:bCs/>
          <w:sz w:val="20"/>
          <w:szCs w:val="20"/>
        </w:rPr>
        <w:t>ap</w:t>
      </w:r>
      <w:r w:rsidR="000D70F9">
        <w:rPr>
          <w:rFonts w:ascii="Candara" w:hAnsi="Candara"/>
          <w:bCs/>
          <w:sz w:val="20"/>
          <w:szCs w:val="20"/>
        </w:rPr>
        <w:t>proximately</w:t>
      </w:r>
      <w:r w:rsidR="000D70F9" w:rsidRPr="000D70F9">
        <w:rPr>
          <w:rFonts w:ascii="Candara" w:hAnsi="Candara"/>
          <w:bCs/>
          <w:sz w:val="20"/>
          <w:szCs w:val="20"/>
          <w:lang w:val="id-ID"/>
        </w:rPr>
        <w:t xml:space="preserve"> 20% of patients will have their limbs amputated, </w:t>
      </w:r>
      <w:r w:rsidR="000D70F9">
        <w:rPr>
          <w:rFonts w:ascii="Candara" w:hAnsi="Candara"/>
          <w:bCs/>
          <w:sz w:val="20"/>
          <w:szCs w:val="20"/>
        </w:rPr>
        <w:t>up to</w:t>
      </w:r>
      <w:r w:rsidR="000D70F9" w:rsidRPr="000D70F9">
        <w:rPr>
          <w:rFonts w:ascii="Candara" w:hAnsi="Candara"/>
          <w:bCs/>
          <w:sz w:val="20"/>
          <w:szCs w:val="20"/>
          <w:lang w:val="id-ID"/>
        </w:rPr>
        <w:t xml:space="preserve"> 30% will die, and survivors will have residual deficits that can lead to myocardial infarctions, </w:t>
      </w:r>
      <w:r w:rsidR="009911EC" w:rsidRPr="009911EC">
        <w:rPr>
          <w:rFonts w:ascii="Candara" w:hAnsi="Candara"/>
          <w:bCs/>
          <w:sz w:val="20"/>
          <w:szCs w:val="20"/>
          <w:lang w:val="id-ID"/>
        </w:rPr>
        <w:t xml:space="preserve">strokes, </w:t>
      </w:r>
      <w:r w:rsidR="000D70F9" w:rsidRPr="000D70F9">
        <w:rPr>
          <w:rFonts w:ascii="Candara" w:hAnsi="Candara"/>
          <w:bCs/>
          <w:sz w:val="20"/>
          <w:szCs w:val="20"/>
          <w:lang w:val="id-ID"/>
        </w:rPr>
        <w:t>and pulmonary emboli.</w:t>
      </w:r>
      <w:r w:rsidRPr="00991555">
        <w:rPr>
          <w:rFonts w:ascii="Candara" w:hAnsi="Candara"/>
          <w:bCs/>
          <w:sz w:val="20"/>
          <w:szCs w:val="20"/>
          <w:lang w:val="id-ID"/>
        </w:rPr>
        <w:t xml:space="preserve"> </w:t>
      </w:r>
      <w:r w:rsidR="000D70F9" w:rsidRPr="000D70F9">
        <w:rPr>
          <w:rFonts w:ascii="Candara" w:hAnsi="Candara"/>
          <w:bCs/>
          <w:sz w:val="20"/>
          <w:szCs w:val="20"/>
          <w:lang w:val="id-ID"/>
        </w:rPr>
        <w:t>Heparin should be stopped as soon as platelet counts drop dramatically</w:t>
      </w:r>
      <w:r w:rsidR="00D04BBD">
        <w:rPr>
          <w:rFonts w:ascii="Candara" w:hAnsi="Candara"/>
          <w:bCs/>
          <w:sz w:val="20"/>
          <w:szCs w:val="20"/>
          <w:lang w:val="id-ID"/>
        </w:rPr>
        <w:t xml:space="preserve"> (usually 50% of baseline), and</w:t>
      </w:r>
      <w:r w:rsidR="000D70F9" w:rsidRPr="000D70F9">
        <w:rPr>
          <w:rFonts w:ascii="Candara" w:hAnsi="Candara"/>
          <w:bCs/>
          <w:sz w:val="20"/>
          <w:szCs w:val="20"/>
          <w:lang w:val="id-ID"/>
        </w:rPr>
        <w:t xml:space="preserve"> lepirudin or argatroban</w:t>
      </w:r>
      <w:r w:rsidR="00D04BBD">
        <w:rPr>
          <w:rFonts w:ascii="Candara" w:hAnsi="Candara"/>
          <w:bCs/>
          <w:sz w:val="20"/>
          <w:szCs w:val="20"/>
        </w:rPr>
        <w:t xml:space="preserve"> (</w:t>
      </w:r>
      <w:r w:rsidR="00D04BBD" w:rsidRPr="000D70F9">
        <w:rPr>
          <w:rFonts w:ascii="Candara" w:hAnsi="Candara"/>
          <w:bCs/>
          <w:sz w:val="20"/>
          <w:szCs w:val="20"/>
          <w:lang w:val="id-ID"/>
        </w:rPr>
        <w:t>direct thrombin inhibitors</w:t>
      </w:r>
      <w:r w:rsidR="00D04BBD">
        <w:rPr>
          <w:rFonts w:ascii="Candara" w:hAnsi="Candara"/>
          <w:bCs/>
          <w:sz w:val="20"/>
          <w:szCs w:val="20"/>
        </w:rPr>
        <w:t>)</w:t>
      </w:r>
      <w:r w:rsidR="000D70F9" w:rsidRPr="000D70F9">
        <w:rPr>
          <w:rFonts w:ascii="Candara" w:hAnsi="Candara"/>
          <w:bCs/>
          <w:sz w:val="20"/>
          <w:szCs w:val="20"/>
          <w:lang w:val="id-ID"/>
        </w:rPr>
        <w:t xml:space="preserve"> should be start</w:t>
      </w:r>
      <w:r w:rsidR="000D70F9">
        <w:rPr>
          <w:rFonts w:ascii="Candara" w:hAnsi="Candara"/>
          <w:bCs/>
          <w:sz w:val="20"/>
          <w:szCs w:val="20"/>
          <w:lang w:val="id-ID"/>
        </w:rPr>
        <w:t>ed if anticoagulation is needed</w:t>
      </w:r>
      <w:r w:rsidRPr="00991555">
        <w:rPr>
          <w:rFonts w:ascii="Candara" w:hAnsi="Candara"/>
          <w:bCs/>
          <w:sz w:val="20"/>
          <w:szCs w:val="20"/>
          <w:lang w:val="id-ID"/>
        </w:rPr>
        <w:fldChar w:fldCharType="begin" w:fldLock="1"/>
      </w:r>
      <w:r w:rsidR="00077860">
        <w:rPr>
          <w:rFonts w:ascii="Candara" w:hAnsi="Candara"/>
          <w:bCs/>
          <w:sz w:val="20"/>
          <w:szCs w:val="20"/>
          <w:lang w:val="id-ID"/>
        </w:rPr>
        <w:instrText>ADDIN CSL_CITATION {"citationItems":[{"id":"ITEM-1","itemData":{"DOI":"10.1378/chest.126.3_suppl.311S","ISSN":"00123692","PMID":"15383477","abstract":"This chapter about the recognition, treatment, and prevention of heparin-induced thrombocytopenia (HIT) is part of the Seventh ACCP Conference on Antithrombotic and Thrombolytic Therapy: Evidence Based Guidelines. Grade 1 recommendations are strong and indicate that the benefits do, or do not, outweigh risks, burden, and costs. Grade 2 suggests that individual patients' values may lead to different choices (for a full understanding of the grading, see Guyatt et al, CHEST 2004; 126:179S-187S). Among the key recommendations in this chapter are the following: For patients in whom the risk of HIT is considered to be &gt; 0.1%, we recommend platelet count monitoring (Grade 1C). For patients who are receiving therapeutic-dose unfractionated heparin (UFH), we suggest at least every-other-day platelet count monitoring until day 14, or until UFH is stopped, whichever occurs first (Grade 2C). For patients who are receiving postoperative antithrombotic prophylaxis with UFH (HIT risk &gt; 1%), we suggest at least every-other-day platelet count monitoring between postoperative days 4 to 14 (or until UFH is stopped, whichever occurs first) [Grade 2C]. For medical/obstetric patients who are receiving prophylactic-dose UFH, postoperative patients receiving prophylactic-dose low molecular weight heparin (LMWH), postoperative patients receiving intravascular catheter UFH \"flushes,\" or medical/ obstetrical patients receiving LMWH after first receiving UFH (risk, 0.1 to 1%), we suggest platelet count monitoring every 2 days or 3 days from day 4 to day 14, or until heparin is stopped, whichever occurs first (Grade 2C). For medical/obstetrical patients who are only receiving LMWH, or medical patients who are receiving only intravascular catheter UFH flushes (risk &lt; 0.1%), we suggest clinicians do not use routine platelet count monitoring (Grade 2C). For patients with strongly suspected (or confirmed) HIT, whether or not complicated by thrombosis, we recommend use of an alternative anticoagulant, such as lepirudin (Grade 1C+), argatroban (Grade 1C), bivalirudin (Grade 2C), or danaparoid (Grade 1B). For patients with strongly suspected (or confirmed) HIT, we recommend routine ultrasonography of the lower-limb veins for investigation of deep venous thrombosis (Grade 1C); against the use of vitamin K antagonist (VKA) [coumarin] therapy until after the platelet count has substantially recovered; that the VKA antagonist be administered only during overlapping alternative anticoagulation…","author":[{"dropping-particle":"","family":"Warkentin","given":"Theodore E.","non-dropping-particle":"","parse-names":false,"suffix":""},{"dropping-particle":"","family":"Greinacher","given":"Andreas","non-dropping-particle":"","parse-names":false,"suffix":""}],"container-title":"Chest","id":"ITEM-1","issue":"3 SUPPL.","issued":{"date-parts":[["2004"]]},"page":"311S-337S","publisher":"The American College of Chest Physicians","title":"Heparin-induced thrombocytopenia: Recognition, treatment, and prevention - The Seventh ACCP Conference on Antithrombotic and Thrombolytic Therapy","type":"article-journal","volume":"126"},"uris":["http://www.mendeley.com/documents/?uuid=ebaea9bb-b254-47f0-8be5-bfc63f94b778"]},{"id":"ITEM-2","itemData":{"author":[{"dropping-particle":"","family":"Rice","given":"Lawrence","non-dropping-particle":"","parse-names":false,"suffix":""}],"container-title":"Archives of internal medicine","id":"ITEM-2","issue":"18","issued":{"date-parts":[["2004"]]},"page":"1961-1964","title":"Heparin-induced thrombocytopenia: myths and misconceptions (that will cause trouble for you and your patient)","type":"article-journal","volume":"164"},"uris":["http://www.mendeley.com/documents/?uuid=5d5b737e-6c84-49c5-be32-3a0cb0c75885"]}],"mendeley":{"formattedCitation":"(34,35)","plainTextFormattedCitation":"(34,35)","previouslyFormattedCitation":"(33,34)"},"properties":{"noteIndex":0},"schema":"https://github.com/citation-style-language/schema/raw/master/csl-citation.json"}</w:instrText>
      </w:r>
      <w:r w:rsidRPr="00991555">
        <w:rPr>
          <w:rFonts w:ascii="Candara" w:hAnsi="Candara"/>
          <w:bCs/>
          <w:sz w:val="20"/>
          <w:szCs w:val="20"/>
          <w:lang w:val="id-ID"/>
        </w:rPr>
        <w:fldChar w:fldCharType="separate"/>
      </w:r>
      <w:r w:rsidR="00077860" w:rsidRPr="00077860">
        <w:rPr>
          <w:rFonts w:ascii="Candara" w:hAnsi="Candara"/>
          <w:bCs/>
          <w:noProof/>
          <w:sz w:val="20"/>
          <w:szCs w:val="20"/>
          <w:lang w:val="id-ID"/>
        </w:rPr>
        <w:t>(34,35)</w:t>
      </w:r>
      <w:r w:rsidRPr="00991555">
        <w:rPr>
          <w:rFonts w:ascii="Candara" w:hAnsi="Candara"/>
          <w:sz w:val="20"/>
          <w:szCs w:val="20"/>
        </w:rPr>
        <w:fldChar w:fldCharType="end"/>
      </w:r>
      <w:r w:rsidRPr="00991555">
        <w:rPr>
          <w:rFonts w:ascii="Candara" w:hAnsi="Candara"/>
          <w:bCs/>
          <w:sz w:val="20"/>
          <w:szCs w:val="20"/>
        </w:rPr>
        <w:t xml:space="preserve">. </w:t>
      </w:r>
      <w:r w:rsidR="00446AFB">
        <w:rPr>
          <w:rFonts w:ascii="Candara" w:hAnsi="Candara"/>
          <w:bCs/>
          <w:sz w:val="20"/>
          <w:szCs w:val="20"/>
          <w:lang w:val="id-ID"/>
        </w:rPr>
        <w:t>Five</w:t>
      </w:r>
      <w:r w:rsidRPr="00991555">
        <w:rPr>
          <w:rFonts w:ascii="Candara" w:hAnsi="Candara"/>
          <w:bCs/>
          <w:sz w:val="20"/>
          <w:szCs w:val="20"/>
        </w:rPr>
        <w:t xml:space="preserve"> patients in this report had normal thrombocyte level</w:t>
      </w:r>
      <w:r w:rsidR="008A5865">
        <w:rPr>
          <w:rFonts w:ascii="Candara" w:hAnsi="Candara"/>
          <w:bCs/>
          <w:sz w:val="20"/>
          <w:szCs w:val="20"/>
        </w:rPr>
        <w:t>s</w:t>
      </w:r>
      <w:r w:rsidRPr="00991555">
        <w:rPr>
          <w:rFonts w:ascii="Candara" w:hAnsi="Candara"/>
          <w:bCs/>
          <w:sz w:val="20"/>
          <w:szCs w:val="20"/>
        </w:rPr>
        <w:t xml:space="preserve"> before and after used enoxaparin</w:t>
      </w:r>
      <w:r w:rsidR="00C626C0">
        <w:rPr>
          <w:rFonts w:ascii="Candara" w:hAnsi="Candara"/>
          <w:bCs/>
          <w:sz w:val="20"/>
          <w:szCs w:val="20"/>
          <w:lang w:val="id-ID"/>
        </w:rPr>
        <w:t xml:space="preserve"> and UFH. </w:t>
      </w:r>
    </w:p>
    <w:p w14:paraId="01A21C22" w14:textId="4C2D5742" w:rsidR="00991555" w:rsidRPr="00991555" w:rsidRDefault="00991555" w:rsidP="00991555">
      <w:pPr>
        <w:ind w:firstLine="426"/>
        <w:jc w:val="both"/>
        <w:rPr>
          <w:rFonts w:ascii="Candara" w:hAnsi="Candara"/>
          <w:bCs/>
          <w:sz w:val="20"/>
          <w:szCs w:val="20"/>
        </w:rPr>
      </w:pPr>
      <w:r w:rsidRPr="00991555">
        <w:rPr>
          <w:rFonts w:ascii="Candara" w:hAnsi="Candara"/>
          <w:bCs/>
          <w:sz w:val="20"/>
          <w:szCs w:val="20"/>
        </w:rPr>
        <w:t xml:space="preserve">       </w:t>
      </w:r>
      <w:r w:rsidR="00D04BBD" w:rsidRPr="00D04BBD">
        <w:rPr>
          <w:rFonts w:ascii="Candara" w:hAnsi="Candara"/>
          <w:bCs/>
          <w:sz w:val="20"/>
          <w:szCs w:val="20"/>
        </w:rPr>
        <w:t xml:space="preserve">Bleeding is the most common side </w:t>
      </w:r>
      <w:r w:rsidR="00D04BBD">
        <w:rPr>
          <w:rFonts w:ascii="Candara" w:hAnsi="Candara"/>
          <w:bCs/>
          <w:sz w:val="20"/>
          <w:szCs w:val="20"/>
        </w:rPr>
        <w:t>effect of anticoagulant therapy and</w:t>
      </w:r>
      <w:r w:rsidR="00D04BBD" w:rsidRPr="00D04BBD">
        <w:rPr>
          <w:rFonts w:ascii="Candara" w:hAnsi="Candara"/>
          <w:bCs/>
          <w:sz w:val="20"/>
          <w:szCs w:val="20"/>
        </w:rPr>
        <w:t xml:space="preserve"> LMWH has a lower risk than UFH.</w:t>
      </w:r>
      <w:r w:rsidRPr="00991555">
        <w:rPr>
          <w:rFonts w:ascii="Candara" w:hAnsi="Candara"/>
          <w:bCs/>
          <w:sz w:val="20"/>
          <w:szCs w:val="20"/>
        </w:rPr>
        <w:t xml:space="preserve"> </w:t>
      </w:r>
      <w:r w:rsidR="00D04BBD" w:rsidRPr="00D04BBD">
        <w:rPr>
          <w:rFonts w:ascii="Candara" w:hAnsi="Candara"/>
          <w:bCs/>
          <w:sz w:val="20"/>
          <w:szCs w:val="20"/>
        </w:rPr>
        <w:t>Since LMWH is completely excreted by the kidneys, renal activity and creatinine clearance (</w:t>
      </w:r>
      <w:proofErr w:type="spellStart"/>
      <w:r w:rsidR="00D04BBD" w:rsidRPr="00D04BBD">
        <w:rPr>
          <w:rFonts w:ascii="Candara" w:hAnsi="Candara"/>
          <w:bCs/>
          <w:sz w:val="20"/>
          <w:szCs w:val="20"/>
        </w:rPr>
        <w:t>CrCl</w:t>
      </w:r>
      <w:proofErr w:type="spellEnd"/>
      <w:r w:rsidR="00D04BBD" w:rsidRPr="00D04BBD">
        <w:rPr>
          <w:rFonts w:ascii="Candara" w:hAnsi="Candara"/>
          <w:bCs/>
          <w:sz w:val="20"/>
          <w:szCs w:val="20"/>
        </w:rPr>
        <w:t xml:space="preserve">), rather than only serum creatinine, should be controlled in elderly and </w:t>
      </w:r>
      <w:r w:rsidR="00D04BBD">
        <w:rPr>
          <w:rFonts w:ascii="Candara" w:hAnsi="Candara"/>
          <w:bCs/>
          <w:sz w:val="20"/>
          <w:szCs w:val="20"/>
        </w:rPr>
        <w:t>frail</w:t>
      </w:r>
      <w:r w:rsidR="00D04BBD" w:rsidRPr="00D04BBD">
        <w:rPr>
          <w:rFonts w:ascii="Candara" w:hAnsi="Candara"/>
          <w:bCs/>
          <w:sz w:val="20"/>
          <w:szCs w:val="20"/>
        </w:rPr>
        <w:t xml:space="preserve"> patients.</w:t>
      </w:r>
      <w:r w:rsidRPr="00991555">
        <w:rPr>
          <w:rFonts w:ascii="Candara" w:hAnsi="Candara"/>
          <w:bCs/>
          <w:sz w:val="20"/>
          <w:szCs w:val="20"/>
        </w:rPr>
        <w:t xml:space="preserve"> </w:t>
      </w:r>
      <w:r w:rsidR="00D04BBD" w:rsidRPr="00D04BBD">
        <w:rPr>
          <w:rFonts w:ascii="Candara" w:hAnsi="Candara"/>
          <w:bCs/>
          <w:sz w:val="20"/>
          <w:szCs w:val="20"/>
        </w:rPr>
        <w:t xml:space="preserve">For patients in this indication group, the lowest </w:t>
      </w:r>
      <w:proofErr w:type="spellStart"/>
      <w:r w:rsidR="00D04BBD" w:rsidRPr="00D04BBD">
        <w:rPr>
          <w:rFonts w:ascii="Candara" w:hAnsi="Candara"/>
          <w:bCs/>
          <w:sz w:val="20"/>
          <w:szCs w:val="20"/>
        </w:rPr>
        <w:t>CrCl</w:t>
      </w:r>
      <w:proofErr w:type="spellEnd"/>
      <w:r w:rsidR="00D04BBD" w:rsidRPr="00D04BBD">
        <w:rPr>
          <w:rFonts w:ascii="Candara" w:hAnsi="Candara"/>
          <w:bCs/>
          <w:sz w:val="20"/>
          <w:szCs w:val="20"/>
        </w:rPr>
        <w:t xml:space="preserve"> ratio likely varies for various LMWHs, although a reasonable threshold is likely to be 30 mL/min.</w:t>
      </w:r>
      <w:r w:rsidR="00D04BBD">
        <w:rPr>
          <w:rFonts w:ascii="Candara" w:hAnsi="Candara"/>
          <w:bCs/>
          <w:sz w:val="20"/>
          <w:szCs w:val="20"/>
        </w:rPr>
        <w:t xml:space="preserve"> </w:t>
      </w:r>
      <w:r w:rsidRPr="00991555">
        <w:rPr>
          <w:rFonts w:ascii="Candara" w:hAnsi="Candara"/>
          <w:bCs/>
          <w:sz w:val="20"/>
          <w:szCs w:val="20"/>
        </w:rPr>
        <w:t>Lower than that can cause hemorrhaging and should not be used</w:t>
      </w:r>
      <w:r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author":[{"dropping-particle":"","family":"Mahesh","given":"Krishnamurthy","non-dropping-particle":"","parse-names":false,"suffix":""},{"dropping-particle":"","family":"L.F.","given":"Michael","non-dropping-particle":"","parse-names":false,"suffix":""}],"id":"ITEM-1","issue":"7","issued":{"date-parts":[["2011"]]},"page":"494-498","title":"Complications of Anticoagulation with Heparin","type":"article-journal","volume":"13"},"uris":["http://www.mendeley.com/documents/?uuid=52ec2db5-d246-4ba9-8788-7e4d0fcaeb72"]}],"mendeley":{"formattedCitation":"(33)","plainTextFormattedCitation":"(33)","previouslyFormattedCitation":"(32)"},"properties":{"noteIndex":0},"schema":"https://github.com/citation-style-language/schema/raw/master/csl-citation.json"}</w:instrText>
      </w:r>
      <w:r w:rsidRPr="00991555">
        <w:rPr>
          <w:rFonts w:ascii="Candara" w:hAnsi="Candara"/>
          <w:bCs/>
          <w:sz w:val="20"/>
          <w:szCs w:val="20"/>
        </w:rPr>
        <w:fldChar w:fldCharType="separate"/>
      </w:r>
      <w:r w:rsidR="00077860" w:rsidRPr="00077860">
        <w:rPr>
          <w:rFonts w:ascii="Candara" w:hAnsi="Candara"/>
          <w:bCs/>
          <w:noProof/>
          <w:sz w:val="20"/>
          <w:szCs w:val="20"/>
        </w:rPr>
        <w:t>(33)</w:t>
      </w:r>
      <w:r w:rsidRPr="00991555">
        <w:rPr>
          <w:rFonts w:ascii="Candara" w:hAnsi="Candara"/>
          <w:sz w:val="20"/>
          <w:szCs w:val="20"/>
        </w:rPr>
        <w:fldChar w:fldCharType="end"/>
      </w:r>
      <w:r w:rsidRPr="00991555">
        <w:rPr>
          <w:rFonts w:ascii="Candara" w:hAnsi="Candara"/>
          <w:bCs/>
          <w:sz w:val="20"/>
          <w:szCs w:val="20"/>
        </w:rPr>
        <w:t xml:space="preserve">. </w:t>
      </w:r>
      <w:r w:rsidR="00D04BBD" w:rsidRPr="00D04BBD">
        <w:rPr>
          <w:rFonts w:ascii="Candara" w:hAnsi="Candara"/>
          <w:bCs/>
          <w:sz w:val="20"/>
          <w:szCs w:val="20"/>
        </w:rPr>
        <w:t>Intermittent intravenous (IV) heparin causes more major bleeding than continuous IV heparin; however, continuous IV heparin and subcutaneous heparin cause alm</w:t>
      </w:r>
      <w:r w:rsidR="00D04BBD">
        <w:rPr>
          <w:rFonts w:ascii="Candara" w:hAnsi="Candara"/>
          <w:bCs/>
          <w:sz w:val="20"/>
          <w:szCs w:val="20"/>
        </w:rPr>
        <w:t>ost the same amount of bleeding</w:t>
      </w:r>
      <w:r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author":[{"dropping-particle":"","family":"Mahesh","given":"Krishnamurthy","non-dropping-particle":"","parse-names":false,"suffix":""},{"dropping-particle":"","family":"L.F.","given":"Michael","non-dropping-particle":"","parse-names":false,"suffix":""}],"id":"ITEM-1","issue":"7","issued":{"date-parts":[["2011"]]},"page":"494-498","title":"Complications of Anticoagulation with Heparin","type":"article-journal","volume":"13"},"uris":["http://www.mendeley.com/documents/?uuid=52ec2db5-d246-4ba9-8788-7e4d0fcaeb72"]}],"mendeley":{"formattedCitation":"(33)","plainTextFormattedCitation":"(33)","previouslyFormattedCitation":"(32)"},"properties":{"noteIndex":0},"schema":"https://github.com/citation-style-language/schema/raw/master/csl-citation.json"}</w:instrText>
      </w:r>
      <w:r w:rsidRPr="00991555">
        <w:rPr>
          <w:rFonts w:ascii="Candara" w:hAnsi="Candara"/>
          <w:bCs/>
          <w:sz w:val="20"/>
          <w:szCs w:val="20"/>
        </w:rPr>
        <w:fldChar w:fldCharType="separate"/>
      </w:r>
      <w:r w:rsidR="00077860" w:rsidRPr="00077860">
        <w:rPr>
          <w:rFonts w:ascii="Candara" w:hAnsi="Candara"/>
          <w:bCs/>
          <w:noProof/>
          <w:sz w:val="20"/>
          <w:szCs w:val="20"/>
        </w:rPr>
        <w:t>(33)</w:t>
      </w:r>
      <w:r w:rsidRPr="00991555">
        <w:rPr>
          <w:rFonts w:ascii="Candara" w:hAnsi="Candara"/>
          <w:sz w:val="20"/>
          <w:szCs w:val="20"/>
        </w:rPr>
        <w:fldChar w:fldCharType="end"/>
      </w:r>
      <w:r w:rsidRPr="00991555">
        <w:rPr>
          <w:rFonts w:ascii="Candara" w:hAnsi="Candara"/>
          <w:bCs/>
          <w:sz w:val="20"/>
          <w:szCs w:val="20"/>
        </w:rPr>
        <w:t>. In this report, all of the patient’s hemoglobin w</w:t>
      </w:r>
      <w:r w:rsidR="005835A1">
        <w:rPr>
          <w:rFonts w:ascii="Candara" w:hAnsi="Candara"/>
          <w:bCs/>
          <w:sz w:val="20"/>
          <w:szCs w:val="20"/>
          <w:lang w:val="id-ID"/>
        </w:rPr>
        <w:t>as</w:t>
      </w:r>
      <w:r w:rsidR="00C626C0">
        <w:rPr>
          <w:rFonts w:ascii="Candara" w:hAnsi="Candara"/>
          <w:bCs/>
          <w:sz w:val="20"/>
          <w:szCs w:val="20"/>
          <w:lang w:val="id-ID"/>
        </w:rPr>
        <w:t xml:space="preserve"> still </w:t>
      </w:r>
      <w:r w:rsidR="005835A1">
        <w:rPr>
          <w:rFonts w:ascii="Candara" w:hAnsi="Candara"/>
          <w:bCs/>
          <w:sz w:val="20"/>
          <w:szCs w:val="20"/>
          <w:lang w:val="id-ID"/>
        </w:rPr>
        <w:t>at</w:t>
      </w:r>
      <w:r w:rsidR="00C626C0">
        <w:rPr>
          <w:rFonts w:ascii="Candara" w:hAnsi="Candara"/>
          <w:bCs/>
          <w:sz w:val="20"/>
          <w:szCs w:val="20"/>
          <w:lang w:val="id-ID"/>
        </w:rPr>
        <w:t xml:space="preserve"> </w:t>
      </w:r>
      <w:r w:rsidR="005835A1">
        <w:rPr>
          <w:rFonts w:ascii="Candara" w:hAnsi="Candara"/>
          <w:bCs/>
          <w:sz w:val="20"/>
          <w:szCs w:val="20"/>
          <w:lang w:val="id-ID"/>
        </w:rPr>
        <w:t xml:space="preserve">the </w:t>
      </w:r>
      <w:r w:rsidR="00C626C0">
        <w:rPr>
          <w:rFonts w:ascii="Candara" w:hAnsi="Candara"/>
          <w:bCs/>
          <w:sz w:val="20"/>
          <w:szCs w:val="20"/>
          <w:lang w:val="id-ID"/>
        </w:rPr>
        <w:t>same level</w:t>
      </w:r>
      <w:r w:rsidRPr="00991555">
        <w:rPr>
          <w:rFonts w:ascii="Candara" w:hAnsi="Candara"/>
          <w:bCs/>
          <w:sz w:val="20"/>
          <w:szCs w:val="20"/>
        </w:rPr>
        <w:t xml:space="preserve"> after used enoxaparin </w:t>
      </w:r>
      <w:r w:rsidR="00C626C0">
        <w:rPr>
          <w:rFonts w:ascii="Candara" w:hAnsi="Candara"/>
          <w:bCs/>
          <w:sz w:val="20"/>
          <w:szCs w:val="20"/>
          <w:lang w:val="id-ID"/>
        </w:rPr>
        <w:t xml:space="preserve">or UFH </w:t>
      </w:r>
      <w:r w:rsidRPr="00991555">
        <w:rPr>
          <w:rFonts w:ascii="Candara" w:hAnsi="Candara"/>
          <w:bCs/>
          <w:sz w:val="20"/>
          <w:szCs w:val="20"/>
        </w:rPr>
        <w:t xml:space="preserve">and there weren’t any symptoms associated with bleeding. </w:t>
      </w:r>
      <w:r w:rsidR="00D04BBD" w:rsidRPr="00D04BBD">
        <w:rPr>
          <w:rFonts w:ascii="Candara" w:hAnsi="Candara"/>
          <w:bCs/>
          <w:sz w:val="20"/>
          <w:szCs w:val="20"/>
        </w:rPr>
        <w:t>Protamine can be used to counteract the effects of heparin if bleeding happens during UFH treatment. Protamine, on the other hand, tends to neutralize just about 60% of LMWH's anti-</w:t>
      </w:r>
      <w:r w:rsidR="00D04BBD" w:rsidRPr="00D04BBD">
        <w:rPr>
          <w:rFonts w:ascii="Candara" w:hAnsi="Candara"/>
          <w:bCs/>
          <w:sz w:val="20"/>
          <w:szCs w:val="20"/>
        </w:rPr>
        <w:lastRenderedPageBreak/>
        <w:t xml:space="preserve">factor </w:t>
      </w:r>
      <w:proofErr w:type="spellStart"/>
      <w:r w:rsidR="00D04BBD" w:rsidRPr="00D04BBD">
        <w:rPr>
          <w:rFonts w:ascii="Candara" w:hAnsi="Candara"/>
          <w:bCs/>
          <w:sz w:val="20"/>
          <w:szCs w:val="20"/>
        </w:rPr>
        <w:t>Xa</w:t>
      </w:r>
      <w:proofErr w:type="spellEnd"/>
      <w:r w:rsidR="00D04BBD" w:rsidRPr="00D04BBD">
        <w:rPr>
          <w:rFonts w:ascii="Candara" w:hAnsi="Candara"/>
          <w:bCs/>
          <w:sz w:val="20"/>
          <w:szCs w:val="20"/>
        </w:rPr>
        <w:t xml:space="preserve"> act</w:t>
      </w:r>
      <w:r w:rsidR="00D04BBD">
        <w:rPr>
          <w:rFonts w:ascii="Candara" w:hAnsi="Candara"/>
          <w:bCs/>
          <w:sz w:val="20"/>
          <w:szCs w:val="20"/>
        </w:rPr>
        <w:t>ivity</w:t>
      </w:r>
      <w:r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author":[{"dropping-particle":"","family":"Mahesh","given":"Krishnamurthy","non-dropping-particle":"","parse-names":false,"suffix":""},{"dropping-particle":"","family":"L.F.","given":"Michael","non-dropping-particle":"","parse-names":false,"suffix":""}],"id":"ITEM-1","issue":"7","issued":{"date-parts":[["2011"]]},"page":"494-498","title":"Complications of Anticoagulation with Heparin","type":"article-journal","volume":"13"},"uris":["http://www.mendeley.com/documents/?uuid=52ec2db5-d246-4ba9-8788-7e4d0fcaeb72"]}],"mendeley":{"formattedCitation":"(33)","plainTextFormattedCitation":"(33)","previouslyFormattedCitation":"(32)"},"properties":{"noteIndex":0},"schema":"https://github.com/citation-style-language/schema/raw/master/csl-citation.json"}</w:instrText>
      </w:r>
      <w:r w:rsidRPr="00991555">
        <w:rPr>
          <w:rFonts w:ascii="Candara" w:hAnsi="Candara"/>
          <w:bCs/>
          <w:sz w:val="20"/>
          <w:szCs w:val="20"/>
        </w:rPr>
        <w:fldChar w:fldCharType="separate"/>
      </w:r>
      <w:r w:rsidR="00077860" w:rsidRPr="00077860">
        <w:rPr>
          <w:rFonts w:ascii="Candara" w:hAnsi="Candara"/>
          <w:bCs/>
          <w:noProof/>
          <w:sz w:val="20"/>
          <w:szCs w:val="20"/>
        </w:rPr>
        <w:t>(33)</w:t>
      </w:r>
      <w:r w:rsidRPr="00991555">
        <w:rPr>
          <w:rFonts w:ascii="Candara" w:hAnsi="Candara"/>
          <w:sz w:val="20"/>
          <w:szCs w:val="20"/>
        </w:rPr>
        <w:fldChar w:fldCharType="end"/>
      </w:r>
      <w:r w:rsidRPr="00991555">
        <w:rPr>
          <w:rFonts w:ascii="Candara" w:hAnsi="Candara"/>
          <w:bCs/>
          <w:sz w:val="20"/>
          <w:szCs w:val="20"/>
        </w:rPr>
        <w:t>.</w:t>
      </w:r>
      <w:r w:rsidR="00566BB8">
        <w:rPr>
          <w:rFonts w:ascii="Candara" w:hAnsi="Candara"/>
          <w:bCs/>
          <w:sz w:val="20"/>
          <w:szCs w:val="20"/>
        </w:rPr>
        <w:t xml:space="preserve"> </w:t>
      </w:r>
      <w:r w:rsidR="00566BB8">
        <w:rPr>
          <w:rFonts w:ascii="Candara" w:hAnsi="Candara"/>
          <w:bCs/>
          <w:color w:val="000000"/>
          <w:sz w:val="20"/>
          <w:szCs w:val="20"/>
        </w:rPr>
        <w:t>In Case-</w:t>
      </w:r>
      <w:r w:rsidR="00C626C0">
        <w:rPr>
          <w:rFonts w:ascii="Candara" w:hAnsi="Candara"/>
          <w:bCs/>
          <w:color w:val="000000"/>
          <w:sz w:val="20"/>
          <w:szCs w:val="20"/>
          <w:lang w:val="id-ID"/>
        </w:rPr>
        <w:t>4</w:t>
      </w:r>
      <w:r w:rsidR="00566BB8">
        <w:rPr>
          <w:rFonts w:ascii="Candara" w:hAnsi="Candara"/>
          <w:bCs/>
          <w:color w:val="000000"/>
          <w:sz w:val="20"/>
          <w:szCs w:val="20"/>
        </w:rPr>
        <w:t>, we calculated the C</w:t>
      </w:r>
      <w:r w:rsidR="00B46D72">
        <w:rPr>
          <w:rFonts w:ascii="Candara" w:hAnsi="Candara"/>
          <w:bCs/>
          <w:color w:val="000000"/>
          <w:sz w:val="20"/>
          <w:szCs w:val="20"/>
          <w:lang w:val="id-ID"/>
        </w:rPr>
        <w:t>r</w:t>
      </w:r>
      <w:r w:rsidR="00566BB8">
        <w:rPr>
          <w:rFonts w:ascii="Candara" w:hAnsi="Candara"/>
          <w:bCs/>
          <w:color w:val="000000"/>
          <w:sz w:val="20"/>
          <w:szCs w:val="20"/>
        </w:rPr>
        <w:t xml:space="preserve">CI </w:t>
      </w:r>
      <w:r w:rsidR="00566BB8" w:rsidRPr="00077860">
        <w:rPr>
          <w:rFonts w:ascii="Candara" w:hAnsi="Candara"/>
          <w:bCs/>
          <w:color w:val="000000"/>
          <w:sz w:val="20"/>
          <w:szCs w:val="20"/>
        </w:rPr>
        <w:t>(Cockcroft-Gault Equation)</w:t>
      </w:r>
      <w:r w:rsidR="00566BB8">
        <w:rPr>
          <w:rFonts w:ascii="Candara" w:hAnsi="Candara"/>
          <w:b/>
          <w:bCs/>
          <w:color w:val="000000"/>
          <w:sz w:val="20"/>
          <w:szCs w:val="20"/>
        </w:rPr>
        <w:t xml:space="preserve"> </w:t>
      </w:r>
      <w:r w:rsidR="00566BB8">
        <w:rPr>
          <w:rFonts w:ascii="Candara" w:hAnsi="Candara"/>
          <w:bCs/>
          <w:color w:val="000000"/>
          <w:sz w:val="20"/>
          <w:szCs w:val="20"/>
        </w:rPr>
        <w:t>of the patient was approximately 20 mL/min, closed observation to this patient found no complication such as bleeding.</w:t>
      </w:r>
    </w:p>
    <w:p w14:paraId="711AE1C7" w14:textId="090BDDEA" w:rsidR="00D601E0" w:rsidRDefault="00991555" w:rsidP="00077860">
      <w:pPr>
        <w:ind w:firstLine="426"/>
        <w:jc w:val="both"/>
        <w:rPr>
          <w:rFonts w:ascii="Candara" w:hAnsi="Candara"/>
          <w:sz w:val="20"/>
          <w:szCs w:val="20"/>
        </w:rPr>
      </w:pPr>
      <w:r w:rsidRPr="00991555">
        <w:rPr>
          <w:rFonts w:ascii="Candara" w:hAnsi="Candara"/>
          <w:bCs/>
          <w:sz w:val="20"/>
          <w:szCs w:val="20"/>
        </w:rPr>
        <w:t xml:space="preserve">       </w:t>
      </w:r>
      <w:r w:rsidR="00D04BBD">
        <w:rPr>
          <w:rFonts w:ascii="Candara" w:hAnsi="Candara"/>
          <w:bCs/>
          <w:sz w:val="20"/>
          <w:szCs w:val="20"/>
        </w:rPr>
        <w:t>Osteopenia and osteoporosis associate</w:t>
      </w:r>
      <w:r w:rsidR="008A5865">
        <w:rPr>
          <w:rFonts w:ascii="Candara" w:hAnsi="Candara"/>
          <w:bCs/>
          <w:sz w:val="20"/>
          <w:szCs w:val="20"/>
        </w:rPr>
        <w:t>d</w:t>
      </w:r>
      <w:r w:rsidR="00D04BBD">
        <w:rPr>
          <w:rFonts w:ascii="Candara" w:hAnsi="Candara"/>
          <w:bCs/>
          <w:sz w:val="20"/>
          <w:szCs w:val="20"/>
        </w:rPr>
        <w:t xml:space="preserve"> with heparin are linked to long-term treatment (usually more than one month)</w:t>
      </w:r>
      <w:r w:rsidR="00DE5F15">
        <w:rPr>
          <w:rFonts w:ascii="Candara" w:hAnsi="Candara"/>
          <w:bCs/>
          <w:sz w:val="20"/>
          <w:szCs w:val="20"/>
        </w:rPr>
        <w:t>. They are uncommon but often occur during breastfeeding and the postpartum phase, w</w:t>
      </w:r>
      <w:r w:rsidR="009911EC">
        <w:rPr>
          <w:rFonts w:ascii="Candara" w:hAnsi="Candara"/>
          <w:bCs/>
          <w:sz w:val="20"/>
          <w:szCs w:val="20"/>
        </w:rPr>
        <w:t xml:space="preserve">here they can lead to </w:t>
      </w:r>
      <w:r w:rsidR="00DE5F15">
        <w:rPr>
          <w:rFonts w:ascii="Candara" w:hAnsi="Candara"/>
          <w:bCs/>
          <w:sz w:val="20"/>
          <w:szCs w:val="20"/>
        </w:rPr>
        <w:t>fractures</w:t>
      </w:r>
      <w:r w:rsidR="009911EC">
        <w:rPr>
          <w:rFonts w:ascii="Candara" w:hAnsi="Candara"/>
          <w:bCs/>
          <w:sz w:val="20"/>
          <w:szCs w:val="20"/>
        </w:rPr>
        <w:t xml:space="preserve"> spontane</w:t>
      </w:r>
      <w:r w:rsidR="00063EC9">
        <w:rPr>
          <w:rFonts w:ascii="Candara" w:hAnsi="Candara"/>
          <w:bCs/>
          <w:sz w:val="20"/>
          <w:szCs w:val="20"/>
        </w:rPr>
        <w:t>o</w:t>
      </w:r>
      <w:r w:rsidR="009911EC">
        <w:rPr>
          <w:rFonts w:ascii="Candara" w:hAnsi="Candara"/>
          <w:bCs/>
          <w:sz w:val="20"/>
          <w:szCs w:val="20"/>
        </w:rPr>
        <w:t>usly</w:t>
      </w:r>
      <w:r w:rsidRPr="00991555">
        <w:rPr>
          <w:rFonts w:ascii="Candara" w:hAnsi="Candara"/>
          <w:bCs/>
          <w:sz w:val="20"/>
          <w:szCs w:val="20"/>
        </w:rPr>
        <w:t>. In this report, all of the case</w:t>
      </w:r>
      <w:r w:rsidR="008A5865">
        <w:rPr>
          <w:rFonts w:ascii="Candara" w:hAnsi="Candara"/>
          <w:bCs/>
          <w:sz w:val="20"/>
          <w:szCs w:val="20"/>
        </w:rPr>
        <w:t>s</w:t>
      </w:r>
      <w:r w:rsidRPr="00991555">
        <w:rPr>
          <w:rFonts w:ascii="Candara" w:hAnsi="Candara"/>
          <w:bCs/>
          <w:sz w:val="20"/>
          <w:szCs w:val="20"/>
        </w:rPr>
        <w:t xml:space="preserve"> were only short-term therapy, so this complication </w:t>
      </w:r>
      <w:r w:rsidR="008A5865">
        <w:rPr>
          <w:rFonts w:ascii="Candara" w:hAnsi="Candara"/>
          <w:bCs/>
          <w:sz w:val="20"/>
          <w:szCs w:val="20"/>
        </w:rPr>
        <w:t>didn’t happen</w:t>
      </w:r>
      <w:r w:rsidRPr="00991555">
        <w:rPr>
          <w:rFonts w:ascii="Candara" w:hAnsi="Candara"/>
          <w:bCs/>
          <w:sz w:val="20"/>
          <w:szCs w:val="20"/>
        </w:rPr>
        <w:t xml:space="preserve">. </w:t>
      </w:r>
      <w:r w:rsidR="00DE5F15">
        <w:rPr>
          <w:rFonts w:ascii="Candara" w:hAnsi="Candara"/>
          <w:bCs/>
          <w:sz w:val="20"/>
          <w:szCs w:val="20"/>
        </w:rPr>
        <w:t>Balance disruption of</w:t>
      </w:r>
      <w:r w:rsidR="00DE5F15" w:rsidRPr="00DE5F15">
        <w:rPr>
          <w:rFonts w:ascii="Candara" w:hAnsi="Candara"/>
          <w:bCs/>
          <w:sz w:val="20"/>
          <w:szCs w:val="20"/>
        </w:rPr>
        <w:t xml:space="preserve"> osteoclasts </w:t>
      </w:r>
      <w:r w:rsidR="00DE5F15">
        <w:rPr>
          <w:rFonts w:ascii="Candara" w:hAnsi="Candara"/>
          <w:bCs/>
          <w:sz w:val="20"/>
          <w:szCs w:val="20"/>
        </w:rPr>
        <w:t>and</w:t>
      </w:r>
      <w:r w:rsidR="00DE5F15" w:rsidRPr="00DE5F15">
        <w:rPr>
          <w:rFonts w:ascii="Candara" w:hAnsi="Candara"/>
          <w:bCs/>
          <w:sz w:val="20"/>
          <w:szCs w:val="20"/>
        </w:rPr>
        <w:t xml:space="preserve"> osteoblasts, abnormal collagen activation, and vitamin D synthesis disruptions can all induce heparin-associated osteopenia.</w:t>
      </w:r>
      <w:r w:rsidR="008A5865">
        <w:rPr>
          <w:rFonts w:ascii="Candara" w:hAnsi="Candara"/>
          <w:bCs/>
          <w:sz w:val="20"/>
          <w:szCs w:val="20"/>
        </w:rPr>
        <w:t xml:space="preserve"> </w:t>
      </w:r>
      <w:r w:rsidRPr="00991555">
        <w:rPr>
          <w:rFonts w:ascii="Candara" w:hAnsi="Candara"/>
          <w:bCs/>
          <w:sz w:val="20"/>
          <w:szCs w:val="20"/>
        </w:rPr>
        <w:fldChar w:fldCharType="begin" w:fldLock="1"/>
      </w:r>
      <w:r w:rsidR="00077860">
        <w:rPr>
          <w:rFonts w:ascii="Candara" w:hAnsi="Candara"/>
          <w:bCs/>
          <w:sz w:val="20"/>
          <w:szCs w:val="20"/>
        </w:rPr>
        <w:instrText>ADDIN CSL_CITATION {"citationItems":[{"id":"ITEM-1","itemData":{"author":[{"dropping-particle":"","family":"Mahesh","given":"Krishnamurthy","non-dropping-particle":"","parse-names":false,"suffix":""},{"dropping-particle":"","family":"L.F.","given":"Michael","non-dropping-particle":"","parse-names":false,"suffix":""}],"id":"ITEM-1","issue":"7","issued":{"date-parts":[["2011"]]},"page":"494-498","title":"Complications of Anticoagulation with Heparin","type":"article-journal","volume":"13"},"uris":["http://www.mendeley.com/documents/?uuid=52ec2db5-d246-4ba9-8788-7e4d0fcaeb72"]}],"mendeley":{"formattedCitation":"(33)","plainTextFormattedCitation":"(33)","previouslyFormattedCitation":"(32)"},"properties":{"noteIndex":0},"schema":"https://github.com/citation-style-language/schema/raw/master/csl-citation.json"}</w:instrText>
      </w:r>
      <w:r w:rsidRPr="00991555">
        <w:rPr>
          <w:rFonts w:ascii="Candara" w:hAnsi="Candara"/>
          <w:bCs/>
          <w:sz w:val="20"/>
          <w:szCs w:val="20"/>
        </w:rPr>
        <w:fldChar w:fldCharType="separate"/>
      </w:r>
      <w:r w:rsidR="00077860" w:rsidRPr="00077860">
        <w:rPr>
          <w:rFonts w:ascii="Candara" w:hAnsi="Candara"/>
          <w:bCs/>
          <w:noProof/>
          <w:sz w:val="20"/>
          <w:szCs w:val="20"/>
        </w:rPr>
        <w:t>(33)</w:t>
      </w:r>
      <w:r w:rsidRPr="00991555">
        <w:rPr>
          <w:rFonts w:ascii="Candara" w:hAnsi="Candara"/>
          <w:sz w:val="20"/>
          <w:szCs w:val="20"/>
        </w:rPr>
        <w:fldChar w:fldCharType="end"/>
      </w:r>
      <w:r w:rsidRPr="00991555">
        <w:rPr>
          <w:rFonts w:ascii="Candara" w:hAnsi="Candara"/>
          <w:bCs/>
          <w:sz w:val="20"/>
          <w:szCs w:val="20"/>
        </w:rPr>
        <w:t>.</w:t>
      </w:r>
    </w:p>
    <w:p w14:paraId="543239C6" w14:textId="77777777" w:rsidR="00077860" w:rsidRPr="00077860" w:rsidRDefault="00077860" w:rsidP="00077860">
      <w:pPr>
        <w:ind w:firstLine="426"/>
        <w:jc w:val="both"/>
        <w:rPr>
          <w:rFonts w:ascii="Candara" w:hAnsi="Candara"/>
          <w:sz w:val="20"/>
          <w:szCs w:val="20"/>
        </w:rPr>
      </w:pPr>
    </w:p>
    <w:p w14:paraId="2F549258" w14:textId="77777777" w:rsidR="00392050" w:rsidRDefault="00392050" w:rsidP="007058FC">
      <w:pPr>
        <w:jc w:val="both"/>
        <w:rPr>
          <w:rFonts w:ascii="Candara" w:hAnsi="Candara"/>
          <w:b/>
          <w:sz w:val="20"/>
          <w:szCs w:val="20"/>
        </w:rPr>
      </w:pPr>
    </w:p>
    <w:p w14:paraId="5A7F07F8" w14:textId="77777777" w:rsidR="007058FC" w:rsidRDefault="007058FC" w:rsidP="007058FC">
      <w:pPr>
        <w:jc w:val="both"/>
        <w:rPr>
          <w:rFonts w:ascii="Candara" w:hAnsi="Candara"/>
          <w:b/>
          <w:sz w:val="20"/>
          <w:szCs w:val="20"/>
        </w:rPr>
      </w:pPr>
      <w:r w:rsidRPr="007058FC">
        <w:rPr>
          <w:rFonts w:ascii="Candara" w:hAnsi="Candara"/>
          <w:b/>
          <w:sz w:val="20"/>
          <w:szCs w:val="20"/>
        </w:rPr>
        <w:t>CONCLUSION</w:t>
      </w:r>
    </w:p>
    <w:p w14:paraId="5661924E" w14:textId="77777777" w:rsidR="004A1D07" w:rsidRDefault="004A1D07" w:rsidP="00392050">
      <w:pPr>
        <w:ind w:firstLine="426"/>
        <w:jc w:val="both"/>
        <w:rPr>
          <w:rFonts w:ascii="Candara" w:hAnsi="Candara"/>
          <w:sz w:val="20"/>
          <w:szCs w:val="20"/>
        </w:rPr>
      </w:pPr>
    </w:p>
    <w:p w14:paraId="783692AC" w14:textId="3006D2E9" w:rsidR="00392050" w:rsidRPr="00E30904" w:rsidRDefault="00991555" w:rsidP="007D584A">
      <w:pPr>
        <w:jc w:val="both"/>
        <w:rPr>
          <w:rFonts w:ascii="Candara" w:hAnsi="Candara"/>
          <w:b/>
          <w:sz w:val="20"/>
          <w:szCs w:val="20"/>
          <w:lang w:val="id-ID"/>
        </w:rPr>
      </w:pPr>
      <w:r>
        <w:rPr>
          <w:rFonts w:ascii="Candara" w:hAnsi="Candara"/>
          <w:bCs/>
          <w:sz w:val="20"/>
          <w:szCs w:val="20"/>
        </w:rPr>
        <w:t xml:space="preserve">       </w:t>
      </w:r>
      <w:r w:rsidR="00077860">
        <w:rPr>
          <w:rFonts w:ascii="Candara" w:hAnsi="Candara"/>
          <w:bCs/>
          <w:sz w:val="20"/>
          <w:szCs w:val="20"/>
        </w:rPr>
        <w:t>Anticoagulant</w:t>
      </w:r>
      <w:r w:rsidRPr="00991555">
        <w:rPr>
          <w:rFonts w:ascii="Candara" w:hAnsi="Candara"/>
          <w:bCs/>
          <w:sz w:val="20"/>
          <w:szCs w:val="20"/>
        </w:rPr>
        <w:t xml:space="preserve"> has been widely recommended to be given to </w:t>
      </w:r>
      <w:r w:rsidR="00E30904">
        <w:rPr>
          <w:rFonts w:ascii="Candara" w:hAnsi="Candara"/>
          <w:bCs/>
          <w:sz w:val="20"/>
          <w:szCs w:val="20"/>
        </w:rPr>
        <w:t>COVID-19</w:t>
      </w:r>
      <w:r w:rsidRPr="00991555">
        <w:rPr>
          <w:rFonts w:ascii="Candara" w:hAnsi="Candara"/>
          <w:bCs/>
          <w:sz w:val="20"/>
          <w:szCs w:val="20"/>
        </w:rPr>
        <w:t xml:space="preserve"> patients especially with moderate to severe degrees to reduce mortality from coagulopathy. In this report, </w:t>
      </w:r>
      <w:r w:rsidR="0019184A">
        <w:rPr>
          <w:rFonts w:ascii="Candara" w:hAnsi="Candara"/>
          <w:bCs/>
          <w:sz w:val="20"/>
          <w:szCs w:val="20"/>
        </w:rPr>
        <w:t xml:space="preserve">either </w:t>
      </w:r>
      <w:r w:rsidRPr="00991555">
        <w:rPr>
          <w:rFonts w:ascii="Candara" w:hAnsi="Candara"/>
          <w:bCs/>
          <w:sz w:val="20"/>
          <w:szCs w:val="20"/>
        </w:rPr>
        <w:t>patien</w:t>
      </w:r>
      <w:r w:rsidR="0019184A">
        <w:rPr>
          <w:rFonts w:ascii="Candara" w:hAnsi="Candara"/>
          <w:bCs/>
          <w:sz w:val="20"/>
          <w:szCs w:val="20"/>
        </w:rPr>
        <w:t>t</w:t>
      </w:r>
      <w:r w:rsidRPr="00991555">
        <w:rPr>
          <w:rFonts w:ascii="Candara" w:hAnsi="Candara"/>
          <w:bCs/>
          <w:sz w:val="20"/>
          <w:szCs w:val="20"/>
        </w:rPr>
        <w:t xml:space="preserve"> who used enoxaparin LMWH</w:t>
      </w:r>
      <w:r w:rsidR="0019184A">
        <w:rPr>
          <w:rFonts w:ascii="Candara" w:hAnsi="Candara"/>
          <w:bCs/>
          <w:sz w:val="20"/>
          <w:szCs w:val="20"/>
        </w:rPr>
        <w:t xml:space="preserve"> or </w:t>
      </w:r>
      <w:r w:rsidR="00B46D72">
        <w:rPr>
          <w:rFonts w:ascii="Candara" w:hAnsi="Candara"/>
          <w:bCs/>
          <w:sz w:val="20"/>
          <w:szCs w:val="20"/>
          <w:lang w:val="id-ID"/>
        </w:rPr>
        <w:t>h</w:t>
      </w:r>
      <w:proofErr w:type="spellStart"/>
      <w:r w:rsidR="0019184A">
        <w:rPr>
          <w:rFonts w:ascii="Candara" w:hAnsi="Candara"/>
          <w:bCs/>
          <w:sz w:val="20"/>
          <w:szCs w:val="20"/>
        </w:rPr>
        <w:t>eparin</w:t>
      </w:r>
      <w:proofErr w:type="spellEnd"/>
      <w:r w:rsidR="0019184A">
        <w:rPr>
          <w:rFonts w:ascii="Candara" w:hAnsi="Candara"/>
          <w:bCs/>
          <w:sz w:val="20"/>
          <w:szCs w:val="20"/>
        </w:rPr>
        <w:t xml:space="preserve"> </w:t>
      </w:r>
      <w:r w:rsidR="00B46D72">
        <w:rPr>
          <w:rFonts w:ascii="Candara" w:hAnsi="Candara"/>
          <w:bCs/>
          <w:sz w:val="20"/>
          <w:szCs w:val="20"/>
          <w:lang w:val="id-ID"/>
        </w:rPr>
        <w:t xml:space="preserve">UFH </w:t>
      </w:r>
      <w:r w:rsidR="0019184A">
        <w:rPr>
          <w:rFonts w:ascii="Candara" w:hAnsi="Candara"/>
          <w:bCs/>
          <w:sz w:val="20"/>
          <w:szCs w:val="20"/>
        </w:rPr>
        <w:t>gave a good respon</w:t>
      </w:r>
      <w:r w:rsidR="008A5865">
        <w:rPr>
          <w:rFonts w:ascii="Candara" w:hAnsi="Candara"/>
          <w:bCs/>
          <w:sz w:val="20"/>
          <w:szCs w:val="20"/>
        </w:rPr>
        <w:t>se</w:t>
      </w:r>
      <w:r w:rsidR="0019184A">
        <w:rPr>
          <w:rFonts w:ascii="Candara" w:hAnsi="Candara"/>
          <w:bCs/>
          <w:sz w:val="20"/>
          <w:szCs w:val="20"/>
        </w:rPr>
        <w:t xml:space="preserve">, all </w:t>
      </w:r>
      <w:r w:rsidRPr="00991555">
        <w:rPr>
          <w:rFonts w:ascii="Candara" w:hAnsi="Candara"/>
          <w:bCs/>
          <w:sz w:val="20"/>
          <w:szCs w:val="20"/>
        </w:rPr>
        <w:t xml:space="preserve">d-dimer </w:t>
      </w:r>
      <w:r w:rsidR="0019184A">
        <w:rPr>
          <w:rFonts w:ascii="Candara" w:hAnsi="Candara"/>
          <w:bCs/>
          <w:sz w:val="20"/>
          <w:szCs w:val="20"/>
        </w:rPr>
        <w:t>level</w:t>
      </w:r>
      <w:r w:rsidR="008A5865">
        <w:rPr>
          <w:rFonts w:ascii="Candara" w:hAnsi="Candara"/>
          <w:bCs/>
          <w:sz w:val="20"/>
          <w:szCs w:val="20"/>
        </w:rPr>
        <w:t>s</w:t>
      </w:r>
      <w:r w:rsidR="0019184A">
        <w:rPr>
          <w:rFonts w:ascii="Candara" w:hAnsi="Candara"/>
          <w:bCs/>
          <w:sz w:val="20"/>
          <w:szCs w:val="20"/>
        </w:rPr>
        <w:t xml:space="preserve"> </w:t>
      </w:r>
      <w:r w:rsidRPr="00991555">
        <w:rPr>
          <w:rFonts w:ascii="Candara" w:hAnsi="Candara"/>
          <w:bCs/>
          <w:sz w:val="20"/>
          <w:szCs w:val="20"/>
        </w:rPr>
        <w:t xml:space="preserve">gradually </w:t>
      </w:r>
      <w:r w:rsidR="009E0050">
        <w:rPr>
          <w:rFonts w:ascii="Candara" w:hAnsi="Candara"/>
          <w:bCs/>
          <w:sz w:val="20"/>
          <w:szCs w:val="20"/>
        </w:rPr>
        <w:t xml:space="preserve">became </w:t>
      </w:r>
      <w:r w:rsidRPr="00991555">
        <w:rPr>
          <w:rFonts w:ascii="Candara" w:hAnsi="Candara"/>
          <w:bCs/>
          <w:sz w:val="20"/>
          <w:szCs w:val="20"/>
        </w:rPr>
        <w:t>normal and experienced clinical improvement without any complication happen</w:t>
      </w:r>
      <w:r w:rsidR="009E0050">
        <w:rPr>
          <w:rFonts w:ascii="Candara" w:hAnsi="Candara"/>
          <w:bCs/>
          <w:sz w:val="20"/>
          <w:szCs w:val="20"/>
        </w:rPr>
        <w:t>ed</w:t>
      </w:r>
      <w:r w:rsidR="00E30904">
        <w:rPr>
          <w:rFonts w:ascii="Candara" w:hAnsi="Candara"/>
          <w:bCs/>
          <w:sz w:val="20"/>
          <w:szCs w:val="20"/>
          <w:lang w:val="id-ID"/>
        </w:rPr>
        <w:t>.</w:t>
      </w:r>
    </w:p>
    <w:p w14:paraId="60A5D69B" w14:textId="77777777" w:rsidR="00392050" w:rsidRDefault="00392050" w:rsidP="007D584A">
      <w:pPr>
        <w:jc w:val="both"/>
        <w:rPr>
          <w:rFonts w:ascii="Candara" w:hAnsi="Candara" w:cs="Times New Roman"/>
          <w:sz w:val="20"/>
          <w:szCs w:val="20"/>
        </w:rPr>
      </w:pPr>
    </w:p>
    <w:p w14:paraId="25DF41E4" w14:textId="77777777" w:rsidR="00077860" w:rsidRPr="007D584A" w:rsidRDefault="00077860" w:rsidP="007D584A">
      <w:pPr>
        <w:jc w:val="both"/>
        <w:rPr>
          <w:rFonts w:ascii="Candara" w:hAnsi="Candara" w:cs="Times New Roman"/>
          <w:sz w:val="20"/>
          <w:szCs w:val="20"/>
        </w:rPr>
      </w:pPr>
    </w:p>
    <w:p w14:paraId="5526D78B" w14:textId="77777777" w:rsidR="000627C4" w:rsidRDefault="000627C4" w:rsidP="007058FC">
      <w:pPr>
        <w:jc w:val="both"/>
        <w:rPr>
          <w:rFonts w:ascii="Candara" w:hAnsi="Candara" w:cs="Times New Roman"/>
          <w:b/>
          <w:sz w:val="20"/>
          <w:szCs w:val="20"/>
        </w:rPr>
      </w:pPr>
      <w:r>
        <w:rPr>
          <w:rFonts w:ascii="Candara" w:hAnsi="Candara" w:cs="Times New Roman"/>
          <w:b/>
          <w:sz w:val="20"/>
          <w:szCs w:val="20"/>
        </w:rPr>
        <w:t>CONFLICT OF INTEREST</w:t>
      </w:r>
    </w:p>
    <w:p w14:paraId="4E27C42A" w14:textId="77777777" w:rsidR="00C973BB" w:rsidRDefault="00C973BB" w:rsidP="00C973BB">
      <w:pPr>
        <w:ind w:firstLine="426"/>
        <w:jc w:val="both"/>
        <w:rPr>
          <w:rFonts w:ascii="Candara" w:hAnsi="Candara" w:cs="Times New Roman"/>
          <w:sz w:val="20"/>
          <w:szCs w:val="20"/>
        </w:rPr>
      </w:pPr>
    </w:p>
    <w:p w14:paraId="0DF5FFBA" w14:textId="3070B993" w:rsidR="009E0050" w:rsidRDefault="00DE5F15" w:rsidP="007058FC">
      <w:pPr>
        <w:jc w:val="both"/>
        <w:rPr>
          <w:rFonts w:ascii="Candara" w:hAnsi="Candara" w:cs="Times New Roman"/>
          <w:b/>
          <w:sz w:val="20"/>
          <w:szCs w:val="20"/>
        </w:rPr>
      </w:pPr>
      <w:r w:rsidRPr="00DE5F15">
        <w:rPr>
          <w:rFonts w:ascii="Candara" w:hAnsi="Candara" w:cs="Times New Roman"/>
          <w:sz w:val="20"/>
          <w:szCs w:val="20"/>
        </w:rPr>
        <w:t>There are no conflicts of interest declared by either of the contributors.</w:t>
      </w:r>
    </w:p>
    <w:p w14:paraId="00EF7CF5" w14:textId="77777777" w:rsidR="00077860" w:rsidRDefault="00077860" w:rsidP="007058FC">
      <w:pPr>
        <w:jc w:val="both"/>
        <w:rPr>
          <w:rFonts w:ascii="Candara" w:hAnsi="Candara" w:cs="Times New Roman"/>
          <w:b/>
          <w:sz w:val="20"/>
          <w:szCs w:val="20"/>
        </w:rPr>
      </w:pPr>
    </w:p>
    <w:p w14:paraId="3422EDAD" w14:textId="77777777" w:rsidR="00566BB8" w:rsidRDefault="00566BB8" w:rsidP="007058FC">
      <w:pPr>
        <w:jc w:val="both"/>
        <w:rPr>
          <w:rFonts w:ascii="Candara" w:hAnsi="Candara" w:cs="Times New Roman"/>
          <w:b/>
          <w:sz w:val="20"/>
          <w:szCs w:val="20"/>
        </w:rPr>
      </w:pPr>
    </w:p>
    <w:p w14:paraId="3B04D533" w14:textId="6F8C0AB3" w:rsidR="00DE5F15" w:rsidRDefault="00DE5F15">
      <w:pPr>
        <w:rPr>
          <w:rFonts w:ascii="Candara" w:hAnsi="Candara" w:cs="Times New Roman"/>
          <w:b/>
          <w:sz w:val="20"/>
          <w:szCs w:val="20"/>
        </w:rPr>
      </w:pPr>
      <w:r>
        <w:rPr>
          <w:rFonts w:ascii="Candara" w:hAnsi="Candara" w:cs="Times New Roman"/>
          <w:b/>
          <w:sz w:val="20"/>
          <w:szCs w:val="20"/>
        </w:rPr>
        <w:br w:type="page"/>
      </w:r>
    </w:p>
    <w:p w14:paraId="088FBC4B" w14:textId="77777777" w:rsidR="007058FC" w:rsidRPr="007058FC" w:rsidRDefault="007058FC" w:rsidP="007058FC">
      <w:pPr>
        <w:jc w:val="both"/>
        <w:rPr>
          <w:rFonts w:ascii="Candara" w:hAnsi="Candara" w:cs="Times New Roman"/>
          <w:b/>
          <w:sz w:val="20"/>
          <w:szCs w:val="20"/>
        </w:rPr>
      </w:pPr>
      <w:r w:rsidRPr="007058FC">
        <w:rPr>
          <w:rFonts w:ascii="Candara" w:hAnsi="Candara" w:cs="Times New Roman"/>
          <w:b/>
          <w:sz w:val="20"/>
          <w:szCs w:val="20"/>
        </w:rPr>
        <w:lastRenderedPageBreak/>
        <w:t xml:space="preserve">REFERENCES </w:t>
      </w:r>
    </w:p>
    <w:p w14:paraId="0D373B74" w14:textId="77777777" w:rsidR="007D584A" w:rsidRPr="007D584A" w:rsidRDefault="007D584A" w:rsidP="007D584A">
      <w:pPr>
        <w:jc w:val="both"/>
        <w:rPr>
          <w:rFonts w:ascii="Candara" w:hAnsi="Candara" w:cs="Times New Roman"/>
          <w:sz w:val="20"/>
          <w:szCs w:val="20"/>
        </w:rPr>
      </w:pPr>
    </w:p>
    <w:p w14:paraId="4D715485" w14:textId="403EE62D" w:rsidR="00077860" w:rsidRPr="00077860" w:rsidRDefault="00991555" w:rsidP="00077860">
      <w:pPr>
        <w:widowControl w:val="0"/>
        <w:autoSpaceDE w:val="0"/>
        <w:autoSpaceDN w:val="0"/>
        <w:adjustRightInd w:val="0"/>
        <w:ind w:left="640" w:hanging="640"/>
        <w:rPr>
          <w:rFonts w:ascii="Goudy Old Style" w:hAnsi="Goudy Old Style" w:cs="Times New Roman"/>
          <w:noProof/>
          <w:sz w:val="20"/>
        </w:rPr>
      </w:pPr>
      <w:r>
        <w:rPr>
          <w:rFonts w:ascii="Goudy Old Style" w:hAnsi="Goudy Old Style"/>
          <w:sz w:val="20"/>
          <w:szCs w:val="20"/>
          <w:lang w:val="en-ID"/>
        </w:rPr>
        <w:fldChar w:fldCharType="begin" w:fldLock="1"/>
      </w:r>
      <w:r>
        <w:rPr>
          <w:rFonts w:ascii="Goudy Old Style" w:hAnsi="Goudy Old Style"/>
          <w:sz w:val="20"/>
          <w:szCs w:val="20"/>
          <w:lang w:val="en-ID"/>
        </w:rPr>
        <w:instrText xml:space="preserve">ADDIN Mendeley Bibliography CSL_BIBLIOGRAPHY </w:instrText>
      </w:r>
      <w:r>
        <w:rPr>
          <w:rFonts w:ascii="Goudy Old Style" w:hAnsi="Goudy Old Style"/>
          <w:sz w:val="20"/>
          <w:szCs w:val="20"/>
          <w:lang w:val="en-ID"/>
        </w:rPr>
        <w:fldChar w:fldCharType="separate"/>
      </w:r>
      <w:r w:rsidR="00077860" w:rsidRPr="00077860">
        <w:rPr>
          <w:rFonts w:ascii="Goudy Old Style" w:hAnsi="Goudy Old Style" w:cs="Times New Roman"/>
          <w:noProof/>
          <w:sz w:val="20"/>
        </w:rPr>
        <w:t xml:space="preserve">1. </w:t>
      </w:r>
      <w:r w:rsidR="00077860" w:rsidRPr="00077860">
        <w:rPr>
          <w:rFonts w:ascii="Goudy Old Style" w:hAnsi="Goudy Old Style" w:cs="Times New Roman"/>
          <w:noProof/>
          <w:sz w:val="20"/>
        </w:rPr>
        <w:tab/>
        <w:t xml:space="preserve">Hengbo Z, Li W, Ping N. The novel coronavirus outbreak in Wuhan, China. Vol. 5, Global Health Research and Policy. Global Health Research and Policy; 2020. </w:t>
      </w:r>
    </w:p>
    <w:p w14:paraId="0FC445DD" w14:textId="617E679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 </w:t>
      </w:r>
      <w:r w:rsidRPr="00077860">
        <w:rPr>
          <w:rFonts w:ascii="Goudy Old Style" w:hAnsi="Goudy Old Style" w:cs="Times New Roman"/>
          <w:noProof/>
          <w:sz w:val="20"/>
        </w:rPr>
        <w:tab/>
        <w:t xml:space="preserve">Amir E, Fatemeh J, Neda P, Ali A. Prevalence of Underlying Diseases in Hospitalized Patients with </w:t>
      </w:r>
      <w:r w:rsidR="00E30904">
        <w:rPr>
          <w:rFonts w:ascii="Goudy Old Style" w:hAnsi="Goudy Old Style" w:cs="Times New Roman"/>
          <w:noProof/>
          <w:sz w:val="20"/>
        </w:rPr>
        <w:t>COVID-19</w:t>
      </w:r>
      <w:r w:rsidRPr="00077860">
        <w:rPr>
          <w:rFonts w:ascii="Goudy Old Style" w:hAnsi="Goudy Old Style" w:cs="Times New Roman"/>
          <w:noProof/>
          <w:sz w:val="20"/>
        </w:rPr>
        <w:t>: a Systematic Review and Meta-Analysis. Arch Acad Emerg Med [Internet]. 2020;8(1):e35–e35. Available from: http://europepmc.org/article/MED/32232218%0Ahttps://www.ncbi.nlm.nih.gov/pubmed/32232218</w:t>
      </w:r>
    </w:p>
    <w:p w14:paraId="77B8F710" w14:textId="721D5315"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 </w:t>
      </w:r>
      <w:r w:rsidRPr="00077860">
        <w:rPr>
          <w:rFonts w:ascii="Goudy Old Style" w:hAnsi="Goudy Old Style" w:cs="Times New Roman"/>
          <w:noProof/>
          <w:sz w:val="20"/>
        </w:rPr>
        <w:tab/>
        <w:t xml:space="preserve">Yi Y, Lagniton PNP, Ye S, Li E, Xu RH.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What has been learned and to be learned about the novel coronavirus disease. Int J Biol Sci. 2020;16(10):1753–66. </w:t>
      </w:r>
    </w:p>
    <w:p w14:paraId="0DEB2178" w14:textId="026DB233"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4. </w:t>
      </w:r>
      <w:r w:rsidRPr="00077860">
        <w:rPr>
          <w:rFonts w:ascii="Goudy Old Style" w:hAnsi="Goudy Old Style" w:cs="Times New Roman"/>
          <w:noProof/>
          <w:sz w:val="20"/>
        </w:rPr>
        <w:tab/>
        <w:t xml:space="preserve">Zhou F, Yu T, Du R, Fan G, Liu Y, Liu Z, et al. Clinical course and risk factors for mortality of adult inpatients with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in Wuhan, China: a retrospective cohort study. Lancet [Internet]. 2020;395(10229):1054–62. Available from: http://dx.doi.org/10.1016/S0140-6736(20)30566-3</w:t>
      </w:r>
    </w:p>
    <w:p w14:paraId="106FA76D"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5. </w:t>
      </w:r>
      <w:r w:rsidRPr="00077860">
        <w:rPr>
          <w:rFonts w:ascii="Goudy Old Style" w:hAnsi="Goudy Old Style" w:cs="Times New Roman"/>
          <w:noProof/>
          <w:sz w:val="20"/>
        </w:rPr>
        <w:tab/>
        <w:t xml:space="preserve">Guan W, Ni Z, Hu Y, Liang W, Ou C, He J, et al. Clinical Characteristics of Coronavirus Disease 2019 in China. N Engl J Med. 2020;382(18):1708–20. </w:t>
      </w:r>
    </w:p>
    <w:p w14:paraId="2676C83B" w14:textId="2ABDBE83"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6. </w:t>
      </w:r>
      <w:r w:rsidRPr="00077860">
        <w:rPr>
          <w:rFonts w:ascii="Goudy Old Style" w:hAnsi="Goudy Old Style" w:cs="Times New Roman"/>
          <w:noProof/>
          <w:sz w:val="20"/>
        </w:rPr>
        <w:tab/>
        <w:t>Klok,</w:t>
      </w:r>
      <w:r w:rsidR="008A5865">
        <w:rPr>
          <w:rFonts w:ascii="Goudy Old Style" w:hAnsi="Goudy Old Style" w:cs="Times New Roman"/>
          <w:noProof/>
          <w:sz w:val="20"/>
        </w:rPr>
        <w:t xml:space="preserve"> </w:t>
      </w:r>
      <w:r w:rsidRPr="00077860">
        <w:rPr>
          <w:rFonts w:ascii="Goudy Old Style" w:hAnsi="Goudy Old Style" w:cs="Times New Roman"/>
          <w:noProof/>
          <w:sz w:val="20"/>
        </w:rPr>
        <w:t xml:space="preserve">F.A., Kruip MJHA, Van der Meer NJM, Arbous MS, Gommers DAMPJ, Kant KM, et al. Incidence of thrombotic complications in critically ill ICU patients with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Thromb Res. 2020;191:145–147. </w:t>
      </w:r>
    </w:p>
    <w:p w14:paraId="35EC4BC9" w14:textId="2AC8D489"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7. </w:t>
      </w:r>
      <w:r w:rsidRPr="00077860">
        <w:rPr>
          <w:rFonts w:ascii="Goudy Old Style" w:hAnsi="Goudy Old Style" w:cs="Times New Roman"/>
          <w:noProof/>
          <w:sz w:val="20"/>
        </w:rPr>
        <w:tab/>
        <w:t xml:space="preserve">Llitjos JF, Leclerc M, Chochois C, Monsallier JM, Ramakers M, Auvray M, et al. High incidence of venous thromboembolic events in anticoagulated severe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patients. J Thromb Haemost. 2020;18(7):1743–6. </w:t>
      </w:r>
    </w:p>
    <w:p w14:paraId="45243B61" w14:textId="4795E39E"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8. </w:t>
      </w:r>
      <w:r w:rsidRPr="00077860">
        <w:rPr>
          <w:rFonts w:ascii="Goudy Old Style" w:hAnsi="Goudy Old Style" w:cs="Times New Roman"/>
          <w:noProof/>
          <w:sz w:val="20"/>
        </w:rPr>
        <w:tab/>
        <w:t>Vanderwerf JD, Kumar MA. Management of neurologic complications of coagulopathies [Internet]. 1st ed. Vol. 141, Handbook of Clinical Neurology. Elsevier B.V.; 2017. 743–764 p. Available from http://dx.doi.org/10.1016/B978-0-444-63599-0.00040-5</w:t>
      </w:r>
    </w:p>
    <w:p w14:paraId="1A06DE85"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9. </w:t>
      </w:r>
      <w:r w:rsidRPr="00077860">
        <w:rPr>
          <w:rFonts w:ascii="Goudy Old Style" w:hAnsi="Goudy Old Style" w:cs="Times New Roman"/>
          <w:noProof/>
          <w:sz w:val="20"/>
        </w:rPr>
        <w:tab/>
        <w:t xml:space="preserve">Suzuki K, Wada H, Imai H, Iba T, Thachil J, Toh CH. A re-evaluation of the D-dimer cut-off value for making a diagnosis according to the ISTH overt-DIC diagnostic criteria: communication from the SSC of the ISTH. J Thromb Haemost. 2018;16(7):1442–4. </w:t>
      </w:r>
    </w:p>
    <w:p w14:paraId="14934579"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10. </w:t>
      </w:r>
      <w:r w:rsidRPr="00077860">
        <w:rPr>
          <w:rFonts w:ascii="Goudy Old Style" w:hAnsi="Goudy Old Style" w:cs="Times New Roman"/>
          <w:noProof/>
          <w:sz w:val="20"/>
        </w:rPr>
        <w:tab/>
        <w:t xml:space="preserve">Iba T, Levy JH, Warkentin TE, Thachil J, van der Poll T, Levi M. Diagnosis and management of sepsis-induced coagulopathy and disseminated intravascular coagulation. J Thromb Haemost. 2019;17(11):1989–94. </w:t>
      </w:r>
    </w:p>
    <w:p w14:paraId="70DCEC6D"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11. </w:t>
      </w:r>
      <w:r w:rsidRPr="00077860">
        <w:rPr>
          <w:rFonts w:ascii="Goudy Old Style" w:hAnsi="Goudy Old Style" w:cs="Times New Roman"/>
          <w:noProof/>
          <w:sz w:val="20"/>
        </w:rPr>
        <w:tab/>
        <w:t xml:space="preserve">Toh CH, Hoots WK. The scoring system of the Scientific and Standardisation Committee on Disseminated Intravascular Coagulation of the International Society on Thrombosis and Haemostasis: A 5-year overview. J Thromb Haemost. 2007;5(3):604–6. </w:t>
      </w:r>
    </w:p>
    <w:p w14:paraId="6666F7A6"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12. </w:t>
      </w:r>
      <w:r w:rsidRPr="00077860">
        <w:rPr>
          <w:rFonts w:ascii="Goudy Old Style" w:hAnsi="Goudy Old Style" w:cs="Times New Roman"/>
          <w:noProof/>
          <w:sz w:val="20"/>
        </w:rPr>
        <w:tab/>
        <w:t xml:space="preserve">Tang N, Li D, Wang X, Sun Z. Abnormal coagulation parameters are associated with poor prognosis in patients with novel coronavirus pneumonia. J Thromb Haemost. 2020;18(4):844–7. </w:t>
      </w:r>
    </w:p>
    <w:p w14:paraId="1737846F"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13. </w:t>
      </w:r>
      <w:r w:rsidRPr="00077860">
        <w:rPr>
          <w:rFonts w:ascii="Goudy Old Style" w:hAnsi="Goudy Old Style" w:cs="Times New Roman"/>
          <w:noProof/>
          <w:sz w:val="20"/>
        </w:rPr>
        <w:tab/>
        <w:t xml:space="preserve">Tang N, Bai H, Chen X, Gong J, Li D, Sun Z. Anticoagulant treatment is associated with decreased mortality in severe coronavirus disease 2019 patients with coagulopathy. J Thromb Haemost. 2020;18(5):1094–9. </w:t>
      </w:r>
    </w:p>
    <w:p w14:paraId="47E043BB"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14. </w:t>
      </w:r>
      <w:r w:rsidRPr="00077860">
        <w:rPr>
          <w:rFonts w:ascii="Goudy Old Style" w:hAnsi="Goudy Old Style" w:cs="Times New Roman"/>
          <w:noProof/>
          <w:sz w:val="20"/>
        </w:rPr>
        <w:tab/>
        <w:t xml:space="preserve">Iba T, Levy JH, Levi M, Connors JM, Thachil J. Coagulopathy of Coronavirus Disease 2019. Crit Care Med. 2020;48(9):1358–64. </w:t>
      </w:r>
    </w:p>
    <w:p w14:paraId="019339A0"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15. </w:t>
      </w:r>
      <w:r w:rsidRPr="00077860">
        <w:rPr>
          <w:rFonts w:ascii="Goudy Old Style" w:hAnsi="Goudy Old Style" w:cs="Times New Roman"/>
          <w:noProof/>
          <w:sz w:val="20"/>
        </w:rPr>
        <w:tab/>
        <w:t>Iba T, Levy JH, Wada H, Thachil J, Warkentin TE, Levi M. Differential diagnoses for sepsis</w:t>
      </w:r>
      <w:r w:rsidRPr="00077860">
        <w:rPr>
          <w:rFonts w:ascii="Times New Roman" w:hAnsi="Times New Roman" w:cs="Times New Roman"/>
          <w:noProof/>
          <w:sz w:val="20"/>
        </w:rPr>
        <w:t>‐</w:t>
      </w:r>
      <w:r w:rsidRPr="00077860">
        <w:rPr>
          <w:rFonts w:ascii="Goudy Old Style" w:hAnsi="Goudy Old Style" w:cs="Times New Roman"/>
          <w:noProof/>
          <w:sz w:val="20"/>
        </w:rPr>
        <w:t>induced disseminated intravascular coagulation: communication from the &lt;scp&gt;SSC&lt;/scp&gt; of the &lt;scp&gt;ISTH&lt;/scp&gt;. J Thromb Haemost [Internet]. 2019 Feb 7;17(2):415–9. Available from: https://onlinelibrary.wiley.com/doi/abs/10.1111/jth.14354</w:t>
      </w:r>
    </w:p>
    <w:p w14:paraId="081656B1"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16. </w:t>
      </w:r>
      <w:r w:rsidRPr="00077860">
        <w:rPr>
          <w:rFonts w:ascii="Goudy Old Style" w:hAnsi="Goudy Old Style" w:cs="Times New Roman"/>
          <w:noProof/>
          <w:sz w:val="20"/>
        </w:rPr>
        <w:tab/>
        <w:t xml:space="preserve">Levi M, Scully M. How I treat disseminated intravascular coagulation. Blood. 2018;131(8):845–54. </w:t>
      </w:r>
    </w:p>
    <w:p w14:paraId="5C08742E"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17. </w:t>
      </w:r>
      <w:r w:rsidRPr="00077860">
        <w:rPr>
          <w:rFonts w:ascii="Goudy Old Style" w:hAnsi="Goudy Old Style" w:cs="Times New Roman"/>
          <w:noProof/>
          <w:sz w:val="20"/>
        </w:rPr>
        <w:tab/>
        <w:t>Lippi G, Bonfanti L, Saccenti C, Cervellin G. Causes of elevated D-dimer in patients admitted to a large urban emergency department. Eur J Intern Med [Internet]. 2014;25(1):45–8. Available from: http://dx.doi.org/10.1016/j.ejim.2013.07.012</w:t>
      </w:r>
    </w:p>
    <w:p w14:paraId="4B5DF0AC" w14:textId="71AC310D"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18. </w:t>
      </w:r>
      <w:r w:rsidRPr="00077860">
        <w:rPr>
          <w:rFonts w:ascii="Goudy Old Style" w:hAnsi="Goudy Old Style" w:cs="Times New Roman"/>
          <w:noProof/>
          <w:sz w:val="20"/>
        </w:rPr>
        <w:tab/>
        <w:t xml:space="preserve">Zhang L, Yan X, Fan Q, Liu H, Liu X, Liu Z, et al. D-dimer levels on admission to predict in-hospital mortality in patients with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J Thromb Haemost. 2020;18(6):1324–9. </w:t>
      </w:r>
    </w:p>
    <w:p w14:paraId="6DE6E47A"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19. </w:t>
      </w:r>
      <w:r w:rsidRPr="00077860">
        <w:rPr>
          <w:rFonts w:ascii="Goudy Old Style" w:hAnsi="Goudy Old Style" w:cs="Times New Roman"/>
          <w:noProof/>
          <w:sz w:val="20"/>
        </w:rPr>
        <w:tab/>
        <w:t xml:space="preserve">Iba T, Levy JH, Thachil J, Wada H, Levi M. The progression from coagulopathy to disseminated intravascular coagulation in representative underlying diseases. Thromb Res. 2019;179(January):11–4. </w:t>
      </w:r>
    </w:p>
    <w:p w14:paraId="4DD80F09" w14:textId="5C49F3F9"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20. </w:t>
      </w:r>
      <w:r w:rsidRPr="00077860">
        <w:rPr>
          <w:rFonts w:ascii="Goudy Old Style" w:hAnsi="Goudy Old Style" w:cs="Times New Roman"/>
          <w:noProof/>
          <w:sz w:val="20"/>
        </w:rPr>
        <w:tab/>
        <w:t>Delabranche X, Helms J, Meziani F. Immunohaemostasis: a new view on hemostasis during sepsis. Ann Intensive Care [Internet]. 2017;7(1):1–14. Available from: https://doi.org/10.1186/s13613-017-0339-5</w:t>
      </w:r>
    </w:p>
    <w:p w14:paraId="74C5A9B4" w14:textId="1351E23B"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21. </w:t>
      </w:r>
      <w:r w:rsidRPr="00077860">
        <w:rPr>
          <w:rFonts w:ascii="Goudy Old Style" w:hAnsi="Goudy Old Style" w:cs="Times New Roman"/>
          <w:noProof/>
          <w:sz w:val="20"/>
        </w:rPr>
        <w:tab/>
        <w:t xml:space="preserve">Clark C. Recommendations and Guidelines ISTH interim guidance on recognition and management of coagulopathy in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Recommendations and Guidelines. p. 0–2. </w:t>
      </w:r>
    </w:p>
    <w:p w14:paraId="5E0C4BA2" w14:textId="64C82C1A"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lastRenderedPageBreak/>
        <w:t xml:space="preserve">22. </w:t>
      </w:r>
      <w:r w:rsidRPr="00077860">
        <w:rPr>
          <w:rFonts w:ascii="Goudy Old Style" w:hAnsi="Goudy Old Style" w:cs="Times New Roman"/>
          <w:noProof/>
          <w:sz w:val="20"/>
        </w:rPr>
        <w:tab/>
        <w:t xml:space="preserve">Godino C, Scotti A, Maugeri N, Mancini N, Fominskiy E, Margonato A, et al. Antithrombotic therapy in patients with </w:t>
      </w:r>
      <w:r w:rsidR="00E30904">
        <w:rPr>
          <w:rFonts w:ascii="Goudy Old Style" w:hAnsi="Goudy Old Style" w:cs="Times New Roman"/>
          <w:noProof/>
          <w:sz w:val="20"/>
        </w:rPr>
        <w:t>COVID-19</w:t>
      </w:r>
      <w:r w:rsidRPr="00077860">
        <w:rPr>
          <w:rFonts w:ascii="Goudy Old Style" w:hAnsi="Goudy Old Style" w:cs="Times New Roman"/>
          <w:noProof/>
          <w:sz w:val="20"/>
        </w:rPr>
        <w:t>? -Rationale and Evidence-. Int J Cardiol [Internet]. 2020; Available from https://doi.org/10.1016/j.ijcard.2020.09.064</w:t>
      </w:r>
    </w:p>
    <w:p w14:paraId="18BE7FC3"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23. </w:t>
      </w:r>
      <w:r w:rsidRPr="00077860">
        <w:rPr>
          <w:rFonts w:ascii="Goudy Old Style" w:hAnsi="Goudy Old Style" w:cs="Times New Roman"/>
          <w:noProof/>
          <w:sz w:val="20"/>
        </w:rPr>
        <w:tab/>
        <w:t>Hirsh J. Low-Molecular-Weight Heparin: A Review of the Results of Recent Studies of the Treatment of Venous Thromboembolism and Unstable Angina. Circulation [Internet]. 1998 Oct 13;98(15):1575–82. Available from: https://www.ahajournals.org/doi/10.1161/01.CIR.98.15.1575</w:t>
      </w:r>
    </w:p>
    <w:p w14:paraId="5F38239F"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24. </w:t>
      </w:r>
      <w:r w:rsidRPr="00077860">
        <w:rPr>
          <w:rFonts w:ascii="Goudy Old Style" w:hAnsi="Goudy Old Style" w:cs="Times New Roman"/>
          <w:noProof/>
          <w:sz w:val="20"/>
        </w:rPr>
        <w:tab/>
        <w:t xml:space="preserve">Weitz J. Low-Molecular-Weight Heparin. N Engl J Med. 1997;688–98. </w:t>
      </w:r>
    </w:p>
    <w:p w14:paraId="07BB650E"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25. </w:t>
      </w:r>
      <w:r w:rsidRPr="00077860">
        <w:rPr>
          <w:rFonts w:ascii="Goudy Old Style" w:hAnsi="Goudy Old Style" w:cs="Times New Roman"/>
          <w:noProof/>
          <w:sz w:val="20"/>
        </w:rPr>
        <w:tab/>
        <w:t xml:space="preserve">Dong K, Song Y, Li X, Ding J, Gao Z, Lu D, et al. Pentasaccharides for the prevention of venous thromboembolism. Cochrane Database Syst Rev. 2016;2016(10). </w:t>
      </w:r>
    </w:p>
    <w:p w14:paraId="3B2078D8" w14:textId="2F6934ED"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26. </w:t>
      </w:r>
      <w:r w:rsidRPr="00077860">
        <w:rPr>
          <w:rFonts w:ascii="Goudy Old Style" w:hAnsi="Goudy Old Style" w:cs="Times New Roman"/>
          <w:noProof/>
          <w:sz w:val="20"/>
        </w:rPr>
        <w:tab/>
        <w:t xml:space="preserve">Thachil J, Tang N, Gando S, Falanga A, Cattaneo M, Levi M, et al. ISTH interim guidance on recognition and management of coagulopathy in </w:t>
      </w:r>
      <w:r w:rsidR="00E30904">
        <w:rPr>
          <w:rFonts w:ascii="Goudy Old Style" w:hAnsi="Goudy Old Style" w:cs="Times New Roman"/>
          <w:noProof/>
          <w:sz w:val="20"/>
        </w:rPr>
        <w:t>COVID-19</w:t>
      </w:r>
      <w:r w:rsidRPr="00077860">
        <w:rPr>
          <w:rFonts w:ascii="Goudy Old Style" w:hAnsi="Goudy Old Style" w:cs="Times New Roman"/>
          <w:noProof/>
          <w:sz w:val="20"/>
        </w:rPr>
        <w:t xml:space="preserve">. J Thromb Haemost. 2020;18(5):1023–6. </w:t>
      </w:r>
    </w:p>
    <w:p w14:paraId="67C8B721"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27. </w:t>
      </w:r>
      <w:r w:rsidRPr="00077860">
        <w:rPr>
          <w:rFonts w:ascii="Goudy Old Style" w:hAnsi="Goudy Old Style" w:cs="Times New Roman"/>
          <w:noProof/>
          <w:sz w:val="20"/>
        </w:rPr>
        <w:tab/>
        <w:t xml:space="preserve">Lazrak HH, René É, Elftouh N, Leblanc M, Lafrance JP. Safety of low-molecular-weight heparin compared to unfractionated heparin in hemodialysis: a systematic review and meta-analysis. BMC Nephrol. 2017;18(1):1–12. </w:t>
      </w:r>
    </w:p>
    <w:p w14:paraId="1A2663D4"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28. </w:t>
      </w:r>
      <w:r w:rsidRPr="00077860">
        <w:rPr>
          <w:rFonts w:ascii="Goudy Old Style" w:hAnsi="Goudy Old Style" w:cs="Times New Roman"/>
          <w:noProof/>
          <w:sz w:val="20"/>
        </w:rPr>
        <w:tab/>
        <w:t xml:space="preserve">Stein PD, Kayali F, Olson RE, Milford CE. Pulmonary thromboembolism in Asians/Pacific Islanders in the United States: Analysis of data from the National Hospital Discharge Survey and the United States Bureau of the Census. Am J Med. 2004;116(7):435–42. </w:t>
      </w:r>
    </w:p>
    <w:p w14:paraId="4DD072A3"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29. </w:t>
      </w:r>
      <w:r w:rsidRPr="00077860">
        <w:rPr>
          <w:rFonts w:ascii="Goudy Old Style" w:hAnsi="Goudy Old Style" w:cs="Times New Roman"/>
          <w:noProof/>
          <w:sz w:val="20"/>
        </w:rPr>
        <w:tab/>
        <w:t xml:space="preserve">Zakai NA, Mcclure LA. Racial differences in venous thromboembolism. J Thromb Haemost. 2011;9(10):1877–82. </w:t>
      </w:r>
    </w:p>
    <w:p w14:paraId="50CAC103"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30. </w:t>
      </w:r>
      <w:r w:rsidRPr="00077860">
        <w:rPr>
          <w:rFonts w:ascii="Goudy Old Style" w:hAnsi="Goudy Old Style" w:cs="Times New Roman"/>
          <w:noProof/>
          <w:sz w:val="20"/>
        </w:rPr>
        <w:tab/>
        <w:t xml:space="preserve">Aikawa N, Shimazaki S, Yamamoto Y, Saito H, Maruyama I, Ohno R, et al. Thrombomodulin alfa in the treatment of infectious patients complicated by disseminated intravascular coagulation: Subanalysis from the phase 3 trial. Shock. 2011;35(4):349–54. </w:t>
      </w:r>
    </w:p>
    <w:p w14:paraId="0D5B7C37" w14:textId="497488BF"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31. </w:t>
      </w:r>
      <w:r w:rsidRPr="00077860">
        <w:rPr>
          <w:rFonts w:ascii="Goudy Old Style" w:hAnsi="Goudy Old Style" w:cs="Times New Roman"/>
          <w:noProof/>
          <w:sz w:val="20"/>
        </w:rPr>
        <w:tab/>
        <w:t xml:space="preserve">Liu XL, Wang XZ, Liu XX, Hao D, Jaladat Y, Lu F, et al. Low-dose heparin as </w:t>
      </w:r>
      <w:r w:rsidR="008A5865">
        <w:rPr>
          <w:rFonts w:ascii="Goudy Old Style" w:hAnsi="Goudy Old Style" w:cs="Times New Roman"/>
          <w:noProof/>
          <w:sz w:val="20"/>
        </w:rPr>
        <w:t xml:space="preserve">a </w:t>
      </w:r>
      <w:r w:rsidRPr="00077860">
        <w:rPr>
          <w:rFonts w:ascii="Goudy Old Style" w:hAnsi="Goudy Old Style" w:cs="Times New Roman"/>
          <w:noProof/>
          <w:sz w:val="20"/>
        </w:rPr>
        <w:t xml:space="preserve">treatment for early disseminated intravascular coagulation during sepsis: A prospective clinical study. Exp Ther Med. 2014;7(3):604–8. </w:t>
      </w:r>
    </w:p>
    <w:p w14:paraId="09B90195"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32. </w:t>
      </w:r>
      <w:r w:rsidRPr="00077860">
        <w:rPr>
          <w:rFonts w:ascii="Goudy Old Style" w:hAnsi="Goudy Old Style" w:cs="Times New Roman"/>
          <w:noProof/>
          <w:sz w:val="20"/>
        </w:rPr>
        <w:tab/>
        <w:t xml:space="preserve">Iba T, Di Nisio M, Levy JH, Kitamura N, Thachil J. New criteria for sepsis-induced coagulopathy (SIC) following the revised sepsis definition: A retrospective analysis of a nationwide survey. BMJ Open. 2017;7(9):1–7. </w:t>
      </w:r>
    </w:p>
    <w:p w14:paraId="197E5C11" w14:textId="77777777"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33. </w:t>
      </w:r>
      <w:r w:rsidRPr="00077860">
        <w:rPr>
          <w:rFonts w:ascii="Goudy Old Style" w:hAnsi="Goudy Old Style" w:cs="Times New Roman"/>
          <w:noProof/>
          <w:sz w:val="20"/>
        </w:rPr>
        <w:tab/>
        <w:t>Mahesh K, L.F. M. Complications of Anticoagulation with Heparin. 2011;13(7):494–8. Available from: http://journalofethics.ama-assn.org/2012/09/pdf/stas1-1209.pdf</w:t>
      </w:r>
    </w:p>
    <w:p w14:paraId="1F9EAEBA" w14:textId="501427F2" w:rsidR="00077860" w:rsidRPr="00077860" w:rsidRDefault="00077860" w:rsidP="00077860">
      <w:pPr>
        <w:widowControl w:val="0"/>
        <w:autoSpaceDE w:val="0"/>
        <w:autoSpaceDN w:val="0"/>
        <w:adjustRightInd w:val="0"/>
        <w:ind w:left="640" w:hanging="640"/>
        <w:rPr>
          <w:rFonts w:ascii="Goudy Old Style" w:hAnsi="Goudy Old Style" w:cs="Times New Roman"/>
          <w:noProof/>
          <w:sz w:val="20"/>
        </w:rPr>
      </w:pPr>
      <w:r w:rsidRPr="00077860">
        <w:rPr>
          <w:rFonts w:ascii="Goudy Old Style" w:hAnsi="Goudy Old Style" w:cs="Times New Roman"/>
          <w:noProof/>
          <w:sz w:val="20"/>
        </w:rPr>
        <w:t xml:space="preserve">34. </w:t>
      </w:r>
      <w:r w:rsidRPr="00077860">
        <w:rPr>
          <w:rFonts w:ascii="Goudy Old Style" w:hAnsi="Goudy Old Style" w:cs="Times New Roman"/>
          <w:noProof/>
          <w:sz w:val="20"/>
        </w:rPr>
        <w:tab/>
        <w:t xml:space="preserve">Warkentin TE, Greinacher A. Heparin-induced thrombocytopenia: </w:t>
      </w:r>
      <w:r w:rsidR="008A5865">
        <w:rPr>
          <w:rFonts w:ascii="Goudy Old Style" w:hAnsi="Goudy Old Style" w:cs="Times New Roman"/>
          <w:noProof/>
          <w:sz w:val="20"/>
        </w:rPr>
        <w:t>r</w:t>
      </w:r>
      <w:r w:rsidRPr="00077860">
        <w:rPr>
          <w:rFonts w:ascii="Goudy Old Style" w:hAnsi="Goudy Old Style" w:cs="Times New Roman"/>
          <w:noProof/>
          <w:sz w:val="20"/>
        </w:rPr>
        <w:t>ecognition, treatment, and prevention - The Seventh ACCP Conference on Antithrombotic and Thrombolytic Therapy. Chest [Internet]. 2004;126(3 SUPPL.):311S-337S. Available from: http://dx.doi.org/10.1378/chest.126.3_suppl.311S</w:t>
      </w:r>
    </w:p>
    <w:p w14:paraId="25A1D20A" w14:textId="77777777" w:rsidR="00077860" w:rsidRPr="00077860" w:rsidRDefault="00077860" w:rsidP="00077860">
      <w:pPr>
        <w:widowControl w:val="0"/>
        <w:autoSpaceDE w:val="0"/>
        <w:autoSpaceDN w:val="0"/>
        <w:adjustRightInd w:val="0"/>
        <w:ind w:left="640" w:hanging="640"/>
        <w:rPr>
          <w:rFonts w:ascii="Goudy Old Style" w:hAnsi="Goudy Old Style"/>
          <w:noProof/>
          <w:sz w:val="20"/>
        </w:rPr>
      </w:pPr>
      <w:r w:rsidRPr="00077860">
        <w:rPr>
          <w:rFonts w:ascii="Goudy Old Style" w:hAnsi="Goudy Old Style" w:cs="Times New Roman"/>
          <w:noProof/>
          <w:sz w:val="20"/>
        </w:rPr>
        <w:t xml:space="preserve">35. </w:t>
      </w:r>
      <w:r w:rsidRPr="00077860">
        <w:rPr>
          <w:rFonts w:ascii="Goudy Old Style" w:hAnsi="Goudy Old Style" w:cs="Times New Roman"/>
          <w:noProof/>
          <w:sz w:val="20"/>
        </w:rPr>
        <w:tab/>
        <w:t xml:space="preserve">Rice L. Heparin-induced thrombocytopenia: myths and misconceptions (that will cause trouble for you and your patient). Arch Intern Med. 2004;164(18):1961–4. </w:t>
      </w:r>
    </w:p>
    <w:p w14:paraId="31902165" w14:textId="77777777" w:rsidR="00483420" w:rsidRDefault="00991555" w:rsidP="00991555">
      <w:pPr>
        <w:jc w:val="both"/>
        <w:rPr>
          <w:rFonts w:ascii="Goudy Old Style" w:hAnsi="Goudy Old Style"/>
          <w:sz w:val="20"/>
          <w:szCs w:val="20"/>
          <w:lang w:val="en-ID"/>
        </w:rPr>
      </w:pPr>
      <w:r>
        <w:rPr>
          <w:rFonts w:ascii="Goudy Old Style" w:hAnsi="Goudy Old Style"/>
          <w:sz w:val="20"/>
          <w:szCs w:val="20"/>
          <w:lang w:val="en-ID"/>
        </w:rPr>
        <w:fldChar w:fldCharType="end"/>
      </w:r>
    </w:p>
    <w:p w14:paraId="015DE9BA" w14:textId="77777777" w:rsidR="00483420" w:rsidRPr="00392050" w:rsidRDefault="00483420" w:rsidP="00483420">
      <w:pPr>
        <w:ind w:firstLine="426"/>
        <w:jc w:val="both"/>
        <w:rPr>
          <w:rFonts w:ascii="Candara" w:hAnsi="Candara"/>
          <w:sz w:val="20"/>
          <w:szCs w:val="20"/>
        </w:rPr>
      </w:pPr>
    </w:p>
    <w:sectPr w:rsidR="00483420" w:rsidRPr="00392050" w:rsidSect="00392050">
      <w:type w:val="continuous"/>
      <w:pgSz w:w="11907" w:h="16840" w:code="9"/>
      <w:pgMar w:top="1418" w:right="1418" w:bottom="1418" w:left="1418" w:header="1531" w:footer="56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DACC2" w14:textId="77777777" w:rsidR="00DA68FA" w:rsidRDefault="00DA68FA" w:rsidP="00E43628">
      <w:r>
        <w:separator/>
      </w:r>
    </w:p>
  </w:endnote>
  <w:endnote w:type="continuationSeparator" w:id="0">
    <w:p w14:paraId="4AC3F303" w14:textId="77777777" w:rsidR="00DA68FA" w:rsidRDefault="00DA68FA" w:rsidP="00E4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BatangChe">
    <w:altName w:val="Arial Unicode MS"/>
    <w:charset w:val="81"/>
    <w:family w:val="modern"/>
    <w:pitch w:val="fixed"/>
    <w:sig w:usb0="00000000"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Aparajita">
    <w:altName w:val="Arial"/>
    <w:charset w:val="00"/>
    <w:family w:val="roman"/>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C2D5" w14:textId="77777777" w:rsidR="00566BB8" w:rsidRPr="002A0B91" w:rsidRDefault="00566BB8" w:rsidP="002A0B91">
    <w:pPr>
      <w:pStyle w:val="Footer"/>
      <w:tabs>
        <w:tab w:val="left" w:pos="1985"/>
      </w:tabs>
      <w:rPr>
        <w:rFonts w:ascii="Bookman Old Style" w:hAnsi="Bookman Old Style"/>
        <w:sz w:val="28"/>
        <w:szCs w:val="28"/>
      </w:rPr>
    </w:pPr>
    <w:r w:rsidRPr="002A0B91">
      <w:rPr>
        <w:rFonts w:ascii="Bookman Old Style" w:hAnsi="Bookman Old Style"/>
        <w:sz w:val="28"/>
        <w:szCs w:val="28"/>
      </w:rPr>
      <w:fldChar w:fldCharType="begin"/>
    </w:r>
    <w:r w:rsidRPr="00CD7C18">
      <w:rPr>
        <w:rFonts w:ascii="Bookman Old Style" w:hAnsi="Bookman Old Style"/>
        <w:sz w:val="28"/>
        <w:szCs w:val="28"/>
      </w:rPr>
      <w:instrText xml:space="preserve"> PAGE   \* MERGEFORMAT </w:instrText>
    </w:r>
    <w:r w:rsidRPr="002A0B91">
      <w:rPr>
        <w:rFonts w:ascii="Bookman Old Style" w:hAnsi="Bookman Old Style"/>
        <w:sz w:val="28"/>
        <w:szCs w:val="28"/>
      </w:rPr>
      <w:fldChar w:fldCharType="separate"/>
    </w:r>
    <w:r w:rsidR="00063EC9">
      <w:rPr>
        <w:rFonts w:ascii="Bookman Old Style" w:hAnsi="Bookman Old Style"/>
        <w:noProof/>
        <w:sz w:val="28"/>
        <w:szCs w:val="28"/>
      </w:rPr>
      <w:t>46</w:t>
    </w:r>
    <w:r w:rsidRPr="002A0B91">
      <w:rPr>
        <w:rFonts w:ascii="Bookman Old Style" w:hAnsi="Bookman Old Style"/>
        <w:noProof/>
        <w:sz w:val="28"/>
        <w:szCs w:val="28"/>
      </w:rPr>
      <w:fldChar w:fldCharType="end"/>
    </w:r>
    <w:r>
      <w:rPr>
        <w:rFonts w:ascii="Bookman Old Style" w:hAnsi="Bookman Old Style"/>
        <w:noProof/>
        <w:sz w:val="28"/>
        <w:szCs w:val="28"/>
      </w:rPr>
      <w:t xml:space="preserve"> | </w:t>
    </w:r>
  </w:p>
  <w:p w14:paraId="4A1F6F3F" w14:textId="77777777" w:rsidR="00566BB8" w:rsidRDefault="00566B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ABC1" w14:textId="77777777" w:rsidR="00566BB8" w:rsidRPr="00164D29" w:rsidRDefault="00566BB8">
    <w:pPr>
      <w:pStyle w:val="Footer"/>
      <w:jc w:val="right"/>
      <w:rPr>
        <w:rFonts w:ascii="Bookman Old Style" w:hAnsi="Bookman Old Style"/>
        <w:sz w:val="28"/>
        <w:szCs w:val="28"/>
      </w:rPr>
    </w:pPr>
    <w:r w:rsidRPr="00164D29">
      <w:rPr>
        <w:rFonts w:ascii="Bookman Old Style" w:hAnsi="Bookman Old Style"/>
        <w:sz w:val="28"/>
        <w:szCs w:val="28"/>
      </w:rPr>
      <w:t xml:space="preserve">| </w:t>
    </w:r>
    <w:r w:rsidRPr="00164D29">
      <w:rPr>
        <w:rFonts w:ascii="Bookman Old Style" w:hAnsi="Bookman Old Style"/>
        <w:sz w:val="28"/>
        <w:szCs w:val="28"/>
      </w:rPr>
      <w:fldChar w:fldCharType="begin"/>
    </w:r>
    <w:r w:rsidRPr="00164D29">
      <w:rPr>
        <w:rFonts w:ascii="Bookman Old Style" w:hAnsi="Bookman Old Style"/>
        <w:sz w:val="28"/>
        <w:szCs w:val="28"/>
      </w:rPr>
      <w:instrText xml:space="preserve"> PAGE   \* MERGEFORMAT </w:instrText>
    </w:r>
    <w:r w:rsidRPr="00164D29">
      <w:rPr>
        <w:rFonts w:ascii="Bookman Old Style" w:hAnsi="Bookman Old Style"/>
        <w:sz w:val="28"/>
        <w:szCs w:val="28"/>
      </w:rPr>
      <w:fldChar w:fldCharType="separate"/>
    </w:r>
    <w:r w:rsidR="00063EC9">
      <w:rPr>
        <w:rFonts w:ascii="Bookman Old Style" w:hAnsi="Bookman Old Style"/>
        <w:noProof/>
        <w:sz w:val="28"/>
        <w:szCs w:val="28"/>
      </w:rPr>
      <w:t>47</w:t>
    </w:r>
    <w:r w:rsidRPr="00164D29">
      <w:rPr>
        <w:rFonts w:ascii="Bookman Old Style" w:hAnsi="Bookman Old Style"/>
        <w:sz w:val="28"/>
        <w:szCs w:val="28"/>
      </w:rPr>
      <w:fldChar w:fldCharType="end"/>
    </w:r>
  </w:p>
  <w:p w14:paraId="2F6A09AB" w14:textId="77777777" w:rsidR="00566BB8" w:rsidRDefault="00566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F414" w14:textId="77777777" w:rsidR="00DA68FA" w:rsidRDefault="00DA68FA" w:rsidP="00E43628">
      <w:r>
        <w:separator/>
      </w:r>
    </w:p>
  </w:footnote>
  <w:footnote w:type="continuationSeparator" w:id="0">
    <w:p w14:paraId="53C42A6F" w14:textId="77777777" w:rsidR="00DA68FA" w:rsidRDefault="00DA68FA" w:rsidP="00E4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9567D" w14:textId="77777777" w:rsidR="00566BB8" w:rsidRPr="0036634B" w:rsidRDefault="00566BB8" w:rsidP="007F06F4">
    <w:pPr>
      <w:pStyle w:val="Header"/>
      <w:rPr>
        <w:rFonts w:ascii="Arial" w:hAnsi="Arial"/>
        <w:b/>
        <w:bCs/>
        <w:sz w:val="18"/>
        <w:szCs w:val="18"/>
      </w:rPr>
    </w:pPr>
    <w:r>
      <w:rPr>
        <w:rFonts w:ascii="Candara" w:hAnsi="Candara"/>
        <w:noProof/>
        <w:sz w:val="20"/>
        <w:szCs w:val="20"/>
      </w:rPr>
      <mc:AlternateContent>
        <mc:Choice Requires="wps">
          <w:drawing>
            <wp:anchor distT="0" distB="0" distL="114300" distR="114300" simplePos="0" relativeHeight="251658240" behindDoc="0" locked="0" layoutInCell="1" allowOverlap="1" wp14:anchorId="6191419C" wp14:editId="1C8EF0EA">
              <wp:simplePos x="0" y="0"/>
              <wp:positionH relativeFrom="column">
                <wp:posOffset>4576445</wp:posOffset>
              </wp:positionH>
              <wp:positionV relativeFrom="paragraph">
                <wp:posOffset>-514985</wp:posOffset>
              </wp:positionV>
              <wp:extent cx="1268730" cy="426085"/>
              <wp:effectExtent l="0" t="0" r="762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42608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05CFDE6" w14:textId="77777777" w:rsidR="00566BB8" w:rsidRPr="0036634B" w:rsidRDefault="00566BB8" w:rsidP="004364BA">
                          <w:pPr>
                            <w:jc w:val="right"/>
                            <w:rPr>
                              <w:b/>
                              <w:bCs/>
                              <w:color w:val="7F7F7F"/>
                              <w:sz w:val="22"/>
                              <w:szCs w:val="22"/>
                            </w:rPr>
                          </w:pPr>
                          <w:r>
                            <w:rPr>
                              <w:b/>
                              <w:bCs/>
                              <w:color w:val="7F7F7F"/>
                              <w:sz w:val="22"/>
                              <w:szCs w:val="22"/>
                            </w:rPr>
                            <w:t>Vol xx</w:t>
                          </w:r>
                          <w:r w:rsidRPr="0036634B">
                            <w:rPr>
                              <w:b/>
                              <w:bCs/>
                              <w:color w:val="7F7F7F"/>
                              <w:sz w:val="22"/>
                              <w:szCs w:val="22"/>
                            </w:rPr>
                            <w:t xml:space="preserve"> No </w:t>
                          </w:r>
                          <w:r>
                            <w:rPr>
                              <w:b/>
                              <w:bCs/>
                              <w:color w:val="7F7F7F"/>
                              <w:sz w:val="22"/>
                              <w:szCs w:val="22"/>
                            </w:rPr>
                            <w:t>x</w:t>
                          </w:r>
                        </w:p>
                        <w:p w14:paraId="2A8527BD" w14:textId="77777777" w:rsidR="00566BB8" w:rsidRPr="0036634B" w:rsidRDefault="00566BB8" w:rsidP="004364BA">
                          <w:pPr>
                            <w:jc w:val="right"/>
                            <w:rPr>
                              <w:b/>
                              <w:bCs/>
                              <w:color w:val="7F7F7F"/>
                              <w:sz w:val="22"/>
                              <w:szCs w:val="22"/>
                            </w:rPr>
                          </w:pPr>
                          <w:r>
                            <w:rPr>
                              <w:b/>
                              <w:bCs/>
                              <w:color w:val="7F7F7F"/>
                              <w:sz w:val="22"/>
                              <w:szCs w:val="22"/>
                            </w:rPr>
                            <w:t xml:space="preserve">January/July Year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191419C" id="Rectangle 12" o:spid="_x0000_s1026" style="position:absolute;margin-left:360.35pt;margin-top:-40.55pt;width:99.9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" stroked="f" strokeweight="2pt">
              <v:textbox>
                <w:txbxContent>
                  <w:p w14:paraId="205CFDE6" w14:textId="77777777" w:rsidR="00566BB8" w:rsidRPr="0036634B" w:rsidRDefault="00566BB8" w:rsidP="004364BA">
                    <w:pPr>
                      <w:jc w:val="right"/>
                      <w:rPr>
                        <w:b/>
                        <w:bCs/>
                        <w:color w:val="7F7F7F"/>
                        <w:sz w:val="22"/>
                        <w:szCs w:val="22"/>
                      </w:rPr>
                    </w:pPr>
                    <w:r>
                      <w:rPr>
                        <w:b/>
                        <w:bCs/>
                        <w:color w:val="7F7F7F"/>
                        <w:sz w:val="22"/>
                        <w:szCs w:val="22"/>
                      </w:rPr>
                      <w:t>Vol xx</w:t>
                    </w:r>
                    <w:r w:rsidRPr="0036634B">
                      <w:rPr>
                        <w:b/>
                        <w:bCs/>
                        <w:color w:val="7F7F7F"/>
                        <w:sz w:val="22"/>
                        <w:szCs w:val="22"/>
                      </w:rPr>
                      <w:t xml:space="preserve"> No </w:t>
                    </w:r>
                    <w:r>
                      <w:rPr>
                        <w:b/>
                        <w:bCs/>
                        <w:color w:val="7F7F7F"/>
                        <w:sz w:val="22"/>
                        <w:szCs w:val="22"/>
                      </w:rPr>
                      <w:t>x</w:t>
                    </w:r>
                  </w:p>
                  <w:p w14:paraId="2A8527BD" w14:textId="77777777" w:rsidR="00566BB8" w:rsidRPr="0036634B" w:rsidRDefault="00566BB8" w:rsidP="004364BA">
                    <w:pPr>
                      <w:jc w:val="right"/>
                      <w:rPr>
                        <w:b/>
                        <w:bCs/>
                        <w:color w:val="7F7F7F"/>
                        <w:sz w:val="22"/>
                        <w:szCs w:val="22"/>
                      </w:rPr>
                    </w:pPr>
                    <w:r>
                      <w:rPr>
                        <w:b/>
                        <w:bCs/>
                        <w:color w:val="7F7F7F"/>
                        <w:sz w:val="22"/>
                        <w:szCs w:val="22"/>
                      </w:rPr>
                      <w:t xml:space="preserve">January/July Year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3871" w14:textId="77777777" w:rsidR="00566BB8" w:rsidRPr="00442552" w:rsidRDefault="00566BB8" w:rsidP="00A02B49">
    <w:pPr>
      <w:pStyle w:val="Header"/>
      <w:rPr>
        <w:rFonts w:ascii="Candara" w:hAnsi="Candara"/>
        <w:sz w:val="20"/>
        <w:szCs w:val="20"/>
      </w:rPr>
    </w:pPr>
    <w:r>
      <w:rPr>
        <w:noProof/>
      </w:rPr>
      <w:drawing>
        <wp:anchor distT="0" distB="0" distL="114300" distR="114300" simplePos="0" relativeHeight="251657216" behindDoc="0" locked="0" layoutInCell="1" allowOverlap="1" wp14:anchorId="32BD026C" wp14:editId="1812B2AB">
          <wp:simplePos x="0" y="0"/>
          <wp:positionH relativeFrom="column">
            <wp:posOffset>-38735</wp:posOffset>
          </wp:positionH>
          <wp:positionV relativeFrom="paragraph">
            <wp:posOffset>-638175</wp:posOffset>
          </wp:positionV>
          <wp:extent cx="1165860" cy="5245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52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10FD9"/>
    <w:multiLevelType w:val="hybridMultilevel"/>
    <w:tmpl w:val="ED9890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F49D6"/>
    <w:multiLevelType w:val="hybridMultilevel"/>
    <w:tmpl w:val="79E85936"/>
    <w:lvl w:ilvl="0" w:tplc="F69C5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1BF4BDB"/>
    <w:multiLevelType w:val="hybridMultilevel"/>
    <w:tmpl w:val="868A0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A07995"/>
    <w:multiLevelType w:val="hybridMultilevel"/>
    <w:tmpl w:val="4138854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2EE426EF"/>
    <w:multiLevelType w:val="hybridMultilevel"/>
    <w:tmpl w:val="4822D3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0A16E7"/>
    <w:multiLevelType w:val="hybridMultilevel"/>
    <w:tmpl w:val="37726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361F68"/>
    <w:multiLevelType w:val="hybridMultilevel"/>
    <w:tmpl w:val="21FABBA6"/>
    <w:lvl w:ilvl="0" w:tplc="85E8A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C10B5"/>
    <w:multiLevelType w:val="hybridMultilevel"/>
    <w:tmpl w:val="868AB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922D27"/>
    <w:multiLevelType w:val="multilevel"/>
    <w:tmpl w:val="43CC6CE8"/>
    <w:lvl w:ilvl="0">
      <w:start w:val="1"/>
      <w:numFmt w:val="decimal"/>
      <w:lvlText w:val="%1."/>
      <w:lvlJc w:val="left"/>
      <w:pPr>
        <w:ind w:left="720" w:hanging="720"/>
      </w:pPr>
      <w:rPr>
        <w:rFonts w:hint="default"/>
      </w:rPr>
    </w:lvl>
    <w:lvl w:ilvl="1">
      <w:start w:val="4"/>
      <w:numFmt w:val="upperLetter"/>
      <w:lvlText w:val="%2."/>
      <w:lvlJc w:val="left"/>
      <w:pPr>
        <w:ind w:left="1240" w:hanging="720"/>
      </w:pPr>
      <w:rPr>
        <w:rFonts w:hint="default"/>
      </w:rPr>
    </w:lvl>
    <w:lvl w:ilvl="2">
      <w:start w:val="1"/>
      <w:numFmt w:val="decimal"/>
      <w:lvlText w:val="%3."/>
      <w:lvlJc w:val="left"/>
      <w:pPr>
        <w:ind w:left="1760" w:hanging="720"/>
      </w:pPr>
      <w:rPr>
        <w:rFonts w:hint="default"/>
      </w:rPr>
    </w:lvl>
    <w:lvl w:ilvl="3">
      <w:start w:val="1"/>
      <w:numFmt w:val="lowerLetter"/>
      <w:lvlText w:val="%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9">
    <w:nsid w:val="40071043"/>
    <w:multiLevelType w:val="hybridMultilevel"/>
    <w:tmpl w:val="22D80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390408"/>
    <w:multiLevelType w:val="hybridMultilevel"/>
    <w:tmpl w:val="6B9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A0383"/>
    <w:multiLevelType w:val="hybridMultilevel"/>
    <w:tmpl w:val="89AE7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8B1E77"/>
    <w:multiLevelType w:val="hybridMultilevel"/>
    <w:tmpl w:val="DFE60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A343FA"/>
    <w:multiLevelType w:val="hybridMultilevel"/>
    <w:tmpl w:val="5A888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07866"/>
    <w:multiLevelType w:val="hybridMultilevel"/>
    <w:tmpl w:val="59B0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26385"/>
    <w:multiLevelType w:val="hybridMultilevel"/>
    <w:tmpl w:val="D58869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DA3B20"/>
    <w:multiLevelType w:val="hybridMultilevel"/>
    <w:tmpl w:val="818AFCB8"/>
    <w:lvl w:ilvl="0" w:tplc="94FADFE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3"/>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5"/>
  </w:num>
  <w:num w:numId="10">
    <w:abstractNumId w:val="10"/>
  </w:num>
  <w:num w:numId="11">
    <w:abstractNumId w:val="6"/>
  </w:num>
  <w:num w:numId="12">
    <w:abstractNumId w:val="16"/>
  </w:num>
  <w:num w:numId="13">
    <w:abstractNumId w:val="7"/>
  </w:num>
  <w:num w:numId="14">
    <w:abstractNumId w:val="2"/>
  </w:num>
  <w:num w:numId="15">
    <w:abstractNumId w:val="12"/>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wNTM0szAyNDU2MjRT0lEKTi0uzszPAykwtKwFAOxMqu8tAAAA"/>
  </w:docVars>
  <w:rsids>
    <w:rsidRoot w:val="001C1F5C"/>
    <w:rsid w:val="00004439"/>
    <w:rsid w:val="00004D12"/>
    <w:rsid w:val="000115DA"/>
    <w:rsid w:val="00012FAA"/>
    <w:rsid w:val="00015FF2"/>
    <w:rsid w:val="0003030E"/>
    <w:rsid w:val="000356EF"/>
    <w:rsid w:val="000371AD"/>
    <w:rsid w:val="000379BF"/>
    <w:rsid w:val="0004099A"/>
    <w:rsid w:val="000423BA"/>
    <w:rsid w:val="00043586"/>
    <w:rsid w:val="00046522"/>
    <w:rsid w:val="00047B19"/>
    <w:rsid w:val="00047E17"/>
    <w:rsid w:val="00052AE8"/>
    <w:rsid w:val="00053325"/>
    <w:rsid w:val="00055A25"/>
    <w:rsid w:val="000627C4"/>
    <w:rsid w:val="00063EC9"/>
    <w:rsid w:val="000661A4"/>
    <w:rsid w:val="00077860"/>
    <w:rsid w:val="000805AF"/>
    <w:rsid w:val="00092532"/>
    <w:rsid w:val="00092E9A"/>
    <w:rsid w:val="000940C4"/>
    <w:rsid w:val="00094127"/>
    <w:rsid w:val="0009452B"/>
    <w:rsid w:val="00094E27"/>
    <w:rsid w:val="000A0177"/>
    <w:rsid w:val="000A535F"/>
    <w:rsid w:val="000D70F9"/>
    <w:rsid w:val="000E1B0A"/>
    <w:rsid w:val="000F000B"/>
    <w:rsid w:val="000F5865"/>
    <w:rsid w:val="00100B5B"/>
    <w:rsid w:val="00102AD9"/>
    <w:rsid w:val="001054AF"/>
    <w:rsid w:val="00106274"/>
    <w:rsid w:val="00117755"/>
    <w:rsid w:val="00125511"/>
    <w:rsid w:val="0013669A"/>
    <w:rsid w:val="0014087E"/>
    <w:rsid w:val="00141E1E"/>
    <w:rsid w:val="00147634"/>
    <w:rsid w:val="001500EB"/>
    <w:rsid w:val="001535CC"/>
    <w:rsid w:val="00154656"/>
    <w:rsid w:val="00162EBE"/>
    <w:rsid w:val="00163222"/>
    <w:rsid w:val="00164D29"/>
    <w:rsid w:val="00175329"/>
    <w:rsid w:val="00181FB6"/>
    <w:rsid w:val="0019184A"/>
    <w:rsid w:val="001935FE"/>
    <w:rsid w:val="00196937"/>
    <w:rsid w:val="001977AD"/>
    <w:rsid w:val="001A3FC1"/>
    <w:rsid w:val="001B1839"/>
    <w:rsid w:val="001B25CE"/>
    <w:rsid w:val="001B390F"/>
    <w:rsid w:val="001B3E01"/>
    <w:rsid w:val="001C1F5C"/>
    <w:rsid w:val="001C29CE"/>
    <w:rsid w:val="001C78DE"/>
    <w:rsid w:val="001D410C"/>
    <w:rsid w:val="001E2A1F"/>
    <w:rsid w:val="001E5198"/>
    <w:rsid w:val="001E5CA5"/>
    <w:rsid w:val="001F735B"/>
    <w:rsid w:val="0020035A"/>
    <w:rsid w:val="00211146"/>
    <w:rsid w:val="00217EA8"/>
    <w:rsid w:val="00232BCA"/>
    <w:rsid w:val="002528E2"/>
    <w:rsid w:val="00263ACD"/>
    <w:rsid w:val="00264EEE"/>
    <w:rsid w:val="00266ED4"/>
    <w:rsid w:val="00267183"/>
    <w:rsid w:val="00273096"/>
    <w:rsid w:val="00280484"/>
    <w:rsid w:val="00292D53"/>
    <w:rsid w:val="0029736B"/>
    <w:rsid w:val="00297A8B"/>
    <w:rsid w:val="002A0B91"/>
    <w:rsid w:val="002A0B9B"/>
    <w:rsid w:val="002A31CE"/>
    <w:rsid w:val="002A41B4"/>
    <w:rsid w:val="002B3298"/>
    <w:rsid w:val="002B4D2F"/>
    <w:rsid w:val="002C2A86"/>
    <w:rsid w:val="002C3CA9"/>
    <w:rsid w:val="002D2AB6"/>
    <w:rsid w:val="002D3550"/>
    <w:rsid w:val="002D5192"/>
    <w:rsid w:val="002E39E3"/>
    <w:rsid w:val="002E45D0"/>
    <w:rsid w:val="002F1B07"/>
    <w:rsid w:val="002F26EB"/>
    <w:rsid w:val="002F2B18"/>
    <w:rsid w:val="002F4C53"/>
    <w:rsid w:val="00301AA8"/>
    <w:rsid w:val="0030315C"/>
    <w:rsid w:val="00303B9D"/>
    <w:rsid w:val="00307F07"/>
    <w:rsid w:val="00315557"/>
    <w:rsid w:val="00321CBD"/>
    <w:rsid w:val="00331CE3"/>
    <w:rsid w:val="0033205E"/>
    <w:rsid w:val="00332079"/>
    <w:rsid w:val="0033764C"/>
    <w:rsid w:val="00340FE8"/>
    <w:rsid w:val="00347919"/>
    <w:rsid w:val="003529C6"/>
    <w:rsid w:val="00352C09"/>
    <w:rsid w:val="00357695"/>
    <w:rsid w:val="00357FB6"/>
    <w:rsid w:val="00363130"/>
    <w:rsid w:val="00365C36"/>
    <w:rsid w:val="0036634B"/>
    <w:rsid w:val="003667E5"/>
    <w:rsid w:val="00373EDE"/>
    <w:rsid w:val="00374229"/>
    <w:rsid w:val="0037532F"/>
    <w:rsid w:val="00392003"/>
    <w:rsid w:val="00392050"/>
    <w:rsid w:val="00397D01"/>
    <w:rsid w:val="003A188D"/>
    <w:rsid w:val="003A541F"/>
    <w:rsid w:val="003A6D0D"/>
    <w:rsid w:val="003A79AB"/>
    <w:rsid w:val="003B0E57"/>
    <w:rsid w:val="003B2FB3"/>
    <w:rsid w:val="003B6CD6"/>
    <w:rsid w:val="003C0749"/>
    <w:rsid w:val="003C24AE"/>
    <w:rsid w:val="003D1FEB"/>
    <w:rsid w:val="003D3018"/>
    <w:rsid w:val="003D3EE0"/>
    <w:rsid w:val="003E32A8"/>
    <w:rsid w:val="003E4111"/>
    <w:rsid w:val="003E4D7F"/>
    <w:rsid w:val="003E5575"/>
    <w:rsid w:val="003F1CDF"/>
    <w:rsid w:val="003F35FA"/>
    <w:rsid w:val="003F7B66"/>
    <w:rsid w:val="00412F9D"/>
    <w:rsid w:val="004162F8"/>
    <w:rsid w:val="00424888"/>
    <w:rsid w:val="00427BA1"/>
    <w:rsid w:val="004333F0"/>
    <w:rsid w:val="004364BA"/>
    <w:rsid w:val="004439E9"/>
    <w:rsid w:val="00446AFB"/>
    <w:rsid w:val="00450F25"/>
    <w:rsid w:val="0045295E"/>
    <w:rsid w:val="00453730"/>
    <w:rsid w:val="004552C0"/>
    <w:rsid w:val="0047376B"/>
    <w:rsid w:val="00483420"/>
    <w:rsid w:val="0048573E"/>
    <w:rsid w:val="00496D7E"/>
    <w:rsid w:val="004972AF"/>
    <w:rsid w:val="004A0874"/>
    <w:rsid w:val="004A1626"/>
    <w:rsid w:val="004A1D07"/>
    <w:rsid w:val="004B70CE"/>
    <w:rsid w:val="004C2C48"/>
    <w:rsid w:val="004F3AF2"/>
    <w:rsid w:val="005031E1"/>
    <w:rsid w:val="00505694"/>
    <w:rsid w:val="00505DFF"/>
    <w:rsid w:val="005104F8"/>
    <w:rsid w:val="005140BA"/>
    <w:rsid w:val="00521FAF"/>
    <w:rsid w:val="00530FE0"/>
    <w:rsid w:val="00531529"/>
    <w:rsid w:val="00545BD2"/>
    <w:rsid w:val="00554522"/>
    <w:rsid w:val="005558EC"/>
    <w:rsid w:val="00557E73"/>
    <w:rsid w:val="005601B6"/>
    <w:rsid w:val="00566BB8"/>
    <w:rsid w:val="005725C9"/>
    <w:rsid w:val="005810FB"/>
    <w:rsid w:val="00582B2F"/>
    <w:rsid w:val="005835A1"/>
    <w:rsid w:val="00585548"/>
    <w:rsid w:val="0059041A"/>
    <w:rsid w:val="005A18BE"/>
    <w:rsid w:val="005A2FB1"/>
    <w:rsid w:val="005B2ED7"/>
    <w:rsid w:val="005C1887"/>
    <w:rsid w:val="005C421F"/>
    <w:rsid w:val="005C457A"/>
    <w:rsid w:val="005D2FA8"/>
    <w:rsid w:val="005D58B7"/>
    <w:rsid w:val="005D6A5F"/>
    <w:rsid w:val="005E1E91"/>
    <w:rsid w:val="005F12D7"/>
    <w:rsid w:val="005F6FA7"/>
    <w:rsid w:val="00604022"/>
    <w:rsid w:val="006069D2"/>
    <w:rsid w:val="00614C61"/>
    <w:rsid w:val="0061761C"/>
    <w:rsid w:val="006219A4"/>
    <w:rsid w:val="00622BD8"/>
    <w:rsid w:val="006460C3"/>
    <w:rsid w:val="00652BC8"/>
    <w:rsid w:val="0067032E"/>
    <w:rsid w:val="00672763"/>
    <w:rsid w:val="00673351"/>
    <w:rsid w:val="0068198A"/>
    <w:rsid w:val="00690E1F"/>
    <w:rsid w:val="00691F3C"/>
    <w:rsid w:val="00693036"/>
    <w:rsid w:val="006933E2"/>
    <w:rsid w:val="00696E32"/>
    <w:rsid w:val="006974EB"/>
    <w:rsid w:val="006A4911"/>
    <w:rsid w:val="006B0589"/>
    <w:rsid w:val="006B3491"/>
    <w:rsid w:val="006C1FE3"/>
    <w:rsid w:val="006C2CA0"/>
    <w:rsid w:val="006C3D7A"/>
    <w:rsid w:val="006C43A4"/>
    <w:rsid w:val="006C4C28"/>
    <w:rsid w:val="006C5CC7"/>
    <w:rsid w:val="006D0B53"/>
    <w:rsid w:val="006D43CA"/>
    <w:rsid w:val="006D7390"/>
    <w:rsid w:val="006E7116"/>
    <w:rsid w:val="006E774B"/>
    <w:rsid w:val="006F28A5"/>
    <w:rsid w:val="006F337B"/>
    <w:rsid w:val="006F6C8D"/>
    <w:rsid w:val="007058FC"/>
    <w:rsid w:val="00711FA7"/>
    <w:rsid w:val="007152A8"/>
    <w:rsid w:val="00722916"/>
    <w:rsid w:val="00724ECF"/>
    <w:rsid w:val="00742A19"/>
    <w:rsid w:val="007513F6"/>
    <w:rsid w:val="007573F3"/>
    <w:rsid w:val="00765FBC"/>
    <w:rsid w:val="00767318"/>
    <w:rsid w:val="00776B0C"/>
    <w:rsid w:val="007831C2"/>
    <w:rsid w:val="0079135F"/>
    <w:rsid w:val="007918AF"/>
    <w:rsid w:val="007A3CDB"/>
    <w:rsid w:val="007A761F"/>
    <w:rsid w:val="007B5265"/>
    <w:rsid w:val="007C3559"/>
    <w:rsid w:val="007C3643"/>
    <w:rsid w:val="007C65D0"/>
    <w:rsid w:val="007D006F"/>
    <w:rsid w:val="007D136C"/>
    <w:rsid w:val="007D584A"/>
    <w:rsid w:val="007D7D52"/>
    <w:rsid w:val="007E14F7"/>
    <w:rsid w:val="007E2857"/>
    <w:rsid w:val="007E2C8E"/>
    <w:rsid w:val="007E39B7"/>
    <w:rsid w:val="007E7FEC"/>
    <w:rsid w:val="007F04B0"/>
    <w:rsid w:val="007F06F4"/>
    <w:rsid w:val="007F12FE"/>
    <w:rsid w:val="0080001D"/>
    <w:rsid w:val="0083016D"/>
    <w:rsid w:val="00845505"/>
    <w:rsid w:val="00873D69"/>
    <w:rsid w:val="00873ED3"/>
    <w:rsid w:val="008822D6"/>
    <w:rsid w:val="00891D11"/>
    <w:rsid w:val="0089359D"/>
    <w:rsid w:val="00896AA4"/>
    <w:rsid w:val="008A4CC6"/>
    <w:rsid w:val="008A57E3"/>
    <w:rsid w:val="008A5865"/>
    <w:rsid w:val="008B19E4"/>
    <w:rsid w:val="008B5383"/>
    <w:rsid w:val="008B5585"/>
    <w:rsid w:val="008D426D"/>
    <w:rsid w:val="00914790"/>
    <w:rsid w:val="00916D5A"/>
    <w:rsid w:val="00917B5E"/>
    <w:rsid w:val="00922F39"/>
    <w:rsid w:val="00926E4E"/>
    <w:rsid w:val="00930DF4"/>
    <w:rsid w:val="009609D2"/>
    <w:rsid w:val="0096397C"/>
    <w:rsid w:val="0096540A"/>
    <w:rsid w:val="00965BFB"/>
    <w:rsid w:val="00967A0F"/>
    <w:rsid w:val="00970457"/>
    <w:rsid w:val="0097098F"/>
    <w:rsid w:val="009713D1"/>
    <w:rsid w:val="00975700"/>
    <w:rsid w:val="00986567"/>
    <w:rsid w:val="009911EC"/>
    <w:rsid w:val="00991555"/>
    <w:rsid w:val="009A60B4"/>
    <w:rsid w:val="009B2163"/>
    <w:rsid w:val="009C5B87"/>
    <w:rsid w:val="009D260C"/>
    <w:rsid w:val="009D2AED"/>
    <w:rsid w:val="009D2BAD"/>
    <w:rsid w:val="009D76C4"/>
    <w:rsid w:val="009E0050"/>
    <w:rsid w:val="009E7266"/>
    <w:rsid w:val="009F184D"/>
    <w:rsid w:val="00A02B49"/>
    <w:rsid w:val="00A04E38"/>
    <w:rsid w:val="00A07369"/>
    <w:rsid w:val="00A16908"/>
    <w:rsid w:val="00A169DB"/>
    <w:rsid w:val="00A16B97"/>
    <w:rsid w:val="00A1762F"/>
    <w:rsid w:val="00A20C96"/>
    <w:rsid w:val="00A23916"/>
    <w:rsid w:val="00A243EB"/>
    <w:rsid w:val="00A246BD"/>
    <w:rsid w:val="00A25257"/>
    <w:rsid w:val="00A5580C"/>
    <w:rsid w:val="00A65C44"/>
    <w:rsid w:val="00A90BF5"/>
    <w:rsid w:val="00AC3B50"/>
    <w:rsid w:val="00AC49DF"/>
    <w:rsid w:val="00AE2FFE"/>
    <w:rsid w:val="00AF28A2"/>
    <w:rsid w:val="00AF6BEC"/>
    <w:rsid w:val="00B05227"/>
    <w:rsid w:val="00B055B0"/>
    <w:rsid w:val="00B13026"/>
    <w:rsid w:val="00B15EE9"/>
    <w:rsid w:val="00B212C3"/>
    <w:rsid w:val="00B269A3"/>
    <w:rsid w:val="00B3273A"/>
    <w:rsid w:val="00B4368C"/>
    <w:rsid w:val="00B46117"/>
    <w:rsid w:val="00B46949"/>
    <w:rsid w:val="00B46D72"/>
    <w:rsid w:val="00B4705A"/>
    <w:rsid w:val="00B5077A"/>
    <w:rsid w:val="00B5548E"/>
    <w:rsid w:val="00B6498F"/>
    <w:rsid w:val="00B65359"/>
    <w:rsid w:val="00B772E9"/>
    <w:rsid w:val="00B91F77"/>
    <w:rsid w:val="00BA0E1D"/>
    <w:rsid w:val="00BA4E83"/>
    <w:rsid w:val="00BA6E25"/>
    <w:rsid w:val="00BA7F81"/>
    <w:rsid w:val="00BB6966"/>
    <w:rsid w:val="00BC64BC"/>
    <w:rsid w:val="00BD182F"/>
    <w:rsid w:val="00BD2A1E"/>
    <w:rsid w:val="00BD40AD"/>
    <w:rsid w:val="00BD7AFB"/>
    <w:rsid w:val="00BD7C6D"/>
    <w:rsid w:val="00BE08BE"/>
    <w:rsid w:val="00BE57A5"/>
    <w:rsid w:val="00BE6438"/>
    <w:rsid w:val="00BF7B69"/>
    <w:rsid w:val="00C02C5F"/>
    <w:rsid w:val="00C10A61"/>
    <w:rsid w:val="00C11C50"/>
    <w:rsid w:val="00C12A75"/>
    <w:rsid w:val="00C15A85"/>
    <w:rsid w:val="00C17B5E"/>
    <w:rsid w:val="00C201BD"/>
    <w:rsid w:val="00C20299"/>
    <w:rsid w:val="00C40B56"/>
    <w:rsid w:val="00C40C63"/>
    <w:rsid w:val="00C41FE4"/>
    <w:rsid w:val="00C4745D"/>
    <w:rsid w:val="00C47A7D"/>
    <w:rsid w:val="00C519B0"/>
    <w:rsid w:val="00C52B86"/>
    <w:rsid w:val="00C55571"/>
    <w:rsid w:val="00C60DC4"/>
    <w:rsid w:val="00C626C0"/>
    <w:rsid w:val="00C8195B"/>
    <w:rsid w:val="00C973BB"/>
    <w:rsid w:val="00CB1F24"/>
    <w:rsid w:val="00CC2722"/>
    <w:rsid w:val="00CC386C"/>
    <w:rsid w:val="00CC73AC"/>
    <w:rsid w:val="00CD5AB5"/>
    <w:rsid w:val="00CD7C18"/>
    <w:rsid w:val="00CF40FD"/>
    <w:rsid w:val="00CF6169"/>
    <w:rsid w:val="00CF7581"/>
    <w:rsid w:val="00CF7ED1"/>
    <w:rsid w:val="00D00D1B"/>
    <w:rsid w:val="00D04BBD"/>
    <w:rsid w:val="00D12F24"/>
    <w:rsid w:val="00D13D5B"/>
    <w:rsid w:val="00D1511D"/>
    <w:rsid w:val="00D15654"/>
    <w:rsid w:val="00D249F3"/>
    <w:rsid w:val="00D25A5C"/>
    <w:rsid w:val="00D45E5F"/>
    <w:rsid w:val="00D52666"/>
    <w:rsid w:val="00D53CF5"/>
    <w:rsid w:val="00D601E0"/>
    <w:rsid w:val="00D62954"/>
    <w:rsid w:val="00D65CC5"/>
    <w:rsid w:val="00D72EE5"/>
    <w:rsid w:val="00D92C35"/>
    <w:rsid w:val="00DA30C9"/>
    <w:rsid w:val="00DA68FA"/>
    <w:rsid w:val="00DB257C"/>
    <w:rsid w:val="00DC3713"/>
    <w:rsid w:val="00DC537C"/>
    <w:rsid w:val="00DC71A3"/>
    <w:rsid w:val="00DD1CE1"/>
    <w:rsid w:val="00DD358D"/>
    <w:rsid w:val="00DD7D05"/>
    <w:rsid w:val="00DE41CB"/>
    <w:rsid w:val="00DE4DD8"/>
    <w:rsid w:val="00DE5F15"/>
    <w:rsid w:val="00DE7302"/>
    <w:rsid w:val="00DE7DBC"/>
    <w:rsid w:val="00DF2291"/>
    <w:rsid w:val="00E1381C"/>
    <w:rsid w:val="00E20143"/>
    <w:rsid w:val="00E30904"/>
    <w:rsid w:val="00E37EA5"/>
    <w:rsid w:val="00E4036F"/>
    <w:rsid w:val="00E43628"/>
    <w:rsid w:val="00E5459A"/>
    <w:rsid w:val="00E54CD4"/>
    <w:rsid w:val="00E560A7"/>
    <w:rsid w:val="00E63434"/>
    <w:rsid w:val="00E65CFB"/>
    <w:rsid w:val="00E72A40"/>
    <w:rsid w:val="00E72D58"/>
    <w:rsid w:val="00E75FFD"/>
    <w:rsid w:val="00E77974"/>
    <w:rsid w:val="00E77DFB"/>
    <w:rsid w:val="00E900AD"/>
    <w:rsid w:val="00E92C0F"/>
    <w:rsid w:val="00E96F3E"/>
    <w:rsid w:val="00EA10AF"/>
    <w:rsid w:val="00EA2069"/>
    <w:rsid w:val="00EA5281"/>
    <w:rsid w:val="00EB7766"/>
    <w:rsid w:val="00EC6A65"/>
    <w:rsid w:val="00ED7F0E"/>
    <w:rsid w:val="00EE0106"/>
    <w:rsid w:val="00EE19FA"/>
    <w:rsid w:val="00EE2DF8"/>
    <w:rsid w:val="00EF06E4"/>
    <w:rsid w:val="00F01FD2"/>
    <w:rsid w:val="00F02921"/>
    <w:rsid w:val="00F07C9E"/>
    <w:rsid w:val="00F1029E"/>
    <w:rsid w:val="00F1128B"/>
    <w:rsid w:val="00F14504"/>
    <w:rsid w:val="00F31EDA"/>
    <w:rsid w:val="00F37E54"/>
    <w:rsid w:val="00F40AAA"/>
    <w:rsid w:val="00F44335"/>
    <w:rsid w:val="00F45A80"/>
    <w:rsid w:val="00F65B5D"/>
    <w:rsid w:val="00F6705E"/>
    <w:rsid w:val="00F84D68"/>
    <w:rsid w:val="00F9677B"/>
    <w:rsid w:val="00FB490F"/>
    <w:rsid w:val="00FB6A1D"/>
    <w:rsid w:val="00FD177B"/>
    <w:rsid w:val="00FE187D"/>
    <w:rsid w:val="00FE3FF6"/>
    <w:rsid w:val="00FE561B"/>
    <w:rsid w:val="00FF52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62346"/>
  <w15:docId w15:val="{86B9838E-3400-4ADC-AB63-2EAEF45E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9E4"/>
    <w:rPr>
      <w:rFonts w:ascii="Calibri" w:eastAsia="Times New Roman" w:hAnsi="Calibri" w:cs="Arial"/>
      <w:sz w:val="24"/>
      <w:szCs w:val="24"/>
      <w:lang w:val="en-US" w:eastAsia="en-US"/>
    </w:rPr>
  </w:style>
  <w:style w:type="paragraph" w:styleId="Heading2">
    <w:name w:val="heading 2"/>
    <w:basedOn w:val="Normal"/>
    <w:next w:val="Normal"/>
    <w:link w:val="Heading2Char"/>
    <w:uiPriority w:val="9"/>
    <w:semiHidden/>
    <w:unhideWhenUsed/>
    <w:qFormat/>
    <w:rsid w:val="00566B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0BA"/>
    <w:pPr>
      <w:keepNext/>
      <w:keepLines/>
      <w:spacing w:before="200" w:line="276" w:lineRule="auto"/>
      <w:outlineLvl w:val="2"/>
    </w:pPr>
    <w:rPr>
      <w:rFonts w:ascii="Cambria" w:hAnsi="Cambria" w:cs="Times New Roman"/>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F5C"/>
    <w:pPr>
      <w:ind w:left="720"/>
      <w:contextualSpacing/>
    </w:pPr>
  </w:style>
  <w:style w:type="paragraph" w:styleId="BalloonText">
    <w:name w:val="Balloon Text"/>
    <w:basedOn w:val="Normal"/>
    <w:link w:val="BalloonTextChar"/>
    <w:uiPriority w:val="99"/>
    <w:semiHidden/>
    <w:unhideWhenUsed/>
    <w:rsid w:val="001C1F5C"/>
    <w:rPr>
      <w:rFonts w:ascii="Lucida Grande" w:hAnsi="Lucida Grande" w:cs="Lucida Grande"/>
      <w:sz w:val="18"/>
      <w:szCs w:val="18"/>
    </w:rPr>
  </w:style>
  <w:style w:type="character" w:customStyle="1" w:styleId="BalloonTextChar">
    <w:name w:val="Balloon Text Char"/>
    <w:link w:val="BalloonText"/>
    <w:uiPriority w:val="99"/>
    <w:semiHidden/>
    <w:rsid w:val="001C1F5C"/>
    <w:rPr>
      <w:rFonts w:ascii="Lucida Grande" w:eastAsia="Times New Roman" w:hAnsi="Lucida Grande" w:cs="Lucida Grande"/>
      <w:sz w:val="18"/>
      <w:szCs w:val="18"/>
    </w:rPr>
  </w:style>
  <w:style w:type="table" w:styleId="LightShading">
    <w:name w:val="Light Shading"/>
    <w:basedOn w:val="TableNormal"/>
    <w:uiPriority w:val="60"/>
    <w:rsid w:val="00E43628"/>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43628"/>
    <w:pPr>
      <w:tabs>
        <w:tab w:val="center" w:pos="4680"/>
        <w:tab w:val="right" w:pos="9360"/>
      </w:tabs>
    </w:pPr>
  </w:style>
  <w:style w:type="character" w:customStyle="1" w:styleId="HeaderChar">
    <w:name w:val="Header Char"/>
    <w:link w:val="Header"/>
    <w:uiPriority w:val="99"/>
    <w:rsid w:val="00E43628"/>
    <w:rPr>
      <w:rFonts w:ascii="Calibri" w:eastAsia="Times New Roman" w:hAnsi="Calibri" w:cs="Arial"/>
    </w:rPr>
  </w:style>
  <w:style w:type="paragraph" w:styleId="Footer">
    <w:name w:val="footer"/>
    <w:basedOn w:val="Normal"/>
    <w:link w:val="FooterChar"/>
    <w:uiPriority w:val="99"/>
    <w:unhideWhenUsed/>
    <w:rsid w:val="00E43628"/>
    <w:pPr>
      <w:tabs>
        <w:tab w:val="center" w:pos="4680"/>
        <w:tab w:val="right" w:pos="9360"/>
      </w:tabs>
    </w:pPr>
  </w:style>
  <w:style w:type="character" w:customStyle="1" w:styleId="FooterChar">
    <w:name w:val="Footer Char"/>
    <w:link w:val="Footer"/>
    <w:uiPriority w:val="99"/>
    <w:rsid w:val="00E43628"/>
    <w:rPr>
      <w:rFonts w:ascii="Calibri" w:eastAsia="Times New Roman" w:hAnsi="Calibri" w:cs="Arial"/>
    </w:rPr>
  </w:style>
  <w:style w:type="character" w:styleId="Hyperlink">
    <w:name w:val="Hyperlink"/>
    <w:uiPriority w:val="99"/>
    <w:unhideWhenUsed/>
    <w:rsid w:val="00917B5E"/>
    <w:rPr>
      <w:color w:val="0000FF"/>
      <w:u w:val="single"/>
    </w:rPr>
  </w:style>
  <w:style w:type="table" w:styleId="TableGrid">
    <w:name w:val="Table Grid"/>
    <w:basedOn w:val="TableNormal"/>
    <w:uiPriority w:val="59"/>
    <w:rsid w:val="00B3273A"/>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5140BA"/>
    <w:pPr>
      <w:widowControl w:val="0"/>
    </w:pPr>
    <w:rPr>
      <w:rFonts w:ascii="Tw Cen MT" w:hAnsi="Tw Cen MT" w:cs="Times New Roman"/>
      <w:lang w:val="x-none" w:eastAsia="x-none"/>
    </w:rPr>
  </w:style>
  <w:style w:type="character" w:customStyle="1" w:styleId="BodyTextChar">
    <w:name w:val="Body Text Char"/>
    <w:link w:val="BodyText"/>
    <w:uiPriority w:val="99"/>
    <w:rsid w:val="005140BA"/>
    <w:rPr>
      <w:rFonts w:ascii="Tw Cen MT" w:eastAsia="Times New Roman" w:hAnsi="Tw Cen MT"/>
      <w:sz w:val="24"/>
      <w:szCs w:val="24"/>
      <w:lang w:val="x-none" w:eastAsia="x-none"/>
    </w:rPr>
  </w:style>
  <w:style w:type="character" w:customStyle="1" w:styleId="Heading3Char">
    <w:name w:val="Heading 3 Char"/>
    <w:link w:val="Heading3"/>
    <w:uiPriority w:val="9"/>
    <w:rsid w:val="005140BA"/>
    <w:rPr>
      <w:rFonts w:ascii="Cambria" w:eastAsia="Times New Roman" w:hAnsi="Cambria"/>
      <w:b/>
      <w:bCs/>
      <w:color w:val="4F81BD"/>
      <w:lang w:val="x-none" w:eastAsia="x-none"/>
    </w:rPr>
  </w:style>
  <w:style w:type="table" w:customStyle="1" w:styleId="Calendar1">
    <w:name w:val="Calendar 1"/>
    <w:basedOn w:val="TableNormal"/>
    <w:uiPriority w:val="99"/>
    <w:qFormat/>
    <w:rsid w:val="007D584A"/>
    <w:rPr>
      <w:rFonts w:ascii="Calibri" w:eastAsia="Times New Roman" w:hAnsi="Calibri" w:cs="Arial"/>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Emphasis">
    <w:name w:val="Emphasis"/>
    <w:uiPriority w:val="20"/>
    <w:qFormat/>
    <w:rsid w:val="007D584A"/>
    <w:rPr>
      <w:i/>
      <w:iCs/>
    </w:rPr>
  </w:style>
  <w:style w:type="character" w:customStyle="1" w:styleId="ListParagraphChar">
    <w:name w:val="List Paragraph Char"/>
    <w:link w:val="ListParagraph"/>
    <w:uiPriority w:val="34"/>
    <w:locked/>
    <w:rsid w:val="009713D1"/>
    <w:rPr>
      <w:rFonts w:ascii="Calibri" w:eastAsia="Times New Roman" w:hAnsi="Calibri" w:cs="Arial"/>
      <w:sz w:val="24"/>
      <w:szCs w:val="24"/>
      <w:lang w:val="en-US" w:eastAsia="en-US"/>
    </w:rPr>
  </w:style>
  <w:style w:type="character" w:styleId="CommentReference">
    <w:name w:val="annotation reference"/>
    <w:uiPriority w:val="99"/>
    <w:semiHidden/>
    <w:unhideWhenUsed/>
    <w:rsid w:val="00BE6438"/>
    <w:rPr>
      <w:sz w:val="16"/>
      <w:szCs w:val="16"/>
    </w:rPr>
  </w:style>
  <w:style w:type="paragraph" w:styleId="CommentText">
    <w:name w:val="annotation text"/>
    <w:basedOn w:val="Normal"/>
    <w:link w:val="CommentTextChar"/>
    <w:uiPriority w:val="99"/>
    <w:semiHidden/>
    <w:unhideWhenUsed/>
    <w:rsid w:val="00BE6438"/>
    <w:rPr>
      <w:sz w:val="20"/>
      <w:szCs w:val="20"/>
    </w:rPr>
  </w:style>
  <w:style w:type="character" w:customStyle="1" w:styleId="CommentTextChar">
    <w:name w:val="Comment Text Char"/>
    <w:link w:val="CommentText"/>
    <w:uiPriority w:val="99"/>
    <w:semiHidden/>
    <w:rsid w:val="00BE6438"/>
    <w:rPr>
      <w:rFonts w:ascii="Calibri" w:eastAsia="Times New Roman" w:hAnsi="Calibri" w:cs="Arial"/>
      <w:lang w:val="en-US" w:eastAsia="en-US"/>
    </w:rPr>
  </w:style>
  <w:style w:type="paragraph" w:styleId="CommentSubject">
    <w:name w:val="annotation subject"/>
    <w:basedOn w:val="CommentText"/>
    <w:next w:val="CommentText"/>
    <w:link w:val="CommentSubjectChar"/>
    <w:uiPriority w:val="99"/>
    <w:semiHidden/>
    <w:unhideWhenUsed/>
    <w:rsid w:val="00BE6438"/>
    <w:rPr>
      <w:b/>
      <w:bCs/>
    </w:rPr>
  </w:style>
  <w:style w:type="character" w:customStyle="1" w:styleId="CommentSubjectChar">
    <w:name w:val="Comment Subject Char"/>
    <w:link w:val="CommentSubject"/>
    <w:uiPriority w:val="99"/>
    <w:semiHidden/>
    <w:rsid w:val="00BE6438"/>
    <w:rPr>
      <w:rFonts w:ascii="Calibri" w:eastAsia="Times New Roman" w:hAnsi="Calibri" w:cs="Arial"/>
      <w:b/>
      <w:bCs/>
      <w:lang w:val="en-US" w:eastAsia="en-US"/>
    </w:rPr>
  </w:style>
  <w:style w:type="paragraph" w:customStyle="1" w:styleId="Default">
    <w:name w:val="Default"/>
    <w:rsid w:val="004552C0"/>
    <w:pPr>
      <w:autoSpaceDE w:val="0"/>
      <w:autoSpaceDN w:val="0"/>
      <w:adjustRightInd w:val="0"/>
    </w:pPr>
    <w:rPr>
      <w:rFonts w:ascii="Calibri" w:hAnsi="Calibri" w:cs="Calibri"/>
      <w:color w:val="000000"/>
      <w:sz w:val="24"/>
      <w:szCs w:val="24"/>
      <w:lang w:val="en-US" w:eastAsia="en-US"/>
    </w:rPr>
  </w:style>
  <w:style w:type="character" w:styleId="Strong">
    <w:name w:val="Strong"/>
    <w:basedOn w:val="DefaultParagraphFont"/>
    <w:uiPriority w:val="22"/>
    <w:qFormat/>
    <w:rsid w:val="002F4C53"/>
    <w:rPr>
      <w:b/>
      <w:bCs/>
    </w:rPr>
  </w:style>
  <w:style w:type="paragraph" w:customStyle="1" w:styleId="p">
    <w:name w:val="p"/>
    <w:basedOn w:val="Normal"/>
    <w:rsid w:val="000115DA"/>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0115DA"/>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semiHidden/>
    <w:rsid w:val="00566BB8"/>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9452">
      <w:bodyDiv w:val="1"/>
      <w:marLeft w:val="0"/>
      <w:marRight w:val="0"/>
      <w:marTop w:val="0"/>
      <w:marBottom w:val="0"/>
      <w:divBdr>
        <w:top w:val="none" w:sz="0" w:space="0" w:color="auto"/>
        <w:left w:val="none" w:sz="0" w:space="0" w:color="auto"/>
        <w:bottom w:val="none" w:sz="0" w:space="0" w:color="auto"/>
        <w:right w:val="none" w:sz="0" w:space="0" w:color="auto"/>
      </w:divBdr>
    </w:div>
    <w:div w:id="197284878">
      <w:bodyDiv w:val="1"/>
      <w:marLeft w:val="0"/>
      <w:marRight w:val="0"/>
      <w:marTop w:val="0"/>
      <w:marBottom w:val="0"/>
      <w:divBdr>
        <w:top w:val="none" w:sz="0" w:space="0" w:color="auto"/>
        <w:left w:val="none" w:sz="0" w:space="0" w:color="auto"/>
        <w:bottom w:val="none" w:sz="0" w:space="0" w:color="auto"/>
        <w:right w:val="none" w:sz="0" w:space="0" w:color="auto"/>
      </w:divBdr>
    </w:div>
    <w:div w:id="361513395">
      <w:bodyDiv w:val="1"/>
      <w:marLeft w:val="0"/>
      <w:marRight w:val="0"/>
      <w:marTop w:val="0"/>
      <w:marBottom w:val="0"/>
      <w:divBdr>
        <w:top w:val="none" w:sz="0" w:space="0" w:color="auto"/>
        <w:left w:val="none" w:sz="0" w:space="0" w:color="auto"/>
        <w:bottom w:val="none" w:sz="0" w:space="0" w:color="auto"/>
        <w:right w:val="none" w:sz="0" w:space="0" w:color="auto"/>
      </w:divBdr>
    </w:div>
    <w:div w:id="454518719">
      <w:bodyDiv w:val="1"/>
      <w:marLeft w:val="0"/>
      <w:marRight w:val="0"/>
      <w:marTop w:val="0"/>
      <w:marBottom w:val="0"/>
      <w:divBdr>
        <w:top w:val="none" w:sz="0" w:space="0" w:color="auto"/>
        <w:left w:val="none" w:sz="0" w:space="0" w:color="auto"/>
        <w:bottom w:val="none" w:sz="0" w:space="0" w:color="auto"/>
        <w:right w:val="none" w:sz="0" w:space="0" w:color="auto"/>
      </w:divBdr>
    </w:div>
    <w:div w:id="458572447">
      <w:bodyDiv w:val="1"/>
      <w:marLeft w:val="0"/>
      <w:marRight w:val="0"/>
      <w:marTop w:val="0"/>
      <w:marBottom w:val="0"/>
      <w:divBdr>
        <w:top w:val="none" w:sz="0" w:space="0" w:color="auto"/>
        <w:left w:val="none" w:sz="0" w:space="0" w:color="auto"/>
        <w:bottom w:val="none" w:sz="0" w:space="0" w:color="auto"/>
        <w:right w:val="none" w:sz="0" w:space="0" w:color="auto"/>
      </w:divBdr>
    </w:div>
    <w:div w:id="506212668">
      <w:bodyDiv w:val="1"/>
      <w:marLeft w:val="0"/>
      <w:marRight w:val="0"/>
      <w:marTop w:val="0"/>
      <w:marBottom w:val="0"/>
      <w:divBdr>
        <w:top w:val="none" w:sz="0" w:space="0" w:color="auto"/>
        <w:left w:val="none" w:sz="0" w:space="0" w:color="auto"/>
        <w:bottom w:val="none" w:sz="0" w:space="0" w:color="auto"/>
        <w:right w:val="none" w:sz="0" w:space="0" w:color="auto"/>
      </w:divBdr>
    </w:div>
    <w:div w:id="652487696">
      <w:bodyDiv w:val="1"/>
      <w:marLeft w:val="0"/>
      <w:marRight w:val="0"/>
      <w:marTop w:val="0"/>
      <w:marBottom w:val="0"/>
      <w:divBdr>
        <w:top w:val="none" w:sz="0" w:space="0" w:color="auto"/>
        <w:left w:val="none" w:sz="0" w:space="0" w:color="auto"/>
        <w:bottom w:val="none" w:sz="0" w:space="0" w:color="auto"/>
        <w:right w:val="none" w:sz="0" w:space="0" w:color="auto"/>
      </w:divBdr>
    </w:div>
    <w:div w:id="675612312">
      <w:bodyDiv w:val="1"/>
      <w:marLeft w:val="0"/>
      <w:marRight w:val="0"/>
      <w:marTop w:val="0"/>
      <w:marBottom w:val="0"/>
      <w:divBdr>
        <w:top w:val="none" w:sz="0" w:space="0" w:color="auto"/>
        <w:left w:val="none" w:sz="0" w:space="0" w:color="auto"/>
        <w:bottom w:val="none" w:sz="0" w:space="0" w:color="auto"/>
        <w:right w:val="none" w:sz="0" w:space="0" w:color="auto"/>
      </w:divBdr>
    </w:div>
    <w:div w:id="924260838">
      <w:bodyDiv w:val="1"/>
      <w:marLeft w:val="0"/>
      <w:marRight w:val="0"/>
      <w:marTop w:val="0"/>
      <w:marBottom w:val="0"/>
      <w:divBdr>
        <w:top w:val="none" w:sz="0" w:space="0" w:color="auto"/>
        <w:left w:val="none" w:sz="0" w:space="0" w:color="auto"/>
        <w:bottom w:val="none" w:sz="0" w:space="0" w:color="auto"/>
        <w:right w:val="none" w:sz="0" w:space="0" w:color="auto"/>
      </w:divBdr>
    </w:div>
    <w:div w:id="980378423">
      <w:bodyDiv w:val="1"/>
      <w:marLeft w:val="0"/>
      <w:marRight w:val="0"/>
      <w:marTop w:val="0"/>
      <w:marBottom w:val="0"/>
      <w:divBdr>
        <w:top w:val="none" w:sz="0" w:space="0" w:color="auto"/>
        <w:left w:val="none" w:sz="0" w:space="0" w:color="auto"/>
        <w:bottom w:val="none" w:sz="0" w:space="0" w:color="auto"/>
        <w:right w:val="none" w:sz="0" w:space="0" w:color="auto"/>
      </w:divBdr>
    </w:div>
    <w:div w:id="1053311493">
      <w:bodyDiv w:val="1"/>
      <w:marLeft w:val="0"/>
      <w:marRight w:val="0"/>
      <w:marTop w:val="0"/>
      <w:marBottom w:val="0"/>
      <w:divBdr>
        <w:top w:val="none" w:sz="0" w:space="0" w:color="auto"/>
        <w:left w:val="none" w:sz="0" w:space="0" w:color="auto"/>
        <w:bottom w:val="none" w:sz="0" w:space="0" w:color="auto"/>
        <w:right w:val="none" w:sz="0" w:space="0" w:color="auto"/>
      </w:divBdr>
    </w:div>
    <w:div w:id="1097750595">
      <w:bodyDiv w:val="1"/>
      <w:marLeft w:val="0"/>
      <w:marRight w:val="0"/>
      <w:marTop w:val="0"/>
      <w:marBottom w:val="0"/>
      <w:divBdr>
        <w:top w:val="none" w:sz="0" w:space="0" w:color="auto"/>
        <w:left w:val="none" w:sz="0" w:space="0" w:color="auto"/>
        <w:bottom w:val="none" w:sz="0" w:space="0" w:color="auto"/>
        <w:right w:val="none" w:sz="0" w:space="0" w:color="auto"/>
      </w:divBdr>
    </w:div>
    <w:div w:id="1142776070">
      <w:bodyDiv w:val="1"/>
      <w:marLeft w:val="0"/>
      <w:marRight w:val="0"/>
      <w:marTop w:val="0"/>
      <w:marBottom w:val="0"/>
      <w:divBdr>
        <w:top w:val="none" w:sz="0" w:space="0" w:color="auto"/>
        <w:left w:val="none" w:sz="0" w:space="0" w:color="auto"/>
        <w:bottom w:val="none" w:sz="0" w:space="0" w:color="auto"/>
        <w:right w:val="none" w:sz="0" w:space="0" w:color="auto"/>
      </w:divBdr>
    </w:div>
    <w:div w:id="1573155202">
      <w:bodyDiv w:val="1"/>
      <w:marLeft w:val="0"/>
      <w:marRight w:val="0"/>
      <w:marTop w:val="0"/>
      <w:marBottom w:val="0"/>
      <w:divBdr>
        <w:top w:val="none" w:sz="0" w:space="0" w:color="auto"/>
        <w:left w:val="none" w:sz="0" w:space="0" w:color="auto"/>
        <w:bottom w:val="none" w:sz="0" w:space="0" w:color="auto"/>
        <w:right w:val="none" w:sz="0" w:space="0" w:color="auto"/>
      </w:divBdr>
    </w:div>
    <w:div w:id="1828092575">
      <w:bodyDiv w:val="1"/>
      <w:marLeft w:val="0"/>
      <w:marRight w:val="0"/>
      <w:marTop w:val="0"/>
      <w:marBottom w:val="0"/>
      <w:divBdr>
        <w:top w:val="none" w:sz="0" w:space="0" w:color="auto"/>
        <w:left w:val="none" w:sz="0" w:space="0" w:color="auto"/>
        <w:bottom w:val="none" w:sz="0" w:space="0" w:color="auto"/>
        <w:right w:val="none" w:sz="0" w:space="0" w:color="auto"/>
      </w:divBdr>
    </w:div>
    <w:div w:id="1898589488">
      <w:bodyDiv w:val="1"/>
      <w:marLeft w:val="0"/>
      <w:marRight w:val="0"/>
      <w:marTop w:val="0"/>
      <w:marBottom w:val="0"/>
      <w:divBdr>
        <w:top w:val="none" w:sz="0" w:space="0" w:color="auto"/>
        <w:left w:val="none" w:sz="0" w:space="0" w:color="auto"/>
        <w:bottom w:val="none" w:sz="0" w:space="0" w:color="auto"/>
        <w:right w:val="none" w:sz="0" w:space="0" w:color="auto"/>
      </w:divBdr>
    </w:div>
    <w:div w:id="2087335744">
      <w:bodyDiv w:val="1"/>
      <w:marLeft w:val="0"/>
      <w:marRight w:val="0"/>
      <w:marTop w:val="0"/>
      <w:marBottom w:val="0"/>
      <w:divBdr>
        <w:top w:val="none" w:sz="0" w:space="0" w:color="auto"/>
        <w:left w:val="none" w:sz="0" w:space="0" w:color="auto"/>
        <w:bottom w:val="none" w:sz="0" w:space="0" w:color="auto"/>
        <w:right w:val="none" w:sz="0" w:space="0" w:color="auto"/>
      </w:divBdr>
    </w:div>
    <w:div w:id="20952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usfachmad@yaho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4D48-3E73-40A6-9ACB-B951F73C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20287</Words>
  <Characters>115642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jogjakarta</Company>
  <LinksUpToDate>false</LinksUpToDate>
  <CharactersWithSpaces>135658</CharactersWithSpaces>
  <SharedDoc>false</SharedDoc>
  <HLinks>
    <vt:vector size="6" baseType="variant">
      <vt:variant>
        <vt:i4>7929949</vt:i4>
      </vt:variant>
      <vt:variant>
        <vt:i4>0</vt:i4>
      </vt:variant>
      <vt:variant>
        <vt:i4>0</vt:i4>
      </vt:variant>
      <vt:variant>
        <vt:i4>5</vt:i4>
      </vt:variant>
      <vt:variant>
        <vt:lpwstr>mailto:nurvita.risdiana@umy.ac.id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DELL</cp:lastModifiedBy>
  <cp:revision>11</cp:revision>
  <cp:lastPrinted>2018-02-02T06:29:00Z</cp:lastPrinted>
  <dcterms:created xsi:type="dcterms:W3CDTF">2021-04-03T14:32:00Z</dcterms:created>
  <dcterms:modified xsi:type="dcterms:W3CDTF">2021-04-05T07:23:00Z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0afa12a1-ded2-3c1a-a69d-5825c80bd53f</vt:lpwstr>
  </property>
  <property fmtid="{D5CDD505-2E9C-101B-9397-08002B2CF9AE}" pid="24" name="Mendeley Citation Style_1">
    <vt:lpwstr>http://www.zotero.org/styles/vancouver</vt:lpwstr>
  </property>
</Properties>
</file>